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6"/>
              </w:rPr>
              <w:t xml:space="preserve">Указание Банка России от 30.06.2025 N 7124-У</w:t>
              <w:br/>
              <w:t xml:space="preserve">"О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страховщика, а также о порядке и сроках представления страховщиками в Банк России сведений и документов в отношении их филиалов, представительств и иных обособленных подразделений"</w:t>
              <w:br/>
              <w:t xml:space="preserve">(вместе с "Порядком и сроками представления отчетности в порядке надзора страховщика и статистической отчетности страховщика", "Порядком и сроками представления отчетности в порядке надзора страховщика и статистической отчетности страховщика, предусмотренных приложениями 1 и 2 к Указанию Банка России от 15 июля 2024 года N 6805-У "О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страховщика, а также о порядке и сроках представления страховщиками в Банк России сведений и документов в отношении их филиалов, представительств и иных обособленных подразделений")</w:t>
              <w:br/>
              <w:t xml:space="preserve">(Зарегистрировано в Минюсте России 30.10.2025 N 84011)</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25.01.2026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p>
      <w:pPr>
        <w:pStyle w:val="0"/>
        <w:outlineLvl w:val="0"/>
      </w:pPr>
      <w:r>
        <w:rPr>
          <w:sz w:val="24"/>
        </w:rPr>
        <w:t xml:space="preserve">Зарегистрировано в Минюсте России 30 октября 2025 г. N 84011</w:t>
      </w:r>
    </w:p>
    <w:p>
      <w:pPr>
        <w:pStyle w:val="0"/>
        <w:jc w:val="both"/>
        <w:pBdr>
          <w:bottom w:val="single" w:sz="6" w:space="0" w:color="auto"/>
        </w:pBdr>
        <w:spacing w:before="100" w:after="100"/>
        <w:rPr>
          <w:sz w:val="2"/>
          <w:szCs w:val="2"/>
        </w:rPr>
      </w:pPr>
    </w:p>
    <w:p>
      <w:pPr>
        <w:pStyle w:val="0"/>
      </w:pPr>
      <w:r>
        <w:rPr>
          <w:sz w:val="24"/>
        </w:rPr>
      </w:r>
    </w:p>
    <w:p>
      <w:pPr>
        <w:pStyle w:val="2"/>
        <w:jc w:val="center"/>
      </w:pPr>
      <w:r>
        <w:rPr>
          <w:sz w:val="24"/>
        </w:rPr>
        <w:t xml:space="preserve">ЦЕНТРАЛЬНЫЙ БАНК РОССИЙСКОЙ ФЕДЕРАЦИИ</w:t>
      </w:r>
    </w:p>
    <w:p>
      <w:pPr>
        <w:pStyle w:val="2"/>
        <w:jc w:val="center"/>
      </w:pPr>
      <w:r>
        <w:rPr>
          <w:sz w:val="24"/>
        </w:rPr>
      </w:r>
    </w:p>
    <w:p>
      <w:pPr>
        <w:pStyle w:val="2"/>
        <w:jc w:val="center"/>
      </w:pPr>
      <w:r>
        <w:rPr>
          <w:sz w:val="24"/>
        </w:rPr>
        <w:t xml:space="preserve">УКАЗАНИЕ</w:t>
      </w:r>
    </w:p>
    <w:p>
      <w:pPr>
        <w:pStyle w:val="2"/>
        <w:jc w:val="center"/>
      </w:pPr>
      <w:r>
        <w:rPr>
          <w:sz w:val="24"/>
        </w:rPr>
        <w:t xml:space="preserve">от 30 июня 2025 г. N 7124-У</w:t>
      </w:r>
    </w:p>
    <w:p>
      <w:pPr>
        <w:pStyle w:val="2"/>
        <w:jc w:val="center"/>
      </w:pPr>
      <w:r>
        <w:rPr>
          <w:sz w:val="24"/>
        </w:rPr>
      </w:r>
    </w:p>
    <w:p>
      <w:pPr>
        <w:pStyle w:val="2"/>
        <w:jc w:val="center"/>
      </w:pPr>
      <w:r>
        <w:rPr>
          <w:sz w:val="24"/>
        </w:rPr>
        <w:t xml:space="preserve">О ФОРМАХ, СРОКАХ И ПОРЯДКЕ</w:t>
      </w:r>
    </w:p>
    <w:p>
      <w:pPr>
        <w:pStyle w:val="2"/>
        <w:jc w:val="center"/>
      </w:pPr>
      <w:r>
        <w:rPr>
          <w:sz w:val="24"/>
        </w:rPr>
        <w:t xml:space="preserve">СОСТАВЛЕНИЯ И ПРЕДСТАВЛЕНИЯ В БАНК РОССИИ ОТЧЕТНОСТИ</w:t>
      </w:r>
    </w:p>
    <w:p>
      <w:pPr>
        <w:pStyle w:val="2"/>
        <w:jc w:val="center"/>
      </w:pPr>
      <w:r>
        <w:rPr>
          <w:sz w:val="24"/>
        </w:rPr>
        <w:t xml:space="preserve">СТРАХОВЩИКОВ, О ПОРЯДКЕ СООБЩЕНИЯ СТРАХОВЩИКАМИ БАНКУ</w:t>
      </w:r>
    </w:p>
    <w:p>
      <w:pPr>
        <w:pStyle w:val="2"/>
        <w:jc w:val="center"/>
      </w:pPr>
      <w:r>
        <w:rPr>
          <w:sz w:val="24"/>
        </w:rPr>
        <w:t xml:space="preserve">РОССИИ ИНФОРМАЦИИ О ЛИЦАХ, КОТОРЫМ ПОРУЧЕНО ПРОВЕДЕНИЕ</w:t>
      </w:r>
    </w:p>
    <w:p>
      <w:pPr>
        <w:pStyle w:val="2"/>
        <w:jc w:val="center"/>
      </w:pPr>
      <w:r>
        <w:rPr>
          <w:sz w:val="24"/>
        </w:rPr>
        <w:t xml:space="preserve">ИДЕНТИФИКАЦИИ, УПРОЩЕННОЙ ИДЕНТИФИКАЦИИ, ОБНОВЛЕНИЕ</w:t>
      </w:r>
    </w:p>
    <w:p>
      <w:pPr>
        <w:pStyle w:val="2"/>
        <w:jc w:val="center"/>
      </w:pPr>
      <w:r>
        <w:rPr>
          <w:sz w:val="24"/>
        </w:rPr>
        <w:t xml:space="preserve">ИНФОРМАЦИИ О КЛИЕНТАХ, ПРЕДСТАВИТЕЛЯХ КЛИЕНТОВ,</w:t>
      </w:r>
    </w:p>
    <w:p>
      <w:pPr>
        <w:pStyle w:val="2"/>
        <w:jc w:val="center"/>
      </w:pPr>
      <w:r>
        <w:rPr>
          <w:sz w:val="24"/>
        </w:rPr>
        <w:t xml:space="preserve">ВЫГОДОПРИОБРЕТАТЕЛЯХ И БЕНЕФИЦИАРНЫХ ВЛАДЕЛЬЦАХ,</w:t>
      </w:r>
    </w:p>
    <w:p>
      <w:pPr>
        <w:pStyle w:val="2"/>
        <w:jc w:val="center"/>
      </w:pPr>
      <w:r>
        <w:rPr>
          <w:sz w:val="24"/>
        </w:rPr>
        <w:t xml:space="preserve">О ПОРЯДКЕ СООБЩЕНИЯ СТРАХОВЩИКАМИ В БАНК РОССИИ СВЕДЕНИЙ</w:t>
      </w:r>
    </w:p>
    <w:p>
      <w:pPr>
        <w:pStyle w:val="2"/>
        <w:jc w:val="center"/>
      </w:pPr>
      <w:r>
        <w:rPr>
          <w:sz w:val="24"/>
        </w:rPr>
        <w:t xml:space="preserve">ОБ ОПУБЛИКОВАНИИ ГОДОВОЙ БУХГАЛТЕРСКОЙ (ФИНАНСОВОЙ)</w:t>
      </w:r>
    </w:p>
    <w:p>
      <w:pPr>
        <w:pStyle w:val="2"/>
        <w:jc w:val="center"/>
      </w:pPr>
      <w:r>
        <w:rPr>
          <w:sz w:val="24"/>
        </w:rPr>
        <w:t xml:space="preserve">ОТЧЕТНОСТИ СТРАХОВЩИКА, А ТАКЖЕ О ПОРЯДКЕ И СРОКАХ</w:t>
      </w:r>
    </w:p>
    <w:p>
      <w:pPr>
        <w:pStyle w:val="2"/>
        <w:jc w:val="center"/>
      </w:pPr>
      <w:r>
        <w:rPr>
          <w:sz w:val="24"/>
        </w:rPr>
        <w:t xml:space="preserve">ПРЕДСТАВЛЕНИЯ СТРАХОВЩИКАМИ В БАНК РОССИИ СВЕДЕНИЙ</w:t>
      </w:r>
    </w:p>
    <w:p>
      <w:pPr>
        <w:pStyle w:val="2"/>
        <w:jc w:val="center"/>
      </w:pPr>
      <w:r>
        <w:rPr>
          <w:sz w:val="24"/>
        </w:rPr>
        <w:t xml:space="preserve">И ДОКУМЕНТОВ В ОТНОШЕНИИ ИХ ФИЛИАЛОВ, ПРЕДСТАВИТЕЛЬСТВ</w:t>
      </w:r>
    </w:p>
    <w:p>
      <w:pPr>
        <w:pStyle w:val="2"/>
        <w:jc w:val="center"/>
      </w:pPr>
      <w:r>
        <w:rPr>
          <w:sz w:val="24"/>
        </w:rPr>
        <w:t xml:space="preserve">И ИНЫХ ОБОСОБЛЕННЫХ ПОДРАЗДЕЛЕНИЙ</w:t>
      </w:r>
    </w:p>
    <w:p>
      <w:pPr>
        <w:pStyle w:val="0"/>
        <w:jc w:val="center"/>
      </w:pPr>
      <w:r>
        <w:rPr>
          <w:sz w:val="24"/>
        </w:rPr>
      </w:r>
    </w:p>
    <w:p>
      <w:pPr>
        <w:pStyle w:val="0"/>
        <w:ind w:firstLine="540"/>
        <w:jc w:val="both"/>
      </w:pPr>
      <w:r>
        <w:rPr>
          <w:sz w:val="24"/>
        </w:rPr>
        <w:t xml:space="preserve">На основании </w:t>
      </w:r>
      <w:hyperlink w:history="0" r:id="rId8"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подпункта 7 пункта 1</w:t>
        </w:r>
      </w:hyperlink>
      <w:r>
        <w:rPr>
          <w:sz w:val="24"/>
        </w:rPr>
        <w:t xml:space="preserve"> и </w:t>
      </w:r>
      <w:hyperlink w:history="0" r:id="rId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абзаца первого пункта 2 статьи 4.1</w:t>
        </w:r>
      </w:hyperlink>
      <w:r>
        <w:rPr>
          <w:sz w:val="24"/>
        </w:rPr>
        <w:t xml:space="preserve">, </w:t>
      </w:r>
      <w:hyperlink w:history="0" r:id="rId1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абзаца первого пункта 4 статьи 28</w:t>
        </w:r>
      </w:hyperlink>
      <w:r>
        <w:rPr>
          <w:sz w:val="24"/>
        </w:rPr>
        <w:t xml:space="preserve">, </w:t>
      </w:r>
      <w:hyperlink w:history="0" r:id="rId11"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пункта 6 статьи 29</w:t>
        </w:r>
      </w:hyperlink>
      <w:r>
        <w:rPr>
          <w:sz w:val="24"/>
        </w:rPr>
        <w:t xml:space="preserve">, </w:t>
      </w:r>
      <w:hyperlink w:history="0" r:id="rId1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подпункта 5 пункта 5 статьи 30</w:t>
        </w:r>
      </w:hyperlink>
      <w:r>
        <w:rPr>
          <w:sz w:val="24"/>
        </w:rPr>
        <w:t xml:space="preserve"> и </w:t>
      </w:r>
      <w:hyperlink w:history="0" r:id="rId13"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абзацев первого</w:t>
        </w:r>
      </w:hyperlink>
      <w:r>
        <w:rPr>
          <w:sz w:val="24"/>
        </w:rPr>
        <w:t xml:space="preserve"> и </w:t>
      </w:r>
      <w:hyperlink w:history="0" r:id="rId1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второго подпункта 2 пункта 4 статьи 33.1</w:t>
        </w:r>
      </w:hyperlink>
      <w:r>
        <w:rPr>
          <w:sz w:val="24"/>
        </w:rPr>
        <w:t xml:space="preserve"> Закона Российской Федерации от 27 ноября 1992 года N 4015-I "Об организации страхового дела в Российской Федерации", </w:t>
      </w:r>
      <w:hyperlink w:history="0" r:id="rId15"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абзацев пятого</w:t>
        </w:r>
      </w:hyperlink>
      <w:r>
        <w:rPr>
          <w:sz w:val="24"/>
        </w:rPr>
        <w:t xml:space="preserve"> и </w:t>
      </w:r>
      <w:hyperlink w:history="0" r:id="rId16"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шестнадцатого части первой статьи 5</w:t>
        </w:r>
      </w:hyperlink>
      <w:r>
        <w:rPr>
          <w:sz w:val="24"/>
        </w:rPr>
        <w:t xml:space="preserve"> и </w:t>
      </w:r>
      <w:hyperlink w:history="0" r:id="rId17"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пункта 1.10 статьи 7</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w:t>
      </w:r>
      <w:hyperlink w:history="0" r:id="rId18"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пункта 9 части первой статьи 76.1</w:t>
        </w:r>
      </w:hyperlink>
      <w:r>
        <w:rPr>
          <w:sz w:val="24"/>
        </w:rPr>
        <w:t xml:space="preserve"> и </w:t>
      </w:r>
      <w:hyperlink w:history="0" r:id="rId19"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статьи 76.6</w:t>
        </w:r>
      </w:hyperlink>
      <w:r>
        <w:rPr>
          <w:sz w:val="24"/>
        </w:rPr>
        <w:t xml:space="preserve"> Федерального закона от 10 июля 2002 года N 86-ФЗ "О Центральном банке Российской Федерации (Банке России)", </w:t>
      </w:r>
      <w:hyperlink w:history="0" r:id="rId20" w:tooltip="Федеральный закон от 30.11.2011 N 362-ФЗ (ред. от 03.07.2016) &quot;О внесении изменений в отдельные законодательные акты Российской Федерации&quot; {КонсультантПлюс}">
        <w:r>
          <w:rPr>
            <w:sz w:val="24"/>
            <w:color w:val="0000ff"/>
          </w:rPr>
          <w:t xml:space="preserve">абзаца четырнадцатого пункта 4 статьи 1</w:t>
        </w:r>
      </w:hyperlink>
      <w:r>
        <w:rPr>
          <w:sz w:val="24"/>
        </w:rPr>
        <w:t xml:space="preserve"> Федерального закона от 30 ноября 2011 года N 362-ФЗ "О внесении изменений в отдельные законодательные акты Российской Федерации", </w:t>
      </w:r>
      <w:hyperlink w:history="0" r:id="rId21" w:tooltip="Федеральный закон от 23.07.2013 N 234-ФЗ (ред. от 29.07.2017) &quot;О внесении изменений в Закон Российской Федерации &quot;Об организации страхового дела в Российской Федерации&quot; {КонсультантПлюс}">
        <w:r>
          <w:rPr>
            <w:sz w:val="24"/>
            <w:color w:val="0000ff"/>
          </w:rPr>
          <w:t xml:space="preserve">абзаца пятого подпункта "а" пункта 5</w:t>
        </w:r>
      </w:hyperlink>
      <w:r>
        <w:rPr>
          <w:sz w:val="24"/>
        </w:rPr>
        <w:t xml:space="preserve">, </w:t>
      </w:r>
      <w:hyperlink w:history="0" r:id="rId22" w:tooltip="Федеральный закон от 23.07.2013 N 234-ФЗ (ред. от 29.07.2017) &quot;О внесении изменений в Закон Российской Федерации &quot;Об организации страхового дела в Российской Федерации&quot; {КонсультантПлюс}">
        <w:r>
          <w:rPr>
            <w:sz w:val="24"/>
            <w:color w:val="0000ff"/>
          </w:rPr>
          <w:t xml:space="preserve">абзаца второго подпункта "б" пункта 19</w:t>
        </w:r>
      </w:hyperlink>
      <w:r>
        <w:rPr>
          <w:sz w:val="24"/>
        </w:rPr>
        <w:t xml:space="preserve"> и </w:t>
      </w:r>
      <w:hyperlink w:history="0" r:id="rId23" w:tooltip="Федеральный закон от 23.07.2013 N 234-ФЗ (ред. от 29.07.2017) &quot;О внесении изменений в Закон Российской Федерации &quot;Об организации страхового дела в Российской Федерации&quot; {КонсультантПлюс}">
        <w:r>
          <w:rPr>
            <w:sz w:val="24"/>
            <w:color w:val="0000ff"/>
          </w:rPr>
          <w:t xml:space="preserve">абзаца восьмого пункта 22 статьи 1</w:t>
        </w:r>
      </w:hyperlink>
      <w:r>
        <w:rPr>
          <w:sz w:val="24"/>
        </w:rPr>
        <w:t xml:space="preserve"> Федерального закона от 23 июля 2013 года N 234-ФЗ "О внесении изменений в Закон Российской Федерации "Об организации страхового дела в Российской Федерации", </w:t>
      </w:r>
      <w:hyperlink w:history="0" r:id="rId24" w:tooltip="Федеральный закон от 02.07.2021 N 343-ФЗ (ред. от 12.12.2023)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абзаца второго подпункта "б" пункта 2</w:t>
        </w:r>
      </w:hyperlink>
      <w:r>
        <w:rPr>
          <w:sz w:val="24"/>
        </w:rPr>
        <w:t xml:space="preserve">, </w:t>
      </w:r>
      <w:hyperlink w:history="0" r:id="rId25" w:tooltip="Федеральный закон от 02.07.2021 N 343-ФЗ (ред. от 12.12.2023)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подпункта "а" пункта 13</w:t>
        </w:r>
      </w:hyperlink>
      <w:r>
        <w:rPr>
          <w:sz w:val="24"/>
        </w:rPr>
        <w:t xml:space="preserve">, </w:t>
      </w:r>
      <w:hyperlink w:history="0" r:id="rId26" w:tooltip="Федеральный закон от 02.07.2021 N 343-ФЗ (ред. от 12.12.2023)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абзаца второго подпункта "в" пункта 17</w:t>
        </w:r>
      </w:hyperlink>
      <w:r>
        <w:rPr>
          <w:sz w:val="24"/>
        </w:rPr>
        <w:t xml:space="preserve"> и </w:t>
      </w:r>
      <w:hyperlink w:history="0" r:id="rId27" w:tooltip="Федеральный закон от 02.07.2021 N 343-ФЗ (ред. от 12.12.2023)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абзацев шестнадцатого</w:t>
        </w:r>
      </w:hyperlink>
      <w:r>
        <w:rPr>
          <w:sz w:val="24"/>
        </w:rPr>
        <w:t xml:space="preserve"> и </w:t>
      </w:r>
      <w:hyperlink w:history="0" r:id="rId28" w:tooltip="Федеральный закон от 02.07.2021 N 343-ФЗ (ред. от 12.12.2023)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семнадцатого пункта 26 статьи 1</w:t>
        </w:r>
      </w:hyperlink>
      <w:r>
        <w:rPr>
          <w:sz w:val="24"/>
        </w:rPr>
        <w:t xml:space="preserve"> Федерального закона от 2 июля 2021 года N 343-ФЗ "О внесении изменений в Закон Российской Федерации "Об организации страхового дела в Российской Федерации" и отдельные законодательные акты Российской Федерации":</w:t>
      </w:r>
    </w:p>
    <w:p>
      <w:pPr>
        <w:pStyle w:val="0"/>
        <w:spacing w:before="240" w:lineRule="auto"/>
        <w:ind w:firstLine="540"/>
        <w:jc w:val="both"/>
      </w:pPr>
      <w:r>
        <w:rPr>
          <w:sz w:val="24"/>
        </w:rPr>
        <w:t xml:space="preserve">1. Настоящее Указание устанавливает (</w:t>
      </w:r>
      <w:hyperlink w:history="0" w:anchor="P67" w:tooltip="ФОРМЫ ОТЧЕТНОСТИ">
        <w:r>
          <w:rPr>
            <w:sz w:val="24"/>
            <w:color w:val="0000ff"/>
          </w:rPr>
          <w:t xml:space="preserve">приложения 1</w:t>
        </w:r>
      </w:hyperlink>
      <w:r>
        <w:rPr>
          <w:sz w:val="24"/>
        </w:rPr>
        <w:t xml:space="preserve"> - </w:t>
      </w:r>
      <w:hyperlink w:history="0" w:anchor="P59340" w:tooltip="ПОРЯДОК И СРОКИ">
        <w:r>
          <w:rPr>
            <w:sz w:val="24"/>
            <w:color w:val="0000ff"/>
          </w:rPr>
          <w:t xml:space="preserve">3</w:t>
        </w:r>
      </w:hyperlink>
      <w:r>
        <w:rPr>
          <w:sz w:val="24"/>
        </w:rPr>
        <w:t xml:space="preserve"> к настоящему Указанию):</w:t>
      </w:r>
    </w:p>
    <w:p>
      <w:pPr>
        <w:pStyle w:val="0"/>
        <w:spacing w:before="240" w:lineRule="auto"/>
        <w:ind w:firstLine="540"/>
        <w:jc w:val="both"/>
      </w:pPr>
      <w:r>
        <w:rPr>
          <w:sz w:val="24"/>
        </w:rPr>
        <w:t xml:space="preserve">формы, сроки и порядок составления и представления в Банк России отчетности страховщиков, необходимой для осуществления контроля и надзора в сфере страховой деятельности, в том числе содержащей показатели деятельности филиала иностранной страховой организации на территории Российской Федерации (далее - отчетность в порядке надзора), и статистической отчетности страховщиков, в том числе содержащей показатели деятельности филиала иностранной страховой организации на территории Российской Федерации (далее - статистическая отчетность);</w:t>
      </w:r>
    </w:p>
    <w:p>
      <w:pPr>
        <w:pStyle w:val="0"/>
        <w:spacing w:before="240" w:lineRule="auto"/>
        <w:ind w:firstLine="540"/>
        <w:jc w:val="both"/>
      </w:pPr>
      <w:r>
        <w:rPr>
          <w:sz w:val="24"/>
        </w:rPr>
        <w:t xml:space="preserve">порядок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w:t>
      </w:r>
    </w:p>
    <w:p>
      <w:pPr>
        <w:pStyle w:val="0"/>
        <w:spacing w:before="240" w:lineRule="auto"/>
        <w:ind w:firstLine="540"/>
        <w:jc w:val="both"/>
      </w:pPr>
      <w:r>
        <w:rPr>
          <w:sz w:val="24"/>
        </w:rPr>
        <w:t xml:space="preserve">порядок сообщения страховщиками в Банк России сведений об опубликовании годовой бухгалтерской (финансовой) отчетности страховщика;</w:t>
      </w:r>
    </w:p>
    <w:p>
      <w:pPr>
        <w:pStyle w:val="0"/>
        <w:spacing w:before="240" w:lineRule="auto"/>
        <w:ind w:firstLine="540"/>
        <w:jc w:val="both"/>
      </w:pPr>
      <w:r>
        <w:rPr>
          <w:sz w:val="24"/>
        </w:rPr>
        <w:t xml:space="preserve">порядок и сроки представления страховщиками в Банк России сведений об открытии (закрытии) филиалов, представительств и иных обособленных подразделений, сведений об их адресах (фактическом месте нахождения), документов, подтверждающих полномочия их руководителей, а также информации об изменении указанных сведений.</w:t>
      </w:r>
    </w:p>
    <w:p>
      <w:pPr>
        <w:pStyle w:val="0"/>
        <w:spacing w:before="240" w:lineRule="auto"/>
        <w:ind w:firstLine="540"/>
        <w:jc w:val="both"/>
      </w:pPr>
      <w:r>
        <w:rPr>
          <w:sz w:val="24"/>
        </w:rPr>
        <w:t xml:space="preserve">2. Настоящее Указание подлежит официальному опубликованию и в соответствии с решением Совета директоров Банка России (протокол заседания Совета директоров Банка России от 23 июня 2025 года N ПСД-17) вступает в силу с 1 января 2026 года.</w:t>
      </w:r>
    </w:p>
    <w:p>
      <w:pPr>
        <w:pStyle w:val="0"/>
        <w:spacing w:before="240" w:lineRule="auto"/>
        <w:ind w:firstLine="540"/>
        <w:jc w:val="both"/>
      </w:pPr>
      <w:r>
        <w:rPr>
          <w:sz w:val="24"/>
        </w:rPr>
        <w:t xml:space="preserve">3. Отчетность в порядке надзора и статистическая отчетность составляются и представляются страховщиками в Банк России в соответствии с настоящим Указанием начиная с отчетности за отчетный период, в котором настоящее Указание вступает в силу.</w:t>
      </w:r>
    </w:p>
    <w:p>
      <w:pPr>
        <w:pStyle w:val="0"/>
        <w:spacing w:before="240" w:lineRule="auto"/>
        <w:ind w:firstLine="540"/>
        <w:jc w:val="both"/>
      </w:pPr>
      <w:r>
        <w:rPr>
          <w:sz w:val="24"/>
        </w:rPr>
        <w:t xml:space="preserve">4. Со дня вступления в силу настоящего Указания признать утратившим силу </w:t>
      </w:r>
      <w:hyperlink w:history="0" r:id="rId2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Указание</w:t>
        </w:r>
      </w:hyperlink>
      <w:r>
        <w:rPr>
          <w:sz w:val="24"/>
        </w:rPr>
        <w:t xml:space="preserve"> Банка России от 15 июля 2024 года N 6805-У "О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страховщика, а также о порядке и сроках представления страховщиками в Банк России сведений и документов в отношении их филиалов, представительств и иных обособленных подразделений" &lt;1&gt; (далее - Указание Банка России N 6805-У).</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8 ноября 2024 года, регистрационный N 80089.</w:t>
      </w:r>
    </w:p>
    <w:p>
      <w:pPr>
        <w:pStyle w:val="0"/>
        <w:ind w:firstLine="540"/>
        <w:jc w:val="both"/>
      </w:pPr>
      <w:r>
        <w:rPr>
          <w:sz w:val="24"/>
        </w:rPr>
      </w:r>
    </w:p>
    <w:p>
      <w:pPr>
        <w:pStyle w:val="0"/>
        <w:ind w:firstLine="540"/>
        <w:jc w:val="both"/>
      </w:pPr>
      <w:r>
        <w:rPr>
          <w:sz w:val="24"/>
        </w:rPr>
        <w:t xml:space="preserve">5. Отчетность в порядке надзора и статистическая отчетность, предусмотренные </w:t>
      </w:r>
      <w:hyperlink w:history="0" r:id="rId3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приложениями 1</w:t>
        </w:r>
      </w:hyperlink>
      <w:r>
        <w:rPr>
          <w:sz w:val="24"/>
        </w:rPr>
        <w:t xml:space="preserve"> и </w:t>
      </w:r>
      <w:hyperlink w:history="0" r:id="rId3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2</w:t>
        </w:r>
      </w:hyperlink>
      <w:r>
        <w:rPr>
          <w:sz w:val="24"/>
        </w:rPr>
        <w:t xml:space="preserve"> к Указанию Банка России N 6805-У, составленные за отчетный период, предшествующий отчетному периоду, в котором настоящее Указание вступает в силу, должны быть представлены страховщиками в Банк России в порядке и сроки, определенные в </w:t>
      </w:r>
      <w:hyperlink w:history="0" w:anchor="P59819" w:tooltip="ПОРЯДОК И СРОКИ">
        <w:r>
          <w:rPr>
            <w:sz w:val="24"/>
            <w:color w:val="0000ff"/>
          </w:rPr>
          <w:t xml:space="preserve">приложении 4</w:t>
        </w:r>
      </w:hyperlink>
      <w:r>
        <w:rPr>
          <w:sz w:val="24"/>
        </w:rPr>
        <w:t xml:space="preserve"> к настоящему Указанию.</w:t>
      </w:r>
    </w:p>
    <w:p>
      <w:pPr>
        <w:pStyle w:val="0"/>
        <w:ind w:firstLine="540"/>
        <w:jc w:val="both"/>
      </w:pPr>
      <w:r>
        <w:rPr>
          <w:sz w:val="24"/>
        </w:rPr>
      </w:r>
    </w:p>
    <w:p>
      <w:pPr>
        <w:pStyle w:val="0"/>
        <w:jc w:val="right"/>
      </w:pPr>
      <w:r>
        <w:rPr>
          <w:sz w:val="24"/>
        </w:rPr>
        <w:t xml:space="preserve">Председатель Центрального банка</w:t>
      </w:r>
    </w:p>
    <w:p>
      <w:pPr>
        <w:pStyle w:val="0"/>
        <w:jc w:val="right"/>
      </w:pPr>
      <w:r>
        <w:rPr>
          <w:sz w:val="24"/>
        </w:rPr>
        <w:t xml:space="preserve">Российской Федерации</w:t>
      </w:r>
    </w:p>
    <w:p>
      <w:pPr>
        <w:pStyle w:val="0"/>
        <w:jc w:val="right"/>
      </w:pPr>
      <w:r>
        <w:rPr>
          <w:sz w:val="24"/>
        </w:rPr>
        <w:t xml:space="preserve">Э.С.НАБИУЛЛИНА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1</w:t>
      </w:r>
    </w:p>
    <w:p>
      <w:pPr>
        <w:pStyle w:val="0"/>
        <w:jc w:val="right"/>
      </w:pPr>
      <w:r>
        <w:rPr>
          <w:sz w:val="24"/>
        </w:rPr>
        <w:t xml:space="preserve">к Указанию Банка России</w:t>
      </w:r>
    </w:p>
    <w:p>
      <w:pPr>
        <w:pStyle w:val="0"/>
        <w:jc w:val="right"/>
      </w:pPr>
      <w:r>
        <w:rPr>
          <w:sz w:val="24"/>
        </w:rPr>
        <w:t xml:space="preserve">от 30 июня 2025 года N 7124-У</w:t>
      </w:r>
    </w:p>
    <w:p>
      <w:pPr>
        <w:pStyle w:val="0"/>
        <w:jc w:val="right"/>
      </w:pPr>
      <w:r>
        <w:rPr>
          <w:sz w:val="24"/>
        </w:rPr>
        <w:t xml:space="preserve">"О формах, сроках и порядке составления</w:t>
      </w:r>
    </w:p>
    <w:p>
      <w:pPr>
        <w:pStyle w:val="0"/>
        <w:jc w:val="right"/>
      </w:pPr>
      <w:r>
        <w:rPr>
          <w:sz w:val="24"/>
        </w:rPr>
        <w:t xml:space="preserve">и представления в Банк России</w:t>
      </w:r>
    </w:p>
    <w:p>
      <w:pPr>
        <w:pStyle w:val="0"/>
        <w:jc w:val="right"/>
      </w:pPr>
      <w:r>
        <w:rPr>
          <w:sz w:val="24"/>
        </w:rPr>
        <w:t xml:space="preserve">отчетности страховщиков, о порядке</w:t>
      </w:r>
    </w:p>
    <w:p>
      <w:pPr>
        <w:pStyle w:val="0"/>
        <w:jc w:val="right"/>
      </w:pPr>
      <w:r>
        <w:rPr>
          <w:sz w:val="24"/>
        </w:rPr>
        <w:t xml:space="preserve">сообщения страховщиками Банку России</w:t>
      </w:r>
    </w:p>
    <w:p>
      <w:pPr>
        <w:pStyle w:val="0"/>
        <w:jc w:val="right"/>
      </w:pPr>
      <w:r>
        <w:rPr>
          <w:sz w:val="24"/>
        </w:rPr>
        <w:t xml:space="preserve">информации о лицах, которым поручено</w:t>
      </w:r>
    </w:p>
    <w:p>
      <w:pPr>
        <w:pStyle w:val="0"/>
        <w:jc w:val="right"/>
      </w:pPr>
      <w:r>
        <w:rPr>
          <w:sz w:val="24"/>
        </w:rPr>
        <w:t xml:space="preserve">проведение идентификации, упрощенной</w:t>
      </w:r>
    </w:p>
    <w:p>
      <w:pPr>
        <w:pStyle w:val="0"/>
        <w:jc w:val="right"/>
      </w:pPr>
      <w:r>
        <w:rPr>
          <w:sz w:val="24"/>
        </w:rPr>
        <w:t xml:space="preserve">идентификации, обновление информации</w:t>
      </w:r>
    </w:p>
    <w:p>
      <w:pPr>
        <w:pStyle w:val="0"/>
        <w:jc w:val="right"/>
      </w:pPr>
      <w:r>
        <w:rPr>
          <w:sz w:val="24"/>
        </w:rPr>
        <w:t xml:space="preserve">о клиентах, представителях клиентов,</w:t>
      </w:r>
    </w:p>
    <w:p>
      <w:pPr>
        <w:pStyle w:val="0"/>
        <w:jc w:val="right"/>
      </w:pPr>
      <w:r>
        <w:rPr>
          <w:sz w:val="24"/>
        </w:rPr>
        <w:t xml:space="preserve">выгодоприобретателях и бенефициарных</w:t>
      </w:r>
    </w:p>
    <w:p>
      <w:pPr>
        <w:pStyle w:val="0"/>
        <w:jc w:val="right"/>
      </w:pPr>
      <w:r>
        <w:rPr>
          <w:sz w:val="24"/>
        </w:rPr>
        <w:t xml:space="preserve">владельцах, о порядке сообщения</w:t>
      </w:r>
    </w:p>
    <w:p>
      <w:pPr>
        <w:pStyle w:val="0"/>
        <w:jc w:val="right"/>
      </w:pPr>
      <w:r>
        <w:rPr>
          <w:sz w:val="24"/>
        </w:rPr>
        <w:t xml:space="preserve">страховщиками в Банк России сведений</w:t>
      </w:r>
    </w:p>
    <w:p>
      <w:pPr>
        <w:pStyle w:val="0"/>
        <w:jc w:val="right"/>
      </w:pPr>
      <w:r>
        <w:rPr>
          <w:sz w:val="24"/>
        </w:rPr>
        <w:t xml:space="preserve">об опубликовании годовой бухгалтерской</w:t>
      </w:r>
    </w:p>
    <w:p>
      <w:pPr>
        <w:pStyle w:val="0"/>
        <w:jc w:val="right"/>
      </w:pPr>
      <w:r>
        <w:rPr>
          <w:sz w:val="24"/>
        </w:rPr>
        <w:t xml:space="preserve">(финансовой) отчетности страховщика,</w:t>
      </w:r>
    </w:p>
    <w:p>
      <w:pPr>
        <w:pStyle w:val="0"/>
        <w:jc w:val="right"/>
      </w:pPr>
      <w:r>
        <w:rPr>
          <w:sz w:val="24"/>
        </w:rPr>
        <w:t xml:space="preserve">а также о порядке и сроках представления</w:t>
      </w:r>
    </w:p>
    <w:p>
      <w:pPr>
        <w:pStyle w:val="0"/>
        <w:jc w:val="right"/>
      </w:pPr>
      <w:r>
        <w:rPr>
          <w:sz w:val="24"/>
        </w:rPr>
        <w:t xml:space="preserve">страховщиками в Банк России сведений</w:t>
      </w:r>
    </w:p>
    <w:p>
      <w:pPr>
        <w:pStyle w:val="0"/>
        <w:jc w:val="right"/>
      </w:pPr>
      <w:r>
        <w:rPr>
          <w:sz w:val="24"/>
        </w:rPr>
        <w:t xml:space="preserve">и документов в отношении их филиалов,</w:t>
      </w:r>
    </w:p>
    <w:p>
      <w:pPr>
        <w:pStyle w:val="0"/>
        <w:jc w:val="right"/>
      </w:pPr>
      <w:r>
        <w:rPr>
          <w:sz w:val="24"/>
        </w:rPr>
        <w:t xml:space="preserve">представительств и иных</w:t>
      </w:r>
    </w:p>
    <w:p>
      <w:pPr>
        <w:pStyle w:val="0"/>
        <w:jc w:val="right"/>
      </w:pPr>
      <w:r>
        <w:rPr>
          <w:sz w:val="24"/>
        </w:rPr>
        <w:t xml:space="preserve">обособленных подразделений"</w:t>
      </w:r>
    </w:p>
    <w:p>
      <w:pPr>
        <w:pStyle w:val="0"/>
        <w:ind w:firstLine="540"/>
        <w:jc w:val="both"/>
      </w:pPr>
      <w:r>
        <w:rPr>
          <w:sz w:val="24"/>
        </w:rPr>
      </w:r>
    </w:p>
    <w:bookmarkStart w:id="67" w:name="P67"/>
    <w:bookmarkEnd w:id="67"/>
    <w:p>
      <w:pPr>
        <w:pStyle w:val="0"/>
        <w:jc w:val="center"/>
      </w:pPr>
      <w:r>
        <w:rPr>
          <w:sz w:val="24"/>
        </w:rPr>
        <w:t xml:space="preserve">ФОРМЫ ОТЧЕТНОСТИ</w:t>
      </w:r>
    </w:p>
    <w:p>
      <w:pPr>
        <w:pStyle w:val="0"/>
        <w:jc w:val="center"/>
      </w:pPr>
      <w:r>
        <w:rPr>
          <w:sz w:val="24"/>
        </w:rPr>
        <w:t xml:space="preserve">В ПОРЯДКЕ НАДЗОРА СТРАХОВЩИКА, ПОРЯДОК И СРОКИ</w:t>
      </w:r>
    </w:p>
    <w:p>
      <w:pPr>
        <w:pStyle w:val="0"/>
        <w:jc w:val="center"/>
      </w:pPr>
      <w:r>
        <w:rPr>
          <w:sz w:val="24"/>
        </w:rPr>
        <w:t xml:space="preserve">ИХ СОСТАВЛЕНИЯ</w:t>
      </w:r>
    </w:p>
    <w:p>
      <w:pPr>
        <w:pStyle w:val="0"/>
        <w:ind w:firstLine="540"/>
        <w:jc w:val="both"/>
      </w:pPr>
      <w:r>
        <w:rPr>
          <w:sz w:val="24"/>
        </w:rPr>
      </w:r>
    </w:p>
    <w:p>
      <w:pPr>
        <w:pStyle w:val="0"/>
        <w:outlineLvl w:val="1"/>
        <w:jc w:val="center"/>
      </w:pPr>
      <w:r>
        <w:rPr>
          <w:sz w:val="24"/>
        </w:rPr>
        <w:t xml:space="preserve">Часть I. Показатели форм отчетности в порядке надзора</w:t>
      </w:r>
    </w:p>
    <w:p>
      <w:pPr>
        <w:pStyle w:val="0"/>
        <w:jc w:val="center"/>
      </w:pPr>
      <w:r>
        <w:rPr>
          <w:sz w:val="24"/>
        </w:rPr>
        <w:t xml:space="preserve">страховщика, порядок и сроки их составления</w:t>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76" w:name="P76"/>
    <w:bookmarkEnd w:id="76"/>
    <w:p>
      <w:pPr>
        <w:pStyle w:val="0"/>
        <w:jc w:val="center"/>
      </w:pPr>
      <w:r>
        <w:rPr>
          <w:sz w:val="24"/>
        </w:rPr>
        <w:t xml:space="preserve">Отчетность по форме 0420150 "Общие сведения о страховщике"</w:t>
      </w:r>
    </w:p>
    <w:p>
      <w:pPr>
        <w:pStyle w:val="0"/>
        <w:ind w:firstLine="540"/>
        <w:jc w:val="both"/>
      </w:pPr>
      <w:r>
        <w:rPr>
          <w:sz w:val="24"/>
        </w:rPr>
      </w:r>
    </w:p>
    <w:p>
      <w:pPr>
        <w:pStyle w:val="0"/>
        <w:jc w:val="right"/>
      </w:pPr>
      <w:r>
        <w:rPr>
          <w:sz w:val="24"/>
        </w:rPr>
        <w:t xml:space="preserve">Код формы по </w:t>
      </w:r>
      <w:hyperlink w:history="0" r:id="rId32"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703" w:tooltip="&lt;1&gt; Общероссийский классификатор управленческой документации.">
        <w:r>
          <w:rPr>
            <w:sz w:val="24"/>
            <w:color w:val="0000ff"/>
          </w:rPr>
          <w:t xml:space="preserve">&lt;1&gt;</w:t>
        </w:r>
      </w:hyperlink>
      <w:r>
        <w:rPr>
          <w:sz w:val="24"/>
        </w:rPr>
        <w:t xml:space="preserve"> 0420150</w:t>
      </w:r>
    </w:p>
    <w:p>
      <w:pPr>
        <w:pStyle w:val="0"/>
        <w:ind w:firstLine="540"/>
        <w:jc w:val="both"/>
      </w:pPr>
      <w:r>
        <w:rPr>
          <w:sz w:val="24"/>
        </w:rPr>
      </w:r>
    </w:p>
    <w:p>
      <w:pPr>
        <w:pStyle w:val="0"/>
        <w:jc w:val="right"/>
      </w:pPr>
      <w:r>
        <w:rPr>
          <w:sz w:val="24"/>
        </w:rPr>
        <w:t xml:space="preserve">Месячная, квартальная, годовая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bookmarkStart w:id="88" w:name="P88"/>
          <w:bookmarkEnd w:id="88"/>
          <w:p>
            <w:pPr>
              <w:pStyle w:val="0"/>
              <w:jc w:val="center"/>
            </w:pPr>
            <w:r>
              <w:rPr>
                <w:sz w:val="24"/>
              </w:rPr>
              <w:t xml:space="preserve">3</w:t>
            </w:r>
          </w:p>
        </w:tc>
        <w:tc>
          <w:tcPr>
            <w:tcW w:w="2948" w:type="dxa"/>
          </w:tcPr>
          <w:bookmarkStart w:id="89" w:name="P89"/>
          <w:bookmarkEnd w:id="89"/>
          <w:p>
            <w:pPr>
              <w:pStyle w:val="0"/>
              <w:jc w:val="center"/>
            </w:pPr>
            <w:r>
              <w:rPr>
                <w:sz w:val="24"/>
              </w:rPr>
              <w:t xml:space="preserve">4</w:t>
            </w:r>
          </w:p>
        </w:tc>
      </w:tr>
      <w:tr>
        <w:tc>
          <w:tcPr>
            <w:gridSpan w:val="4"/>
            <w:tcW w:w="9071" w:type="dxa"/>
          </w:tcPr>
          <w:bookmarkStart w:id="90" w:name="P90"/>
          <w:bookmarkEnd w:id="90"/>
          <w:p>
            <w:pPr>
              <w:pStyle w:val="0"/>
              <w:outlineLvl w:val="3"/>
            </w:pPr>
            <w:r>
              <w:rPr>
                <w:sz w:val="24"/>
              </w:rPr>
              <w:t xml:space="preserve">Раздел 1. Общие сведения</w:t>
            </w:r>
          </w:p>
        </w:tc>
      </w:tr>
      <w:tr>
        <w:tc>
          <w:tcPr>
            <w:tcW w:w="907" w:type="dxa"/>
          </w:tcPr>
          <w:bookmarkStart w:id="91" w:name="P91"/>
          <w:bookmarkEnd w:id="91"/>
          <w:p>
            <w:pPr>
              <w:pStyle w:val="0"/>
            </w:pPr>
            <w:r>
              <w:rPr>
                <w:sz w:val="24"/>
              </w:rPr>
              <w:t xml:space="preserve">1</w:t>
            </w:r>
          </w:p>
        </w:tc>
        <w:tc>
          <w:tcPr>
            <w:tcW w:w="2608" w:type="dxa"/>
          </w:tcPr>
          <w:p>
            <w:pPr>
              <w:pStyle w:val="0"/>
            </w:pPr>
            <w:r>
              <w:rPr>
                <w:sz w:val="24"/>
              </w:rPr>
              <w:t xml:space="preserve">Полное наименование</w:t>
            </w:r>
          </w:p>
        </w:tc>
        <w:tc>
          <w:tcPr>
            <w:tcW w:w="2608" w:type="dxa"/>
          </w:tcPr>
          <w:p>
            <w:pPr>
              <w:pStyle w:val="0"/>
            </w:pPr>
            <w:r>
              <w:rPr>
                <w:sz w:val="24"/>
              </w:rPr>
            </w:r>
          </w:p>
        </w:tc>
        <w:tc>
          <w:tcPr>
            <w:tcW w:w="2948" w:type="dxa"/>
          </w:tcPr>
          <w:p>
            <w:pPr>
              <w:pStyle w:val="0"/>
            </w:pPr>
            <w:r>
              <w:rPr>
                <w:sz w:val="24"/>
              </w:rPr>
              <w:t xml:space="preserve">nfo-dic:PolnNaim</w:t>
            </w:r>
          </w:p>
        </w:tc>
      </w:tr>
      <w:tr>
        <w:tc>
          <w:tcPr>
            <w:tcW w:w="907" w:type="dxa"/>
          </w:tcPr>
          <w:bookmarkStart w:id="95" w:name="P95"/>
          <w:bookmarkEnd w:id="95"/>
          <w:p>
            <w:pPr>
              <w:pStyle w:val="0"/>
            </w:pPr>
            <w:r>
              <w:rPr>
                <w:sz w:val="24"/>
              </w:rPr>
              <w:t xml:space="preserve">2</w:t>
            </w:r>
          </w:p>
        </w:tc>
        <w:tc>
          <w:tcPr>
            <w:tcW w:w="2608" w:type="dxa"/>
          </w:tcPr>
          <w:p>
            <w:pPr>
              <w:pStyle w:val="0"/>
            </w:pPr>
            <w:r>
              <w:rPr>
                <w:sz w:val="24"/>
              </w:rPr>
              <w:t xml:space="preserve">Сокращенное наименование (при наличии)</w:t>
            </w:r>
          </w:p>
        </w:tc>
        <w:tc>
          <w:tcPr>
            <w:tcW w:w="2608" w:type="dxa"/>
          </w:tcPr>
          <w:p>
            <w:pPr>
              <w:pStyle w:val="0"/>
            </w:pPr>
            <w:r>
              <w:rPr>
                <w:sz w:val="24"/>
              </w:rPr>
            </w:r>
          </w:p>
        </w:tc>
        <w:tc>
          <w:tcPr>
            <w:tcW w:w="2948" w:type="dxa"/>
          </w:tcPr>
          <w:p>
            <w:pPr>
              <w:pStyle w:val="0"/>
            </w:pPr>
            <w:r>
              <w:rPr>
                <w:sz w:val="24"/>
              </w:rPr>
              <w:t xml:space="preserve">nfo-dic:SokrNaim</w:t>
            </w:r>
          </w:p>
        </w:tc>
      </w:tr>
      <w:tr>
        <w:tc>
          <w:tcPr>
            <w:tcW w:w="907" w:type="dxa"/>
          </w:tcPr>
          <w:bookmarkStart w:id="99" w:name="P99"/>
          <w:bookmarkEnd w:id="99"/>
          <w:p>
            <w:pPr>
              <w:pStyle w:val="0"/>
            </w:pPr>
            <w:r>
              <w:rPr>
                <w:sz w:val="24"/>
              </w:rPr>
              <w:t xml:space="preserve">3</w:t>
            </w:r>
          </w:p>
        </w:tc>
        <w:tc>
          <w:tcPr>
            <w:tcW w:w="2608" w:type="dxa"/>
          </w:tcPr>
          <w:p>
            <w:pPr>
              <w:pStyle w:val="0"/>
            </w:pPr>
            <w:r>
              <w:rPr>
                <w:sz w:val="24"/>
              </w:rPr>
              <w:t xml:space="preserve">Полное наименование на английском языке (при наличии)</w:t>
            </w:r>
          </w:p>
        </w:tc>
        <w:tc>
          <w:tcPr>
            <w:tcW w:w="2608" w:type="dxa"/>
          </w:tcPr>
          <w:p>
            <w:pPr>
              <w:pStyle w:val="0"/>
            </w:pPr>
            <w:r>
              <w:rPr>
                <w:sz w:val="24"/>
              </w:rPr>
            </w:r>
          </w:p>
        </w:tc>
        <w:tc>
          <w:tcPr>
            <w:tcW w:w="2948" w:type="dxa"/>
          </w:tcPr>
          <w:p>
            <w:pPr>
              <w:pStyle w:val="0"/>
            </w:pPr>
            <w:r>
              <w:rPr>
                <w:sz w:val="24"/>
              </w:rPr>
              <w:t xml:space="preserve">nfo-dic:PolnNaimNaAnglijskomYazyke</w:t>
            </w:r>
          </w:p>
        </w:tc>
      </w:tr>
      <w:tr>
        <w:tc>
          <w:tcPr>
            <w:tcW w:w="907" w:type="dxa"/>
          </w:tcPr>
          <w:bookmarkStart w:id="103" w:name="P103"/>
          <w:bookmarkEnd w:id="103"/>
          <w:p>
            <w:pPr>
              <w:pStyle w:val="0"/>
            </w:pPr>
            <w:r>
              <w:rPr>
                <w:sz w:val="24"/>
              </w:rPr>
              <w:t xml:space="preserve">4</w:t>
            </w:r>
          </w:p>
        </w:tc>
        <w:tc>
          <w:tcPr>
            <w:tcW w:w="2608" w:type="dxa"/>
          </w:tcPr>
          <w:p>
            <w:pPr>
              <w:pStyle w:val="0"/>
            </w:pPr>
            <w:r>
              <w:rPr>
                <w:sz w:val="24"/>
              </w:rPr>
              <w:t xml:space="preserve">Сокращенное наименование на английском языке (при наличии)</w:t>
            </w:r>
          </w:p>
        </w:tc>
        <w:tc>
          <w:tcPr>
            <w:tcW w:w="2608" w:type="dxa"/>
          </w:tcPr>
          <w:p>
            <w:pPr>
              <w:pStyle w:val="0"/>
            </w:pPr>
            <w:r>
              <w:rPr>
                <w:sz w:val="24"/>
              </w:rPr>
            </w:r>
          </w:p>
        </w:tc>
        <w:tc>
          <w:tcPr>
            <w:tcW w:w="2948" w:type="dxa"/>
          </w:tcPr>
          <w:p>
            <w:pPr>
              <w:pStyle w:val="0"/>
            </w:pPr>
            <w:r>
              <w:rPr>
                <w:sz w:val="24"/>
              </w:rPr>
              <w:t xml:space="preserve">nfo-dic:SokrNaimNaAnglijskomYazyke</w:t>
            </w:r>
          </w:p>
        </w:tc>
      </w:tr>
      <w:tr>
        <w:tc>
          <w:tcPr>
            <w:tcW w:w="907" w:type="dxa"/>
          </w:tcPr>
          <w:bookmarkStart w:id="107" w:name="P107"/>
          <w:bookmarkEnd w:id="107"/>
          <w:p>
            <w:pPr>
              <w:pStyle w:val="0"/>
            </w:pPr>
            <w:r>
              <w:rPr>
                <w:sz w:val="24"/>
              </w:rPr>
              <w:t xml:space="preserve">5</w:t>
            </w:r>
          </w:p>
        </w:tc>
        <w:tc>
          <w:tcPr>
            <w:tcW w:w="2608" w:type="dxa"/>
          </w:tcPr>
          <w:p>
            <w:pPr>
              <w:pStyle w:val="0"/>
            </w:pPr>
            <w:r>
              <w:rPr>
                <w:sz w:val="24"/>
              </w:rPr>
              <w:t xml:space="preserve">Сведения о праве на осуществление страхования и (или) перестрахования на территории государства (на территории) - члена Всемирной торговой организации</w:t>
            </w:r>
          </w:p>
        </w:tc>
        <w:tc>
          <w:tcPr>
            <w:tcW w:w="2608" w:type="dxa"/>
          </w:tcPr>
          <w:p>
            <w:pPr>
              <w:pStyle w:val="0"/>
            </w:pPr>
            <w:r>
              <w:rPr>
                <w:sz w:val="24"/>
              </w:rPr>
            </w:r>
          </w:p>
        </w:tc>
        <w:tc>
          <w:tcPr>
            <w:tcW w:w="2948" w:type="dxa"/>
          </w:tcPr>
          <w:p>
            <w:pPr>
              <w:pStyle w:val="0"/>
            </w:pPr>
            <w:r>
              <w:rPr>
                <w:sz w:val="24"/>
              </w:rPr>
              <w:t xml:space="preserve">ins-dic:Sved_OPraveNaOsushh_Strax_Perestrax_NaTerrGos_CHlenaVTO</w:t>
            </w:r>
          </w:p>
        </w:tc>
      </w:tr>
      <w:tr>
        <w:tc>
          <w:tcPr>
            <w:tcW w:w="907" w:type="dxa"/>
          </w:tcPr>
          <w:bookmarkStart w:id="111" w:name="P111"/>
          <w:bookmarkEnd w:id="111"/>
          <w:p>
            <w:pPr>
              <w:pStyle w:val="0"/>
            </w:pPr>
            <w:r>
              <w:rPr>
                <w:sz w:val="24"/>
              </w:rPr>
              <w:t xml:space="preserve">6</w:t>
            </w:r>
          </w:p>
        </w:tc>
        <w:tc>
          <w:tcPr>
            <w:tcW w:w="2608" w:type="dxa"/>
          </w:tcPr>
          <w:p>
            <w:pPr>
              <w:pStyle w:val="0"/>
            </w:pPr>
            <w:r>
              <w:rPr>
                <w:sz w:val="24"/>
              </w:rPr>
              <w:t xml:space="preserve">Идентификационный номер налогоплательщика (ИНН)</w:t>
            </w:r>
          </w:p>
        </w:tc>
        <w:tc>
          <w:tcPr>
            <w:tcW w:w="2608" w:type="dxa"/>
          </w:tcPr>
          <w:p>
            <w:pPr>
              <w:pStyle w:val="0"/>
            </w:pPr>
            <w:r>
              <w:rPr>
                <w:sz w:val="24"/>
              </w:rPr>
            </w:r>
          </w:p>
        </w:tc>
        <w:tc>
          <w:tcPr>
            <w:tcW w:w="2948" w:type="dxa"/>
          </w:tcPr>
          <w:p>
            <w:pPr>
              <w:pStyle w:val="0"/>
            </w:pPr>
            <w:r>
              <w:rPr>
                <w:sz w:val="24"/>
              </w:rPr>
              <w:t xml:space="preserve">nfo-dic:INN_NFO</w:t>
            </w:r>
          </w:p>
        </w:tc>
      </w:tr>
      <w:tr>
        <w:tc>
          <w:tcPr>
            <w:tcW w:w="907" w:type="dxa"/>
          </w:tcPr>
          <w:bookmarkStart w:id="115" w:name="P115"/>
          <w:bookmarkEnd w:id="115"/>
          <w:p>
            <w:pPr>
              <w:pStyle w:val="0"/>
            </w:pPr>
            <w:r>
              <w:rPr>
                <w:sz w:val="24"/>
              </w:rPr>
              <w:t xml:space="preserve">7</w:t>
            </w:r>
          </w:p>
        </w:tc>
        <w:tc>
          <w:tcPr>
            <w:tcW w:w="2608" w:type="dxa"/>
          </w:tcPr>
          <w:p>
            <w:pPr>
              <w:pStyle w:val="0"/>
            </w:pPr>
            <w:r>
              <w:rPr>
                <w:sz w:val="24"/>
              </w:rPr>
              <w:t xml:space="preserve">TIN</w:t>
            </w:r>
          </w:p>
        </w:tc>
        <w:tc>
          <w:tcPr>
            <w:tcW w:w="2608" w:type="dxa"/>
          </w:tcPr>
          <w:p>
            <w:pPr>
              <w:pStyle w:val="0"/>
            </w:pPr>
            <w:r>
              <w:rPr>
                <w:sz w:val="24"/>
              </w:rPr>
            </w:r>
          </w:p>
        </w:tc>
        <w:tc>
          <w:tcPr>
            <w:tcW w:w="2948" w:type="dxa"/>
          </w:tcPr>
          <w:p>
            <w:pPr>
              <w:pStyle w:val="0"/>
            </w:pPr>
            <w:r>
              <w:rPr>
                <w:sz w:val="24"/>
              </w:rPr>
              <w:t xml:space="preserve">nfo-dic:TIN</w:t>
            </w:r>
          </w:p>
        </w:tc>
      </w:tr>
      <w:tr>
        <w:tc>
          <w:tcPr>
            <w:tcW w:w="907" w:type="dxa"/>
          </w:tcPr>
          <w:bookmarkStart w:id="119" w:name="P119"/>
          <w:bookmarkEnd w:id="119"/>
          <w:p>
            <w:pPr>
              <w:pStyle w:val="0"/>
            </w:pPr>
            <w:r>
              <w:rPr>
                <w:sz w:val="24"/>
              </w:rPr>
              <w:t xml:space="preserve">8</w:t>
            </w:r>
          </w:p>
        </w:tc>
        <w:tc>
          <w:tcPr>
            <w:tcW w:w="2608" w:type="dxa"/>
          </w:tcPr>
          <w:p>
            <w:pPr>
              <w:pStyle w:val="0"/>
            </w:pPr>
            <w:r>
              <w:rPr>
                <w:sz w:val="24"/>
              </w:rPr>
              <w:t xml:space="preserve">Основной государственный регистрационный номер (ОГРН)</w:t>
            </w:r>
          </w:p>
        </w:tc>
        <w:tc>
          <w:tcPr>
            <w:tcW w:w="2608" w:type="dxa"/>
          </w:tcPr>
          <w:p>
            <w:pPr>
              <w:pStyle w:val="0"/>
            </w:pPr>
            <w:r>
              <w:rPr>
                <w:sz w:val="24"/>
              </w:rPr>
            </w:r>
          </w:p>
        </w:tc>
        <w:tc>
          <w:tcPr>
            <w:tcW w:w="2948" w:type="dxa"/>
          </w:tcPr>
          <w:p>
            <w:pPr>
              <w:pStyle w:val="0"/>
            </w:pPr>
            <w:r>
              <w:rPr>
                <w:sz w:val="24"/>
              </w:rPr>
              <w:t xml:space="preserve">nfo-dic:OGRN</w:t>
            </w:r>
          </w:p>
        </w:tc>
      </w:tr>
      <w:tr>
        <w:tc>
          <w:tcPr>
            <w:tcW w:w="907" w:type="dxa"/>
          </w:tcPr>
          <w:bookmarkStart w:id="123" w:name="P123"/>
          <w:bookmarkEnd w:id="123"/>
          <w:p>
            <w:pPr>
              <w:pStyle w:val="0"/>
            </w:pPr>
            <w:r>
              <w:rPr>
                <w:sz w:val="24"/>
              </w:rPr>
              <w:t xml:space="preserve">9</w:t>
            </w:r>
          </w:p>
        </w:tc>
        <w:tc>
          <w:tcPr>
            <w:tcW w:w="2608" w:type="dxa"/>
          </w:tcPr>
          <w:p>
            <w:pPr>
              <w:pStyle w:val="0"/>
            </w:pPr>
            <w:r>
              <w:rPr>
                <w:sz w:val="24"/>
              </w:rPr>
              <w:t xml:space="preserve">Регистрационный номер записи в едином государственном реестре субъектов страхового дела</w:t>
            </w:r>
          </w:p>
        </w:tc>
        <w:tc>
          <w:tcPr>
            <w:tcW w:w="2608" w:type="dxa"/>
          </w:tcPr>
          <w:p>
            <w:pPr>
              <w:pStyle w:val="0"/>
            </w:pPr>
            <w:r>
              <w:rPr>
                <w:sz w:val="24"/>
              </w:rPr>
            </w:r>
          </w:p>
        </w:tc>
        <w:tc>
          <w:tcPr>
            <w:tcW w:w="2948" w:type="dxa"/>
          </w:tcPr>
          <w:p>
            <w:pPr>
              <w:pStyle w:val="0"/>
            </w:pPr>
            <w:r>
              <w:rPr>
                <w:sz w:val="24"/>
              </w:rPr>
              <w:t xml:space="preserve">ins-dic:RegNomerZapisiVEdinomGosReestreSSD</w:t>
            </w:r>
          </w:p>
        </w:tc>
      </w:tr>
      <w:tr>
        <w:tc>
          <w:tcPr>
            <w:tcW w:w="907" w:type="dxa"/>
          </w:tcPr>
          <w:bookmarkStart w:id="127" w:name="P127"/>
          <w:bookmarkEnd w:id="127"/>
          <w:p>
            <w:pPr>
              <w:pStyle w:val="0"/>
            </w:pPr>
            <w:r>
              <w:rPr>
                <w:sz w:val="24"/>
              </w:rPr>
              <w:t xml:space="preserve">10</w:t>
            </w:r>
          </w:p>
        </w:tc>
        <w:tc>
          <w:tcPr>
            <w:tcW w:w="2608" w:type="dxa"/>
          </w:tcPr>
          <w:p>
            <w:pPr>
              <w:pStyle w:val="0"/>
            </w:pPr>
            <w:r>
              <w:rPr>
                <w:sz w:val="24"/>
              </w:rPr>
              <w:t xml:space="preserve">Код по Общероссийскому классификатору предприятий и организаций (ОКПО)</w:t>
            </w:r>
          </w:p>
        </w:tc>
        <w:tc>
          <w:tcPr>
            <w:tcW w:w="2608" w:type="dxa"/>
          </w:tcPr>
          <w:p>
            <w:pPr>
              <w:pStyle w:val="0"/>
            </w:pPr>
            <w:r>
              <w:rPr>
                <w:sz w:val="24"/>
              </w:rPr>
            </w:r>
          </w:p>
        </w:tc>
        <w:tc>
          <w:tcPr>
            <w:tcW w:w="2948" w:type="dxa"/>
          </w:tcPr>
          <w:p>
            <w:pPr>
              <w:pStyle w:val="0"/>
            </w:pPr>
            <w:r>
              <w:rPr>
                <w:sz w:val="24"/>
              </w:rPr>
              <w:t xml:space="preserve">nfo-dic:Okpo</w:t>
            </w:r>
          </w:p>
        </w:tc>
      </w:tr>
      <w:tr>
        <w:tc>
          <w:tcPr>
            <w:tcW w:w="907" w:type="dxa"/>
          </w:tcPr>
          <w:bookmarkStart w:id="131" w:name="P131"/>
          <w:bookmarkEnd w:id="131"/>
          <w:p>
            <w:pPr>
              <w:pStyle w:val="0"/>
            </w:pPr>
            <w:r>
              <w:rPr>
                <w:sz w:val="24"/>
              </w:rPr>
              <w:t xml:space="preserve">11</w:t>
            </w:r>
          </w:p>
        </w:tc>
        <w:tc>
          <w:tcPr>
            <w:tcW w:w="2608" w:type="dxa"/>
          </w:tcPr>
          <w:p>
            <w:pPr>
              <w:pStyle w:val="0"/>
            </w:pPr>
            <w:r>
              <w:rPr>
                <w:sz w:val="24"/>
              </w:rPr>
              <w:t xml:space="preserve">Код организационно-правовой формы по Общероссийскому </w:t>
            </w:r>
            <w:hyperlink w:history="0" r:id="rId33"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классификатору</w:t>
              </w:r>
            </w:hyperlink>
            <w:r>
              <w:rPr>
                <w:sz w:val="24"/>
              </w:rPr>
              <w:t xml:space="preserve"> организационно-правовых форм (ОКОПФ)</w:t>
            </w:r>
          </w:p>
        </w:tc>
        <w:tc>
          <w:tcPr>
            <w:tcW w:w="2608" w:type="dxa"/>
          </w:tcPr>
          <w:p>
            <w:pPr>
              <w:pStyle w:val="0"/>
            </w:pPr>
            <w:r>
              <w:rPr>
                <w:sz w:val="24"/>
              </w:rPr>
            </w:r>
          </w:p>
        </w:tc>
        <w:tc>
          <w:tcPr>
            <w:tcW w:w="2948" w:type="dxa"/>
          </w:tcPr>
          <w:p>
            <w:pPr>
              <w:pStyle w:val="0"/>
            </w:pPr>
            <w:r>
              <w:rPr>
                <w:sz w:val="24"/>
              </w:rPr>
              <w:t xml:space="preserve">nfo-dic:OPF_po_OKOPFEnumerator</w:t>
            </w:r>
          </w:p>
        </w:tc>
      </w:tr>
      <w:tr>
        <w:tc>
          <w:tcPr>
            <w:tcW w:w="907" w:type="dxa"/>
          </w:tcPr>
          <w:bookmarkStart w:id="135" w:name="P135"/>
          <w:bookmarkEnd w:id="135"/>
          <w:p>
            <w:pPr>
              <w:pStyle w:val="0"/>
            </w:pPr>
            <w:r>
              <w:rPr>
                <w:sz w:val="24"/>
              </w:rPr>
              <w:t xml:space="preserve">12</w:t>
            </w:r>
          </w:p>
        </w:tc>
        <w:tc>
          <w:tcPr>
            <w:tcW w:w="2608" w:type="dxa"/>
          </w:tcPr>
          <w:p>
            <w:pPr>
              <w:pStyle w:val="0"/>
            </w:pPr>
            <w:r>
              <w:rPr>
                <w:sz w:val="24"/>
              </w:rPr>
              <w:t xml:space="preserve">Код формы собственности по Общероссийскому </w:t>
            </w:r>
            <w:hyperlink w:history="0" r:id="rId34" w:tooltip="Постановление Госстандарта России от 30.03.1999 N 97 (ред. от 22.09.2023) &quot;О принятии и введении в действие Общероссийских классификаторов&quot; (вместе с &quot;ОК 027-99. Общероссийский классификатор форм собственности&quot;) (дата введения 01.01.2000) {КонсультантПлюс}">
              <w:r>
                <w:rPr>
                  <w:sz w:val="24"/>
                  <w:color w:val="0000ff"/>
                </w:rPr>
                <w:t xml:space="preserve">классификатору</w:t>
              </w:r>
            </w:hyperlink>
            <w:r>
              <w:rPr>
                <w:sz w:val="24"/>
              </w:rPr>
              <w:t xml:space="preserve"> форм собственности (ОКФС)</w:t>
            </w:r>
          </w:p>
        </w:tc>
        <w:tc>
          <w:tcPr>
            <w:tcW w:w="2608" w:type="dxa"/>
          </w:tcPr>
          <w:p>
            <w:pPr>
              <w:pStyle w:val="0"/>
            </w:pPr>
            <w:r>
              <w:rPr>
                <w:sz w:val="24"/>
              </w:rPr>
            </w:r>
          </w:p>
        </w:tc>
        <w:tc>
          <w:tcPr>
            <w:tcW w:w="2948" w:type="dxa"/>
          </w:tcPr>
          <w:p>
            <w:pPr>
              <w:pStyle w:val="0"/>
            </w:pPr>
            <w:r>
              <w:rPr>
                <w:sz w:val="24"/>
              </w:rPr>
              <w:t xml:space="preserve">nfo-dic:Form_sobstv_po_OKFSEnumerator</w:t>
            </w:r>
          </w:p>
        </w:tc>
      </w:tr>
      <w:tr>
        <w:tc>
          <w:tcPr>
            <w:tcW w:w="907" w:type="dxa"/>
          </w:tcPr>
          <w:bookmarkStart w:id="139" w:name="P139"/>
          <w:bookmarkEnd w:id="139"/>
          <w:p>
            <w:pPr>
              <w:pStyle w:val="0"/>
            </w:pPr>
            <w:r>
              <w:rPr>
                <w:sz w:val="24"/>
              </w:rPr>
              <w:t xml:space="preserve">13</w:t>
            </w:r>
          </w:p>
        </w:tc>
        <w:tc>
          <w:tcPr>
            <w:tcW w:w="2608" w:type="dxa"/>
          </w:tcPr>
          <w:p>
            <w:pPr>
              <w:pStyle w:val="0"/>
            </w:pPr>
            <w:r>
              <w:rPr>
                <w:sz w:val="24"/>
              </w:rPr>
              <w:t xml:space="preserve">Код места нахождения в государственном адресном реестре федеральной информационной адресной системы (ФИАС)</w:t>
            </w:r>
          </w:p>
        </w:tc>
        <w:tc>
          <w:tcPr>
            <w:tcW w:w="2608" w:type="dxa"/>
          </w:tcPr>
          <w:p>
            <w:pPr>
              <w:pStyle w:val="0"/>
            </w:pPr>
            <w:r>
              <w:rPr>
                <w:sz w:val="24"/>
              </w:rPr>
            </w:r>
          </w:p>
        </w:tc>
        <w:tc>
          <w:tcPr>
            <w:tcW w:w="2948" w:type="dxa"/>
          </w:tcPr>
          <w:p>
            <w:pPr>
              <w:pStyle w:val="0"/>
            </w:pPr>
            <w:r>
              <w:rPr>
                <w:sz w:val="24"/>
              </w:rPr>
              <w:t xml:space="preserve">nfo-dic:Kod_FIAS</w:t>
            </w:r>
          </w:p>
        </w:tc>
      </w:tr>
      <w:tr>
        <w:tc>
          <w:tcPr>
            <w:tcW w:w="907" w:type="dxa"/>
          </w:tcPr>
          <w:bookmarkStart w:id="143" w:name="P143"/>
          <w:bookmarkEnd w:id="143"/>
          <w:p>
            <w:pPr>
              <w:pStyle w:val="0"/>
            </w:pPr>
            <w:r>
              <w:rPr>
                <w:sz w:val="24"/>
              </w:rPr>
              <w:t xml:space="preserve">14</w:t>
            </w:r>
          </w:p>
        </w:tc>
        <w:tc>
          <w:tcPr>
            <w:tcW w:w="2608" w:type="dxa"/>
          </w:tcPr>
          <w:p>
            <w:pPr>
              <w:pStyle w:val="0"/>
            </w:pPr>
            <w:r>
              <w:rPr>
                <w:sz w:val="24"/>
              </w:rPr>
              <w:t xml:space="preserve">Код места нахождения по Общероссийскому </w:t>
            </w:r>
            <w:hyperlink w:history="0" r:id="rId3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w:t>
            </w:r>
          </w:p>
        </w:tc>
        <w:tc>
          <w:tcPr>
            <w:tcW w:w="2608" w:type="dxa"/>
          </w:tcPr>
          <w:p>
            <w:pPr>
              <w:pStyle w:val="0"/>
            </w:pPr>
            <w:r>
              <w:rPr>
                <w:sz w:val="24"/>
              </w:rPr>
            </w:r>
          </w:p>
        </w:tc>
        <w:tc>
          <w:tcPr>
            <w:tcW w:w="2948" w:type="dxa"/>
          </w:tcPr>
          <w:p>
            <w:pPr>
              <w:pStyle w:val="0"/>
            </w:pPr>
            <w:r>
              <w:rPr>
                <w:sz w:val="24"/>
              </w:rPr>
              <w:t xml:space="preserve">nfo-dic:KodTerritoriiPoOKTMO</w:t>
            </w:r>
          </w:p>
        </w:tc>
      </w:tr>
      <w:tr>
        <w:tc>
          <w:tcPr>
            <w:tcW w:w="907" w:type="dxa"/>
          </w:tcPr>
          <w:bookmarkStart w:id="147" w:name="P147"/>
          <w:bookmarkEnd w:id="147"/>
          <w:p>
            <w:pPr>
              <w:pStyle w:val="0"/>
            </w:pPr>
            <w:r>
              <w:rPr>
                <w:sz w:val="24"/>
              </w:rPr>
              <w:t xml:space="preserve">15</w:t>
            </w:r>
          </w:p>
        </w:tc>
        <w:tc>
          <w:tcPr>
            <w:tcW w:w="2608" w:type="dxa"/>
          </w:tcPr>
          <w:p>
            <w:pPr>
              <w:pStyle w:val="0"/>
            </w:pPr>
            <w:r>
              <w:rPr>
                <w:sz w:val="24"/>
              </w:rPr>
              <w:t xml:space="preserve">Адрес в пределах места нахождения</w:t>
            </w:r>
          </w:p>
        </w:tc>
        <w:tc>
          <w:tcPr>
            <w:tcW w:w="2608" w:type="dxa"/>
          </w:tcPr>
          <w:p>
            <w:pPr>
              <w:pStyle w:val="0"/>
            </w:pPr>
            <w:r>
              <w:rPr>
                <w:sz w:val="24"/>
              </w:rPr>
            </w:r>
          </w:p>
        </w:tc>
        <w:tc>
          <w:tcPr>
            <w:tcW w:w="2948" w:type="dxa"/>
          </w:tcPr>
          <w:p>
            <w:pPr>
              <w:pStyle w:val="0"/>
            </w:pPr>
            <w:r>
              <w:rPr>
                <w:sz w:val="24"/>
              </w:rPr>
              <w:t xml:space="preserve">nfo-dic:Mesto_Naxozhd_Yul</w:t>
            </w:r>
          </w:p>
        </w:tc>
      </w:tr>
      <w:tr>
        <w:tc>
          <w:tcPr>
            <w:tcW w:w="907" w:type="dxa"/>
          </w:tcPr>
          <w:bookmarkStart w:id="151" w:name="P151"/>
          <w:bookmarkEnd w:id="151"/>
          <w:p>
            <w:pPr>
              <w:pStyle w:val="0"/>
            </w:pPr>
            <w:r>
              <w:rPr>
                <w:sz w:val="24"/>
              </w:rPr>
              <w:t xml:space="preserve">16</w:t>
            </w:r>
          </w:p>
        </w:tc>
        <w:tc>
          <w:tcPr>
            <w:tcW w:w="2608" w:type="dxa"/>
          </w:tcPr>
          <w:p>
            <w:pPr>
              <w:pStyle w:val="0"/>
            </w:pPr>
            <w:r>
              <w:rPr>
                <w:sz w:val="24"/>
              </w:rPr>
              <w:t xml:space="preserve">Фактический адрес</w:t>
            </w:r>
          </w:p>
        </w:tc>
        <w:tc>
          <w:tcPr>
            <w:tcW w:w="2608" w:type="dxa"/>
          </w:tcPr>
          <w:p>
            <w:pPr>
              <w:pStyle w:val="0"/>
            </w:pPr>
            <w:r>
              <w:rPr>
                <w:sz w:val="24"/>
              </w:rPr>
            </w:r>
          </w:p>
        </w:tc>
        <w:tc>
          <w:tcPr>
            <w:tcW w:w="2948" w:type="dxa"/>
          </w:tcPr>
          <w:p>
            <w:pPr>
              <w:pStyle w:val="0"/>
            </w:pPr>
            <w:r>
              <w:rPr>
                <w:sz w:val="24"/>
              </w:rPr>
              <w:t xml:space="preserve">nfo-dic:FaktAdr</w:t>
            </w:r>
          </w:p>
        </w:tc>
      </w:tr>
      <w:tr>
        <w:tc>
          <w:tcPr>
            <w:tcW w:w="907" w:type="dxa"/>
          </w:tcPr>
          <w:bookmarkStart w:id="155" w:name="P155"/>
          <w:bookmarkEnd w:id="155"/>
          <w:p>
            <w:pPr>
              <w:pStyle w:val="0"/>
            </w:pPr>
            <w:r>
              <w:rPr>
                <w:sz w:val="24"/>
              </w:rPr>
              <w:t xml:space="preserve">17</w:t>
            </w:r>
          </w:p>
        </w:tc>
        <w:tc>
          <w:tcPr>
            <w:tcW w:w="2608" w:type="dxa"/>
          </w:tcPr>
          <w:p>
            <w:pPr>
              <w:pStyle w:val="0"/>
            </w:pPr>
            <w:r>
              <w:rPr>
                <w:sz w:val="24"/>
              </w:rPr>
              <w:t xml:space="preserve">Почтовый адрес</w:t>
            </w:r>
          </w:p>
        </w:tc>
        <w:tc>
          <w:tcPr>
            <w:tcW w:w="2608" w:type="dxa"/>
          </w:tcPr>
          <w:p>
            <w:pPr>
              <w:pStyle w:val="0"/>
            </w:pPr>
            <w:r>
              <w:rPr>
                <w:sz w:val="24"/>
              </w:rPr>
            </w:r>
          </w:p>
        </w:tc>
        <w:tc>
          <w:tcPr>
            <w:tcW w:w="2948" w:type="dxa"/>
          </w:tcPr>
          <w:p>
            <w:pPr>
              <w:pStyle w:val="0"/>
            </w:pPr>
            <w:r>
              <w:rPr>
                <w:sz w:val="24"/>
              </w:rPr>
              <w:t xml:space="preserve">nfo-dic:Pocht_Adres</w:t>
            </w:r>
          </w:p>
        </w:tc>
      </w:tr>
      <w:tr>
        <w:tc>
          <w:tcPr>
            <w:tcW w:w="907" w:type="dxa"/>
          </w:tcPr>
          <w:bookmarkStart w:id="159" w:name="P159"/>
          <w:bookmarkEnd w:id="159"/>
          <w:p>
            <w:pPr>
              <w:pStyle w:val="0"/>
            </w:pPr>
            <w:r>
              <w:rPr>
                <w:sz w:val="24"/>
              </w:rPr>
              <w:t xml:space="preserve">18</w:t>
            </w:r>
          </w:p>
        </w:tc>
        <w:tc>
          <w:tcPr>
            <w:tcW w:w="2608" w:type="dxa"/>
          </w:tcPr>
          <w:p>
            <w:pPr>
              <w:pStyle w:val="0"/>
            </w:pPr>
            <w:r>
              <w:rPr>
                <w:sz w:val="24"/>
              </w:rPr>
              <w:t xml:space="preserve">Номер телефона</w:t>
            </w:r>
          </w:p>
        </w:tc>
        <w:tc>
          <w:tcPr>
            <w:tcW w:w="2608" w:type="dxa"/>
          </w:tcPr>
          <w:p>
            <w:pPr>
              <w:pStyle w:val="0"/>
            </w:pPr>
            <w:r>
              <w:rPr>
                <w:sz w:val="24"/>
              </w:rPr>
            </w:r>
          </w:p>
        </w:tc>
        <w:tc>
          <w:tcPr>
            <w:tcW w:w="2948" w:type="dxa"/>
          </w:tcPr>
          <w:p>
            <w:pPr>
              <w:pStyle w:val="0"/>
            </w:pPr>
            <w:r>
              <w:rPr>
                <w:sz w:val="24"/>
              </w:rPr>
              <w:t xml:space="preserve">nfo-dic:Telefon</w:t>
            </w:r>
          </w:p>
        </w:tc>
      </w:tr>
      <w:tr>
        <w:tc>
          <w:tcPr>
            <w:tcW w:w="907" w:type="dxa"/>
          </w:tcPr>
          <w:bookmarkStart w:id="163" w:name="P163"/>
          <w:bookmarkEnd w:id="163"/>
          <w:p>
            <w:pPr>
              <w:pStyle w:val="0"/>
            </w:pPr>
            <w:r>
              <w:rPr>
                <w:sz w:val="24"/>
              </w:rPr>
              <w:t xml:space="preserve">19</w:t>
            </w:r>
          </w:p>
        </w:tc>
        <w:tc>
          <w:tcPr>
            <w:tcW w:w="2608" w:type="dxa"/>
          </w:tcPr>
          <w:p>
            <w:pPr>
              <w:pStyle w:val="0"/>
            </w:pPr>
            <w:r>
              <w:rPr>
                <w:sz w:val="24"/>
              </w:rPr>
              <w:t xml:space="preserve">Номер факса</w:t>
            </w:r>
          </w:p>
        </w:tc>
        <w:tc>
          <w:tcPr>
            <w:tcW w:w="2608" w:type="dxa"/>
          </w:tcPr>
          <w:p>
            <w:pPr>
              <w:pStyle w:val="0"/>
            </w:pPr>
            <w:r>
              <w:rPr>
                <w:sz w:val="24"/>
              </w:rPr>
            </w:r>
          </w:p>
        </w:tc>
        <w:tc>
          <w:tcPr>
            <w:tcW w:w="2948" w:type="dxa"/>
          </w:tcPr>
          <w:p>
            <w:pPr>
              <w:pStyle w:val="0"/>
            </w:pPr>
            <w:r>
              <w:rPr>
                <w:sz w:val="24"/>
              </w:rPr>
              <w:t xml:space="preserve">nfo-dic:Faks</w:t>
            </w:r>
          </w:p>
        </w:tc>
      </w:tr>
      <w:tr>
        <w:tc>
          <w:tcPr>
            <w:tcW w:w="907" w:type="dxa"/>
          </w:tcPr>
          <w:bookmarkStart w:id="167" w:name="P167"/>
          <w:bookmarkEnd w:id="167"/>
          <w:p>
            <w:pPr>
              <w:pStyle w:val="0"/>
            </w:pPr>
            <w:r>
              <w:rPr>
                <w:sz w:val="24"/>
              </w:rPr>
              <w:t xml:space="preserve">20</w:t>
            </w:r>
          </w:p>
        </w:tc>
        <w:tc>
          <w:tcPr>
            <w:tcW w:w="2608" w:type="dxa"/>
          </w:tcPr>
          <w:p>
            <w:pPr>
              <w:pStyle w:val="0"/>
            </w:pPr>
            <w:r>
              <w:rPr>
                <w:sz w:val="24"/>
              </w:rPr>
              <w:t xml:space="preserve">Адрес сайта в информационно-телекоммуникационной сети "Интернет"</w:t>
            </w:r>
          </w:p>
        </w:tc>
        <w:tc>
          <w:tcPr>
            <w:tcW w:w="2608" w:type="dxa"/>
          </w:tcPr>
          <w:p>
            <w:pPr>
              <w:pStyle w:val="0"/>
            </w:pPr>
            <w:r>
              <w:rPr>
                <w:sz w:val="24"/>
              </w:rPr>
            </w:r>
          </w:p>
        </w:tc>
        <w:tc>
          <w:tcPr>
            <w:tcW w:w="2948" w:type="dxa"/>
          </w:tcPr>
          <w:p>
            <w:pPr>
              <w:pStyle w:val="0"/>
            </w:pPr>
            <w:r>
              <w:rPr>
                <w:sz w:val="24"/>
              </w:rPr>
              <w:t xml:space="preserve">nfo-dic:Adres_Internet</w:t>
            </w:r>
          </w:p>
        </w:tc>
      </w:tr>
      <w:tr>
        <w:tc>
          <w:tcPr>
            <w:tcW w:w="907" w:type="dxa"/>
          </w:tcPr>
          <w:bookmarkStart w:id="171" w:name="P171"/>
          <w:bookmarkEnd w:id="171"/>
          <w:p>
            <w:pPr>
              <w:pStyle w:val="0"/>
            </w:pPr>
            <w:r>
              <w:rPr>
                <w:sz w:val="24"/>
              </w:rPr>
              <w:t xml:space="preserve">21</w:t>
            </w:r>
          </w:p>
        </w:tc>
        <w:tc>
          <w:tcPr>
            <w:tcW w:w="2608" w:type="dxa"/>
          </w:tcPr>
          <w:p>
            <w:pPr>
              <w:pStyle w:val="0"/>
            </w:pPr>
            <w:r>
              <w:rPr>
                <w:sz w:val="24"/>
              </w:rPr>
              <w:t xml:space="preserve">Электронный адрес страницы официального сайта страховщика в информационно-телекоммуникационной сети "Интернет", предназначенной для приобретения страхового полиса обязательного страхования гражданской ответственности владельцев транспортных средств в виде электронного документа</w:t>
            </w:r>
          </w:p>
        </w:tc>
        <w:tc>
          <w:tcPr>
            <w:tcW w:w="2608" w:type="dxa"/>
          </w:tcPr>
          <w:p>
            <w:pPr>
              <w:pStyle w:val="0"/>
            </w:pPr>
            <w:r>
              <w:rPr>
                <w:sz w:val="24"/>
              </w:rPr>
            </w:r>
          </w:p>
        </w:tc>
        <w:tc>
          <w:tcPr>
            <w:tcW w:w="2948" w:type="dxa"/>
          </w:tcPr>
          <w:p>
            <w:pPr>
              <w:pStyle w:val="0"/>
            </w:pPr>
            <w:r>
              <w:rPr>
                <w:sz w:val="24"/>
              </w:rPr>
              <w:t xml:space="preserve">ins-dic:ElAdrStrPolisOsago</w:t>
            </w:r>
          </w:p>
        </w:tc>
      </w:tr>
      <w:tr>
        <w:tc>
          <w:tcPr>
            <w:tcW w:w="907" w:type="dxa"/>
          </w:tcPr>
          <w:bookmarkStart w:id="175" w:name="P175"/>
          <w:bookmarkEnd w:id="175"/>
          <w:p>
            <w:pPr>
              <w:pStyle w:val="0"/>
            </w:pPr>
            <w:r>
              <w:rPr>
                <w:sz w:val="24"/>
              </w:rPr>
              <w:t xml:space="preserve">22</w:t>
            </w:r>
          </w:p>
        </w:tc>
        <w:tc>
          <w:tcPr>
            <w:tcW w:w="2608" w:type="dxa"/>
          </w:tcPr>
          <w:p>
            <w:pPr>
              <w:pStyle w:val="0"/>
            </w:pPr>
            <w:r>
              <w:rPr>
                <w:sz w:val="24"/>
              </w:rPr>
              <w:t xml:space="preserve">Адрес электронной почты</w:t>
            </w:r>
          </w:p>
        </w:tc>
        <w:tc>
          <w:tcPr>
            <w:tcW w:w="2608" w:type="dxa"/>
          </w:tcPr>
          <w:p>
            <w:pPr>
              <w:pStyle w:val="0"/>
            </w:pPr>
            <w:r>
              <w:rPr>
                <w:sz w:val="24"/>
              </w:rPr>
            </w:r>
          </w:p>
        </w:tc>
        <w:tc>
          <w:tcPr>
            <w:tcW w:w="2948" w:type="dxa"/>
          </w:tcPr>
          <w:p>
            <w:pPr>
              <w:pStyle w:val="0"/>
            </w:pPr>
            <w:r>
              <w:rPr>
                <w:sz w:val="24"/>
              </w:rPr>
              <w:t xml:space="preserve">nfo-dic:Adres_Elektr_Pochty</w:t>
            </w:r>
          </w:p>
        </w:tc>
      </w:tr>
      <w:tr>
        <w:tc>
          <w:tcPr>
            <w:tcW w:w="907" w:type="dxa"/>
          </w:tcPr>
          <w:bookmarkStart w:id="179" w:name="P179"/>
          <w:bookmarkEnd w:id="179"/>
          <w:p>
            <w:pPr>
              <w:pStyle w:val="0"/>
            </w:pPr>
            <w:r>
              <w:rPr>
                <w:sz w:val="24"/>
              </w:rPr>
              <w:t xml:space="preserve">23</w:t>
            </w:r>
          </w:p>
        </w:tc>
        <w:tc>
          <w:tcPr>
            <w:tcW w:w="2608" w:type="dxa"/>
          </w:tcPr>
          <w:p>
            <w:pPr>
              <w:pStyle w:val="0"/>
            </w:pPr>
            <w:r>
              <w:rPr>
                <w:sz w:val="24"/>
              </w:rPr>
              <w:t xml:space="preserve">Предоставление страховых услуг физическим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ins-dic:PredostavlenieUslugFizLitsamEnumerator</w:t>
            </w:r>
          </w:p>
        </w:tc>
      </w:tr>
      <w:tr>
        <w:tc>
          <w:tcPr>
            <w:tcW w:w="907" w:type="dxa"/>
          </w:tcPr>
          <w:bookmarkStart w:id="183" w:name="P183"/>
          <w:bookmarkEnd w:id="183"/>
          <w:p>
            <w:pPr>
              <w:pStyle w:val="0"/>
            </w:pPr>
            <w:r>
              <w:rPr>
                <w:sz w:val="24"/>
              </w:rPr>
              <w:t xml:space="preserve">24</w:t>
            </w:r>
          </w:p>
        </w:tc>
        <w:tc>
          <w:tcPr>
            <w:tcW w:w="2608" w:type="dxa"/>
          </w:tcPr>
          <w:p>
            <w:pPr>
              <w:pStyle w:val="0"/>
            </w:pPr>
            <w:r>
              <w:rPr>
                <w:sz w:val="24"/>
              </w:rPr>
              <w:t xml:space="preserve">Предоставление страховых услуг юридическим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ins-dic:PredostavlenieUslugYurLitsamEnumerator</w:t>
            </w:r>
          </w:p>
        </w:tc>
      </w:tr>
      <w:tr>
        <w:tc>
          <w:tcPr>
            <w:tcW w:w="907" w:type="dxa"/>
          </w:tcPr>
          <w:bookmarkStart w:id="187" w:name="P187"/>
          <w:bookmarkEnd w:id="187"/>
          <w:p>
            <w:pPr>
              <w:pStyle w:val="0"/>
            </w:pPr>
            <w:r>
              <w:rPr>
                <w:sz w:val="24"/>
              </w:rPr>
              <w:t xml:space="preserve">25</w:t>
            </w:r>
          </w:p>
        </w:tc>
        <w:tc>
          <w:tcPr>
            <w:tcW w:w="2608" w:type="dxa"/>
          </w:tcPr>
          <w:p>
            <w:pPr>
              <w:pStyle w:val="0"/>
            </w:pPr>
            <w:r>
              <w:rPr>
                <w:sz w:val="24"/>
              </w:rPr>
              <w:t xml:space="preserve">Страховая организация является материнской организацией и образует группу</w:t>
            </w:r>
          </w:p>
        </w:tc>
        <w:tc>
          <w:tcPr>
            <w:tcW w:w="2608" w:type="dxa"/>
          </w:tcPr>
          <w:p>
            <w:pPr>
              <w:pStyle w:val="0"/>
            </w:pPr>
            <w:r>
              <w:rPr>
                <w:sz w:val="24"/>
              </w:rPr>
            </w:r>
          </w:p>
        </w:tc>
        <w:tc>
          <w:tcPr>
            <w:tcW w:w="2948" w:type="dxa"/>
          </w:tcPr>
          <w:p>
            <w:pPr>
              <w:pStyle w:val="0"/>
            </w:pPr>
            <w:r>
              <w:rPr>
                <w:sz w:val="24"/>
              </w:rPr>
              <w:t xml:space="preserve">ins-dic:SOYavlMaterinskimPredprIObrazuetGruppuEnumerator</w:t>
            </w:r>
          </w:p>
        </w:tc>
      </w:tr>
      <w:tr>
        <w:tc>
          <w:tcPr>
            <w:tcW w:w="907" w:type="dxa"/>
          </w:tcPr>
          <w:bookmarkStart w:id="191" w:name="P191"/>
          <w:bookmarkEnd w:id="191"/>
          <w:p>
            <w:pPr>
              <w:pStyle w:val="0"/>
            </w:pPr>
            <w:r>
              <w:rPr>
                <w:sz w:val="24"/>
              </w:rPr>
              <w:t xml:space="preserve">26</w:t>
            </w:r>
          </w:p>
        </w:tc>
        <w:tc>
          <w:tcPr>
            <w:tcW w:w="2608" w:type="dxa"/>
          </w:tcPr>
          <w:p>
            <w:pPr>
              <w:pStyle w:val="0"/>
            </w:pPr>
            <w:r>
              <w:rPr>
                <w:sz w:val="24"/>
              </w:rPr>
              <w:t xml:space="preserve">Добровольное страхование жизни</w:t>
            </w:r>
          </w:p>
        </w:tc>
        <w:tc>
          <w:tcPr>
            <w:tcW w:w="2608" w:type="dxa"/>
          </w:tcPr>
          <w:p>
            <w:pPr>
              <w:pStyle w:val="0"/>
            </w:pPr>
            <w:r>
              <w:rPr>
                <w:sz w:val="24"/>
              </w:rPr>
            </w:r>
          </w:p>
        </w:tc>
        <w:tc>
          <w:tcPr>
            <w:tcW w:w="2948" w:type="dxa"/>
          </w:tcPr>
          <w:p>
            <w:pPr>
              <w:pStyle w:val="0"/>
            </w:pPr>
            <w:r>
              <w:rPr>
                <w:sz w:val="24"/>
              </w:rPr>
              <w:t xml:space="preserve">ins-dic:DobrovolnoeStraxovanieZhizniEnumerator</w:t>
            </w:r>
          </w:p>
        </w:tc>
      </w:tr>
      <w:tr>
        <w:tc>
          <w:tcPr>
            <w:tcW w:w="907" w:type="dxa"/>
          </w:tcPr>
          <w:bookmarkStart w:id="195" w:name="P195"/>
          <w:bookmarkEnd w:id="195"/>
          <w:p>
            <w:pPr>
              <w:pStyle w:val="0"/>
            </w:pPr>
            <w:r>
              <w:rPr>
                <w:sz w:val="24"/>
              </w:rPr>
              <w:t xml:space="preserve">27</w:t>
            </w:r>
          </w:p>
        </w:tc>
        <w:tc>
          <w:tcPr>
            <w:tcW w:w="2608" w:type="dxa"/>
          </w:tcPr>
          <w:p>
            <w:pPr>
              <w:pStyle w:val="0"/>
            </w:pPr>
            <w:r>
              <w:rPr>
                <w:sz w:val="24"/>
              </w:rPr>
              <w:t xml:space="preserve">Добровольное личное страхование, за исключением добровольного страхования жизни</w:t>
            </w:r>
          </w:p>
        </w:tc>
        <w:tc>
          <w:tcPr>
            <w:tcW w:w="2608" w:type="dxa"/>
          </w:tcPr>
          <w:p>
            <w:pPr>
              <w:pStyle w:val="0"/>
            </w:pPr>
            <w:r>
              <w:rPr>
                <w:sz w:val="24"/>
              </w:rPr>
            </w:r>
          </w:p>
        </w:tc>
        <w:tc>
          <w:tcPr>
            <w:tcW w:w="2948" w:type="dxa"/>
          </w:tcPr>
          <w:p>
            <w:pPr>
              <w:pStyle w:val="0"/>
            </w:pPr>
            <w:r>
              <w:rPr>
                <w:sz w:val="24"/>
              </w:rPr>
              <w:t xml:space="preserve">ins-dic:DobrovolnoeLichnoeStraxovanieZaIsklDobrStrZhizniEnumerator</w:t>
            </w:r>
          </w:p>
        </w:tc>
      </w:tr>
      <w:tr>
        <w:tc>
          <w:tcPr>
            <w:tcW w:w="907" w:type="dxa"/>
          </w:tcPr>
          <w:bookmarkStart w:id="199" w:name="P199"/>
          <w:bookmarkEnd w:id="199"/>
          <w:p>
            <w:pPr>
              <w:pStyle w:val="0"/>
            </w:pPr>
            <w:r>
              <w:rPr>
                <w:sz w:val="24"/>
              </w:rPr>
              <w:t xml:space="preserve">28</w:t>
            </w:r>
          </w:p>
        </w:tc>
        <w:tc>
          <w:tcPr>
            <w:tcW w:w="2608" w:type="dxa"/>
          </w:tcPr>
          <w:p>
            <w:pPr>
              <w:pStyle w:val="0"/>
            </w:pPr>
            <w:r>
              <w:rPr>
                <w:sz w:val="24"/>
              </w:rPr>
              <w:t xml:space="preserve">Добровольное имущественное страхование</w:t>
            </w:r>
          </w:p>
        </w:tc>
        <w:tc>
          <w:tcPr>
            <w:tcW w:w="2608" w:type="dxa"/>
          </w:tcPr>
          <w:p>
            <w:pPr>
              <w:pStyle w:val="0"/>
            </w:pPr>
            <w:r>
              <w:rPr>
                <w:sz w:val="24"/>
              </w:rPr>
            </w:r>
          </w:p>
        </w:tc>
        <w:tc>
          <w:tcPr>
            <w:tcW w:w="2948" w:type="dxa"/>
          </w:tcPr>
          <w:p>
            <w:pPr>
              <w:pStyle w:val="0"/>
            </w:pPr>
            <w:r>
              <w:rPr>
                <w:sz w:val="24"/>
              </w:rPr>
              <w:t xml:space="preserve">ins-dic:DobrovolnoeImushhestvennoeStraxovanieEnumerator</w:t>
            </w:r>
          </w:p>
        </w:tc>
      </w:tr>
      <w:tr>
        <w:tc>
          <w:tcPr>
            <w:tcW w:w="907" w:type="dxa"/>
          </w:tcPr>
          <w:bookmarkStart w:id="203" w:name="P203"/>
          <w:bookmarkEnd w:id="203"/>
          <w:p>
            <w:pPr>
              <w:pStyle w:val="0"/>
            </w:pPr>
            <w:r>
              <w:rPr>
                <w:sz w:val="24"/>
              </w:rPr>
              <w:t xml:space="preserve">29</w:t>
            </w:r>
          </w:p>
        </w:tc>
        <w:tc>
          <w:tcPr>
            <w:tcW w:w="2608" w:type="dxa"/>
          </w:tcPr>
          <w:p>
            <w:pPr>
              <w:pStyle w:val="0"/>
            </w:pPr>
            <w:r>
              <w:rPr>
                <w:sz w:val="24"/>
              </w:rPr>
              <w:t xml:space="preserve">Обязательное государственное страхование жизни и здоровья военнослужащих и приравненных к ним в обязательном государственном страховании лиц</w:t>
            </w:r>
          </w:p>
        </w:tc>
        <w:tc>
          <w:tcPr>
            <w:tcW w:w="2608" w:type="dxa"/>
          </w:tcPr>
          <w:p>
            <w:pPr>
              <w:pStyle w:val="0"/>
            </w:pPr>
            <w:r>
              <w:rPr>
                <w:sz w:val="24"/>
              </w:rPr>
            </w:r>
          </w:p>
        </w:tc>
        <w:tc>
          <w:tcPr>
            <w:tcW w:w="2948" w:type="dxa"/>
          </w:tcPr>
          <w:p>
            <w:pPr>
              <w:pStyle w:val="0"/>
            </w:pPr>
            <w:r>
              <w:rPr>
                <w:sz w:val="24"/>
              </w:rPr>
              <w:t xml:space="preserve">ins-dic:ObGosStrZhIZdorVoenosluzhEnumerator</w:t>
            </w:r>
          </w:p>
        </w:tc>
      </w:tr>
      <w:tr>
        <w:tc>
          <w:tcPr>
            <w:tcW w:w="907" w:type="dxa"/>
          </w:tcPr>
          <w:bookmarkStart w:id="207" w:name="P207"/>
          <w:bookmarkEnd w:id="207"/>
          <w:p>
            <w:pPr>
              <w:pStyle w:val="0"/>
            </w:pPr>
            <w:r>
              <w:rPr>
                <w:sz w:val="24"/>
              </w:rPr>
              <w:t xml:space="preserve">30</w:t>
            </w:r>
          </w:p>
        </w:tc>
        <w:tc>
          <w:tcPr>
            <w:tcW w:w="2608" w:type="dxa"/>
          </w:tcPr>
          <w:p>
            <w:pPr>
              <w:pStyle w:val="0"/>
            </w:pPr>
            <w:r>
              <w:rPr>
                <w:sz w:val="24"/>
              </w:rPr>
              <w:t xml:space="preserve">Обязательное страхование гражданской ответственности владельцев транспортных средств</w:t>
            </w:r>
          </w:p>
        </w:tc>
        <w:tc>
          <w:tcPr>
            <w:tcW w:w="2608" w:type="dxa"/>
          </w:tcPr>
          <w:p>
            <w:pPr>
              <w:pStyle w:val="0"/>
            </w:pPr>
            <w:r>
              <w:rPr>
                <w:sz w:val="24"/>
              </w:rPr>
            </w:r>
          </w:p>
        </w:tc>
        <w:tc>
          <w:tcPr>
            <w:tcW w:w="2948" w:type="dxa"/>
          </w:tcPr>
          <w:p>
            <w:pPr>
              <w:pStyle w:val="0"/>
            </w:pPr>
            <w:r>
              <w:rPr>
                <w:sz w:val="24"/>
              </w:rPr>
              <w:t xml:space="preserve">ins-dic:OByazStrGOVladelczevTransportnyxSredstvEnumerator</w:t>
            </w:r>
          </w:p>
        </w:tc>
      </w:tr>
      <w:tr>
        <w:tc>
          <w:tcPr>
            <w:tcW w:w="907" w:type="dxa"/>
          </w:tcPr>
          <w:bookmarkStart w:id="211" w:name="P211"/>
          <w:bookmarkEnd w:id="211"/>
          <w:p>
            <w:pPr>
              <w:pStyle w:val="0"/>
            </w:pPr>
            <w:r>
              <w:rPr>
                <w:sz w:val="24"/>
              </w:rPr>
              <w:t xml:space="preserve">31</w:t>
            </w:r>
          </w:p>
        </w:tc>
        <w:tc>
          <w:tcPr>
            <w:tcW w:w="2608" w:type="dxa"/>
          </w:tcPr>
          <w:p>
            <w:pPr>
              <w:pStyle w:val="0"/>
            </w:pPr>
            <w:r>
              <w:rPr>
                <w:sz w:val="24"/>
              </w:rPr>
              <w:t xml:space="preserve">Обязательное страхование гражданской ответственности владельца опасного объекта за причинение вреда в результате аварии на опасном объекте</w:t>
            </w:r>
          </w:p>
        </w:tc>
        <w:tc>
          <w:tcPr>
            <w:tcW w:w="2608" w:type="dxa"/>
          </w:tcPr>
          <w:p>
            <w:pPr>
              <w:pStyle w:val="0"/>
            </w:pPr>
            <w:r>
              <w:rPr>
                <w:sz w:val="24"/>
              </w:rPr>
            </w:r>
          </w:p>
        </w:tc>
        <w:tc>
          <w:tcPr>
            <w:tcW w:w="2948" w:type="dxa"/>
          </w:tcPr>
          <w:p>
            <w:pPr>
              <w:pStyle w:val="0"/>
            </w:pPr>
            <w:r>
              <w:rPr>
                <w:sz w:val="24"/>
              </w:rPr>
              <w:t xml:space="preserve">ins-dic:OSGOVOOZaPrichinenieVredaVRezultateAvariiNaOObekteEnumerator</w:t>
            </w:r>
          </w:p>
        </w:tc>
      </w:tr>
      <w:tr>
        <w:tc>
          <w:tcPr>
            <w:tcW w:w="907" w:type="dxa"/>
          </w:tcPr>
          <w:bookmarkStart w:id="215" w:name="P215"/>
          <w:bookmarkEnd w:id="215"/>
          <w:p>
            <w:pPr>
              <w:pStyle w:val="0"/>
            </w:pPr>
            <w:r>
              <w:rPr>
                <w:sz w:val="24"/>
              </w:rPr>
              <w:t xml:space="preserve">32</w:t>
            </w:r>
          </w:p>
        </w:tc>
        <w:tc>
          <w:tcPr>
            <w:tcW w:w="2608"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w:t>
            </w:r>
          </w:p>
        </w:tc>
        <w:tc>
          <w:tcPr>
            <w:tcW w:w="2608" w:type="dxa"/>
          </w:tcPr>
          <w:p>
            <w:pPr>
              <w:pStyle w:val="0"/>
            </w:pPr>
            <w:r>
              <w:rPr>
                <w:sz w:val="24"/>
              </w:rPr>
            </w:r>
          </w:p>
        </w:tc>
        <w:tc>
          <w:tcPr>
            <w:tcW w:w="2948" w:type="dxa"/>
          </w:tcPr>
          <w:p>
            <w:pPr>
              <w:pStyle w:val="0"/>
            </w:pPr>
            <w:r>
              <w:rPr>
                <w:sz w:val="24"/>
              </w:rPr>
              <w:t xml:space="preserve">ins-dic:OBStrGOPerevZaPrichVredaZhZdorovImPassEnumerator</w:t>
            </w:r>
          </w:p>
        </w:tc>
      </w:tr>
      <w:tr>
        <w:tc>
          <w:tcPr>
            <w:tcW w:w="907" w:type="dxa"/>
          </w:tcPr>
          <w:bookmarkStart w:id="219" w:name="P219"/>
          <w:bookmarkEnd w:id="219"/>
          <w:p>
            <w:pPr>
              <w:pStyle w:val="0"/>
            </w:pPr>
            <w:r>
              <w:rPr>
                <w:sz w:val="24"/>
              </w:rPr>
              <w:t xml:space="preserve">33</w:t>
            </w:r>
          </w:p>
        </w:tc>
        <w:tc>
          <w:tcPr>
            <w:tcW w:w="2608" w:type="dxa"/>
          </w:tcPr>
          <w:p>
            <w:pPr>
              <w:pStyle w:val="0"/>
            </w:pPr>
            <w:r>
              <w:rPr>
                <w:sz w:val="24"/>
              </w:rPr>
              <w:t xml:space="preserve">Обязательное медицинское страхование</w:t>
            </w:r>
          </w:p>
        </w:tc>
        <w:tc>
          <w:tcPr>
            <w:tcW w:w="2608" w:type="dxa"/>
          </w:tcPr>
          <w:p>
            <w:pPr>
              <w:pStyle w:val="0"/>
            </w:pPr>
            <w:r>
              <w:rPr>
                <w:sz w:val="24"/>
              </w:rPr>
            </w:r>
          </w:p>
        </w:tc>
        <w:tc>
          <w:tcPr>
            <w:tcW w:w="2948" w:type="dxa"/>
          </w:tcPr>
          <w:p>
            <w:pPr>
              <w:pStyle w:val="0"/>
            </w:pPr>
            <w:r>
              <w:rPr>
                <w:sz w:val="24"/>
              </w:rPr>
              <w:t xml:space="preserve">ins-dic:ObyazatelnoeMediczinskoeStraxovanieEnumerator</w:t>
            </w:r>
          </w:p>
        </w:tc>
      </w:tr>
      <w:tr>
        <w:tc>
          <w:tcPr>
            <w:tcW w:w="907" w:type="dxa"/>
          </w:tcPr>
          <w:bookmarkStart w:id="223" w:name="P223"/>
          <w:bookmarkEnd w:id="223"/>
          <w:p>
            <w:pPr>
              <w:pStyle w:val="0"/>
            </w:pPr>
            <w:r>
              <w:rPr>
                <w:sz w:val="24"/>
              </w:rPr>
              <w:t xml:space="preserve">34</w:t>
            </w:r>
          </w:p>
        </w:tc>
        <w:tc>
          <w:tcPr>
            <w:tcW w:w="2608" w:type="dxa"/>
          </w:tcPr>
          <w:p>
            <w:pPr>
              <w:pStyle w:val="0"/>
            </w:pPr>
            <w:r>
              <w:rPr>
                <w:sz w:val="24"/>
              </w:rPr>
              <w:t xml:space="preserve">Виды обязательного страхования</w:t>
            </w:r>
          </w:p>
        </w:tc>
        <w:tc>
          <w:tcPr>
            <w:tcW w:w="2608" w:type="dxa"/>
          </w:tcPr>
          <w:p>
            <w:pPr>
              <w:pStyle w:val="0"/>
            </w:pPr>
            <w:r>
              <w:rPr>
                <w:sz w:val="24"/>
              </w:rPr>
            </w:r>
          </w:p>
        </w:tc>
        <w:tc>
          <w:tcPr>
            <w:tcW w:w="2948" w:type="dxa"/>
          </w:tcPr>
          <w:p>
            <w:pPr>
              <w:pStyle w:val="0"/>
            </w:pPr>
            <w:r>
              <w:rPr>
                <w:sz w:val="24"/>
              </w:rPr>
              <w:t xml:space="preserve">ins-dic:DopVidyDeyatelnostiEnumerator</w:t>
            </w:r>
          </w:p>
        </w:tc>
      </w:tr>
      <w:tr>
        <w:tc>
          <w:tcPr>
            <w:tcW w:w="907" w:type="dxa"/>
          </w:tcPr>
          <w:p>
            <w:pPr>
              <w:pStyle w:val="0"/>
            </w:pPr>
            <w:r>
              <w:rPr>
                <w:sz w:val="24"/>
              </w:rPr>
              <w:t xml:space="preserve">34.1</w:t>
            </w:r>
          </w:p>
        </w:tc>
        <w:tc>
          <w:tcPr>
            <w:tcW w:w="2608" w:type="dxa"/>
          </w:tcPr>
          <w:p>
            <w:pPr>
              <w:pStyle w:val="0"/>
            </w:pPr>
            <w:r>
              <w:rPr>
                <w:sz w:val="24"/>
              </w:rPr>
            </w:r>
          </w:p>
        </w:tc>
        <w:tc>
          <w:tcPr>
            <w:tcW w:w="2608" w:type="dxa"/>
          </w:tcPr>
          <w:p>
            <w:pPr>
              <w:pStyle w:val="0"/>
            </w:pPr>
            <w:r>
              <w:rPr>
                <w:sz w:val="24"/>
              </w:rPr>
              <w:t xml:space="preserve">Виды обязательного страхования</w:t>
            </w:r>
          </w:p>
        </w:tc>
        <w:tc>
          <w:tcPr>
            <w:tcW w:w="2948" w:type="dxa"/>
          </w:tcPr>
          <w:p>
            <w:pPr>
              <w:pStyle w:val="0"/>
            </w:pPr>
            <w:r>
              <w:rPr>
                <w:sz w:val="24"/>
              </w:rPr>
              <w:t xml:space="preserve">dim-int:DopVidyDeyatelnostiAxis</w:t>
            </w:r>
          </w:p>
        </w:tc>
      </w:tr>
      <w:tr>
        <w:tc>
          <w:tcPr>
            <w:tcW w:w="907" w:type="dxa"/>
          </w:tcPr>
          <w:bookmarkStart w:id="231" w:name="P231"/>
          <w:bookmarkEnd w:id="231"/>
          <w:p>
            <w:pPr>
              <w:pStyle w:val="0"/>
            </w:pPr>
            <w:r>
              <w:rPr>
                <w:sz w:val="24"/>
              </w:rPr>
              <w:t xml:space="preserve">35</w:t>
            </w:r>
          </w:p>
        </w:tc>
        <w:tc>
          <w:tcPr>
            <w:tcW w:w="2608" w:type="dxa"/>
          </w:tcPr>
          <w:p>
            <w:pPr>
              <w:pStyle w:val="0"/>
            </w:pPr>
            <w:r>
              <w:rPr>
                <w:sz w:val="24"/>
              </w:rPr>
              <w:t xml:space="preserve">Перестрахование</w:t>
            </w:r>
          </w:p>
        </w:tc>
        <w:tc>
          <w:tcPr>
            <w:tcW w:w="2608" w:type="dxa"/>
          </w:tcPr>
          <w:p>
            <w:pPr>
              <w:pStyle w:val="0"/>
            </w:pPr>
            <w:r>
              <w:rPr>
                <w:sz w:val="24"/>
              </w:rPr>
            </w:r>
          </w:p>
        </w:tc>
        <w:tc>
          <w:tcPr>
            <w:tcW w:w="2948" w:type="dxa"/>
          </w:tcPr>
          <w:p>
            <w:pPr>
              <w:pStyle w:val="0"/>
            </w:pPr>
            <w:r>
              <w:rPr>
                <w:sz w:val="24"/>
              </w:rPr>
              <w:t xml:space="preserve">ins-dic:PerestraxovanieEnumerator</w:t>
            </w:r>
          </w:p>
        </w:tc>
      </w:tr>
      <w:tr>
        <w:tc>
          <w:tcPr>
            <w:tcW w:w="907" w:type="dxa"/>
          </w:tcPr>
          <w:bookmarkStart w:id="235" w:name="P235"/>
          <w:bookmarkEnd w:id="235"/>
          <w:p>
            <w:pPr>
              <w:pStyle w:val="0"/>
            </w:pPr>
            <w:r>
              <w:rPr>
                <w:sz w:val="24"/>
              </w:rPr>
              <w:t xml:space="preserve">36</w:t>
            </w:r>
          </w:p>
        </w:tc>
        <w:tc>
          <w:tcPr>
            <w:tcW w:w="2608" w:type="dxa"/>
          </w:tcPr>
          <w:p>
            <w:pPr>
              <w:pStyle w:val="0"/>
            </w:pPr>
            <w:r>
              <w:rPr>
                <w:sz w:val="24"/>
              </w:rPr>
              <w:t xml:space="preserve">Взаимное страхование на основании договора страхования</w:t>
            </w:r>
          </w:p>
        </w:tc>
        <w:tc>
          <w:tcPr>
            <w:tcW w:w="2608" w:type="dxa"/>
          </w:tcPr>
          <w:p>
            <w:pPr>
              <w:pStyle w:val="0"/>
            </w:pPr>
            <w:r>
              <w:rPr>
                <w:sz w:val="24"/>
              </w:rPr>
            </w:r>
          </w:p>
        </w:tc>
        <w:tc>
          <w:tcPr>
            <w:tcW w:w="2948" w:type="dxa"/>
          </w:tcPr>
          <w:p>
            <w:pPr>
              <w:pStyle w:val="0"/>
            </w:pPr>
            <w:r>
              <w:rPr>
                <w:sz w:val="24"/>
              </w:rPr>
              <w:t xml:space="preserve">ins-dic:VzaimnoeStraxovanieNaOsnovaniiDogovoraStraxovaniyaEnumerator</w:t>
            </w:r>
          </w:p>
        </w:tc>
      </w:tr>
      <w:tr>
        <w:tc>
          <w:tcPr>
            <w:tcW w:w="907" w:type="dxa"/>
          </w:tcPr>
          <w:bookmarkStart w:id="239" w:name="P239"/>
          <w:bookmarkEnd w:id="239"/>
          <w:p>
            <w:pPr>
              <w:pStyle w:val="0"/>
            </w:pPr>
            <w:r>
              <w:rPr>
                <w:sz w:val="24"/>
              </w:rPr>
              <w:t xml:space="preserve">37</w:t>
            </w:r>
          </w:p>
        </w:tc>
        <w:tc>
          <w:tcPr>
            <w:tcW w:w="2608" w:type="dxa"/>
          </w:tcPr>
          <w:p>
            <w:pPr>
              <w:pStyle w:val="0"/>
            </w:pPr>
            <w:r>
              <w:rPr>
                <w:sz w:val="24"/>
              </w:rPr>
              <w:t xml:space="preserve">Взаимное страхование на основании устава</w:t>
            </w:r>
          </w:p>
        </w:tc>
        <w:tc>
          <w:tcPr>
            <w:tcW w:w="2608" w:type="dxa"/>
          </w:tcPr>
          <w:p>
            <w:pPr>
              <w:pStyle w:val="0"/>
            </w:pPr>
            <w:r>
              <w:rPr>
                <w:sz w:val="24"/>
              </w:rPr>
            </w:r>
          </w:p>
        </w:tc>
        <w:tc>
          <w:tcPr>
            <w:tcW w:w="2948" w:type="dxa"/>
          </w:tcPr>
          <w:p>
            <w:pPr>
              <w:pStyle w:val="0"/>
            </w:pPr>
            <w:r>
              <w:rPr>
                <w:sz w:val="24"/>
              </w:rPr>
              <w:t xml:space="preserve">ins-dic:VzaimnoeStraxovanieNaOsnovaniiUstavaEnumerator</w:t>
            </w:r>
          </w:p>
        </w:tc>
      </w:tr>
      <w:tr>
        <w:tc>
          <w:tcPr>
            <w:tcW w:w="907" w:type="dxa"/>
          </w:tcPr>
          <w:bookmarkStart w:id="243" w:name="P243"/>
          <w:bookmarkEnd w:id="243"/>
          <w:p>
            <w:pPr>
              <w:pStyle w:val="0"/>
            </w:pPr>
            <w:r>
              <w:rPr>
                <w:sz w:val="24"/>
              </w:rPr>
              <w:t xml:space="preserve">38</w:t>
            </w:r>
          </w:p>
        </w:tc>
        <w:tc>
          <w:tcPr>
            <w:tcW w:w="2608" w:type="dxa"/>
          </w:tcPr>
          <w:p>
            <w:pPr>
              <w:pStyle w:val="0"/>
            </w:pPr>
            <w:r>
              <w:rPr>
                <w:sz w:val="24"/>
              </w:rPr>
              <w:t xml:space="preserve">Осуществление иного вида обязательного страхования</w:t>
            </w:r>
          </w:p>
        </w:tc>
        <w:tc>
          <w:tcPr>
            <w:tcW w:w="2608" w:type="dxa"/>
          </w:tcPr>
          <w:p>
            <w:pPr>
              <w:pStyle w:val="0"/>
            </w:pPr>
            <w:r>
              <w:rPr>
                <w:sz w:val="24"/>
              </w:rPr>
            </w:r>
          </w:p>
        </w:tc>
        <w:tc>
          <w:tcPr>
            <w:tcW w:w="2948" w:type="dxa"/>
          </w:tcPr>
          <w:p>
            <w:pPr>
              <w:pStyle w:val="0"/>
            </w:pPr>
            <w:r>
              <w:rPr>
                <w:sz w:val="24"/>
              </w:rPr>
              <w:t xml:space="preserve">ins-dic:OsuwestvlenieInogoVidaObyazStr</w:t>
            </w:r>
          </w:p>
        </w:tc>
      </w:tr>
      <w:tr>
        <w:tc>
          <w:tcPr>
            <w:gridSpan w:val="4"/>
            <w:tcW w:w="9071" w:type="dxa"/>
          </w:tcPr>
          <w:bookmarkStart w:id="247" w:name="P247"/>
          <w:bookmarkEnd w:id="247"/>
          <w:p>
            <w:pPr>
              <w:pStyle w:val="0"/>
              <w:outlineLvl w:val="3"/>
            </w:pPr>
            <w:r>
              <w:rPr>
                <w:sz w:val="24"/>
              </w:rPr>
              <w:t xml:space="preserve">Раздел 2. Сведения о численности работников страховщика</w:t>
            </w:r>
          </w:p>
        </w:tc>
      </w:tr>
      <w:tr>
        <w:tc>
          <w:tcPr>
            <w:tcW w:w="907" w:type="dxa"/>
          </w:tcPr>
          <w:bookmarkStart w:id="248" w:name="P248"/>
          <w:bookmarkEnd w:id="248"/>
          <w:p>
            <w:pPr>
              <w:pStyle w:val="0"/>
            </w:pPr>
            <w:r>
              <w:rPr>
                <w:sz w:val="24"/>
              </w:rPr>
              <w:t xml:space="preserve">39</w:t>
            </w:r>
          </w:p>
        </w:tc>
        <w:tc>
          <w:tcPr>
            <w:tcW w:w="2608" w:type="dxa"/>
          </w:tcPr>
          <w:p>
            <w:pPr>
              <w:pStyle w:val="0"/>
            </w:pPr>
            <w:r>
              <w:rPr>
                <w:sz w:val="24"/>
              </w:rPr>
              <w:t xml:space="preserve">Численность работников страховщика, занятых в страховой деятельности</w:t>
            </w:r>
          </w:p>
        </w:tc>
        <w:tc>
          <w:tcPr>
            <w:tcW w:w="2608" w:type="dxa"/>
          </w:tcPr>
          <w:p>
            <w:pPr>
              <w:pStyle w:val="0"/>
            </w:pPr>
            <w:r>
              <w:rPr>
                <w:sz w:val="24"/>
              </w:rPr>
            </w:r>
          </w:p>
        </w:tc>
        <w:tc>
          <w:tcPr>
            <w:tcW w:w="2948" w:type="dxa"/>
          </w:tcPr>
          <w:p>
            <w:pPr>
              <w:pStyle w:val="0"/>
            </w:pPr>
            <w:r>
              <w:rPr>
                <w:sz w:val="24"/>
              </w:rPr>
              <w:t xml:space="preserve">ins-dic:Chislennost_Zanyatyx_V_Strax_DeyatTi</w:t>
            </w:r>
          </w:p>
        </w:tc>
      </w:tr>
      <w:tr>
        <w:tc>
          <w:tcPr>
            <w:gridSpan w:val="4"/>
            <w:tcW w:w="9071" w:type="dxa"/>
          </w:tcPr>
          <w:bookmarkStart w:id="252" w:name="P252"/>
          <w:bookmarkEnd w:id="252"/>
          <w:p>
            <w:pPr>
              <w:pStyle w:val="0"/>
              <w:outlineLvl w:val="3"/>
            </w:pPr>
            <w:r>
              <w:rPr>
                <w:sz w:val="24"/>
              </w:rPr>
              <w:t xml:space="preserve">Раздел 3. Сведения о членстве в саморегулируемой организации в сфере финансового рынка и объединениях субъектов страхового дела</w:t>
            </w:r>
          </w:p>
        </w:tc>
      </w:tr>
      <w:tr>
        <w:tc>
          <w:tcPr>
            <w:tcW w:w="907" w:type="dxa"/>
          </w:tcPr>
          <w:bookmarkStart w:id="253" w:name="P253"/>
          <w:bookmarkEnd w:id="253"/>
          <w:p>
            <w:pPr>
              <w:pStyle w:val="0"/>
            </w:pPr>
            <w:r>
              <w:rPr>
                <w:sz w:val="24"/>
              </w:rPr>
              <w:t xml:space="preserve">40</w:t>
            </w:r>
          </w:p>
        </w:tc>
        <w:tc>
          <w:tcPr>
            <w:tcW w:w="2608" w:type="dxa"/>
          </w:tcPr>
          <w:p>
            <w:pPr>
              <w:pStyle w:val="0"/>
            </w:pPr>
            <w:r>
              <w:rPr>
                <w:sz w:val="24"/>
              </w:rPr>
              <w:t xml:space="preserve">Дата вступления в члены саморегулируемой организации в сфере финансового рынка, объединения субъектов страхового дела</w:t>
            </w:r>
          </w:p>
        </w:tc>
        <w:tc>
          <w:tcPr>
            <w:tcW w:w="2608" w:type="dxa"/>
          </w:tcPr>
          <w:p>
            <w:pPr>
              <w:pStyle w:val="0"/>
            </w:pPr>
            <w:r>
              <w:rPr>
                <w:sz w:val="24"/>
              </w:rPr>
            </w:r>
          </w:p>
        </w:tc>
        <w:tc>
          <w:tcPr>
            <w:tcW w:w="2948" w:type="dxa"/>
          </w:tcPr>
          <w:p>
            <w:pPr>
              <w:pStyle w:val="0"/>
            </w:pPr>
            <w:r>
              <w:rPr>
                <w:sz w:val="24"/>
              </w:rPr>
              <w:t xml:space="preserve">ins-dic:Data_Chlenstvo_Sro_Obed_Ssd</w:t>
            </w:r>
          </w:p>
        </w:tc>
      </w:tr>
      <w:tr>
        <w:tc>
          <w:tcPr>
            <w:tcW w:w="907" w:type="dxa"/>
          </w:tcPr>
          <w:p>
            <w:pPr>
              <w:pStyle w:val="0"/>
            </w:pPr>
            <w:r>
              <w:rPr>
                <w:sz w:val="24"/>
              </w:rPr>
              <w:t xml:space="preserve">40.1</w:t>
            </w:r>
          </w:p>
        </w:tc>
        <w:tc>
          <w:tcPr>
            <w:tcW w:w="2608" w:type="dxa"/>
          </w:tcPr>
          <w:p>
            <w:pPr>
              <w:pStyle w:val="0"/>
            </w:pPr>
            <w:r>
              <w:rPr>
                <w:sz w:val="24"/>
              </w:rPr>
            </w:r>
          </w:p>
        </w:tc>
        <w:tc>
          <w:tcPr>
            <w:tcW w:w="2608" w:type="dxa"/>
          </w:tcPr>
          <w:p>
            <w:pPr>
              <w:pStyle w:val="0"/>
            </w:pPr>
            <w:r>
              <w:rPr>
                <w:sz w:val="24"/>
              </w:rPr>
              <w:t xml:space="preserve">Идентификатор саморегулируемой организации в сфере финансового рынка, объединения субъектов страхового дела</w:t>
            </w:r>
          </w:p>
        </w:tc>
        <w:tc>
          <w:tcPr>
            <w:tcW w:w="2948" w:type="dxa"/>
          </w:tcPr>
          <w:p>
            <w:pPr>
              <w:pStyle w:val="0"/>
            </w:pPr>
            <w:r>
              <w:rPr>
                <w:sz w:val="24"/>
              </w:rPr>
              <w:t xml:space="preserve">dim-int:ID_SROTaxis</w:t>
            </w:r>
          </w:p>
        </w:tc>
      </w:tr>
      <w:tr>
        <w:tc>
          <w:tcPr>
            <w:gridSpan w:val="4"/>
            <w:tcW w:w="9071" w:type="dxa"/>
          </w:tcPr>
          <w:bookmarkStart w:id="261" w:name="P261"/>
          <w:bookmarkEnd w:id="261"/>
          <w:p>
            <w:pPr>
              <w:pStyle w:val="0"/>
              <w:outlineLvl w:val="3"/>
            </w:pPr>
            <w:r>
              <w:rPr>
                <w:sz w:val="24"/>
              </w:rPr>
              <w:t xml:space="preserve">Раздел 4. Перечень групп видов страхования и портфелей договоров</w:t>
            </w:r>
          </w:p>
        </w:tc>
      </w:tr>
      <w:tr>
        <w:tc>
          <w:tcPr>
            <w:tcW w:w="907" w:type="dxa"/>
          </w:tcPr>
          <w:bookmarkStart w:id="262" w:name="P262"/>
          <w:bookmarkEnd w:id="262"/>
          <w:p>
            <w:pPr>
              <w:pStyle w:val="0"/>
            </w:pPr>
            <w:r>
              <w:rPr>
                <w:sz w:val="24"/>
              </w:rPr>
              <w:t xml:space="preserve">41</w:t>
            </w:r>
          </w:p>
        </w:tc>
        <w:tc>
          <w:tcPr>
            <w:tcW w:w="2608" w:type="dxa"/>
          </w:tcPr>
          <w:p>
            <w:pPr>
              <w:pStyle w:val="0"/>
            </w:pPr>
            <w:r>
              <w:rPr>
                <w:sz w:val="24"/>
              </w:rPr>
              <w:t xml:space="preserve">Группы видов страхования</w:t>
            </w:r>
          </w:p>
        </w:tc>
        <w:tc>
          <w:tcPr>
            <w:tcW w:w="2608" w:type="dxa"/>
          </w:tcPr>
          <w:p>
            <w:pPr>
              <w:pStyle w:val="0"/>
            </w:pPr>
            <w:r>
              <w:rPr>
                <w:sz w:val="24"/>
              </w:rPr>
            </w:r>
          </w:p>
        </w:tc>
        <w:tc>
          <w:tcPr>
            <w:tcW w:w="2948" w:type="dxa"/>
          </w:tcPr>
          <w:p>
            <w:pPr>
              <w:pStyle w:val="0"/>
            </w:pPr>
            <w:r>
              <w:rPr>
                <w:sz w:val="24"/>
              </w:rPr>
              <w:t xml:space="preserve">ins-dic:LinBizEnumerator</w:t>
            </w:r>
          </w:p>
        </w:tc>
      </w:tr>
      <w:tr>
        <w:tc>
          <w:tcPr>
            <w:tcW w:w="907" w:type="dxa"/>
          </w:tcPr>
          <w:p>
            <w:pPr>
              <w:pStyle w:val="0"/>
            </w:pPr>
            <w:r>
              <w:rPr>
                <w:sz w:val="24"/>
              </w:rPr>
              <w:t xml:space="preserve">41.1</w:t>
            </w:r>
          </w:p>
        </w:tc>
        <w:tc>
          <w:tcPr>
            <w:tcW w:w="2608" w:type="dxa"/>
          </w:tcPr>
          <w:p>
            <w:pPr>
              <w:pStyle w:val="0"/>
            </w:pPr>
            <w:r>
              <w:rPr>
                <w:sz w:val="24"/>
              </w:rPr>
            </w:r>
          </w:p>
        </w:tc>
        <w:tc>
          <w:tcPr>
            <w:tcW w:w="2608" w:type="dxa"/>
          </w:tcPr>
          <w:p>
            <w:pPr>
              <w:pStyle w:val="0"/>
            </w:pPr>
            <w:r>
              <w:rPr>
                <w:sz w:val="24"/>
              </w:rPr>
              <w:t xml:space="preserve">Идентификатор строки перечня групп видов страхования</w:t>
            </w:r>
          </w:p>
        </w:tc>
        <w:tc>
          <w:tcPr>
            <w:tcW w:w="2948" w:type="dxa"/>
          </w:tcPr>
          <w:p>
            <w:pPr>
              <w:pStyle w:val="0"/>
            </w:pPr>
            <w:r>
              <w:rPr>
                <w:sz w:val="24"/>
              </w:rPr>
              <w:t xml:space="preserve">dim-int:IdStrReestrLinBizTaxis</w:t>
            </w:r>
          </w:p>
        </w:tc>
      </w:tr>
      <w:tr>
        <w:tc>
          <w:tcPr>
            <w:tcW w:w="907" w:type="dxa"/>
          </w:tcPr>
          <w:bookmarkStart w:id="270" w:name="P270"/>
          <w:bookmarkEnd w:id="270"/>
          <w:p>
            <w:pPr>
              <w:pStyle w:val="0"/>
            </w:pPr>
            <w:r>
              <w:rPr>
                <w:sz w:val="24"/>
              </w:rPr>
              <w:t xml:space="preserve">42</w:t>
            </w:r>
          </w:p>
        </w:tc>
        <w:tc>
          <w:tcPr>
            <w:tcW w:w="2608" w:type="dxa"/>
          </w:tcPr>
          <w:p>
            <w:pPr>
              <w:pStyle w:val="0"/>
            </w:pPr>
            <w:r>
              <w:rPr>
                <w:sz w:val="24"/>
              </w:rPr>
              <w:t xml:space="preserve">Номер портфеля договоров</w:t>
            </w:r>
          </w:p>
        </w:tc>
        <w:tc>
          <w:tcPr>
            <w:tcW w:w="2608" w:type="dxa"/>
          </w:tcPr>
          <w:p>
            <w:pPr>
              <w:pStyle w:val="0"/>
            </w:pPr>
            <w:r>
              <w:rPr>
                <w:sz w:val="24"/>
              </w:rPr>
            </w:r>
          </w:p>
        </w:tc>
        <w:tc>
          <w:tcPr>
            <w:tcW w:w="2948" w:type="dxa"/>
          </w:tcPr>
          <w:p>
            <w:pPr>
              <w:pStyle w:val="0"/>
            </w:pPr>
            <w:r>
              <w:rPr>
                <w:sz w:val="24"/>
              </w:rPr>
              <w:t xml:space="preserve">ins-dic:NomPortf</w:t>
            </w:r>
          </w:p>
        </w:tc>
      </w:tr>
      <w:tr>
        <w:tc>
          <w:tcPr>
            <w:tcW w:w="907" w:type="dxa"/>
          </w:tcPr>
          <w:p>
            <w:pPr>
              <w:pStyle w:val="0"/>
            </w:pPr>
            <w:r>
              <w:rPr>
                <w:sz w:val="24"/>
              </w:rPr>
              <w:t xml:space="preserve">42.1</w:t>
            </w:r>
          </w:p>
        </w:tc>
        <w:tc>
          <w:tcPr>
            <w:tcW w:w="2608" w:type="dxa"/>
          </w:tcPr>
          <w:p>
            <w:pPr>
              <w:pStyle w:val="0"/>
            </w:pPr>
            <w:r>
              <w:rPr>
                <w:sz w:val="24"/>
              </w:rPr>
            </w:r>
          </w:p>
        </w:tc>
        <w:tc>
          <w:tcPr>
            <w:tcW w:w="2608" w:type="dxa"/>
          </w:tcPr>
          <w:p>
            <w:pPr>
              <w:pStyle w:val="0"/>
            </w:pPr>
            <w:r>
              <w:rPr>
                <w:sz w:val="24"/>
              </w:rPr>
              <w:t xml:space="preserve">Идентификатор строки перечня групп видов страхования</w:t>
            </w:r>
          </w:p>
        </w:tc>
        <w:tc>
          <w:tcPr>
            <w:tcW w:w="2948" w:type="dxa"/>
          </w:tcPr>
          <w:p>
            <w:pPr>
              <w:pStyle w:val="0"/>
            </w:pPr>
            <w:r>
              <w:rPr>
                <w:sz w:val="24"/>
              </w:rPr>
              <w:t xml:space="preserve">dim-int:IdStrReestrLinBizTaxis</w:t>
            </w:r>
          </w:p>
        </w:tc>
      </w:tr>
      <w:tr>
        <w:tc>
          <w:tcPr>
            <w:tcW w:w="907" w:type="dxa"/>
          </w:tcPr>
          <w:bookmarkStart w:id="278" w:name="P278"/>
          <w:bookmarkEnd w:id="278"/>
          <w:p>
            <w:pPr>
              <w:pStyle w:val="0"/>
            </w:pPr>
            <w:r>
              <w:rPr>
                <w:sz w:val="24"/>
              </w:rPr>
              <w:t xml:space="preserve">43</w:t>
            </w:r>
          </w:p>
        </w:tc>
        <w:tc>
          <w:tcPr>
            <w:tcW w:w="2608" w:type="dxa"/>
          </w:tcPr>
          <w:p>
            <w:pPr>
              <w:pStyle w:val="0"/>
            </w:pPr>
            <w:r>
              <w:rPr>
                <w:sz w:val="24"/>
              </w:rPr>
              <w:t xml:space="preserve">Краткое описание портфеля договоров</w:t>
            </w:r>
          </w:p>
        </w:tc>
        <w:tc>
          <w:tcPr>
            <w:tcW w:w="2608" w:type="dxa"/>
          </w:tcPr>
          <w:p>
            <w:pPr>
              <w:pStyle w:val="0"/>
            </w:pPr>
            <w:r>
              <w:rPr>
                <w:sz w:val="24"/>
              </w:rPr>
            </w:r>
          </w:p>
        </w:tc>
        <w:tc>
          <w:tcPr>
            <w:tcW w:w="2948" w:type="dxa"/>
          </w:tcPr>
          <w:p>
            <w:pPr>
              <w:pStyle w:val="0"/>
            </w:pPr>
            <w:r>
              <w:rPr>
                <w:sz w:val="24"/>
              </w:rPr>
              <w:t xml:space="preserve">ins-dic:KratOpisPortf</w:t>
            </w:r>
          </w:p>
        </w:tc>
      </w:tr>
      <w:tr>
        <w:tc>
          <w:tcPr>
            <w:tcW w:w="907" w:type="dxa"/>
          </w:tcPr>
          <w:p>
            <w:pPr>
              <w:pStyle w:val="0"/>
            </w:pPr>
            <w:r>
              <w:rPr>
                <w:sz w:val="24"/>
              </w:rPr>
              <w:t xml:space="preserve">43.1</w:t>
            </w:r>
          </w:p>
        </w:tc>
        <w:tc>
          <w:tcPr>
            <w:tcW w:w="2608" w:type="dxa"/>
          </w:tcPr>
          <w:p>
            <w:pPr>
              <w:pStyle w:val="0"/>
            </w:pPr>
            <w:r>
              <w:rPr>
                <w:sz w:val="24"/>
              </w:rPr>
            </w:r>
          </w:p>
        </w:tc>
        <w:tc>
          <w:tcPr>
            <w:tcW w:w="2608" w:type="dxa"/>
          </w:tcPr>
          <w:p>
            <w:pPr>
              <w:pStyle w:val="0"/>
            </w:pPr>
            <w:r>
              <w:rPr>
                <w:sz w:val="24"/>
              </w:rPr>
              <w:t xml:space="preserve">Идентификатор строки перечня групп видов страхования</w:t>
            </w:r>
          </w:p>
        </w:tc>
        <w:tc>
          <w:tcPr>
            <w:tcW w:w="2948" w:type="dxa"/>
          </w:tcPr>
          <w:p>
            <w:pPr>
              <w:pStyle w:val="0"/>
            </w:pPr>
            <w:r>
              <w:rPr>
                <w:sz w:val="24"/>
              </w:rPr>
              <w:t xml:space="preserve">dim-int:IdStrReestrLinBizTaxis</w:t>
            </w:r>
          </w:p>
        </w:tc>
      </w:tr>
      <w:tr>
        <w:tc>
          <w:tcPr>
            <w:gridSpan w:val="4"/>
            <w:tcW w:w="9071" w:type="dxa"/>
          </w:tcPr>
          <w:bookmarkStart w:id="286" w:name="P286"/>
          <w:bookmarkEnd w:id="286"/>
          <w:p>
            <w:pPr>
              <w:pStyle w:val="0"/>
              <w:outlineLvl w:val="3"/>
            </w:pPr>
            <w:r>
              <w:rPr>
                <w:sz w:val="24"/>
              </w:rPr>
              <w:t xml:space="preserve">Раздел 5. Сведения из аудиторского заключения о годовой бухгалтерской (финансовой) отчетности страховщика</w:t>
            </w:r>
          </w:p>
        </w:tc>
      </w:tr>
      <w:tr>
        <w:tc>
          <w:tcPr>
            <w:tcW w:w="907" w:type="dxa"/>
          </w:tcPr>
          <w:bookmarkStart w:id="287" w:name="P287"/>
          <w:bookmarkEnd w:id="287"/>
          <w:p>
            <w:pPr>
              <w:pStyle w:val="0"/>
            </w:pPr>
            <w:r>
              <w:rPr>
                <w:sz w:val="24"/>
              </w:rPr>
              <w:t xml:space="preserve">44</w:t>
            </w:r>
          </w:p>
        </w:tc>
        <w:tc>
          <w:tcPr>
            <w:tcW w:w="2608" w:type="dxa"/>
          </w:tcPr>
          <w:p>
            <w:pPr>
              <w:pStyle w:val="0"/>
            </w:pPr>
            <w:r>
              <w:rPr>
                <w:sz w:val="24"/>
              </w:rPr>
              <w:t xml:space="preserve">Дата аудиторского заключения</w:t>
            </w:r>
          </w:p>
        </w:tc>
        <w:tc>
          <w:tcPr>
            <w:tcW w:w="2608" w:type="dxa"/>
          </w:tcPr>
          <w:p>
            <w:pPr>
              <w:pStyle w:val="0"/>
            </w:pPr>
            <w:r>
              <w:rPr>
                <w:sz w:val="24"/>
              </w:rPr>
            </w:r>
          </w:p>
        </w:tc>
        <w:tc>
          <w:tcPr>
            <w:tcW w:w="2948" w:type="dxa"/>
          </w:tcPr>
          <w:p>
            <w:pPr>
              <w:pStyle w:val="0"/>
            </w:pPr>
            <w:r>
              <w:rPr>
                <w:sz w:val="24"/>
              </w:rPr>
              <w:t xml:space="preserve">nfo-dic:Data_Sost_Audzakl</w:t>
            </w:r>
          </w:p>
        </w:tc>
      </w:tr>
      <w:tr>
        <w:tc>
          <w:tcPr>
            <w:tcW w:w="907" w:type="dxa"/>
          </w:tcPr>
          <w:p>
            <w:pPr>
              <w:pStyle w:val="0"/>
            </w:pPr>
            <w:r>
              <w:rPr>
                <w:sz w:val="24"/>
              </w:rPr>
              <w:t xml:space="preserve">44.1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295" w:name="P295"/>
          <w:bookmarkEnd w:id="295"/>
          <w:p>
            <w:pPr>
              <w:pStyle w:val="0"/>
            </w:pPr>
            <w:r>
              <w:rPr>
                <w:sz w:val="24"/>
              </w:rPr>
              <w:t xml:space="preserve">45</w:t>
            </w:r>
          </w:p>
        </w:tc>
        <w:tc>
          <w:tcPr>
            <w:tcW w:w="2608" w:type="dxa"/>
          </w:tcPr>
          <w:p>
            <w:pPr>
              <w:pStyle w:val="0"/>
            </w:pPr>
            <w:r>
              <w:rPr>
                <w:sz w:val="24"/>
              </w:rPr>
              <w:t xml:space="preserve">Мнение, выраженное в аудиторском заключении</w:t>
            </w:r>
          </w:p>
        </w:tc>
        <w:tc>
          <w:tcPr>
            <w:tcW w:w="2608" w:type="dxa"/>
          </w:tcPr>
          <w:p>
            <w:pPr>
              <w:pStyle w:val="0"/>
            </w:pPr>
            <w:r>
              <w:rPr>
                <w:sz w:val="24"/>
              </w:rPr>
            </w:r>
          </w:p>
        </w:tc>
        <w:tc>
          <w:tcPr>
            <w:tcW w:w="2948" w:type="dxa"/>
          </w:tcPr>
          <w:p>
            <w:pPr>
              <w:pStyle w:val="0"/>
            </w:pPr>
            <w:r>
              <w:rPr>
                <w:sz w:val="24"/>
              </w:rPr>
              <w:t xml:space="preserve">nfo-dic:Mnenie_AudZaklEnumerator</w:t>
            </w:r>
          </w:p>
        </w:tc>
      </w:tr>
      <w:tr>
        <w:tc>
          <w:tcPr>
            <w:tcW w:w="907" w:type="dxa"/>
          </w:tcPr>
          <w:p>
            <w:pPr>
              <w:pStyle w:val="0"/>
            </w:pPr>
            <w:r>
              <w:rPr>
                <w:sz w:val="24"/>
              </w:rPr>
              <w:t xml:space="preserve">45.1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303" w:name="P303"/>
          <w:bookmarkEnd w:id="303"/>
          <w:p>
            <w:pPr>
              <w:pStyle w:val="0"/>
            </w:pPr>
            <w:r>
              <w:rPr>
                <w:sz w:val="24"/>
              </w:rPr>
              <w:t xml:space="preserve">46</w:t>
            </w:r>
          </w:p>
        </w:tc>
        <w:tc>
          <w:tcPr>
            <w:tcW w:w="2608" w:type="dxa"/>
          </w:tcPr>
          <w:p>
            <w:pPr>
              <w:pStyle w:val="0"/>
            </w:pPr>
            <w:r>
              <w:rPr>
                <w:sz w:val="24"/>
              </w:rPr>
              <w:t xml:space="preserve">Фамилия, имя, отчество (при наличии) руководителя аудита,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nfo-dic:FamIniczLiczaPodpisAZ</w:t>
            </w:r>
          </w:p>
        </w:tc>
      </w:tr>
      <w:tr>
        <w:tc>
          <w:tcPr>
            <w:tcW w:w="907" w:type="dxa"/>
          </w:tcPr>
          <w:p>
            <w:pPr>
              <w:pStyle w:val="0"/>
            </w:pPr>
            <w:r>
              <w:rPr>
                <w:sz w:val="24"/>
              </w:rPr>
              <w:t xml:space="preserve">46.1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311" w:name="P311"/>
          <w:bookmarkEnd w:id="311"/>
          <w:p>
            <w:pPr>
              <w:pStyle w:val="0"/>
            </w:pPr>
            <w:r>
              <w:rPr>
                <w:sz w:val="24"/>
              </w:rPr>
              <w:t xml:space="preserve">47</w:t>
            </w:r>
          </w:p>
        </w:tc>
        <w:tc>
          <w:tcPr>
            <w:tcW w:w="2608" w:type="dxa"/>
          </w:tcPr>
          <w:p>
            <w:pPr>
              <w:pStyle w:val="0"/>
            </w:pPr>
            <w:r>
              <w:rPr>
                <w:sz w:val="24"/>
              </w:rPr>
              <w:t xml:space="preserve">Основной регистрационный номер записи (ОРНЗ) руководителя аудита,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nfo-dic:OsnRegNom_RukAud_PodpisAZ</w:t>
            </w:r>
          </w:p>
        </w:tc>
      </w:tr>
      <w:tr>
        <w:tc>
          <w:tcPr>
            <w:tcW w:w="907" w:type="dxa"/>
          </w:tcPr>
          <w:p>
            <w:pPr>
              <w:pStyle w:val="0"/>
            </w:pPr>
            <w:r>
              <w:rPr>
                <w:sz w:val="24"/>
              </w:rPr>
              <w:t xml:space="preserve">47.1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319" w:name="P319"/>
          <w:bookmarkEnd w:id="319"/>
          <w:p>
            <w:pPr>
              <w:pStyle w:val="0"/>
            </w:pPr>
            <w:r>
              <w:rPr>
                <w:sz w:val="24"/>
              </w:rPr>
              <w:t xml:space="preserve">48</w:t>
            </w:r>
          </w:p>
        </w:tc>
        <w:tc>
          <w:tcPr>
            <w:tcW w:w="2608" w:type="dxa"/>
          </w:tcPr>
          <w:p>
            <w:pPr>
              <w:pStyle w:val="0"/>
            </w:pPr>
            <w:r>
              <w:rPr>
                <w:sz w:val="24"/>
              </w:rPr>
              <w:t xml:space="preserve">Номер квалификационного аттестата аудитора, выданного руководителю аудита, подписавшему аудиторское заключение</w:t>
            </w:r>
          </w:p>
        </w:tc>
        <w:tc>
          <w:tcPr>
            <w:tcW w:w="2608" w:type="dxa"/>
          </w:tcPr>
          <w:p>
            <w:pPr>
              <w:pStyle w:val="0"/>
            </w:pPr>
            <w:r>
              <w:rPr>
                <w:sz w:val="24"/>
              </w:rPr>
            </w:r>
          </w:p>
        </w:tc>
        <w:tc>
          <w:tcPr>
            <w:tcW w:w="2948" w:type="dxa"/>
          </w:tcPr>
          <w:p>
            <w:pPr>
              <w:pStyle w:val="0"/>
            </w:pPr>
            <w:r>
              <w:rPr>
                <w:sz w:val="24"/>
              </w:rPr>
              <w:t xml:space="preserve">nfo:dic:Nomer_KvalAttestat_Aud</w:t>
            </w:r>
          </w:p>
        </w:tc>
      </w:tr>
      <w:tr>
        <w:tc>
          <w:tcPr>
            <w:tcW w:w="907" w:type="dxa"/>
          </w:tcPr>
          <w:p>
            <w:pPr>
              <w:pStyle w:val="0"/>
            </w:pPr>
            <w:r>
              <w:rPr>
                <w:sz w:val="24"/>
              </w:rPr>
              <w:t xml:space="preserve">48.1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327" w:name="P327"/>
          <w:bookmarkEnd w:id="327"/>
          <w:p>
            <w:pPr>
              <w:pStyle w:val="0"/>
            </w:pPr>
            <w:r>
              <w:rPr>
                <w:sz w:val="24"/>
              </w:rPr>
              <w:t xml:space="preserve">49</w:t>
            </w:r>
          </w:p>
        </w:tc>
        <w:tc>
          <w:tcPr>
            <w:tcW w:w="2608" w:type="dxa"/>
          </w:tcPr>
          <w:p>
            <w:pPr>
              <w:pStyle w:val="0"/>
            </w:pPr>
            <w:r>
              <w:rPr>
                <w:sz w:val="24"/>
              </w:rPr>
              <w:t xml:space="preserve">Фамилия, имя, отчество (при наличии) руководителя аудиторской организации или уполномоченного им лица,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nfo-dic:FamiliyaIORukAudOrg_UpolnImLicza_PodpisAZ</w:t>
            </w:r>
          </w:p>
        </w:tc>
      </w:tr>
      <w:tr>
        <w:tc>
          <w:tcPr>
            <w:tcW w:w="907" w:type="dxa"/>
          </w:tcPr>
          <w:p>
            <w:pPr>
              <w:pStyle w:val="0"/>
            </w:pPr>
            <w:r>
              <w:rPr>
                <w:sz w:val="24"/>
              </w:rPr>
              <w:t xml:space="preserve">49.1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335" w:name="P335"/>
          <w:bookmarkEnd w:id="335"/>
          <w:p>
            <w:pPr>
              <w:pStyle w:val="0"/>
            </w:pPr>
            <w:r>
              <w:rPr>
                <w:sz w:val="24"/>
              </w:rPr>
              <w:t xml:space="preserve">50</w:t>
            </w:r>
          </w:p>
        </w:tc>
        <w:tc>
          <w:tcPr>
            <w:tcW w:w="2608" w:type="dxa"/>
          </w:tcPr>
          <w:p>
            <w:pPr>
              <w:pStyle w:val="0"/>
            </w:pPr>
            <w:r>
              <w:rPr>
                <w:sz w:val="24"/>
              </w:rPr>
              <w:t xml:space="preserve">Основной регистрационный номер записи (ОРНЗ) руководителя аудиторской организации или уполномоченного им лица,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nfo-dic:OsnRegNom_RukAudOrg_UpolnImLicza_PodpisAZ</w:t>
            </w:r>
          </w:p>
        </w:tc>
      </w:tr>
      <w:tr>
        <w:tc>
          <w:tcPr>
            <w:tcW w:w="907" w:type="dxa"/>
          </w:tcPr>
          <w:p>
            <w:pPr>
              <w:pStyle w:val="0"/>
            </w:pPr>
            <w:r>
              <w:rPr>
                <w:sz w:val="24"/>
              </w:rPr>
              <w:t xml:space="preserve">50.1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343" w:name="P343"/>
          <w:bookmarkEnd w:id="343"/>
          <w:p>
            <w:pPr>
              <w:pStyle w:val="0"/>
            </w:pPr>
            <w:r>
              <w:rPr>
                <w:sz w:val="24"/>
              </w:rPr>
              <w:t xml:space="preserve">51</w:t>
            </w:r>
          </w:p>
        </w:tc>
        <w:tc>
          <w:tcPr>
            <w:tcW w:w="2608" w:type="dxa"/>
          </w:tcPr>
          <w:p>
            <w:pPr>
              <w:pStyle w:val="0"/>
            </w:pPr>
            <w:r>
              <w:rPr>
                <w:sz w:val="24"/>
              </w:rPr>
              <w:t xml:space="preserve">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w:t>
            </w:r>
          </w:p>
        </w:tc>
        <w:tc>
          <w:tcPr>
            <w:tcW w:w="2608" w:type="dxa"/>
          </w:tcPr>
          <w:p>
            <w:pPr>
              <w:pStyle w:val="0"/>
            </w:pPr>
            <w:r>
              <w:rPr>
                <w:sz w:val="24"/>
              </w:rPr>
            </w:r>
          </w:p>
        </w:tc>
        <w:tc>
          <w:tcPr>
            <w:tcW w:w="2948" w:type="dxa"/>
          </w:tcPr>
          <w:p>
            <w:pPr>
              <w:pStyle w:val="0"/>
            </w:pPr>
            <w:r>
              <w:rPr>
                <w:sz w:val="24"/>
              </w:rPr>
              <w:t xml:space="preserve">nfo-dic:Nomer_KvalAttestAud_VydRukAudOrg_UpolnImLiczu_PodpisAZ</w:t>
            </w:r>
          </w:p>
        </w:tc>
      </w:tr>
      <w:tr>
        <w:tc>
          <w:tcPr>
            <w:tcW w:w="907" w:type="dxa"/>
          </w:tcPr>
          <w:p>
            <w:pPr>
              <w:pStyle w:val="0"/>
            </w:pPr>
            <w:r>
              <w:rPr>
                <w:sz w:val="24"/>
              </w:rPr>
              <w:t xml:space="preserve">51.1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351" w:name="P351"/>
          <w:bookmarkEnd w:id="351"/>
          <w:p>
            <w:pPr>
              <w:pStyle w:val="0"/>
            </w:pPr>
            <w:r>
              <w:rPr>
                <w:sz w:val="24"/>
              </w:rPr>
              <w:t xml:space="preserve">52</w:t>
            </w:r>
          </w:p>
        </w:tc>
        <w:tc>
          <w:tcPr>
            <w:tcW w:w="2608" w:type="dxa"/>
          </w:tcPr>
          <w:p>
            <w:pPr>
              <w:pStyle w:val="0"/>
            </w:pPr>
            <w:r>
              <w:rPr>
                <w:sz w:val="24"/>
              </w:rPr>
              <w:t xml:space="preserve">Дата составления проаудированной годовой бухгалтерской (финансовой) отчетности</w:t>
            </w:r>
          </w:p>
        </w:tc>
        <w:tc>
          <w:tcPr>
            <w:tcW w:w="2608" w:type="dxa"/>
          </w:tcPr>
          <w:p>
            <w:pPr>
              <w:pStyle w:val="0"/>
            </w:pPr>
            <w:r>
              <w:rPr>
                <w:sz w:val="24"/>
              </w:rPr>
            </w:r>
          </w:p>
        </w:tc>
        <w:tc>
          <w:tcPr>
            <w:tcW w:w="2948" w:type="dxa"/>
          </w:tcPr>
          <w:p>
            <w:pPr>
              <w:pStyle w:val="0"/>
            </w:pPr>
            <w:r>
              <w:rPr>
                <w:sz w:val="24"/>
              </w:rPr>
              <w:t xml:space="preserve">ins-dic:DataSostavleniyaOtchetnostiProaudirovannoj</w:t>
            </w:r>
          </w:p>
        </w:tc>
      </w:tr>
      <w:tr>
        <w:tc>
          <w:tcPr>
            <w:tcW w:w="907" w:type="dxa"/>
          </w:tcPr>
          <w:p>
            <w:pPr>
              <w:pStyle w:val="0"/>
            </w:pPr>
            <w:r>
              <w:rPr>
                <w:sz w:val="24"/>
              </w:rPr>
              <w:t xml:space="preserve">52.1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gridSpan w:val="4"/>
            <w:tcW w:w="9071" w:type="dxa"/>
          </w:tcPr>
          <w:bookmarkStart w:id="359" w:name="P359"/>
          <w:bookmarkEnd w:id="359"/>
          <w:p>
            <w:pPr>
              <w:pStyle w:val="0"/>
              <w:outlineLvl w:val="3"/>
            </w:pPr>
            <w:r>
              <w:rPr>
                <w:sz w:val="24"/>
              </w:rPr>
              <w:t xml:space="preserve">Раздел 6. Сведения об опубликовании годовой бухгалтерской (финансовой) отчетности страховщика</w:t>
            </w:r>
          </w:p>
        </w:tc>
      </w:tr>
      <w:tr>
        <w:tc>
          <w:tcPr>
            <w:tcW w:w="907" w:type="dxa"/>
          </w:tcPr>
          <w:bookmarkStart w:id="360" w:name="P360"/>
          <w:bookmarkEnd w:id="360"/>
          <w:p>
            <w:pPr>
              <w:pStyle w:val="0"/>
            </w:pPr>
            <w:r>
              <w:rPr>
                <w:sz w:val="24"/>
              </w:rPr>
              <w:t xml:space="preserve">53</w:t>
            </w:r>
          </w:p>
        </w:tc>
        <w:tc>
          <w:tcPr>
            <w:tcW w:w="2608" w:type="dxa"/>
          </w:tcPr>
          <w:p>
            <w:pPr>
              <w:pStyle w:val="0"/>
            </w:pPr>
            <w:r>
              <w:rPr>
                <w:sz w:val="24"/>
              </w:rPr>
              <w:t xml:space="preserve">Дата размещения на официальном сайте страховщика в информационно-телекоммуникационной сети "Интернет"</w:t>
            </w:r>
          </w:p>
        </w:tc>
        <w:tc>
          <w:tcPr>
            <w:tcW w:w="2608" w:type="dxa"/>
          </w:tcPr>
          <w:p>
            <w:pPr>
              <w:pStyle w:val="0"/>
            </w:pPr>
            <w:r>
              <w:rPr>
                <w:sz w:val="24"/>
              </w:rPr>
            </w:r>
          </w:p>
        </w:tc>
        <w:tc>
          <w:tcPr>
            <w:tcW w:w="2948" w:type="dxa"/>
          </w:tcPr>
          <w:p>
            <w:pPr>
              <w:pStyle w:val="0"/>
            </w:pPr>
            <w:r>
              <w:rPr>
                <w:sz w:val="24"/>
              </w:rPr>
              <w:t xml:space="preserve">ins-dic:Data_Razm_Ofsajt_So</w:t>
            </w:r>
          </w:p>
        </w:tc>
      </w:tr>
      <w:tr>
        <w:tc>
          <w:tcPr>
            <w:tcW w:w="907" w:type="dxa"/>
          </w:tcPr>
          <w:bookmarkStart w:id="364" w:name="P364"/>
          <w:bookmarkEnd w:id="364"/>
          <w:p>
            <w:pPr>
              <w:pStyle w:val="0"/>
            </w:pPr>
            <w:r>
              <w:rPr>
                <w:sz w:val="24"/>
              </w:rPr>
              <w:t xml:space="preserve">54</w:t>
            </w:r>
          </w:p>
        </w:tc>
        <w:tc>
          <w:tcPr>
            <w:tcW w:w="2608" w:type="dxa"/>
          </w:tcPr>
          <w:p>
            <w:pPr>
              <w:pStyle w:val="0"/>
            </w:pPr>
            <w:r>
              <w:rPr>
                <w:sz w:val="24"/>
              </w:rPr>
              <w:t xml:space="preserve">Электронный адрес страницы официального сайта страховщика в информационно-телекоммуникационной сети "Интернет"</w:t>
            </w:r>
          </w:p>
        </w:tc>
        <w:tc>
          <w:tcPr>
            <w:tcW w:w="2608" w:type="dxa"/>
          </w:tcPr>
          <w:p>
            <w:pPr>
              <w:pStyle w:val="0"/>
            </w:pPr>
            <w:r>
              <w:rPr>
                <w:sz w:val="24"/>
              </w:rPr>
            </w:r>
          </w:p>
        </w:tc>
        <w:tc>
          <w:tcPr>
            <w:tcW w:w="2948" w:type="dxa"/>
          </w:tcPr>
          <w:p>
            <w:pPr>
              <w:pStyle w:val="0"/>
            </w:pPr>
            <w:r>
              <w:rPr>
                <w:sz w:val="24"/>
              </w:rPr>
              <w:t xml:space="preserve">ins-dic:Elektr_Adres_Internet</w:t>
            </w:r>
          </w:p>
        </w:tc>
      </w:tr>
      <w:tr>
        <w:tc>
          <w:tcPr>
            <w:tcW w:w="907" w:type="dxa"/>
          </w:tcPr>
          <w:bookmarkStart w:id="368" w:name="P368"/>
          <w:bookmarkEnd w:id="368"/>
          <w:p>
            <w:pPr>
              <w:pStyle w:val="0"/>
            </w:pPr>
            <w:r>
              <w:rPr>
                <w:sz w:val="24"/>
              </w:rPr>
              <w:t xml:space="preserve">55</w:t>
            </w:r>
          </w:p>
        </w:tc>
        <w:tc>
          <w:tcPr>
            <w:tcW w:w="2608" w:type="dxa"/>
          </w:tcPr>
          <w:p>
            <w:pPr>
              <w:pStyle w:val="0"/>
            </w:pPr>
            <w:r>
              <w:rPr>
                <w:sz w:val="24"/>
              </w:rPr>
              <w:t xml:space="preserve">Опубликование годовой бухгалтерской (финансовой) отчетности в иных источниках</w:t>
            </w:r>
          </w:p>
        </w:tc>
        <w:tc>
          <w:tcPr>
            <w:tcW w:w="2608" w:type="dxa"/>
          </w:tcPr>
          <w:p>
            <w:pPr>
              <w:pStyle w:val="0"/>
            </w:pPr>
            <w:r>
              <w:rPr>
                <w:sz w:val="24"/>
              </w:rPr>
            </w:r>
          </w:p>
        </w:tc>
        <w:tc>
          <w:tcPr>
            <w:tcW w:w="2948" w:type="dxa"/>
          </w:tcPr>
          <w:p>
            <w:pPr>
              <w:pStyle w:val="0"/>
            </w:pPr>
            <w:r>
              <w:rPr>
                <w:sz w:val="24"/>
              </w:rPr>
              <w:t xml:space="preserve">ins-dic:Publ_God_Bfo_Inyeistochniki</w:t>
            </w:r>
          </w:p>
        </w:tc>
      </w:tr>
      <w:tr>
        <w:tc>
          <w:tcPr>
            <w:gridSpan w:val="4"/>
            <w:tcW w:w="9071" w:type="dxa"/>
          </w:tcPr>
          <w:bookmarkStart w:id="372" w:name="P372"/>
          <w:bookmarkEnd w:id="372"/>
          <w:p>
            <w:pPr>
              <w:pStyle w:val="0"/>
              <w:outlineLvl w:val="3"/>
            </w:pPr>
            <w:r>
              <w:rPr>
                <w:sz w:val="24"/>
              </w:rPr>
              <w:t xml:space="preserve">Раздел 7. Реестр контрагентов страховщика</w:t>
            </w:r>
          </w:p>
        </w:tc>
      </w:tr>
      <w:tr>
        <w:tc>
          <w:tcPr>
            <w:tcW w:w="907" w:type="dxa"/>
          </w:tcPr>
          <w:bookmarkStart w:id="373" w:name="P373"/>
          <w:bookmarkEnd w:id="373"/>
          <w:p>
            <w:pPr>
              <w:pStyle w:val="0"/>
            </w:pPr>
            <w:r>
              <w:rPr>
                <w:sz w:val="24"/>
              </w:rPr>
              <w:t xml:space="preserve">56</w:t>
            </w:r>
          </w:p>
        </w:tc>
        <w:tc>
          <w:tcPr>
            <w:tcW w:w="2608" w:type="dxa"/>
          </w:tcPr>
          <w:p>
            <w:pPr>
              <w:pStyle w:val="0"/>
            </w:pPr>
            <w:r>
              <w:rPr>
                <w:sz w:val="24"/>
              </w:rPr>
              <w:t xml:space="preserve">Полное наименование</w:t>
            </w:r>
          </w:p>
        </w:tc>
        <w:tc>
          <w:tcPr>
            <w:tcW w:w="2608" w:type="dxa"/>
          </w:tcPr>
          <w:p>
            <w:pPr>
              <w:pStyle w:val="0"/>
            </w:pPr>
            <w:r>
              <w:rPr>
                <w:sz w:val="24"/>
              </w:rPr>
            </w:r>
          </w:p>
        </w:tc>
        <w:tc>
          <w:tcPr>
            <w:tcW w:w="2948" w:type="dxa"/>
          </w:tcPr>
          <w:p>
            <w:pPr>
              <w:pStyle w:val="0"/>
            </w:pPr>
            <w:r>
              <w:rPr>
                <w:sz w:val="24"/>
              </w:rPr>
              <w:t xml:space="preserve">nfo-dic:PolnNaim</w:t>
            </w:r>
          </w:p>
        </w:tc>
      </w:tr>
      <w:tr>
        <w:tc>
          <w:tcPr>
            <w:tcW w:w="907" w:type="dxa"/>
          </w:tcPr>
          <w:p>
            <w:pPr>
              <w:pStyle w:val="0"/>
            </w:pPr>
            <w:r>
              <w:rPr>
                <w:sz w:val="24"/>
              </w:rPr>
              <w:t xml:space="preserve">56.1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381" w:name="P381"/>
          <w:bookmarkEnd w:id="381"/>
          <w:p>
            <w:pPr>
              <w:pStyle w:val="0"/>
            </w:pPr>
            <w:r>
              <w:rPr>
                <w:sz w:val="24"/>
              </w:rPr>
              <w:t xml:space="preserve">57</w:t>
            </w:r>
          </w:p>
        </w:tc>
        <w:tc>
          <w:tcPr>
            <w:tcW w:w="2608" w:type="dxa"/>
          </w:tcPr>
          <w:p>
            <w:pPr>
              <w:pStyle w:val="0"/>
            </w:pPr>
            <w:r>
              <w:rPr>
                <w:sz w:val="24"/>
              </w:rPr>
              <w:t xml:space="preserve">Фамилия</w:t>
            </w:r>
          </w:p>
        </w:tc>
        <w:tc>
          <w:tcPr>
            <w:tcW w:w="2608" w:type="dxa"/>
          </w:tcPr>
          <w:p>
            <w:pPr>
              <w:pStyle w:val="0"/>
            </w:pPr>
            <w:r>
              <w:rPr>
                <w:sz w:val="24"/>
              </w:rPr>
            </w:r>
          </w:p>
        </w:tc>
        <w:tc>
          <w:tcPr>
            <w:tcW w:w="2948" w:type="dxa"/>
          </w:tcPr>
          <w:p>
            <w:pPr>
              <w:pStyle w:val="0"/>
            </w:pPr>
            <w:r>
              <w:rPr>
                <w:sz w:val="24"/>
              </w:rPr>
              <w:t xml:space="preserve">nfo-dic:Familiya</w:t>
            </w:r>
          </w:p>
        </w:tc>
      </w:tr>
      <w:tr>
        <w:tc>
          <w:tcPr>
            <w:tcW w:w="907" w:type="dxa"/>
          </w:tcPr>
          <w:p>
            <w:pPr>
              <w:pStyle w:val="0"/>
            </w:pPr>
            <w:r>
              <w:rPr>
                <w:sz w:val="24"/>
              </w:rPr>
              <w:t xml:space="preserve">57.1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389" w:name="P389"/>
          <w:bookmarkEnd w:id="389"/>
          <w:p>
            <w:pPr>
              <w:pStyle w:val="0"/>
            </w:pPr>
            <w:r>
              <w:rPr>
                <w:sz w:val="24"/>
              </w:rPr>
              <w:t xml:space="preserve">58</w:t>
            </w:r>
          </w:p>
        </w:tc>
        <w:tc>
          <w:tcPr>
            <w:tcW w:w="2608" w:type="dxa"/>
          </w:tcPr>
          <w:p>
            <w:pPr>
              <w:pStyle w:val="0"/>
            </w:pPr>
            <w:r>
              <w:rPr>
                <w:sz w:val="24"/>
              </w:rPr>
              <w:t xml:space="preserve">Имя</w:t>
            </w:r>
          </w:p>
        </w:tc>
        <w:tc>
          <w:tcPr>
            <w:tcW w:w="2608" w:type="dxa"/>
          </w:tcPr>
          <w:p>
            <w:pPr>
              <w:pStyle w:val="0"/>
            </w:pPr>
            <w:r>
              <w:rPr>
                <w:sz w:val="24"/>
              </w:rPr>
            </w:r>
          </w:p>
        </w:tc>
        <w:tc>
          <w:tcPr>
            <w:tcW w:w="2948" w:type="dxa"/>
          </w:tcPr>
          <w:p>
            <w:pPr>
              <w:pStyle w:val="0"/>
            </w:pPr>
            <w:r>
              <w:rPr>
                <w:sz w:val="24"/>
              </w:rPr>
              <w:t xml:space="preserve">nfo-dic:Imya</w:t>
            </w:r>
          </w:p>
        </w:tc>
      </w:tr>
      <w:tr>
        <w:tc>
          <w:tcPr>
            <w:tcW w:w="907" w:type="dxa"/>
          </w:tcPr>
          <w:p>
            <w:pPr>
              <w:pStyle w:val="0"/>
            </w:pPr>
            <w:r>
              <w:rPr>
                <w:sz w:val="24"/>
              </w:rPr>
              <w:t xml:space="preserve">58.1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397" w:name="P397"/>
          <w:bookmarkEnd w:id="397"/>
          <w:p>
            <w:pPr>
              <w:pStyle w:val="0"/>
            </w:pPr>
            <w:r>
              <w:rPr>
                <w:sz w:val="24"/>
              </w:rPr>
              <w:t xml:space="preserve">59</w:t>
            </w:r>
          </w:p>
        </w:tc>
        <w:tc>
          <w:tcPr>
            <w:tcW w:w="2608" w:type="dxa"/>
          </w:tcPr>
          <w:p>
            <w:pPr>
              <w:pStyle w:val="0"/>
            </w:pPr>
            <w:r>
              <w:rPr>
                <w:sz w:val="24"/>
              </w:rPr>
              <w:t xml:space="preserve">Отчество (при наличии)</w:t>
            </w:r>
          </w:p>
        </w:tc>
        <w:tc>
          <w:tcPr>
            <w:tcW w:w="2608" w:type="dxa"/>
          </w:tcPr>
          <w:p>
            <w:pPr>
              <w:pStyle w:val="0"/>
            </w:pPr>
            <w:r>
              <w:rPr>
                <w:sz w:val="24"/>
              </w:rPr>
            </w:r>
          </w:p>
        </w:tc>
        <w:tc>
          <w:tcPr>
            <w:tcW w:w="2948" w:type="dxa"/>
          </w:tcPr>
          <w:p>
            <w:pPr>
              <w:pStyle w:val="0"/>
            </w:pPr>
            <w:r>
              <w:rPr>
                <w:sz w:val="24"/>
              </w:rPr>
              <w:t xml:space="preserve">nfo-dic:Otch</w:t>
            </w:r>
          </w:p>
        </w:tc>
      </w:tr>
      <w:tr>
        <w:tc>
          <w:tcPr>
            <w:tcW w:w="907" w:type="dxa"/>
          </w:tcPr>
          <w:p>
            <w:pPr>
              <w:pStyle w:val="0"/>
            </w:pPr>
            <w:r>
              <w:rPr>
                <w:sz w:val="24"/>
              </w:rPr>
              <w:t xml:space="preserve">59.1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05" w:name="P405"/>
          <w:bookmarkEnd w:id="405"/>
          <w:p>
            <w:pPr>
              <w:pStyle w:val="0"/>
            </w:pPr>
            <w:r>
              <w:rPr>
                <w:sz w:val="24"/>
              </w:rPr>
              <w:t xml:space="preserve">60</w:t>
            </w:r>
          </w:p>
        </w:tc>
        <w:tc>
          <w:tcPr>
            <w:tcW w:w="2608" w:type="dxa"/>
          </w:tcPr>
          <w:p>
            <w:pPr>
              <w:pStyle w:val="0"/>
            </w:pPr>
            <w:r>
              <w:rPr>
                <w:sz w:val="24"/>
              </w:rPr>
              <w:t xml:space="preserve">Идентификационный номер налогоплательщика (ИНН)</w:t>
            </w:r>
          </w:p>
        </w:tc>
        <w:tc>
          <w:tcPr>
            <w:tcW w:w="2608" w:type="dxa"/>
          </w:tcPr>
          <w:p>
            <w:pPr>
              <w:pStyle w:val="0"/>
            </w:pPr>
            <w:r>
              <w:rPr>
                <w:sz w:val="24"/>
              </w:rPr>
            </w:r>
          </w:p>
        </w:tc>
        <w:tc>
          <w:tcPr>
            <w:tcW w:w="2948" w:type="dxa"/>
          </w:tcPr>
          <w:p>
            <w:pPr>
              <w:pStyle w:val="0"/>
            </w:pPr>
            <w:r>
              <w:rPr>
                <w:sz w:val="24"/>
              </w:rPr>
              <w:t xml:space="preserve">nfo-dic:INN</w:t>
            </w:r>
          </w:p>
        </w:tc>
      </w:tr>
      <w:tr>
        <w:tc>
          <w:tcPr>
            <w:tcW w:w="907" w:type="dxa"/>
          </w:tcPr>
          <w:p>
            <w:pPr>
              <w:pStyle w:val="0"/>
            </w:pPr>
            <w:r>
              <w:rPr>
                <w:sz w:val="24"/>
              </w:rPr>
              <w:t xml:space="preserve">60.1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13" w:name="P413"/>
          <w:bookmarkEnd w:id="413"/>
          <w:p>
            <w:pPr>
              <w:pStyle w:val="0"/>
            </w:pPr>
            <w:r>
              <w:rPr>
                <w:sz w:val="24"/>
              </w:rPr>
              <w:t xml:space="preserve">61</w:t>
            </w:r>
          </w:p>
        </w:tc>
        <w:tc>
          <w:tcPr>
            <w:tcW w:w="2608" w:type="dxa"/>
          </w:tcPr>
          <w:p>
            <w:pPr>
              <w:pStyle w:val="0"/>
            </w:pPr>
            <w:r>
              <w:rPr>
                <w:sz w:val="24"/>
              </w:rPr>
              <w:t xml:space="preserve">TIN</w:t>
            </w:r>
          </w:p>
        </w:tc>
        <w:tc>
          <w:tcPr>
            <w:tcW w:w="2608" w:type="dxa"/>
          </w:tcPr>
          <w:p>
            <w:pPr>
              <w:pStyle w:val="0"/>
            </w:pPr>
            <w:r>
              <w:rPr>
                <w:sz w:val="24"/>
              </w:rPr>
            </w:r>
          </w:p>
        </w:tc>
        <w:tc>
          <w:tcPr>
            <w:tcW w:w="2948" w:type="dxa"/>
          </w:tcPr>
          <w:p>
            <w:pPr>
              <w:pStyle w:val="0"/>
            </w:pPr>
            <w:r>
              <w:rPr>
                <w:sz w:val="24"/>
              </w:rPr>
              <w:t xml:space="preserve">nfo-dic:TIN</w:t>
            </w:r>
          </w:p>
        </w:tc>
      </w:tr>
      <w:tr>
        <w:tc>
          <w:tcPr>
            <w:tcW w:w="907" w:type="dxa"/>
          </w:tcPr>
          <w:p>
            <w:pPr>
              <w:pStyle w:val="0"/>
            </w:pPr>
            <w:r>
              <w:rPr>
                <w:sz w:val="24"/>
              </w:rPr>
              <w:t xml:space="preserve">61.1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21" w:name="P421"/>
          <w:bookmarkEnd w:id="421"/>
          <w:p>
            <w:pPr>
              <w:pStyle w:val="0"/>
            </w:pPr>
            <w:r>
              <w:rPr>
                <w:sz w:val="24"/>
              </w:rPr>
              <w:t xml:space="preserve">62</w:t>
            </w:r>
          </w:p>
        </w:tc>
        <w:tc>
          <w:tcPr>
            <w:tcW w:w="2608" w:type="dxa"/>
          </w:tcPr>
          <w:p>
            <w:pPr>
              <w:pStyle w:val="0"/>
            </w:pPr>
            <w:r>
              <w:rPr>
                <w:sz w:val="24"/>
              </w:rPr>
              <w:t xml:space="preserve">Регистрационный номер в стране регистрации (NUM)</w:t>
            </w:r>
          </w:p>
        </w:tc>
        <w:tc>
          <w:tcPr>
            <w:tcW w:w="2608" w:type="dxa"/>
          </w:tcPr>
          <w:p>
            <w:pPr>
              <w:pStyle w:val="0"/>
            </w:pPr>
            <w:r>
              <w:rPr>
                <w:sz w:val="24"/>
              </w:rPr>
            </w:r>
          </w:p>
        </w:tc>
        <w:tc>
          <w:tcPr>
            <w:tcW w:w="2948" w:type="dxa"/>
          </w:tcPr>
          <w:p>
            <w:pPr>
              <w:pStyle w:val="0"/>
            </w:pPr>
            <w:r>
              <w:rPr>
                <w:sz w:val="24"/>
              </w:rPr>
              <w:t xml:space="preserve">nfo-dic:NUMID</w:t>
            </w:r>
          </w:p>
        </w:tc>
      </w:tr>
      <w:tr>
        <w:tc>
          <w:tcPr>
            <w:tcW w:w="907" w:type="dxa"/>
          </w:tcPr>
          <w:p>
            <w:pPr>
              <w:pStyle w:val="0"/>
            </w:pPr>
            <w:r>
              <w:rPr>
                <w:sz w:val="24"/>
              </w:rPr>
              <w:t xml:space="preserve">62.1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29" w:name="P429"/>
          <w:bookmarkEnd w:id="429"/>
          <w:p>
            <w:pPr>
              <w:pStyle w:val="0"/>
            </w:pPr>
            <w:r>
              <w:rPr>
                <w:sz w:val="24"/>
              </w:rPr>
              <w:t xml:space="preserve">63</w:t>
            </w:r>
          </w:p>
        </w:tc>
        <w:tc>
          <w:tcPr>
            <w:tcW w:w="2608" w:type="dxa"/>
          </w:tcPr>
          <w:p>
            <w:pPr>
              <w:pStyle w:val="0"/>
            </w:pPr>
            <w:r>
              <w:rPr>
                <w:sz w:val="24"/>
              </w:rPr>
              <w:t xml:space="preserve">LEI</w:t>
            </w:r>
          </w:p>
        </w:tc>
        <w:tc>
          <w:tcPr>
            <w:tcW w:w="2608" w:type="dxa"/>
          </w:tcPr>
          <w:p>
            <w:pPr>
              <w:pStyle w:val="0"/>
            </w:pPr>
            <w:r>
              <w:rPr>
                <w:sz w:val="24"/>
              </w:rPr>
            </w:r>
          </w:p>
        </w:tc>
        <w:tc>
          <w:tcPr>
            <w:tcW w:w="2948" w:type="dxa"/>
          </w:tcPr>
          <w:p>
            <w:pPr>
              <w:pStyle w:val="0"/>
            </w:pPr>
            <w:r>
              <w:rPr>
                <w:sz w:val="24"/>
              </w:rPr>
              <w:t xml:space="preserve">nfo-dic:LEI</w:t>
            </w:r>
          </w:p>
        </w:tc>
      </w:tr>
      <w:tr>
        <w:tc>
          <w:tcPr>
            <w:tcW w:w="907" w:type="dxa"/>
          </w:tcPr>
          <w:p>
            <w:pPr>
              <w:pStyle w:val="0"/>
            </w:pPr>
            <w:r>
              <w:rPr>
                <w:sz w:val="24"/>
              </w:rPr>
              <w:t xml:space="preserve">63.1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37" w:name="P437"/>
          <w:bookmarkEnd w:id="437"/>
          <w:p>
            <w:pPr>
              <w:pStyle w:val="0"/>
            </w:pPr>
            <w:r>
              <w:rPr>
                <w:sz w:val="24"/>
              </w:rPr>
              <w:t xml:space="preserve">64</w:t>
            </w:r>
          </w:p>
        </w:tc>
        <w:tc>
          <w:tcPr>
            <w:tcW w:w="2608" w:type="dxa"/>
          </w:tcPr>
          <w:p>
            <w:pPr>
              <w:pStyle w:val="0"/>
            </w:pPr>
            <w:r>
              <w:rPr>
                <w:sz w:val="24"/>
              </w:rPr>
              <w:t xml:space="preserve">Основной государственный регистрационный номер (ОГРН)</w:t>
            </w:r>
          </w:p>
        </w:tc>
        <w:tc>
          <w:tcPr>
            <w:tcW w:w="2608" w:type="dxa"/>
          </w:tcPr>
          <w:p>
            <w:pPr>
              <w:pStyle w:val="0"/>
            </w:pPr>
            <w:r>
              <w:rPr>
                <w:sz w:val="24"/>
              </w:rPr>
            </w:r>
          </w:p>
        </w:tc>
        <w:tc>
          <w:tcPr>
            <w:tcW w:w="2948" w:type="dxa"/>
          </w:tcPr>
          <w:p>
            <w:pPr>
              <w:pStyle w:val="0"/>
            </w:pPr>
            <w:r>
              <w:rPr>
                <w:sz w:val="24"/>
              </w:rPr>
              <w:t xml:space="preserve">nfo-dic:OGRN</w:t>
            </w:r>
          </w:p>
        </w:tc>
      </w:tr>
      <w:tr>
        <w:tc>
          <w:tcPr>
            <w:tcW w:w="907" w:type="dxa"/>
          </w:tcPr>
          <w:p>
            <w:pPr>
              <w:pStyle w:val="0"/>
            </w:pPr>
            <w:r>
              <w:rPr>
                <w:sz w:val="24"/>
              </w:rPr>
              <w:t xml:space="preserve">64.1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45" w:name="P445"/>
          <w:bookmarkEnd w:id="445"/>
          <w:p>
            <w:pPr>
              <w:pStyle w:val="0"/>
            </w:pPr>
            <w:r>
              <w:rPr>
                <w:sz w:val="24"/>
              </w:rPr>
              <w:t xml:space="preserve">65</w:t>
            </w:r>
          </w:p>
        </w:tc>
        <w:tc>
          <w:tcPr>
            <w:tcW w:w="2608" w:type="dxa"/>
          </w:tcPr>
          <w:p>
            <w:pPr>
              <w:pStyle w:val="0"/>
            </w:pPr>
            <w:r>
              <w:rPr>
                <w:sz w:val="24"/>
              </w:rPr>
              <w:t xml:space="preserve">Основной государственный регистрационный номер индивидуального предпринимателя (ОГРНИП)</w:t>
            </w:r>
          </w:p>
        </w:tc>
        <w:tc>
          <w:tcPr>
            <w:tcW w:w="2608" w:type="dxa"/>
          </w:tcPr>
          <w:p>
            <w:pPr>
              <w:pStyle w:val="0"/>
            </w:pPr>
            <w:r>
              <w:rPr>
                <w:sz w:val="24"/>
              </w:rPr>
            </w:r>
          </w:p>
        </w:tc>
        <w:tc>
          <w:tcPr>
            <w:tcW w:w="2948" w:type="dxa"/>
          </w:tcPr>
          <w:p>
            <w:pPr>
              <w:pStyle w:val="0"/>
            </w:pPr>
            <w:r>
              <w:rPr>
                <w:sz w:val="24"/>
              </w:rPr>
              <w:t xml:space="preserve">nfo-dic:OORNlP</w:t>
            </w:r>
          </w:p>
        </w:tc>
      </w:tr>
      <w:tr>
        <w:tc>
          <w:tcPr>
            <w:tcW w:w="907" w:type="dxa"/>
          </w:tcPr>
          <w:p>
            <w:pPr>
              <w:pStyle w:val="0"/>
            </w:pPr>
            <w:r>
              <w:rPr>
                <w:sz w:val="24"/>
              </w:rPr>
              <w:t xml:space="preserve">65.1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53" w:name="P453"/>
          <w:bookmarkEnd w:id="453"/>
          <w:p>
            <w:pPr>
              <w:pStyle w:val="0"/>
            </w:pPr>
            <w:r>
              <w:rPr>
                <w:sz w:val="24"/>
              </w:rPr>
              <w:t xml:space="preserve">66</w:t>
            </w:r>
          </w:p>
        </w:tc>
        <w:tc>
          <w:tcPr>
            <w:tcW w:w="2608" w:type="dxa"/>
          </w:tcPr>
          <w:p>
            <w:pPr>
              <w:pStyle w:val="0"/>
            </w:pPr>
            <w:r>
              <w:rPr>
                <w:sz w:val="24"/>
              </w:rPr>
              <w:t xml:space="preserve">СНИЛС</w:t>
            </w:r>
          </w:p>
        </w:tc>
        <w:tc>
          <w:tcPr>
            <w:tcW w:w="2608" w:type="dxa"/>
          </w:tcPr>
          <w:p>
            <w:pPr>
              <w:pStyle w:val="0"/>
            </w:pPr>
            <w:r>
              <w:rPr>
                <w:sz w:val="24"/>
              </w:rPr>
            </w:r>
          </w:p>
        </w:tc>
        <w:tc>
          <w:tcPr>
            <w:tcW w:w="2948" w:type="dxa"/>
          </w:tcPr>
          <w:p>
            <w:pPr>
              <w:pStyle w:val="0"/>
            </w:pPr>
            <w:r>
              <w:rPr>
                <w:sz w:val="24"/>
              </w:rPr>
              <w:t xml:space="preserve">nfo-dic:SNILS</w:t>
            </w:r>
          </w:p>
        </w:tc>
      </w:tr>
      <w:tr>
        <w:tc>
          <w:tcPr>
            <w:tcW w:w="907" w:type="dxa"/>
          </w:tcPr>
          <w:p>
            <w:pPr>
              <w:pStyle w:val="0"/>
            </w:pPr>
            <w:r>
              <w:rPr>
                <w:sz w:val="24"/>
              </w:rPr>
              <w:t xml:space="preserve">66.1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461" w:name="P461"/>
          <w:bookmarkEnd w:id="461"/>
          <w:p>
            <w:pPr>
              <w:pStyle w:val="0"/>
            </w:pPr>
            <w:r>
              <w:rPr>
                <w:sz w:val="24"/>
              </w:rPr>
              <w:t xml:space="preserve">67</w:t>
            </w:r>
          </w:p>
        </w:tc>
        <w:tc>
          <w:tcPr>
            <w:tcW w:w="2608" w:type="dxa"/>
          </w:tcPr>
          <w:p>
            <w:pPr>
              <w:pStyle w:val="0"/>
            </w:pPr>
            <w:r>
              <w:rPr>
                <w:sz w:val="24"/>
              </w:rPr>
              <w:t xml:space="preserve">Серия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nfo-dic:Seriya_Documenta</w:t>
            </w:r>
          </w:p>
        </w:tc>
      </w:tr>
      <w:tr>
        <w:tc>
          <w:tcPr>
            <w:tcW w:w="907" w:type="dxa"/>
          </w:tcPr>
          <w:p>
            <w:pPr>
              <w:pStyle w:val="0"/>
            </w:pPr>
            <w:r>
              <w:rPr>
                <w:sz w:val="24"/>
              </w:rPr>
              <w:t xml:space="preserve">67.1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67.2</w:t>
            </w:r>
          </w:p>
        </w:tc>
        <w:tc>
          <w:tcPr>
            <w:tcW w:w="2608" w:type="dxa"/>
          </w:tcPr>
          <w:p>
            <w:pPr>
              <w:pStyle w:val="0"/>
            </w:pPr>
            <w:r>
              <w:rPr>
                <w:sz w:val="24"/>
              </w:rPr>
            </w:r>
          </w:p>
        </w:tc>
        <w:tc>
          <w:tcPr>
            <w:tcW w:w="2608" w:type="dxa"/>
          </w:tcPr>
          <w:p>
            <w:pPr>
              <w:pStyle w:val="0"/>
            </w:pPr>
            <w:r>
              <w:rPr>
                <w:sz w:val="24"/>
              </w:rPr>
              <w:t xml:space="preserve">Вид документа, удостоверяющего личность</w:t>
            </w:r>
          </w:p>
        </w:tc>
        <w:tc>
          <w:tcPr>
            <w:tcW w:w="2948" w:type="dxa"/>
          </w:tcPr>
          <w:p>
            <w:pPr>
              <w:pStyle w:val="0"/>
            </w:pPr>
            <w:r>
              <w:rPr>
                <w:sz w:val="24"/>
              </w:rPr>
              <w:t xml:space="preserve">dim-int:VidDokUdLAxis</w:t>
            </w:r>
          </w:p>
        </w:tc>
      </w:tr>
      <w:tr>
        <w:tc>
          <w:tcPr>
            <w:tcW w:w="907" w:type="dxa"/>
          </w:tcPr>
          <w:p>
            <w:pPr>
              <w:pStyle w:val="0"/>
            </w:pPr>
            <w:r>
              <w:rPr>
                <w:sz w:val="24"/>
              </w:rPr>
              <w:t xml:space="preserve">67.3</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477" w:name="P477"/>
          <w:bookmarkEnd w:id="477"/>
          <w:p>
            <w:pPr>
              <w:pStyle w:val="0"/>
            </w:pPr>
            <w:r>
              <w:rPr>
                <w:sz w:val="24"/>
              </w:rPr>
              <w:t xml:space="preserve">68</w:t>
            </w:r>
          </w:p>
        </w:tc>
        <w:tc>
          <w:tcPr>
            <w:tcW w:w="2608" w:type="dxa"/>
          </w:tcPr>
          <w:p>
            <w:pPr>
              <w:pStyle w:val="0"/>
            </w:pPr>
            <w:r>
              <w:rPr>
                <w:sz w:val="24"/>
              </w:rPr>
              <w:t xml:space="preserve">Номер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nfo-dic:Nomer_Documenta</w:t>
            </w:r>
          </w:p>
        </w:tc>
      </w:tr>
      <w:tr>
        <w:tc>
          <w:tcPr>
            <w:tcW w:w="907" w:type="dxa"/>
          </w:tcPr>
          <w:p>
            <w:pPr>
              <w:pStyle w:val="0"/>
            </w:pPr>
            <w:r>
              <w:rPr>
                <w:sz w:val="24"/>
              </w:rPr>
              <w:t xml:space="preserve">68.1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68.2</w:t>
            </w:r>
          </w:p>
        </w:tc>
        <w:tc>
          <w:tcPr>
            <w:tcW w:w="2608" w:type="dxa"/>
          </w:tcPr>
          <w:p>
            <w:pPr>
              <w:pStyle w:val="0"/>
            </w:pPr>
            <w:r>
              <w:rPr>
                <w:sz w:val="24"/>
              </w:rPr>
            </w:r>
          </w:p>
        </w:tc>
        <w:tc>
          <w:tcPr>
            <w:tcW w:w="2608" w:type="dxa"/>
          </w:tcPr>
          <w:p>
            <w:pPr>
              <w:pStyle w:val="0"/>
            </w:pPr>
            <w:r>
              <w:rPr>
                <w:sz w:val="24"/>
              </w:rPr>
              <w:t xml:space="preserve">Вид документа, удостоверяющего личность</w:t>
            </w:r>
          </w:p>
        </w:tc>
        <w:tc>
          <w:tcPr>
            <w:tcW w:w="2948" w:type="dxa"/>
          </w:tcPr>
          <w:p>
            <w:pPr>
              <w:pStyle w:val="0"/>
            </w:pPr>
            <w:r>
              <w:rPr>
                <w:sz w:val="24"/>
              </w:rPr>
              <w:t xml:space="preserve">dim-int:VidDokUdLAxis</w:t>
            </w:r>
          </w:p>
        </w:tc>
      </w:tr>
      <w:tr>
        <w:tc>
          <w:tcPr>
            <w:tcW w:w="907" w:type="dxa"/>
          </w:tcPr>
          <w:p>
            <w:pPr>
              <w:pStyle w:val="0"/>
            </w:pPr>
            <w:r>
              <w:rPr>
                <w:sz w:val="24"/>
              </w:rPr>
              <w:t xml:space="preserve">68.3</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493" w:name="P493"/>
          <w:bookmarkEnd w:id="493"/>
          <w:p>
            <w:pPr>
              <w:pStyle w:val="0"/>
            </w:pPr>
            <w:r>
              <w:rPr>
                <w:sz w:val="24"/>
              </w:rPr>
              <w:t xml:space="preserve">69</w:t>
            </w:r>
          </w:p>
        </w:tc>
        <w:tc>
          <w:tcPr>
            <w:tcW w:w="2608" w:type="dxa"/>
          </w:tcPr>
          <w:p>
            <w:pPr>
              <w:pStyle w:val="0"/>
            </w:pPr>
            <w:r>
              <w:rPr>
                <w:sz w:val="24"/>
              </w:rPr>
              <w:t xml:space="preserve">Регистрационный номер записи в едином государственном реестре субъектов страхового дела</w:t>
            </w:r>
          </w:p>
        </w:tc>
        <w:tc>
          <w:tcPr>
            <w:tcW w:w="2608" w:type="dxa"/>
          </w:tcPr>
          <w:p>
            <w:pPr>
              <w:pStyle w:val="0"/>
            </w:pPr>
            <w:r>
              <w:rPr>
                <w:sz w:val="24"/>
              </w:rPr>
            </w:r>
          </w:p>
        </w:tc>
        <w:tc>
          <w:tcPr>
            <w:tcW w:w="2948" w:type="dxa"/>
          </w:tcPr>
          <w:p>
            <w:pPr>
              <w:pStyle w:val="0"/>
            </w:pPr>
            <w:r>
              <w:rPr>
                <w:sz w:val="24"/>
              </w:rPr>
              <w:t xml:space="preserve">nfo-dic:RegNomerZapisiVEdinomGosReestreSSD</w:t>
            </w:r>
          </w:p>
        </w:tc>
      </w:tr>
      <w:tr>
        <w:tc>
          <w:tcPr>
            <w:tcW w:w="907" w:type="dxa"/>
          </w:tcPr>
          <w:p>
            <w:pPr>
              <w:pStyle w:val="0"/>
            </w:pPr>
            <w:r>
              <w:rPr>
                <w:sz w:val="24"/>
              </w:rPr>
              <w:t xml:space="preserve">69.1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01" w:name="P501"/>
          <w:bookmarkEnd w:id="501"/>
          <w:p>
            <w:pPr>
              <w:pStyle w:val="0"/>
            </w:pPr>
            <w:r>
              <w:rPr>
                <w:sz w:val="24"/>
              </w:rPr>
              <w:t xml:space="preserve">70</w:t>
            </w:r>
          </w:p>
        </w:tc>
        <w:tc>
          <w:tcPr>
            <w:tcW w:w="2608" w:type="dxa"/>
          </w:tcPr>
          <w:p>
            <w:pPr>
              <w:pStyle w:val="0"/>
            </w:pPr>
            <w:r>
              <w:rPr>
                <w:sz w:val="24"/>
              </w:rPr>
              <w:t xml:space="preserve">Адрес в пределах места нахождения</w:t>
            </w:r>
          </w:p>
        </w:tc>
        <w:tc>
          <w:tcPr>
            <w:tcW w:w="2608" w:type="dxa"/>
          </w:tcPr>
          <w:p>
            <w:pPr>
              <w:pStyle w:val="0"/>
            </w:pPr>
            <w:r>
              <w:rPr>
                <w:sz w:val="24"/>
              </w:rPr>
            </w:r>
          </w:p>
        </w:tc>
        <w:tc>
          <w:tcPr>
            <w:tcW w:w="2948" w:type="dxa"/>
          </w:tcPr>
          <w:p>
            <w:pPr>
              <w:pStyle w:val="0"/>
            </w:pPr>
            <w:r>
              <w:rPr>
                <w:sz w:val="24"/>
              </w:rPr>
              <w:t xml:space="preserve">nfo-dic:Mesto_Naxozhd_Yul</w:t>
            </w:r>
          </w:p>
        </w:tc>
      </w:tr>
      <w:tr>
        <w:tc>
          <w:tcPr>
            <w:tcW w:w="907" w:type="dxa"/>
          </w:tcPr>
          <w:p>
            <w:pPr>
              <w:pStyle w:val="0"/>
            </w:pPr>
            <w:r>
              <w:rPr>
                <w:sz w:val="24"/>
              </w:rPr>
              <w:t xml:space="preserve">70.1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09" w:name="P509"/>
          <w:bookmarkEnd w:id="509"/>
          <w:p>
            <w:pPr>
              <w:pStyle w:val="0"/>
            </w:pPr>
            <w:r>
              <w:rPr>
                <w:sz w:val="24"/>
              </w:rPr>
              <w:t xml:space="preserve">71</w:t>
            </w:r>
          </w:p>
        </w:tc>
        <w:tc>
          <w:tcPr>
            <w:tcW w:w="2608" w:type="dxa"/>
          </w:tcPr>
          <w:p>
            <w:pPr>
              <w:pStyle w:val="0"/>
            </w:pPr>
            <w:r>
              <w:rPr>
                <w:sz w:val="24"/>
              </w:rPr>
              <w:t xml:space="preserve">Адрес регистрации по месту жительства</w:t>
            </w:r>
          </w:p>
        </w:tc>
        <w:tc>
          <w:tcPr>
            <w:tcW w:w="2608" w:type="dxa"/>
          </w:tcPr>
          <w:p>
            <w:pPr>
              <w:pStyle w:val="0"/>
            </w:pPr>
            <w:r>
              <w:rPr>
                <w:sz w:val="24"/>
              </w:rPr>
            </w:r>
          </w:p>
        </w:tc>
        <w:tc>
          <w:tcPr>
            <w:tcW w:w="2948" w:type="dxa"/>
          </w:tcPr>
          <w:p>
            <w:pPr>
              <w:pStyle w:val="0"/>
            </w:pPr>
            <w:r>
              <w:rPr>
                <w:sz w:val="24"/>
              </w:rPr>
              <w:t xml:space="preserve">nfo-dic:Mestozhitelstva_Adres</w:t>
            </w:r>
          </w:p>
        </w:tc>
      </w:tr>
      <w:tr>
        <w:tc>
          <w:tcPr>
            <w:tcW w:w="907" w:type="dxa"/>
          </w:tcPr>
          <w:p>
            <w:pPr>
              <w:pStyle w:val="0"/>
            </w:pPr>
            <w:r>
              <w:rPr>
                <w:sz w:val="24"/>
              </w:rPr>
              <w:t xml:space="preserve">71.1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17" w:name="P517"/>
          <w:bookmarkEnd w:id="517"/>
          <w:p>
            <w:pPr>
              <w:pStyle w:val="0"/>
            </w:pPr>
            <w:r>
              <w:rPr>
                <w:sz w:val="24"/>
              </w:rPr>
              <w:t xml:space="preserve">72</w:t>
            </w:r>
          </w:p>
        </w:tc>
        <w:tc>
          <w:tcPr>
            <w:tcW w:w="2608" w:type="dxa"/>
          </w:tcPr>
          <w:p>
            <w:pPr>
              <w:pStyle w:val="0"/>
            </w:pPr>
            <w:r>
              <w:rPr>
                <w:sz w:val="24"/>
              </w:rPr>
              <w:t xml:space="preserve">Код страны</w:t>
            </w:r>
          </w:p>
        </w:tc>
        <w:tc>
          <w:tcPr>
            <w:tcW w:w="2608" w:type="dxa"/>
          </w:tcPr>
          <w:p>
            <w:pPr>
              <w:pStyle w:val="0"/>
            </w:pPr>
            <w:r>
              <w:rPr>
                <w:sz w:val="24"/>
              </w:rPr>
            </w:r>
          </w:p>
        </w:tc>
        <w:tc>
          <w:tcPr>
            <w:tcW w:w="2948" w:type="dxa"/>
          </w:tcPr>
          <w:p>
            <w:pPr>
              <w:pStyle w:val="0"/>
            </w:pPr>
            <w:r>
              <w:rPr>
                <w:sz w:val="24"/>
              </w:rPr>
              <w:t xml:space="preserve">nfo-dic:Kod_stranEnumerator</w:t>
            </w:r>
          </w:p>
        </w:tc>
      </w:tr>
      <w:tr>
        <w:tc>
          <w:tcPr>
            <w:tcW w:w="907" w:type="dxa"/>
          </w:tcPr>
          <w:p>
            <w:pPr>
              <w:pStyle w:val="0"/>
            </w:pPr>
            <w:r>
              <w:rPr>
                <w:sz w:val="24"/>
              </w:rPr>
              <w:t xml:space="preserve">72.1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25" w:name="P525"/>
          <w:bookmarkEnd w:id="525"/>
          <w:p>
            <w:pPr>
              <w:pStyle w:val="0"/>
            </w:pPr>
            <w:r>
              <w:rPr>
                <w:sz w:val="24"/>
              </w:rPr>
              <w:t xml:space="preserve">73</w:t>
            </w:r>
          </w:p>
        </w:tc>
        <w:tc>
          <w:tcPr>
            <w:tcW w:w="2608" w:type="dxa"/>
          </w:tcPr>
          <w:p>
            <w:pPr>
              <w:pStyle w:val="0"/>
            </w:pPr>
            <w:r>
              <w:rPr>
                <w:sz w:val="24"/>
              </w:rPr>
              <w:t xml:space="preserve">Код страны гражданства</w:t>
            </w:r>
          </w:p>
        </w:tc>
        <w:tc>
          <w:tcPr>
            <w:tcW w:w="2608" w:type="dxa"/>
          </w:tcPr>
          <w:p>
            <w:pPr>
              <w:pStyle w:val="0"/>
            </w:pPr>
            <w:r>
              <w:rPr>
                <w:sz w:val="24"/>
              </w:rPr>
            </w:r>
          </w:p>
        </w:tc>
        <w:tc>
          <w:tcPr>
            <w:tcW w:w="2948" w:type="dxa"/>
          </w:tcPr>
          <w:p>
            <w:pPr>
              <w:pStyle w:val="0"/>
            </w:pPr>
            <w:r>
              <w:rPr>
                <w:sz w:val="24"/>
              </w:rPr>
              <w:t xml:space="preserve">nfo-dic:GrazhdanstvoEnumerator2</w:t>
            </w:r>
          </w:p>
        </w:tc>
      </w:tr>
      <w:tr>
        <w:tc>
          <w:tcPr>
            <w:tcW w:w="907" w:type="dxa"/>
          </w:tcPr>
          <w:p>
            <w:pPr>
              <w:pStyle w:val="0"/>
            </w:pPr>
            <w:r>
              <w:rPr>
                <w:sz w:val="24"/>
              </w:rPr>
              <w:t xml:space="preserve">73.1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33" w:name="P533"/>
          <w:bookmarkEnd w:id="533"/>
          <w:p>
            <w:pPr>
              <w:pStyle w:val="0"/>
            </w:pPr>
            <w:r>
              <w:rPr>
                <w:sz w:val="24"/>
              </w:rPr>
              <w:t xml:space="preserve">74</w:t>
            </w:r>
          </w:p>
        </w:tc>
        <w:tc>
          <w:tcPr>
            <w:tcW w:w="2608" w:type="dxa"/>
          </w:tcPr>
          <w:p>
            <w:pPr>
              <w:pStyle w:val="0"/>
            </w:pPr>
            <w:r>
              <w:rPr>
                <w:sz w:val="24"/>
              </w:rPr>
              <w:t xml:space="preserve">Вид контрагента</w:t>
            </w:r>
          </w:p>
        </w:tc>
        <w:tc>
          <w:tcPr>
            <w:tcW w:w="2608" w:type="dxa"/>
          </w:tcPr>
          <w:p>
            <w:pPr>
              <w:pStyle w:val="0"/>
            </w:pPr>
            <w:r>
              <w:rPr>
                <w:sz w:val="24"/>
              </w:rPr>
            </w:r>
          </w:p>
        </w:tc>
        <w:tc>
          <w:tcPr>
            <w:tcW w:w="2948" w:type="dxa"/>
          </w:tcPr>
          <w:p>
            <w:pPr>
              <w:pStyle w:val="0"/>
            </w:pPr>
            <w:r>
              <w:rPr>
                <w:sz w:val="24"/>
              </w:rPr>
              <w:t xml:space="preserve">nfo-dic:VidKontragentaEnumerator</w:t>
            </w:r>
          </w:p>
        </w:tc>
      </w:tr>
      <w:tr>
        <w:tc>
          <w:tcPr>
            <w:tcW w:w="907" w:type="dxa"/>
          </w:tcPr>
          <w:p>
            <w:pPr>
              <w:pStyle w:val="0"/>
            </w:pPr>
            <w:r>
              <w:rPr>
                <w:sz w:val="24"/>
              </w:rPr>
              <w:t xml:space="preserve">74.1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41" w:name="P541"/>
          <w:bookmarkEnd w:id="541"/>
          <w:p>
            <w:pPr>
              <w:pStyle w:val="0"/>
            </w:pPr>
            <w:r>
              <w:rPr>
                <w:sz w:val="24"/>
              </w:rPr>
              <w:t xml:space="preserve">75</w:t>
            </w:r>
          </w:p>
        </w:tc>
        <w:tc>
          <w:tcPr>
            <w:tcW w:w="2608" w:type="dxa"/>
          </w:tcPr>
          <w:p>
            <w:pPr>
              <w:pStyle w:val="0"/>
            </w:pPr>
            <w:r>
              <w:rPr>
                <w:sz w:val="24"/>
              </w:rPr>
              <w:t xml:space="preserve">Идентификатор контрагента (до внесения изменений)</w:t>
            </w:r>
          </w:p>
        </w:tc>
        <w:tc>
          <w:tcPr>
            <w:tcW w:w="2608" w:type="dxa"/>
          </w:tcPr>
          <w:p>
            <w:pPr>
              <w:pStyle w:val="0"/>
            </w:pPr>
            <w:r>
              <w:rPr>
                <w:sz w:val="24"/>
              </w:rPr>
            </w:r>
          </w:p>
        </w:tc>
        <w:tc>
          <w:tcPr>
            <w:tcW w:w="2948" w:type="dxa"/>
          </w:tcPr>
          <w:p>
            <w:pPr>
              <w:pStyle w:val="0"/>
            </w:pPr>
            <w:r>
              <w:rPr>
                <w:sz w:val="24"/>
              </w:rPr>
              <w:t xml:space="preserve">nfo-dic:IdKontragentaDoVneseniyaIzmenenij</w:t>
            </w:r>
          </w:p>
        </w:tc>
      </w:tr>
      <w:tr>
        <w:tc>
          <w:tcPr>
            <w:tcW w:w="907" w:type="dxa"/>
          </w:tcPr>
          <w:p>
            <w:pPr>
              <w:pStyle w:val="0"/>
            </w:pPr>
            <w:r>
              <w:rPr>
                <w:sz w:val="24"/>
              </w:rPr>
              <w:t xml:space="preserve">75.1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49" w:name="P549"/>
          <w:bookmarkEnd w:id="549"/>
          <w:p>
            <w:pPr>
              <w:pStyle w:val="0"/>
            </w:pPr>
            <w:r>
              <w:rPr>
                <w:sz w:val="24"/>
              </w:rPr>
              <w:t xml:space="preserve">76</w:t>
            </w:r>
          </w:p>
        </w:tc>
        <w:tc>
          <w:tcPr>
            <w:tcW w:w="2608" w:type="dxa"/>
          </w:tcPr>
          <w:p>
            <w:pPr>
              <w:pStyle w:val="0"/>
            </w:pPr>
            <w:r>
              <w:rPr>
                <w:sz w:val="24"/>
              </w:rPr>
              <w:t xml:space="preserve">Аффилированное лицо</w:t>
            </w:r>
          </w:p>
        </w:tc>
        <w:tc>
          <w:tcPr>
            <w:tcW w:w="2608" w:type="dxa"/>
          </w:tcPr>
          <w:p>
            <w:pPr>
              <w:pStyle w:val="0"/>
            </w:pPr>
            <w:r>
              <w:rPr>
                <w:sz w:val="24"/>
              </w:rPr>
            </w:r>
          </w:p>
        </w:tc>
        <w:tc>
          <w:tcPr>
            <w:tcW w:w="2948" w:type="dxa"/>
          </w:tcPr>
          <w:p>
            <w:pPr>
              <w:pStyle w:val="0"/>
            </w:pPr>
            <w:r>
              <w:rPr>
                <w:sz w:val="24"/>
              </w:rPr>
              <w:t xml:space="preserve">ins-dic:AffilirovannoeLiczoEnumerator</w:t>
            </w:r>
          </w:p>
        </w:tc>
      </w:tr>
      <w:tr>
        <w:tc>
          <w:tcPr>
            <w:tcW w:w="907" w:type="dxa"/>
          </w:tcPr>
          <w:p>
            <w:pPr>
              <w:pStyle w:val="0"/>
            </w:pPr>
            <w:r>
              <w:rPr>
                <w:sz w:val="24"/>
              </w:rPr>
              <w:t xml:space="preserve">76.1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57" w:name="P557"/>
          <w:bookmarkEnd w:id="557"/>
          <w:p>
            <w:pPr>
              <w:pStyle w:val="0"/>
            </w:pPr>
            <w:r>
              <w:rPr>
                <w:sz w:val="24"/>
              </w:rPr>
              <w:t xml:space="preserve">77</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ins-dic:KatKontrOczRisk2Enumerator</w:t>
            </w:r>
          </w:p>
        </w:tc>
      </w:tr>
      <w:tr>
        <w:tc>
          <w:tcPr>
            <w:tcW w:w="907" w:type="dxa"/>
          </w:tcPr>
          <w:p>
            <w:pPr>
              <w:pStyle w:val="0"/>
            </w:pPr>
            <w:r>
              <w:rPr>
                <w:sz w:val="24"/>
              </w:rPr>
              <w:t xml:space="preserve">77.1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65" w:name="P565"/>
          <w:bookmarkEnd w:id="565"/>
          <w:p>
            <w:pPr>
              <w:pStyle w:val="0"/>
            </w:pPr>
            <w:r>
              <w:rPr>
                <w:sz w:val="24"/>
              </w:rPr>
              <w:t xml:space="preserve">78</w:t>
            </w:r>
          </w:p>
        </w:tc>
        <w:tc>
          <w:tcPr>
            <w:tcW w:w="2608" w:type="dxa"/>
          </w:tcPr>
          <w:p>
            <w:pPr>
              <w:pStyle w:val="0"/>
            </w:pPr>
            <w:r>
              <w:rPr>
                <w:sz w:val="24"/>
              </w:rPr>
              <w:t xml:space="preserve">Группа связанных со страховщиком лиц</w:t>
            </w:r>
          </w:p>
        </w:tc>
        <w:tc>
          <w:tcPr>
            <w:tcW w:w="2608" w:type="dxa"/>
          </w:tcPr>
          <w:p>
            <w:pPr>
              <w:pStyle w:val="0"/>
            </w:pPr>
            <w:r>
              <w:rPr>
                <w:sz w:val="24"/>
              </w:rPr>
            </w:r>
          </w:p>
        </w:tc>
        <w:tc>
          <w:tcPr>
            <w:tcW w:w="2948" w:type="dxa"/>
          </w:tcPr>
          <w:p>
            <w:pPr>
              <w:pStyle w:val="0"/>
            </w:pPr>
            <w:r>
              <w:rPr>
                <w:sz w:val="24"/>
              </w:rPr>
              <w:t xml:space="preserve">nfo-dic:GrupSvyazLiczEnumerator</w:t>
            </w:r>
          </w:p>
        </w:tc>
      </w:tr>
      <w:tr>
        <w:tc>
          <w:tcPr>
            <w:tcW w:w="907" w:type="dxa"/>
          </w:tcPr>
          <w:p>
            <w:pPr>
              <w:pStyle w:val="0"/>
            </w:pPr>
            <w:r>
              <w:rPr>
                <w:sz w:val="24"/>
              </w:rPr>
              <w:t xml:space="preserve">78.1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73" w:name="P573"/>
          <w:bookmarkEnd w:id="573"/>
          <w:p>
            <w:pPr>
              <w:pStyle w:val="0"/>
            </w:pPr>
            <w:r>
              <w:rPr>
                <w:sz w:val="24"/>
              </w:rPr>
              <w:t xml:space="preserve">79</w:t>
            </w:r>
          </w:p>
        </w:tc>
        <w:tc>
          <w:tcPr>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79.1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81" w:name="P581"/>
          <w:bookmarkEnd w:id="581"/>
          <w:p>
            <w:pPr>
              <w:pStyle w:val="0"/>
            </w:pPr>
            <w:r>
              <w:rPr>
                <w:sz w:val="24"/>
              </w:rPr>
              <w:t xml:space="preserve">80</w:t>
            </w:r>
          </w:p>
        </w:tc>
        <w:tc>
          <w:tcPr>
            <w:tcW w:w="2608" w:type="dxa"/>
          </w:tcPr>
          <w:p>
            <w:pPr>
              <w:pStyle w:val="0"/>
            </w:pPr>
            <w:r>
              <w:rPr>
                <w:sz w:val="24"/>
              </w:rPr>
              <w:t xml:space="preserve">Относится к синдикатам Ллойда</w:t>
            </w:r>
          </w:p>
        </w:tc>
        <w:tc>
          <w:tcPr>
            <w:tcW w:w="2608" w:type="dxa"/>
          </w:tcPr>
          <w:p>
            <w:pPr>
              <w:pStyle w:val="0"/>
            </w:pPr>
            <w:r>
              <w:rPr>
                <w:sz w:val="24"/>
              </w:rPr>
            </w:r>
          </w:p>
        </w:tc>
        <w:tc>
          <w:tcPr>
            <w:tcW w:w="2948" w:type="dxa"/>
          </w:tcPr>
          <w:p>
            <w:pPr>
              <w:pStyle w:val="0"/>
            </w:pPr>
            <w:r>
              <w:rPr>
                <w:sz w:val="24"/>
              </w:rPr>
              <w:t xml:space="preserve">ins-dic:SindLloydEnumerator</w:t>
            </w:r>
          </w:p>
        </w:tc>
      </w:tr>
      <w:tr>
        <w:tc>
          <w:tcPr>
            <w:tcW w:w="907" w:type="dxa"/>
          </w:tcPr>
          <w:p>
            <w:pPr>
              <w:pStyle w:val="0"/>
            </w:pPr>
            <w:r>
              <w:rPr>
                <w:sz w:val="24"/>
              </w:rPr>
              <w:t xml:space="preserve">80.1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89" w:name="P589"/>
          <w:bookmarkEnd w:id="589"/>
          <w:p>
            <w:pPr>
              <w:pStyle w:val="0"/>
            </w:pPr>
            <w:r>
              <w:rPr>
                <w:sz w:val="24"/>
              </w:rPr>
              <w:t xml:space="preserve">81</w:t>
            </w:r>
          </w:p>
        </w:tc>
        <w:tc>
          <w:tcPr>
            <w:tcW w:w="2608" w:type="dxa"/>
          </w:tcPr>
          <w:p>
            <w:pPr>
              <w:pStyle w:val="0"/>
            </w:pPr>
            <w:r>
              <w:rPr>
                <w:sz w:val="24"/>
              </w:rPr>
              <w:t xml:space="preserve">Является перестраховщиком, которому передано в перестрахование обязательство по страховой выплате</w:t>
            </w:r>
          </w:p>
        </w:tc>
        <w:tc>
          <w:tcPr>
            <w:tcW w:w="2608" w:type="dxa"/>
          </w:tcPr>
          <w:p>
            <w:pPr>
              <w:pStyle w:val="0"/>
            </w:pPr>
            <w:r>
              <w:rPr>
                <w:sz w:val="24"/>
              </w:rPr>
            </w:r>
          </w:p>
        </w:tc>
        <w:tc>
          <w:tcPr>
            <w:tcW w:w="2948" w:type="dxa"/>
          </w:tcPr>
          <w:p>
            <w:pPr>
              <w:pStyle w:val="0"/>
            </w:pPr>
            <w:r>
              <w:rPr>
                <w:sz w:val="24"/>
              </w:rPr>
              <w:t xml:space="preserve">ins-dic:PskPerObyazPoStrVypEnumerator</w:t>
            </w:r>
          </w:p>
        </w:tc>
      </w:tr>
      <w:tr>
        <w:tc>
          <w:tcPr>
            <w:tcW w:w="907" w:type="dxa"/>
          </w:tcPr>
          <w:p>
            <w:pPr>
              <w:pStyle w:val="0"/>
            </w:pPr>
            <w:r>
              <w:rPr>
                <w:sz w:val="24"/>
              </w:rPr>
              <w:t xml:space="preserve">81.1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597" w:name="P597"/>
          <w:bookmarkEnd w:id="597"/>
          <w:p>
            <w:pPr>
              <w:pStyle w:val="0"/>
            </w:pPr>
            <w:r>
              <w:rPr>
                <w:sz w:val="24"/>
              </w:rPr>
              <w:t xml:space="preserve">82</w:t>
            </w:r>
          </w:p>
        </w:tc>
        <w:tc>
          <w:tcPr>
            <w:tcW w:w="2608" w:type="dxa"/>
          </w:tcPr>
          <w:p>
            <w:pPr>
              <w:pStyle w:val="0"/>
            </w:pPr>
            <w:r>
              <w:rPr>
                <w:sz w:val="24"/>
              </w:rPr>
              <w:t xml:space="preserve">Номер лицензии на осуществление медицинской деятельности (для медицинской организации)</w:t>
            </w:r>
          </w:p>
        </w:tc>
        <w:tc>
          <w:tcPr>
            <w:tcW w:w="2608" w:type="dxa"/>
          </w:tcPr>
          <w:p>
            <w:pPr>
              <w:pStyle w:val="0"/>
            </w:pPr>
            <w:r>
              <w:rPr>
                <w:sz w:val="24"/>
              </w:rPr>
            </w:r>
          </w:p>
        </w:tc>
        <w:tc>
          <w:tcPr>
            <w:tcW w:w="2948" w:type="dxa"/>
          </w:tcPr>
          <w:p>
            <w:pPr>
              <w:pStyle w:val="0"/>
            </w:pPr>
            <w:r>
              <w:rPr>
                <w:sz w:val="24"/>
              </w:rPr>
              <w:t xml:space="preserve">nfo-dic:NomLiczMedDeyat</w:t>
            </w:r>
          </w:p>
        </w:tc>
      </w:tr>
      <w:tr>
        <w:tc>
          <w:tcPr>
            <w:tcW w:w="907" w:type="dxa"/>
          </w:tcPr>
          <w:p>
            <w:pPr>
              <w:pStyle w:val="0"/>
            </w:pPr>
            <w:r>
              <w:rPr>
                <w:sz w:val="24"/>
              </w:rPr>
              <w:t xml:space="preserve">82.1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05" w:name="P605"/>
          <w:bookmarkEnd w:id="605"/>
          <w:p>
            <w:pPr>
              <w:pStyle w:val="0"/>
            </w:pPr>
            <w:r>
              <w:rPr>
                <w:sz w:val="24"/>
              </w:rPr>
              <w:t xml:space="preserve">83</w:t>
            </w:r>
          </w:p>
        </w:tc>
        <w:tc>
          <w:tcPr>
            <w:tcW w:w="2608" w:type="dxa"/>
          </w:tcPr>
          <w:p>
            <w:pPr>
              <w:pStyle w:val="0"/>
            </w:pPr>
            <w:r>
              <w:rPr>
                <w:sz w:val="24"/>
              </w:rPr>
              <w:t xml:space="preserve">Относится к учреждению санаторно-курортного профиля</w:t>
            </w:r>
          </w:p>
        </w:tc>
        <w:tc>
          <w:tcPr>
            <w:tcW w:w="2608" w:type="dxa"/>
          </w:tcPr>
          <w:p>
            <w:pPr>
              <w:pStyle w:val="0"/>
            </w:pPr>
            <w:r>
              <w:rPr>
                <w:sz w:val="24"/>
              </w:rPr>
            </w:r>
          </w:p>
        </w:tc>
        <w:tc>
          <w:tcPr>
            <w:tcW w:w="2948" w:type="dxa"/>
          </w:tcPr>
          <w:p>
            <w:pPr>
              <w:pStyle w:val="0"/>
            </w:pPr>
            <w:r>
              <w:rPr>
                <w:sz w:val="24"/>
              </w:rPr>
              <w:t xml:space="preserve">nfo-dic:SanKurortEnumerator</w:t>
            </w:r>
          </w:p>
        </w:tc>
      </w:tr>
      <w:tr>
        <w:tc>
          <w:tcPr>
            <w:tcW w:w="907" w:type="dxa"/>
          </w:tcPr>
          <w:p>
            <w:pPr>
              <w:pStyle w:val="0"/>
            </w:pPr>
            <w:r>
              <w:rPr>
                <w:sz w:val="24"/>
              </w:rPr>
              <w:t xml:space="preserve">83.1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13" w:name="P613"/>
          <w:bookmarkEnd w:id="613"/>
          <w:p>
            <w:pPr>
              <w:pStyle w:val="0"/>
            </w:pPr>
            <w:r>
              <w:rPr>
                <w:sz w:val="24"/>
              </w:rPr>
              <w:t xml:space="preserve">84</w:t>
            </w:r>
          </w:p>
        </w:tc>
        <w:tc>
          <w:tcPr>
            <w:tcW w:w="2608" w:type="dxa"/>
          </w:tcPr>
          <w:p>
            <w:pPr>
              <w:pStyle w:val="0"/>
            </w:pPr>
            <w:r>
              <w:rPr>
                <w:sz w:val="24"/>
              </w:rPr>
              <w:t xml:space="preserve">Является лицом, в отношении которого введена процедура банкротства или у которого отозвана (аннулирована) лицензия, либо лицом, не исполнившим в срок и в полном объеме обязательство</w:t>
            </w:r>
          </w:p>
        </w:tc>
        <w:tc>
          <w:tcPr>
            <w:tcW w:w="2608" w:type="dxa"/>
          </w:tcPr>
          <w:p>
            <w:pPr>
              <w:pStyle w:val="0"/>
            </w:pPr>
            <w:r>
              <w:rPr>
                <w:sz w:val="24"/>
              </w:rPr>
            </w:r>
          </w:p>
        </w:tc>
        <w:tc>
          <w:tcPr>
            <w:tcW w:w="2948" w:type="dxa"/>
          </w:tcPr>
          <w:p>
            <w:pPr>
              <w:pStyle w:val="0"/>
            </w:pPr>
            <w:r>
              <w:rPr>
                <w:sz w:val="24"/>
              </w:rPr>
              <w:t xml:space="preserve">ins-dic:SootvPunkt3114710PEnumerator</w:t>
            </w:r>
          </w:p>
        </w:tc>
      </w:tr>
      <w:tr>
        <w:tc>
          <w:tcPr>
            <w:tcW w:w="907" w:type="dxa"/>
          </w:tcPr>
          <w:p>
            <w:pPr>
              <w:pStyle w:val="0"/>
            </w:pPr>
            <w:r>
              <w:rPr>
                <w:sz w:val="24"/>
              </w:rPr>
              <w:t xml:space="preserve">84.1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21" w:name="P621"/>
          <w:bookmarkEnd w:id="621"/>
          <w:p>
            <w:pPr>
              <w:pStyle w:val="0"/>
            </w:pPr>
            <w:r>
              <w:rPr>
                <w:sz w:val="24"/>
              </w:rPr>
              <w:t xml:space="preserve">85</w:t>
            </w:r>
          </w:p>
        </w:tc>
        <w:tc>
          <w:tcPr>
            <w:tcW w:w="2608" w:type="dxa"/>
          </w:tcPr>
          <w:p>
            <w:pPr>
              <w:pStyle w:val="0"/>
            </w:pPr>
            <w:r>
              <w:rPr>
                <w:sz w:val="24"/>
              </w:rPr>
              <w:t xml:space="preserve">Является участником договора сострахования, перестраховочного пула или ассоциации, если такой договор или условия участия предполагают солидарную или субсидиарную ответственность</w:t>
            </w:r>
          </w:p>
        </w:tc>
        <w:tc>
          <w:tcPr>
            <w:tcW w:w="2608" w:type="dxa"/>
          </w:tcPr>
          <w:p>
            <w:pPr>
              <w:pStyle w:val="0"/>
            </w:pPr>
            <w:r>
              <w:rPr>
                <w:sz w:val="24"/>
              </w:rPr>
            </w:r>
          </w:p>
        </w:tc>
        <w:tc>
          <w:tcPr>
            <w:tcW w:w="2948" w:type="dxa"/>
          </w:tcPr>
          <w:p>
            <w:pPr>
              <w:pStyle w:val="0"/>
            </w:pPr>
            <w:r>
              <w:rPr>
                <w:sz w:val="24"/>
              </w:rPr>
              <w:t xml:space="preserve">ins-dic:YAvlUchDogSostrPerPulaUslUchSolidIliSubsOtvEnumerator</w:t>
            </w:r>
          </w:p>
        </w:tc>
      </w:tr>
      <w:tr>
        <w:tc>
          <w:tcPr>
            <w:tcW w:w="907" w:type="dxa"/>
          </w:tcPr>
          <w:p>
            <w:pPr>
              <w:pStyle w:val="0"/>
            </w:pPr>
            <w:r>
              <w:rPr>
                <w:sz w:val="24"/>
              </w:rPr>
              <w:t xml:space="preserve">85.1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29" w:name="P629"/>
          <w:bookmarkEnd w:id="629"/>
          <w:p>
            <w:pPr>
              <w:pStyle w:val="0"/>
            </w:pPr>
            <w:r>
              <w:rPr>
                <w:sz w:val="24"/>
              </w:rPr>
              <w:t xml:space="preserve">86</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nfo-dic:Kat_SvyazstoronyEnumerator</w:t>
            </w:r>
          </w:p>
        </w:tc>
      </w:tr>
      <w:tr>
        <w:tc>
          <w:tcPr>
            <w:tcW w:w="907" w:type="dxa"/>
          </w:tcPr>
          <w:p>
            <w:pPr>
              <w:pStyle w:val="0"/>
            </w:pPr>
            <w:r>
              <w:rPr>
                <w:sz w:val="24"/>
              </w:rPr>
              <w:t xml:space="preserve">86.1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37" w:name="P637"/>
          <w:bookmarkEnd w:id="637"/>
          <w:p>
            <w:pPr>
              <w:pStyle w:val="0"/>
            </w:pPr>
            <w:r>
              <w:rPr>
                <w:sz w:val="24"/>
              </w:rPr>
              <w:t xml:space="preserve">87</w:t>
            </w:r>
          </w:p>
        </w:tc>
        <w:tc>
          <w:tcPr>
            <w:tcW w:w="2608" w:type="dxa"/>
          </w:tcPr>
          <w:p>
            <w:pPr>
              <w:pStyle w:val="0"/>
            </w:pPr>
            <w:r>
              <w:rPr>
                <w:sz w:val="24"/>
              </w:rPr>
              <w:t xml:space="preserve">Тип посредника по заключению договоров страхования</w:t>
            </w:r>
          </w:p>
        </w:tc>
        <w:tc>
          <w:tcPr>
            <w:tcW w:w="2608" w:type="dxa"/>
          </w:tcPr>
          <w:p>
            <w:pPr>
              <w:pStyle w:val="0"/>
            </w:pPr>
            <w:r>
              <w:rPr>
                <w:sz w:val="24"/>
              </w:rPr>
            </w:r>
          </w:p>
        </w:tc>
        <w:tc>
          <w:tcPr>
            <w:tcW w:w="2948" w:type="dxa"/>
          </w:tcPr>
          <w:p>
            <w:pPr>
              <w:pStyle w:val="0"/>
            </w:pPr>
            <w:r>
              <w:rPr>
                <w:sz w:val="24"/>
              </w:rPr>
              <w:t xml:space="preserve">ins-dic:Tip_PosredEnumerator</w:t>
            </w:r>
          </w:p>
        </w:tc>
      </w:tr>
      <w:tr>
        <w:tc>
          <w:tcPr>
            <w:tcW w:w="907" w:type="dxa"/>
          </w:tcPr>
          <w:p>
            <w:pPr>
              <w:pStyle w:val="0"/>
            </w:pPr>
            <w:r>
              <w:rPr>
                <w:sz w:val="24"/>
              </w:rPr>
              <w:t xml:space="preserve">87.1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45" w:name="P645"/>
          <w:bookmarkEnd w:id="645"/>
          <w:p>
            <w:pPr>
              <w:pStyle w:val="0"/>
            </w:pPr>
            <w:r>
              <w:rPr>
                <w:sz w:val="24"/>
              </w:rPr>
              <w:t xml:space="preserve">88</w:t>
            </w:r>
          </w:p>
        </w:tc>
        <w:tc>
          <w:tcPr>
            <w:tcW w:w="2608" w:type="dxa"/>
          </w:tcPr>
          <w:p>
            <w:pPr>
              <w:pStyle w:val="0"/>
            </w:pPr>
            <w:r>
              <w:rPr>
                <w:sz w:val="24"/>
              </w:rPr>
              <w:t xml:space="preserve">Дата вхождения акционера (участника) - нерезидента в состав акционеров (участников)</w:t>
            </w:r>
          </w:p>
        </w:tc>
        <w:tc>
          <w:tcPr>
            <w:tcW w:w="2608" w:type="dxa"/>
          </w:tcPr>
          <w:p>
            <w:pPr>
              <w:pStyle w:val="0"/>
            </w:pPr>
            <w:r>
              <w:rPr>
                <w:sz w:val="24"/>
              </w:rPr>
            </w:r>
          </w:p>
        </w:tc>
        <w:tc>
          <w:tcPr>
            <w:tcW w:w="2948" w:type="dxa"/>
          </w:tcPr>
          <w:p>
            <w:pPr>
              <w:pStyle w:val="0"/>
            </w:pPr>
            <w:r>
              <w:rPr>
                <w:sz w:val="24"/>
              </w:rPr>
              <w:t xml:space="preserve">ins-dic:Data_Vxozhd_Akcz_Uch_Sost_Akcz_Uch</w:t>
            </w:r>
          </w:p>
        </w:tc>
      </w:tr>
      <w:tr>
        <w:tc>
          <w:tcPr>
            <w:tcW w:w="907" w:type="dxa"/>
          </w:tcPr>
          <w:p>
            <w:pPr>
              <w:pStyle w:val="0"/>
            </w:pPr>
            <w:r>
              <w:rPr>
                <w:sz w:val="24"/>
              </w:rPr>
              <w:t xml:space="preserve">88.1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53" w:name="P653"/>
          <w:bookmarkEnd w:id="653"/>
          <w:p>
            <w:pPr>
              <w:pStyle w:val="0"/>
            </w:pPr>
            <w:r>
              <w:rPr>
                <w:sz w:val="24"/>
              </w:rPr>
              <w:t xml:space="preserve">89</w:t>
            </w:r>
          </w:p>
        </w:tc>
        <w:tc>
          <w:tcPr>
            <w:tcW w:w="2608" w:type="dxa"/>
          </w:tcPr>
          <w:p>
            <w:pPr>
              <w:pStyle w:val="0"/>
            </w:pPr>
            <w:r>
              <w:rPr>
                <w:sz w:val="24"/>
              </w:rPr>
              <w:t xml:space="preserve">Дополнительная информация в отношении субъекта страхового дела - резидента</w:t>
            </w:r>
          </w:p>
        </w:tc>
        <w:tc>
          <w:tcPr>
            <w:tcW w:w="2608" w:type="dxa"/>
          </w:tcPr>
          <w:p>
            <w:pPr>
              <w:pStyle w:val="0"/>
            </w:pPr>
            <w:r>
              <w:rPr>
                <w:sz w:val="24"/>
              </w:rPr>
            </w:r>
          </w:p>
        </w:tc>
        <w:tc>
          <w:tcPr>
            <w:tcW w:w="2948" w:type="dxa"/>
          </w:tcPr>
          <w:p>
            <w:pPr>
              <w:pStyle w:val="0"/>
            </w:pPr>
            <w:r>
              <w:rPr>
                <w:sz w:val="24"/>
              </w:rPr>
              <w:t xml:space="preserve">ins-dic:DopInfSubStraxDelaRez</w:t>
            </w:r>
          </w:p>
        </w:tc>
      </w:tr>
      <w:tr>
        <w:tc>
          <w:tcPr>
            <w:tcW w:w="907" w:type="dxa"/>
          </w:tcPr>
          <w:p>
            <w:pPr>
              <w:pStyle w:val="0"/>
            </w:pPr>
            <w:r>
              <w:rPr>
                <w:sz w:val="24"/>
              </w:rPr>
              <w:t xml:space="preserve">89.1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61" w:name="P661"/>
          <w:bookmarkEnd w:id="661"/>
          <w:p>
            <w:pPr>
              <w:pStyle w:val="0"/>
            </w:pPr>
            <w:r>
              <w:rPr>
                <w:sz w:val="24"/>
              </w:rPr>
              <w:t xml:space="preserve">90</w:t>
            </w:r>
          </w:p>
        </w:tc>
        <w:tc>
          <w:tcPr>
            <w:tcW w:w="2608" w:type="dxa"/>
          </w:tcPr>
          <w:p>
            <w:pPr>
              <w:pStyle w:val="0"/>
            </w:pPr>
            <w:r>
              <w:rPr>
                <w:sz w:val="24"/>
              </w:rPr>
              <w:t xml:space="preserve">Расхождение между первичными учетными документами и реестрами</w:t>
            </w:r>
          </w:p>
        </w:tc>
        <w:tc>
          <w:tcPr>
            <w:tcW w:w="2608" w:type="dxa"/>
          </w:tcPr>
          <w:p>
            <w:pPr>
              <w:pStyle w:val="0"/>
            </w:pPr>
            <w:r>
              <w:rPr>
                <w:sz w:val="24"/>
              </w:rPr>
            </w:r>
          </w:p>
        </w:tc>
        <w:tc>
          <w:tcPr>
            <w:tcW w:w="2948" w:type="dxa"/>
          </w:tcPr>
          <w:p>
            <w:pPr>
              <w:pStyle w:val="0"/>
            </w:pPr>
            <w:r>
              <w:rPr>
                <w:sz w:val="24"/>
              </w:rPr>
              <w:t xml:space="preserve">ins-dic:RasxozhdMezhduPervUchetDokIReestr</w:t>
            </w:r>
          </w:p>
        </w:tc>
      </w:tr>
      <w:tr>
        <w:tc>
          <w:tcPr>
            <w:tcW w:w="907" w:type="dxa"/>
          </w:tcPr>
          <w:p>
            <w:pPr>
              <w:pStyle w:val="0"/>
            </w:pPr>
            <w:r>
              <w:rPr>
                <w:sz w:val="24"/>
              </w:rPr>
              <w:t xml:space="preserve">90.1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69" w:name="P669"/>
          <w:bookmarkEnd w:id="669"/>
          <w:p>
            <w:pPr>
              <w:pStyle w:val="0"/>
            </w:pPr>
            <w:r>
              <w:rPr>
                <w:sz w:val="24"/>
              </w:rPr>
              <w:t xml:space="preserve">91</w:t>
            </w:r>
          </w:p>
        </w:tc>
        <w:tc>
          <w:tcPr>
            <w:tcW w:w="2608" w:type="dxa"/>
          </w:tcPr>
          <w:p>
            <w:pPr>
              <w:pStyle w:val="0"/>
            </w:pPr>
            <w:r>
              <w:rPr>
                <w:sz w:val="24"/>
              </w:rPr>
              <w:t xml:space="preserve">Дополнительная информация в отношении банка-нерезидента</w:t>
            </w:r>
          </w:p>
        </w:tc>
        <w:tc>
          <w:tcPr>
            <w:tcW w:w="2608" w:type="dxa"/>
          </w:tcPr>
          <w:p>
            <w:pPr>
              <w:pStyle w:val="0"/>
            </w:pPr>
            <w:r>
              <w:rPr>
                <w:sz w:val="24"/>
              </w:rPr>
            </w:r>
          </w:p>
        </w:tc>
        <w:tc>
          <w:tcPr>
            <w:tcW w:w="2948" w:type="dxa"/>
          </w:tcPr>
          <w:p>
            <w:pPr>
              <w:pStyle w:val="0"/>
            </w:pPr>
            <w:r>
              <w:rPr>
                <w:sz w:val="24"/>
              </w:rPr>
              <w:t xml:space="preserve">ins-dic:DopInfVBankaNerez</w:t>
            </w:r>
          </w:p>
        </w:tc>
      </w:tr>
      <w:tr>
        <w:tc>
          <w:tcPr>
            <w:tcW w:w="907" w:type="dxa"/>
          </w:tcPr>
          <w:p>
            <w:pPr>
              <w:pStyle w:val="0"/>
            </w:pPr>
            <w:r>
              <w:rPr>
                <w:sz w:val="24"/>
              </w:rPr>
              <w:t xml:space="preserve">91.1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77" w:name="P677"/>
          <w:bookmarkEnd w:id="677"/>
          <w:p>
            <w:pPr>
              <w:pStyle w:val="0"/>
            </w:pPr>
            <w:r>
              <w:rPr>
                <w:sz w:val="24"/>
              </w:rPr>
              <w:t xml:space="preserve">92</w:t>
            </w:r>
          </w:p>
        </w:tc>
        <w:tc>
          <w:tcPr>
            <w:tcW w:w="2608" w:type="dxa"/>
          </w:tcPr>
          <w:p>
            <w:pPr>
              <w:pStyle w:val="0"/>
            </w:pPr>
            <w:r>
              <w:rPr>
                <w:sz w:val="24"/>
              </w:rPr>
              <w:t xml:space="preserve">Дополнительная информация в отношении перестраховщика-нерезидента</w:t>
            </w:r>
          </w:p>
        </w:tc>
        <w:tc>
          <w:tcPr>
            <w:tcW w:w="2608" w:type="dxa"/>
          </w:tcPr>
          <w:p>
            <w:pPr>
              <w:pStyle w:val="0"/>
            </w:pPr>
            <w:r>
              <w:rPr>
                <w:sz w:val="24"/>
              </w:rPr>
            </w:r>
          </w:p>
        </w:tc>
        <w:tc>
          <w:tcPr>
            <w:tcW w:w="2948" w:type="dxa"/>
          </w:tcPr>
          <w:p>
            <w:pPr>
              <w:pStyle w:val="0"/>
            </w:pPr>
            <w:r>
              <w:rPr>
                <w:sz w:val="24"/>
              </w:rPr>
              <w:t xml:space="preserve">ins-dic:DopIntPerestraxovshhikaNerez</w:t>
            </w:r>
          </w:p>
        </w:tc>
      </w:tr>
      <w:tr>
        <w:tc>
          <w:tcPr>
            <w:tcW w:w="907" w:type="dxa"/>
          </w:tcPr>
          <w:p>
            <w:pPr>
              <w:pStyle w:val="0"/>
            </w:pPr>
            <w:r>
              <w:rPr>
                <w:sz w:val="24"/>
              </w:rPr>
              <w:t xml:space="preserve">92.1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85" w:name="P685"/>
          <w:bookmarkEnd w:id="685"/>
          <w:p>
            <w:pPr>
              <w:pStyle w:val="0"/>
            </w:pPr>
            <w:r>
              <w:rPr>
                <w:sz w:val="24"/>
              </w:rPr>
              <w:t xml:space="preserve">93</w:t>
            </w:r>
          </w:p>
        </w:tc>
        <w:tc>
          <w:tcPr>
            <w:tcW w:w="2608" w:type="dxa"/>
          </w:tcPr>
          <w:p>
            <w:pPr>
              <w:pStyle w:val="0"/>
            </w:pPr>
            <w:r>
              <w:rPr>
                <w:sz w:val="24"/>
              </w:rPr>
              <w:t xml:space="preserve">Дополнительная информация в отношении перестрахователя-нерезидента</w:t>
            </w:r>
          </w:p>
        </w:tc>
        <w:tc>
          <w:tcPr>
            <w:tcW w:w="2608" w:type="dxa"/>
          </w:tcPr>
          <w:p>
            <w:pPr>
              <w:pStyle w:val="0"/>
            </w:pPr>
            <w:r>
              <w:rPr>
                <w:sz w:val="24"/>
              </w:rPr>
            </w:r>
          </w:p>
        </w:tc>
        <w:tc>
          <w:tcPr>
            <w:tcW w:w="2948" w:type="dxa"/>
          </w:tcPr>
          <w:p>
            <w:pPr>
              <w:pStyle w:val="0"/>
            </w:pPr>
            <w:r>
              <w:rPr>
                <w:sz w:val="24"/>
              </w:rPr>
              <w:t xml:space="preserve">ins-dic:DopInfPerestraxovatelyaNerez</w:t>
            </w:r>
          </w:p>
        </w:tc>
      </w:tr>
      <w:tr>
        <w:tc>
          <w:tcPr>
            <w:tcW w:w="907" w:type="dxa"/>
          </w:tcPr>
          <w:p>
            <w:pPr>
              <w:pStyle w:val="0"/>
            </w:pPr>
            <w:r>
              <w:rPr>
                <w:sz w:val="24"/>
              </w:rPr>
              <w:t xml:space="preserve">93.1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bookmarkStart w:id="693" w:name="P693"/>
          <w:bookmarkEnd w:id="693"/>
          <w:p>
            <w:pPr>
              <w:pStyle w:val="0"/>
            </w:pPr>
            <w:r>
              <w:rPr>
                <w:sz w:val="24"/>
              </w:rPr>
              <w:t xml:space="preserve">94</w:t>
            </w:r>
          </w:p>
        </w:tc>
        <w:tc>
          <w:tcPr>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nfo-dic:Primechanie</w:t>
            </w:r>
          </w:p>
        </w:tc>
      </w:tr>
      <w:tr>
        <w:tc>
          <w:tcPr>
            <w:tcW w:w="907" w:type="dxa"/>
          </w:tcPr>
          <w:p>
            <w:pPr>
              <w:pStyle w:val="0"/>
            </w:pPr>
            <w:r>
              <w:rPr>
                <w:sz w:val="24"/>
              </w:rPr>
              <w:t xml:space="preserve">94.1</w:t>
            </w:r>
          </w:p>
        </w:tc>
        <w:tc>
          <w:tcPr>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bl>
    <w:p>
      <w:pPr>
        <w:pStyle w:val="0"/>
        <w:ind w:firstLine="540"/>
        <w:jc w:val="both"/>
      </w:pPr>
      <w:r>
        <w:rPr>
          <w:sz w:val="24"/>
        </w:rPr>
      </w:r>
    </w:p>
    <w:p>
      <w:pPr>
        <w:pStyle w:val="0"/>
        <w:ind w:firstLine="540"/>
        <w:jc w:val="both"/>
      </w:pPr>
      <w:r>
        <w:rPr>
          <w:sz w:val="24"/>
        </w:rPr>
        <w:t xml:space="preserve">--------------------------------</w:t>
      </w:r>
    </w:p>
    <w:bookmarkStart w:id="703" w:name="P703"/>
    <w:bookmarkEnd w:id="703"/>
    <w:p>
      <w:pPr>
        <w:pStyle w:val="0"/>
        <w:spacing w:before="240" w:lineRule="auto"/>
        <w:ind w:firstLine="540"/>
        <w:jc w:val="both"/>
      </w:pPr>
      <w:r>
        <w:rPr>
          <w:sz w:val="24"/>
        </w:rPr>
        <w:t xml:space="preserve">&lt;1&gt; Общероссийский </w:t>
      </w:r>
      <w:hyperlink w:history="0" r:id="rId3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0420150 "Общие сведения</w:t>
      </w:r>
    </w:p>
    <w:p>
      <w:pPr>
        <w:pStyle w:val="0"/>
        <w:jc w:val="center"/>
      </w:pPr>
      <w:r>
        <w:rPr>
          <w:sz w:val="24"/>
        </w:rPr>
        <w:t xml:space="preserve">о страховщике"</w:t>
      </w:r>
    </w:p>
    <w:p>
      <w:pPr>
        <w:pStyle w:val="0"/>
        <w:ind w:firstLine="540"/>
        <w:jc w:val="both"/>
      </w:pPr>
      <w:r>
        <w:rPr>
          <w:sz w:val="24"/>
        </w:rPr>
      </w:r>
    </w:p>
    <w:p>
      <w:pPr>
        <w:pStyle w:val="0"/>
        <w:ind w:firstLine="540"/>
        <w:jc w:val="both"/>
      </w:pPr>
      <w:r>
        <w:rPr>
          <w:sz w:val="24"/>
        </w:rPr>
        <w:t xml:space="preserve">1. Отчетность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 "Общие сведения о страховщике" (далее - отчетность по форме 0420150) составляется страховщиком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 </w:t>
      </w:r>
      <w:hyperlink w:history="0" w:anchor="P54302" w:tooltip="8. При указании адресов юридических лиц и физических лиц на территории Российской Федерации используется определенная последовательность написания адреса, соответствующая последовательности адресообразующих элементов в структуре адреса, предусмотренной пунктом 44 Правил присвоения, изменения и аннулирования адресов, утвержденных постановлением Правительства Российской Федерации от 19 ноября 2014 года N 1221. Адресообразующие элементы указываются через символ &quot;,&quot; (запятая) с отступом (пробелом).">
        <w:r>
          <w:rPr>
            <w:sz w:val="24"/>
            <w:color w:val="0000ff"/>
          </w:rPr>
          <w:t xml:space="preserve">8</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1.1. Страховая организация (за исключением страховой медицинской организации, осуществляющей деятельность исключительно в сфере обязательного медицинского страхования) и общество взаимного страхования составляют отчетность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 в следующие сроки:</w:t>
      </w:r>
    </w:p>
    <w:p>
      <w:pPr>
        <w:pStyle w:val="0"/>
        <w:spacing w:before="240" w:lineRule="auto"/>
        <w:ind w:firstLine="540"/>
        <w:jc w:val="both"/>
      </w:pPr>
      <w:hyperlink w:history="0" w:anchor="P90" w:tooltip="Раздел 1. Общие сведения">
        <w:r>
          <w:rPr>
            <w:sz w:val="24"/>
            <w:color w:val="0000ff"/>
          </w:rPr>
          <w:t xml:space="preserve">разделы 1</w:t>
        </w:r>
      </w:hyperlink>
      <w:r>
        <w:rPr>
          <w:sz w:val="24"/>
        </w:rPr>
        <w:t xml:space="preserve"> и </w:t>
      </w:r>
      <w:hyperlink w:history="0" w:anchor="P372" w:tooltip="Раздел 7. Реестр контрагентов страховщика">
        <w:r>
          <w:rPr>
            <w:sz w:val="24"/>
            <w:color w:val="0000ff"/>
          </w:rPr>
          <w:t xml:space="preserve">7</w:t>
        </w:r>
      </w:hyperlink>
      <w:r>
        <w:rPr>
          <w:sz w:val="24"/>
        </w:rPr>
        <w:t xml:space="preserve"> - ежемесячно за календарный месяц (далее - отчетный месяц) по состоянию на последний календарный день отчетного месяца включительно;</w:t>
      </w:r>
    </w:p>
    <w:p>
      <w:pPr>
        <w:pStyle w:val="0"/>
        <w:spacing w:before="240" w:lineRule="auto"/>
        <w:ind w:firstLine="540"/>
        <w:jc w:val="both"/>
      </w:pPr>
      <w:hyperlink w:history="0" w:anchor="P247" w:tooltip="Раздел 2. Сведения о численности работников страховщика">
        <w:r>
          <w:rPr>
            <w:sz w:val="24"/>
            <w:color w:val="0000ff"/>
          </w:rPr>
          <w:t xml:space="preserve">разделы 2</w:t>
        </w:r>
      </w:hyperlink>
      <w:r>
        <w:rPr>
          <w:sz w:val="24"/>
        </w:rPr>
        <w:t xml:space="preserve"> - </w:t>
      </w:r>
      <w:hyperlink w:history="0" w:anchor="P261" w:tooltip="Раздел 4. Перечень групп видов страхования и портфелей договоров">
        <w:r>
          <w:rPr>
            <w:sz w:val="24"/>
            <w:color w:val="0000ff"/>
          </w:rPr>
          <w:t xml:space="preserve">4</w:t>
        </w:r>
      </w:hyperlink>
      <w:r>
        <w:rPr>
          <w:sz w:val="24"/>
        </w:rPr>
        <w:t xml:space="preserve"> - за I квартал, первое полугодие, 9 месяцев, год по состоянию на последний календарный день I квартала, первого полугодия, 9 месяцев, года включительно;</w:t>
      </w:r>
    </w:p>
    <w:p>
      <w:pPr>
        <w:pStyle w:val="0"/>
        <w:spacing w:before="240" w:lineRule="auto"/>
        <w:ind w:firstLine="540"/>
        <w:jc w:val="both"/>
      </w:pP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раздел 5</w:t>
        </w:r>
      </w:hyperlink>
      <w:r>
        <w:rPr>
          <w:sz w:val="24"/>
        </w:rPr>
        <w:t xml:space="preserve"> - ежегодно по состоянию на последний календарный день года включительно;</w:t>
      </w:r>
    </w:p>
    <w:p>
      <w:pPr>
        <w:pStyle w:val="0"/>
        <w:spacing w:before="240" w:lineRule="auto"/>
        <w:ind w:firstLine="540"/>
        <w:jc w:val="both"/>
      </w:pPr>
      <w:hyperlink w:history="0" w:anchor="P359" w:tooltip="Раздел 6. Сведения об опубликовании годовой бухгалтерской (финансовой) отчетности страховщика">
        <w:r>
          <w:rPr>
            <w:sz w:val="24"/>
            <w:color w:val="0000ff"/>
          </w:rPr>
          <w:t xml:space="preserve">раздел 6</w:t>
        </w:r>
      </w:hyperlink>
      <w:r>
        <w:rPr>
          <w:sz w:val="24"/>
        </w:rPr>
        <w:t xml:space="preserve"> - ежегодно по состоянию на последний календарный день первого полугодия включительно.</w:t>
      </w:r>
    </w:p>
    <w:p>
      <w:pPr>
        <w:pStyle w:val="0"/>
        <w:spacing w:before="240" w:lineRule="auto"/>
        <w:ind w:firstLine="540"/>
        <w:jc w:val="both"/>
      </w:pPr>
      <w:r>
        <w:rPr>
          <w:sz w:val="24"/>
        </w:rPr>
        <w:t xml:space="preserve">1.2. Иностранная страховая организация составляет </w:t>
      </w:r>
      <w:hyperlink w:history="0" w:anchor="P90" w:tooltip="Раздел 1. Общие сведения">
        <w:r>
          <w:rPr>
            <w:sz w:val="24"/>
            <w:color w:val="0000ff"/>
          </w:rPr>
          <w:t xml:space="preserve">разделы 1</w:t>
        </w:r>
      </w:hyperlink>
      <w:r>
        <w:rPr>
          <w:sz w:val="24"/>
        </w:rPr>
        <w:t xml:space="preserve"> - </w:t>
      </w:r>
      <w:hyperlink w:history="0" w:anchor="P252" w:tooltip="Раздел 3. Сведения о членстве в саморегулируемой организации в сфере финансового рынка и объединениях субъектов страхового дела">
        <w:r>
          <w:rPr>
            <w:sz w:val="24"/>
            <w:color w:val="0000ff"/>
          </w:rPr>
          <w:t xml:space="preserve">3</w:t>
        </w:r>
      </w:hyperlink>
      <w:r>
        <w:rPr>
          <w:sz w:val="24"/>
        </w:rPr>
        <w:t xml:space="preserve"> и </w:t>
      </w:r>
      <w:hyperlink w:history="0" w:anchor="P372" w:tooltip="Раздел 7. Реестр контрагентов страховщика">
        <w:r>
          <w:rPr>
            <w:sz w:val="24"/>
            <w:color w:val="0000ff"/>
          </w:rPr>
          <w:t xml:space="preserve">7</w:t>
        </w:r>
      </w:hyperlink>
      <w:r>
        <w:rPr>
          <w:sz w:val="24"/>
        </w:rPr>
        <w:t xml:space="preserve"> отчетности по форме 0420150 ежеквартально за I, II, III и IV кварталы (далее - отчетный квартал) по состоянию на последний календарный день отчетного квартала включительно.</w:t>
      </w:r>
    </w:p>
    <w:p>
      <w:pPr>
        <w:pStyle w:val="0"/>
        <w:spacing w:before="240" w:lineRule="auto"/>
        <w:ind w:firstLine="540"/>
        <w:jc w:val="both"/>
      </w:pPr>
      <w:r>
        <w:rPr>
          <w:sz w:val="24"/>
        </w:rPr>
        <w:t xml:space="preserve">Иностранная страховая организация </w:t>
      </w:r>
      <w:hyperlink w:history="0" w:anchor="P261" w:tooltip="Раздел 4. Перечень групп видов страхования и портфелей договоров">
        <w:r>
          <w:rPr>
            <w:sz w:val="24"/>
            <w:color w:val="0000ff"/>
          </w:rPr>
          <w:t xml:space="preserve">разделы 4</w:t>
        </w:r>
      </w:hyperlink>
      <w:r>
        <w:rPr>
          <w:sz w:val="24"/>
        </w:rPr>
        <w:t xml:space="preserve"> - </w:t>
      </w:r>
      <w:hyperlink w:history="0" w:anchor="P359" w:tooltip="Раздел 6. Сведения об опубликовании годовой бухгалтерской (финансовой) отчетности страховщика">
        <w:r>
          <w:rPr>
            <w:sz w:val="24"/>
            <w:color w:val="0000ff"/>
          </w:rPr>
          <w:t xml:space="preserve">6</w:t>
        </w:r>
      </w:hyperlink>
      <w:r>
        <w:rPr>
          <w:sz w:val="24"/>
        </w:rPr>
        <w:t xml:space="preserve"> отчетности по форме 0420150 не составляет.</w:t>
      </w:r>
    </w:p>
    <w:p>
      <w:pPr>
        <w:pStyle w:val="0"/>
        <w:spacing w:before="240" w:lineRule="auto"/>
        <w:ind w:firstLine="540"/>
        <w:jc w:val="both"/>
      </w:pPr>
      <w:r>
        <w:rPr>
          <w:sz w:val="24"/>
        </w:rPr>
        <w:t xml:space="preserve">1.3. Страховая медицинская организация, осуществляющая деятельность исключительно в сфере обязательного медицинского страхования, составляет отчетность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 в следующие сроки:</w:t>
      </w:r>
    </w:p>
    <w:p>
      <w:pPr>
        <w:pStyle w:val="0"/>
        <w:spacing w:before="240" w:lineRule="auto"/>
        <w:ind w:firstLine="540"/>
        <w:jc w:val="both"/>
      </w:pPr>
      <w:hyperlink w:history="0" w:anchor="P90" w:tooltip="Раздел 1. Общие сведения">
        <w:r>
          <w:rPr>
            <w:sz w:val="24"/>
            <w:color w:val="0000ff"/>
          </w:rPr>
          <w:t xml:space="preserve">разделы 1</w:t>
        </w:r>
      </w:hyperlink>
      <w:r>
        <w:rPr>
          <w:sz w:val="24"/>
        </w:rPr>
        <w:t xml:space="preserve"> и </w:t>
      </w:r>
      <w:hyperlink w:history="0" w:anchor="P372" w:tooltip="Раздел 7. Реестр контрагентов страховщика">
        <w:r>
          <w:rPr>
            <w:sz w:val="24"/>
            <w:color w:val="0000ff"/>
          </w:rPr>
          <w:t xml:space="preserve">7</w:t>
        </w:r>
      </w:hyperlink>
      <w:r>
        <w:rPr>
          <w:sz w:val="24"/>
        </w:rPr>
        <w:t xml:space="preserve"> - ежемесячно по состоянию на последний календарный день отчетного месяца включительно;</w:t>
      </w:r>
    </w:p>
    <w:p>
      <w:pPr>
        <w:pStyle w:val="0"/>
        <w:spacing w:before="240" w:lineRule="auto"/>
        <w:ind w:firstLine="540"/>
        <w:jc w:val="both"/>
      </w:pPr>
      <w:hyperlink w:history="0" w:anchor="P247" w:tooltip="Раздел 2. Сведения о численности работников страховщика">
        <w:r>
          <w:rPr>
            <w:sz w:val="24"/>
            <w:color w:val="0000ff"/>
          </w:rPr>
          <w:t xml:space="preserve">разделы 2</w:t>
        </w:r>
      </w:hyperlink>
      <w:r>
        <w:rPr>
          <w:sz w:val="24"/>
        </w:rPr>
        <w:t xml:space="preserve"> и </w:t>
      </w:r>
      <w:hyperlink w:history="0" w:anchor="P252" w:tooltip="Раздел 3. Сведения о членстве в саморегулируемой организации в сфере финансового рынка и объединениях субъектов страхового дела">
        <w:r>
          <w:rPr>
            <w:sz w:val="24"/>
            <w:color w:val="0000ff"/>
          </w:rPr>
          <w:t xml:space="preserve">3</w:t>
        </w:r>
      </w:hyperlink>
      <w:r>
        <w:rPr>
          <w:sz w:val="24"/>
        </w:rPr>
        <w:t xml:space="preserve"> - за I квартал, первое полугодие, 9 месяцев, год по состоянию на последний календарный день I квартала, первого полугодия, 9 месяцев, года включительно;</w:t>
      </w:r>
    </w:p>
    <w:p>
      <w:pPr>
        <w:pStyle w:val="0"/>
        <w:spacing w:before="240" w:lineRule="auto"/>
        <w:ind w:firstLine="540"/>
        <w:jc w:val="both"/>
      </w:pP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раздел 5</w:t>
        </w:r>
      </w:hyperlink>
      <w:r>
        <w:rPr>
          <w:sz w:val="24"/>
        </w:rPr>
        <w:t xml:space="preserve"> - ежегодно по состоянию на последний календарный день года включительно;</w:t>
      </w:r>
    </w:p>
    <w:p>
      <w:pPr>
        <w:pStyle w:val="0"/>
        <w:spacing w:before="240" w:lineRule="auto"/>
        <w:ind w:firstLine="540"/>
        <w:jc w:val="both"/>
      </w:pPr>
      <w:hyperlink w:history="0" w:anchor="P359" w:tooltip="Раздел 6. Сведения об опубликовании годовой бухгалтерской (финансовой) отчетности страховщика">
        <w:r>
          <w:rPr>
            <w:sz w:val="24"/>
            <w:color w:val="0000ff"/>
          </w:rPr>
          <w:t xml:space="preserve">раздел 6</w:t>
        </w:r>
      </w:hyperlink>
      <w:r>
        <w:rPr>
          <w:sz w:val="24"/>
        </w:rPr>
        <w:t xml:space="preserve"> - ежегодно по состоянию на последний календарный день первого полугодия включительно.</w:t>
      </w:r>
    </w:p>
    <w:p>
      <w:pPr>
        <w:pStyle w:val="0"/>
        <w:spacing w:before="240" w:lineRule="auto"/>
        <w:ind w:firstLine="540"/>
        <w:jc w:val="both"/>
      </w:pPr>
      <w:r>
        <w:rPr>
          <w:sz w:val="24"/>
        </w:rPr>
        <w:t xml:space="preserve">Страховая медицинская организация, осуществляющая деятельность исключительно в сфере обязательного медицинского страхования, </w:t>
      </w:r>
      <w:hyperlink w:history="0" w:anchor="P261" w:tooltip="Раздел 4. Перечень групп видов страхования и портфелей договоров">
        <w:r>
          <w:rPr>
            <w:sz w:val="24"/>
            <w:color w:val="0000ff"/>
          </w:rPr>
          <w:t xml:space="preserve">раздел 4</w:t>
        </w:r>
      </w:hyperlink>
      <w:r>
        <w:rPr>
          <w:sz w:val="24"/>
        </w:rPr>
        <w:t xml:space="preserve"> отчетности по форме 0420150 не составляет.</w:t>
      </w:r>
    </w:p>
    <w:p>
      <w:pPr>
        <w:pStyle w:val="0"/>
        <w:spacing w:before="240" w:lineRule="auto"/>
        <w:ind w:firstLine="540"/>
        <w:jc w:val="both"/>
      </w:pPr>
      <w:r>
        <w:rPr>
          <w:sz w:val="24"/>
        </w:rPr>
        <w:t xml:space="preserve">2. По показателям </w:t>
      </w:r>
      <w:hyperlink w:history="0" w:anchor="P90" w:tooltip="Раздел 1. Общие сведения">
        <w:r>
          <w:rPr>
            <w:sz w:val="24"/>
            <w:color w:val="0000ff"/>
          </w:rPr>
          <w:t xml:space="preserve">раздела 1</w:t>
        </w:r>
      </w:hyperlink>
      <w:r>
        <w:rPr>
          <w:sz w:val="24"/>
        </w:rPr>
        <w:t xml:space="preserve"> отчетности по форме 0420150 отражаются общие сведения о страховщике, в том числе сведения, указанные в учредительных документах страховщика, документе, подтверждающем постановку на учет в налоговом органе, в соответствии с законодательством Российской Федерации о налогах и сборах, а также сведения, указанные в государственном адресном реестре федеральной информационной адресной системы, ведение которого осуществляется в соответствии с Федеральным </w:t>
      </w:r>
      <w:hyperlink w:history="0" r:id="rId37" w:tooltip="Федеральный закон от 28.12.2013 N 443-ФЗ (ред. от 23.07.2025) &quot;О федеральной информационной адресной системе и о внесении изменений в Федеральный закон &quot;Об общих принципах организации местного самоуправления в Российской Федерации&quot; {КонсультантПлюс}">
        <w:r>
          <w:rPr>
            <w:sz w:val="24"/>
            <w:color w:val="0000ff"/>
          </w:rPr>
          <w:t xml:space="preserve">законом</w:t>
        </w:r>
      </w:hyperlink>
      <w:r>
        <w:rPr>
          <w:sz w:val="24"/>
        </w:rPr>
        <w:t xml:space="preserve"> от 28 декабря 2013 года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ФИАС).</w:t>
      </w:r>
    </w:p>
    <w:p>
      <w:pPr>
        <w:pStyle w:val="0"/>
        <w:spacing w:before="240" w:lineRule="auto"/>
        <w:ind w:firstLine="540"/>
        <w:jc w:val="both"/>
      </w:pPr>
      <w:r>
        <w:rPr>
          <w:sz w:val="24"/>
        </w:rPr>
        <w:t xml:space="preserve">2.1. По показателю "Полное наименование" </w:t>
      </w:r>
      <w:hyperlink w:history="0" w:anchor="P91" w:tooltip="1">
        <w:r>
          <w:rPr>
            <w:sz w:val="24"/>
            <w:color w:val="0000ff"/>
          </w:rPr>
          <w:t xml:space="preserve">(строка 1)</w:t>
        </w:r>
      </w:hyperlink>
      <w:r>
        <w:rPr>
          <w:sz w:val="24"/>
        </w:rPr>
        <w:t xml:space="preserve"> указывается:</w:t>
      </w:r>
    </w:p>
    <w:p>
      <w:pPr>
        <w:pStyle w:val="0"/>
        <w:spacing w:before="240" w:lineRule="auto"/>
        <w:ind w:firstLine="540"/>
        <w:jc w:val="both"/>
      </w:pPr>
      <w:r>
        <w:rPr>
          <w:sz w:val="24"/>
        </w:rPr>
        <w:t xml:space="preserve">страховой организацией - полное фирменное наименование страховой организации на русском языке, соответствующее полному фирменному наименованию на русском языке, указанному в ее уставе;</w:t>
      </w:r>
    </w:p>
    <w:p>
      <w:pPr>
        <w:pStyle w:val="0"/>
        <w:spacing w:before="240" w:lineRule="auto"/>
        <w:ind w:firstLine="540"/>
        <w:jc w:val="both"/>
      </w:pPr>
      <w:r>
        <w:rPr>
          <w:sz w:val="24"/>
        </w:rPr>
        <w:t xml:space="preserve">обществом взаимного страхования - полное наименование общества взаимного страхования на русском языке, соответствующее полному наименованию на русском языке, указанному в его уставе;</w:t>
      </w:r>
    </w:p>
    <w:p>
      <w:pPr>
        <w:pStyle w:val="0"/>
        <w:spacing w:before="240" w:lineRule="auto"/>
        <w:ind w:firstLine="540"/>
        <w:jc w:val="both"/>
      </w:pPr>
      <w:r>
        <w:rPr>
          <w:sz w:val="24"/>
        </w:rPr>
        <w:t xml:space="preserve">иностранной страховой организацией - полное наименование иностранной страховой организации на русском языке, соответствующее полному наименованию, указанному в ее учредительных документах.</w:t>
      </w:r>
    </w:p>
    <w:p>
      <w:pPr>
        <w:pStyle w:val="0"/>
        <w:spacing w:before="240" w:lineRule="auto"/>
        <w:ind w:firstLine="540"/>
        <w:jc w:val="both"/>
      </w:pPr>
      <w:r>
        <w:rPr>
          <w:sz w:val="24"/>
        </w:rPr>
        <w:t xml:space="preserve">2.2. По показателю "Сокращенное наименование (при наличии)" </w:t>
      </w:r>
      <w:hyperlink w:history="0" w:anchor="P95" w:tooltip="2">
        <w:r>
          <w:rPr>
            <w:sz w:val="24"/>
            <w:color w:val="0000ff"/>
          </w:rPr>
          <w:t xml:space="preserve">(строка 2)</w:t>
        </w:r>
      </w:hyperlink>
      <w:r>
        <w:rPr>
          <w:sz w:val="24"/>
        </w:rPr>
        <w:t xml:space="preserve"> указывается (при наличии):</w:t>
      </w:r>
    </w:p>
    <w:p>
      <w:pPr>
        <w:pStyle w:val="0"/>
        <w:spacing w:before="240" w:lineRule="auto"/>
        <w:ind w:firstLine="540"/>
        <w:jc w:val="both"/>
      </w:pPr>
      <w:r>
        <w:rPr>
          <w:sz w:val="24"/>
        </w:rPr>
        <w:t xml:space="preserve">страховой организацией - сокращенное фирменное наименование страховой организации на русском языке, соответствующее сокращенному фирменному наименованию на русском языке, указанному в ее уставе;</w:t>
      </w:r>
    </w:p>
    <w:p>
      <w:pPr>
        <w:pStyle w:val="0"/>
        <w:spacing w:before="240" w:lineRule="auto"/>
        <w:ind w:firstLine="540"/>
        <w:jc w:val="both"/>
      </w:pPr>
      <w:r>
        <w:rPr>
          <w:sz w:val="24"/>
        </w:rPr>
        <w:t xml:space="preserve">обществом взаимного страхования - сокращенное наименование общества взаимного страхования на русском языке, соответствующее сокращенному наименованию на русском языке, указанному в его уставе;</w:t>
      </w:r>
    </w:p>
    <w:p>
      <w:pPr>
        <w:pStyle w:val="0"/>
        <w:spacing w:before="240" w:lineRule="auto"/>
        <w:ind w:firstLine="540"/>
        <w:jc w:val="both"/>
      </w:pPr>
      <w:r>
        <w:rPr>
          <w:sz w:val="24"/>
        </w:rPr>
        <w:t xml:space="preserve">иностранной страховой организацией - сокращенное наименование иностранной страховой организации на русском языке, соответствующее сокращенному наименованию, указанному в ее учредительных документах.</w:t>
      </w:r>
    </w:p>
    <w:p>
      <w:pPr>
        <w:pStyle w:val="0"/>
        <w:spacing w:before="240" w:lineRule="auto"/>
        <w:ind w:firstLine="540"/>
        <w:jc w:val="both"/>
      </w:pPr>
      <w:r>
        <w:rPr>
          <w:sz w:val="24"/>
        </w:rPr>
        <w:t xml:space="preserve">2.3. По показателю "Полное наименование на английском языке (при наличии)" </w:t>
      </w:r>
      <w:hyperlink w:history="0" w:anchor="P99" w:tooltip="3">
        <w:r>
          <w:rPr>
            <w:sz w:val="24"/>
            <w:color w:val="0000ff"/>
          </w:rPr>
          <w:t xml:space="preserve">(строка 3)</w:t>
        </w:r>
      </w:hyperlink>
      <w:r>
        <w:rPr>
          <w:sz w:val="24"/>
        </w:rPr>
        <w:t xml:space="preserve"> указывается (при наличии):</w:t>
      </w:r>
    </w:p>
    <w:p>
      <w:pPr>
        <w:pStyle w:val="0"/>
        <w:spacing w:before="240" w:lineRule="auto"/>
        <w:ind w:firstLine="540"/>
        <w:jc w:val="both"/>
      </w:pPr>
      <w:r>
        <w:rPr>
          <w:sz w:val="24"/>
        </w:rPr>
        <w:t xml:space="preserve">страховой организацией - полное фирменное наименование страховой организации на английском языке, соответствующее полному фирменному наименованию на английском языке, указанному в ее уставе;</w:t>
      </w:r>
    </w:p>
    <w:p>
      <w:pPr>
        <w:pStyle w:val="0"/>
        <w:spacing w:before="240" w:lineRule="auto"/>
        <w:ind w:firstLine="540"/>
        <w:jc w:val="both"/>
      </w:pPr>
      <w:r>
        <w:rPr>
          <w:sz w:val="24"/>
        </w:rPr>
        <w:t xml:space="preserve">обществом взаимного страхования - полное наименование общества взаимного страхования на английском языке, соответствующее полному наименованию на английском языке, указанному в его уставе;</w:t>
      </w:r>
    </w:p>
    <w:p>
      <w:pPr>
        <w:pStyle w:val="0"/>
        <w:spacing w:before="240" w:lineRule="auto"/>
        <w:ind w:firstLine="540"/>
        <w:jc w:val="both"/>
      </w:pPr>
      <w:r>
        <w:rPr>
          <w:sz w:val="24"/>
        </w:rPr>
        <w:t xml:space="preserve">иностранной страховой организацией - полное наименование иностранной страховой организации на английском языке, соответствующее полному наименованию на английском языке, указанному в ее учредительных документах.</w:t>
      </w:r>
    </w:p>
    <w:p>
      <w:pPr>
        <w:pStyle w:val="0"/>
        <w:spacing w:before="240" w:lineRule="auto"/>
        <w:ind w:firstLine="540"/>
        <w:jc w:val="both"/>
      </w:pPr>
      <w:r>
        <w:rPr>
          <w:sz w:val="24"/>
        </w:rPr>
        <w:t xml:space="preserve">2.4. По показателю "Сокращенное наименование на английском языке (при наличии)" </w:t>
      </w:r>
      <w:hyperlink w:history="0" w:anchor="P103" w:tooltip="4">
        <w:r>
          <w:rPr>
            <w:sz w:val="24"/>
            <w:color w:val="0000ff"/>
          </w:rPr>
          <w:t xml:space="preserve">(строка 4)</w:t>
        </w:r>
      </w:hyperlink>
      <w:r>
        <w:rPr>
          <w:sz w:val="24"/>
        </w:rPr>
        <w:t xml:space="preserve"> указывается (при наличии):</w:t>
      </w:r>
    </w:p>
    <w:p>
      <w:pPr>
        <w:pStyle w:val="0"/>
        <w:spacing w:before="240" w:lineRule="auto"/>
        <w:ind w:firstLine="540"/>
        <w:jc w:val="both"/>
      </w:pPr>
      <w:r>
        <w:rPr>
          <w:sz w:val="24"/>
        </w:rPr>
        <w:t xml:space="preserve">страховой организацией - сокращенное фирменное наименование страховой организации на английском языке, соответствующее сокращенному фирменному наименованию на английском языке, указанному в ее уставе;</w:t>
      </w:r>
    </w:p>
    <w:p>
      <w:pPr>
        <w:pStyle w:val="0"/>
        <w:spacing w:before="240" w:lineRule="auto"/>
        <w:ind w:firstLine="540"/>
        <w:jc w:val="both"/>
      </w:pPr>
      <w:r>
        <w:rPr>
          <w:sz w:val="24"/>
        </w:rPr>
        <w:t xml:space="preserve">обществом взаимного страхования - сокращенное наименование общества взаимного страхования на английском языке, соответствующее сокращенному наименованию на английском языке, указанному в его уставе;</w:t>
      </w:r>
    </w:p>
    <w:p>
      <w:pPr>
        <w:pStyle w:val="0"/>
        <w:spacing w:before="240" w:lineRule="auto"/>
        <w:ind w:firstLine="540"/>
        <w:jc w:val="both"/>
      </w:pPr>
      <w:r>
        <w:rPr>
          <w:sz w:val="24"/>
        </w:rPr>
        <w:t xml:space="preserve">иностранной страховой организацией - сокращенное наименование иностранной страховой организации на английском языке, соответствующее сокращенному наименованию на английском языке, указанному в ее учредительных документах.</w:t>
      </w:r>
    </w:p>
    <w:p>
      <w:pPr>
        <w:pStyle w:val="0"/>
        <w:spacing w:before="240" w:lineRule="auto"/>
        <w:ind w:firstLine="540"/>
        <w:jc w:val="both"/>
      </w:pPr>
      <w:r>
        <w:rPr>
          <w:sz w:val="24"/>
        </w:rPr>
        <w:t xml:space="preserve">2.5. По показателю "Сведения о праве на осуществление страхования и (или) перестрахования на территории государства (на территории) - члена Всемирной торговой организации" </w:t>
      </w:r>
      <w:hyperlink w:history="0" w:anchor="P107" w:tooltip="5">
        <w:r>
          <w:rPr>
            <w:sz w:val="24"/>
            <w:color w:val="0000ff"/>
          </w:rPr>
          <w:t xml:space="preserve">(строка 5)</w:t>
        </w:r>
      </w:hyperlink>
      <w:r>
        <w:rPr>
          <w:sz w:val="24"/>
        </w:rPr>
        <w:t xml:space="preserve"> указываются сведения о наличии права на осуществление страховой деятельности на территории государства (на территории) - члена Всемирной торговой организации, предоставленного в соответствии с национальным законодательством этого государства (этой территории): вид, номер и дата, срок действия (при наличии) документа, в соответствии с которым иностранная страховая организация имеет право на осуществление страхования и (или) перестрахования на территории государства (на территории) - члена Всемирной торговой организации; наименование органа, предоставившего такое право.</w:t>
      </w:r>
    </w:p>
    <w:p>
      <w:pPr>
        <w:pStyle w:val="0"/>
        <w:spacing w:before="240" w:lineRule="auto"/>
        <w:ind w:firstLine="540"/>
        <w:jc w:val="both"/>
      </w:pPr>
      <w:r>
        <w:rPr>
          <w:sz w:val="24"/>
        </w:rPr>
        <w:t xml:space="preserve">Страховая организация и общество взаимного страхования показатель "Сведения о праве на осуществление страхования и (или) перестрахования на территории государства (на территории) - члена Всемирной торговой организации" </w:t>
      </w:r>
      <w:hyperlink w:history="0" w:anchor="P107" w:tooltip="5">
        <w:r>
          <w:rPr>
            <w:sz w:val="24"/>
            <w:color w:val="0000ff"/>
          </w:rPr>
          <w:t xml:space="preserve">(строка 5)</w:t>
        </w:r>
      </w:hyperlink>
      <w:r>
        <w:rPr>
          <w:sz w:val="24"/>
        </w:rPr>
        <w:t xml:space="preserve"> не формируют.</w:t>
      </w:r>
    </w:p>
    <w:p>
      <w:pPr>
        <w:pStyle w:val="0"/>
        <w:spacing w:before="240" w:lineRule="auto"/>
        <w:ind w:firstLine="540"/>
        <w:jc w:val="both"/>
      </w:pPr>
      <w:r>
        <w:rPr>
          <w:sz w:val="24"/>
        </w:rPr>
        <w:t xml:space="preserve">2.6. По показателю "Идентификационный номер налогоплательщика (ИНН)" </w:t>
      </w:r>
      <w:hyperlink w:history="0" w:anchor="P111" w:tooltip="6">
        <w:r>
          <w:rPr>
            <w:sz w:val="24"/>
            <w:color w:val="0000ff"/>
          </w:rPr>
          <w:t xml:space="preserve">(строка 6)</w:t>
        </w:r>
      </w:hyperlink>
      <w:r>
        <w:rPr>
          <w:sz w:val="24"/>
        </w:rPr>
        <w:t xml:space="preserve"> указывается десятизначный идентификационный номер налогоплательщика (далее - ИНН) страховщика согласно документу, подтверждающему постановку на учет в налоговом органе,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2.7. По показателю "TIN" </w:t>
      </w:r>
      <w:hyperlink w:history="0" w:anchor="P115" w:tooltip="7">
        <w:r>
          <w:rPr>
            <w:sz w:val="24"/>
            <w:color w:val="0000ff"/>
          </w:rPr>
          <w:t xml:space="preserve">(строка 7)</w:t>
        </w:r>
      </w:hyperlink>
      <w:r>
        <w:rPr>
          <w:sz w:val="24"/>
        </w:rPr>
        <w:t xml:space="preserve"> указывается код (номер) налогоплательщика, присвоенный уполномоченным органом иностранного государства, или его аналог, подтверждающий статус иностранной страховой организации в качестве налогоплательщика в государстве (на территории), где зарегистрирована иностранная страховая организация.</w:t>
      </w:r>
    </w:p>
    <w:p>
      <w:pPr>
        <w:pStyle w:val="0"/>
        <w:spacing w:before="240" w:lineRule="auto"/>
        <w:ind w:firstLine="540"/>
        <w:jc w:val="both"/>
      </w:pPr>
      <w:r>
        <w:rPr>
          <w:sz w:val="24"/>
        </w:rPr>
        <w:t xml:space="preserve">Страховая организация и общество взаимного страхования показатель "TIN" </w:t>
      </w:r>
      <w:hyperlink w:history="0" w:anchor="P115" w:tooltip="7">
        <w:r>
          <w:rPr>
            <w:sz w:val="24"/>
            <w:color w:val="0000ff"/>
          </w:rPr>
          <w:t xml:space="preserve">(строка 7)</w:t>
        </w:r>
      </w:hyperlink>
      <w:r>
        <w:rPr>
          <w:sz w:val="24"/>
        </w:rPr>
        <w:t xml:space="preserve"> не формируют.</w:t>
      </w:r>
    </w:p>
    <w:p>
      <w:pPr>
        <w:pStyle w:val="0"/>
        <w:spacing w:before="240" w:lineRule="auto"/>
        <w:ind w:firstLine="540"/>
        <w:jc w:val="both"/>
      </w:pPr>
      <w:r>
        <w:rPr>
          <w:sz w:val="24"/>
        </w:rPr>
        <w:t xml:space="preserve">2.8. По показателю "Основной государственный регистрационный номер (ОГРН)" </w:t>
      </w:r>
      <w:hyperlink w:history="0" w:anchor="P119" w:tooltip="8">
        <w:r>
          <w:rPr>
            <w:sz w:val="24"/>
            <w:color w:val="0000ff"/>
          </w:rPr>
          <w:t xml:space="preserve">(строка 8)</w:t>
        </w:r>
      </w:hyperlink>
      <w:r>
        <w:rPr>
          <w:sz w:val="24"/>
        </w:rPr>
        <w:t xml:space="preserve"> указывается тринадцатизначный основной государственный регистрационный номер (далее - ОГРН), присвоенный страховщику при внесении записи о его государственной регистрации в единый государственный реестр юридических лиц (далее - ЕГРЮЛ).</w:t>
      </w:r>
    </w:p>
    <w:p>
      <w:pPr>
        <w:pStyle w:val="0"/>
        <w:spacing w:before="240" w:lineRule="auto"/>
        <w:ind w:firstLine="540"/>
        <w:jc w:val="both"/>
      </w:pPr>
      <w:r>
        <w:rPr>
          <w:sz w:val="24"/>
        </w:rPr>
        <w:t xml:space="preserve">Иностранная страховая организация показатель "Основной государственный регистрационный номер (ОГРН)" </w:t>
      </w:r>
      <w:hyperlink w:history="0" w:anchor="P119" w:tooltip="8">
        <w:r>
          <w:rPr>
            <w:sz w:val="24"/>
            <w:color w:val="0000ff"/>
          </w:rPr>
          <w:t xml:space="preserve">(строка 8)</w:t>
        </w:r>
      </w:hyperlink>
      <w:r>
        <w:rPr>
          <w:sz w:val="24"/>
        </w:rPr>
        <w:t xml:space="preserve"> не формирует.</w:t>
      </w:r>
    </w:p>
    <w:p>
      <w:pPr>
        <w:pStyle w:val="0"/>
        <w:spacing w:before="240" w:lineRule="auto"/>
        <w:ind w:firstLine="540"/>
        <w:jc w:val="both"/>
      </w:pPr>
      <w:r>
        <w:rPr>
          <w:sz w:val="24"/>
        </w:rPr>
        <w:t xml:space="preserve">2.9. По показателю "Регистрационный номер записи в едином государственном реестре субъектов страхового дела" </w:t>
      </w:r>
      <w:hyperlink w:history="0" w:anchor="P123" w:tooltip="9">
        <w:r>
          <w:rPr>
            <w:sz w:val="24"/>
            <w:color w:val="0000ff"/>
          </w:rPr>
          <w:t xml:space="preserve">(строка 9)</w:t>
        </w:r>
      </w:hyperlink>
      <w:r>
        <w:rPr>
          <w:sz w:val="24"/>
        </w:rPr>
        <w:t xml:space="preserve"> указывается регистрационный номер записи страховщика в едином государственном реестре субъектов страхового дела (далее - ЕГРССД), который ведется Банком России в соответствии с </w:t>
      </w:r>
      <w:hyperlink w:history="0" r:id="rId38"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подпунктом 1 пункта 4 статьи 30</w:t>
        </w:r>
      </w:hyperlink>
      <w:r>
        <w:rPr>
          <w:sz w:val="24"/>
        </w:rPr>
        <w:t xml:space="preserve"> Закона Российской Федерации от 27 ноября 1992 года N 4015-I "Об организации страхового дела в Российской Федерации" (далее - Закон Российской Федерации N 4015-I) (регистрационный номер записи включает от одной до четырех цифр без лидирующих нулей).</w:t>
      </w:r>
    </w:p>
    <w:p>
      <w:pPr>
        <w:pStyle w:val="0"/>
        <w:spacing w:before="240" w:lineRule="auto"/>
        <w:ind w:firstLine="540"/>
        <w:jc w:val="both"/>
      </w:pPr>
      <w:r>
        <w:rPr>
          <w:sz w:val="24"/>
        </w:rPr>
        <w:t xml:space="preserve">2.10. По показателю "Код по Общероссийскому классификатору предприятий и организаций (ОКПО)" </w:t>
      </w:r>
      <w:hyperlink w:history="0" w:anchor="P127" w:tooltip="10">
        <w:r>
          <w:rPr>
            <w:sz w:val="24"/>
            <w:color w:val="0000ff"/>
          </w:rPr>
          <w:t xml:space="preserve">(строка 10)</w:t>
        </w:r>
      </w:hyperlink>
      <w:r>
        <w:rPr>
          <w:sz w:val="24"/>
        </w:rPr>
        <w:t xml:space="preserve"> указывается восьмизначный цифровой код страховщика согласно Общероссийскому классификатору предприятий и организаций (ОКПО).</w:t>
      </w:r>
    </w:p>
    <w:p>
      <w:pPr>
        <w:pStyle w:val="0"/>
        <w:spacing w:before="240" w:lineRule="auto"/>
        <w:ind w:firstLine="540"/>
        <w:jc w:val="both"/>
      </w:pPr>
      <w:r>
        <w:rPr>
          <w:sz w:val="24"/>
        </w:rPr>
        <w:t xml:space="preserve">Иностранная страховая организация показатель "Код по Общероссийскому классификатору предприятий и организаций (ОКПО)" </w:t>
      </w:r>
      <w:hyperlink w:history="0" w:anchor="P127" w:tooltip="10">
        <w:r>
          <w:rPr>
            <w:sz w:val="24"/>
            <w:color w:val="0000ff"/>
          </w:rPr>
          <w:t xml:space="preserve">(строка 10)</w:t>
        </w:r>
      </w:hyperlink>
      <w:r>
        <w:rPr>
          <w:sz w:val="24"/>
        </w:rPr>
        <w:t xml:space="preserve"> не формирует.</w:t>
      </w:r>
    </w:p>
    <w:p>
      <w:pPr>
        <w:pStyle w:val="0"/>
        <w:spacing w:before="240" w:lineRule="auto"/>
        <w:ind w:firstLine="540"/>
        <w:jc w:val="both"/>
      </w:pPr>
      <w:r>
        <w:rPr>
          <w:sz w:val="24"/>
        </w:rPr>
        <w:t xml:space="preserve">2.11. По показателю "Код организационно-правовой формы по Общероссийскому </w:t>
      </w:r>
      <w:hyperlink w:history="0" r:id="rId39"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классификатору</w:t>
        </w:r>
      </w:hyperlink>
      <w:r>
        <w:rPr>
          <w:sz w:val="24"/>
        </w:rPr>
        <w:t xml:space="preserve"> организационно-правовых форм (ОКОПФ)" </w:t>
      </w:r>
      <w:hyperlink w:history="0" w:anchor="P131" w:tooltip="11">
        <w:r>
          <w:rPr>
            <w:sz w:val="24"/>
            <w:color w:val="0000ff"/>
          </w:rPr>
          <w:t xml:space="preserve">(строка 11)</w:t>
        </w:r>
      </w:hyperlink>
      <w:r>
        <w:rPr>
          <w:sz w:val="24"/>
        </w:rPr>
        <w:t xml:space="preserve"> указывается пятизначный цифровой код организационно-правовой формы страховщика согласно Общероссийскому </w:t>
      </w:r>
      <w:hyperlink w:history="0" r:id="rId40"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классификатору</w:t>
        </w:r>
      </w:hyperlink>
      <w:r>
        <w:rPr>
          <w:sz w:val="24"/>
        </w:rPr>
        <w:t xml:space="preserve"> организационно-правовых форм (ОКОПФ).</w:t>
      </w:r>
    </w:p>
    <w:p>
      <w:pPr>
        <w:pStyle w:val="0"/>
        <w:spacing w:before="240" w:lineRule="auto"/>
        <w:ind w:firstLine="540"/>
        <w:jc w:val="both"/>
      </w:pPr>
      <w:r>
        <w:rPr>
          <w:sz w:val="24"/>
        </w:rPr>
        <w:t xml:space="preserve">Иностранная страховая организация показатель "Код организационно-правовой формы по Общероссийскому </w:t>
      </w:r>
      <w:hyperlink w:history="0" r:id="rId41"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классификатору</w:t>
        </w:r>
      </w:hyperlink>
      <w:r>
        <w:rPr>
          <w:sz w:val="24"/>
        </w:rPr>
        <w:t xml:space="preserve"> организационно-правовых форм (ОКОПФ)" </w:t>
      </w:r>
      <w:hyperlink w:history="0" w:anchor="P131" w:tooltip="11">
        <w:r>
          <w:rPr>
            <w:sz w:val="24"/>
            <w:color w:val="0000ff"/>
          </w:rPr>
          <w:t xml:space="preserve">(строка 11)</w:t>
        </w:r>
      </w:hyperlink>
      <w:r>
        <w:rPr>
          <w:sz w:val="24"/>
        </w:rPr>
        <w:t xml:space="preserve"> не формирует.</w:t>
      </w:r>
    </w:p>
    <w:p>
      <w:pPr>
        <w:pStyle w:val="0"/>
        <w:spacing w:before="240" w:lineRule="auto"/>
        <w:ind w:firstLine="540"/>
        <w:jc w:val="both"/>
      </w:pPr>
      <w:r>
        <w:rPr>
          <w:sz w:val="24"/>
        </w:rPr>
        <w:t xml:space="preserve">2.12. По показателю "Код формы собственности по Общероссийскому </w:t>
      </w:r>
      <w:hyperlink w:history="0" r:id="rId42" w:tooltip="Постановление Госстандарта России от 30.03.1999 N 97 (ред. от 22.09.2023) &quot;О принятии и введении в действие Общероссийских классификаторов&quot; (вместе с &quot;ОК 027-99. Общероссийский классификатор форм собственности&quot;) (дата введения 01.01.2000) {КонсультантПлюс}">
        <w:r>
          <w:rPr>
            <w:sz w:val="24"/>
            <w:color w:val="0000ff"/>
          </w:rPr>
          <w:t xml:space="preserve">классификатору</w:t>
        </w:r>
      </w:hyperlink>
      <w:r>
        <w:rPr>
          <w:sz w:val="24"/>
        </w:rPr>
        <w:t xml:space="preserve"> форм собственности (ОКФС)" </w:t>
      </w:r>
      <w:hyperlink w:history="0" w:anchor="P135" w:tooltip="12">
        <w:r>
          <w:rPr>
            <w:sz w:val="24"/>
            <w:color w:val="0000ff"/>
          </w:rPr>
          <w:t xml:space="preserve">(строка 12)</w:t>
        </w:r>
      </w:hyperlink>
      <w:r>
        <w:rPr>
          <w:sz w:val="24"/>
        </w:rPr>
        <w:t xml:space="preserve"> указывается двузначный цифровой код формы собственности страховщика согласно Общероссийскому </w:t>
      </w:r>
      <w:hyperlink w:history="0" r:id="rId43" w:tooltip="Постановление Госстандарта России от 30.03.1999 N 97 (ред. от 22.09.2023) &quot;О принятии и введении в действие Общероссийских классификаторов&quot; (вместе с &quot;ОК 027-99. Общероссийский классификатор форм собственности&quot;) (дата введения 01.01.2000) {КонсультантПлюс}">
        <w:r>
          <w:rPr>
            <w:sz w:val="24"/>
            <w:color w:val="0000ff"/>
          </w:rPr>
          <w:t xml:space="preserve">классификатору</w:t>
        </w:r>
      </w:hyperlink>
      <w:r>
        <w:rPr>
          <w:sz w:val="24"/>
        </w:rPr>
        <w:t xml:space="preserve"> форм собственности (ОКФС).</w:t>
      </w:r>
    </w:p>
    <w:p>
      <w:pPr>
        <w:pStyle w:val="0"/>
        <w:spacing w:before="240" w:lineRule="auto"/>
        <w:ind w:firstLine="540"/>
        <w:jc w:val="both"/>
      </w:pPr>
      <w:r>
        <w:rPr>
          <w:sz w:val="24"/>
        </w:rPr>
        <w:t xml:space="preserve">Иностранная страховая организация показатель "Код формы собственности по Общероссийскому </w:t>
      </w:r>
      <w:hyperlink w:history="0" r:id="rId44" w:tooltip="Постановление Госстандарта России от 30.03.1999 N 97 (ред. от 22.09.2023) &quot;О принятии и введении в действие Общероссийских классификаторов&quot; (вместе с &quot;ОК 027-99. Общероссийский классификатор форм собственности&quot;) (дата введения 01.01.2000) {КонсультантПлюс}">
        <w:r>
          <w:rPr>
            <w:sz w:val="24"/>
            <w:color w:val="0000ff"/>
          </w:rPr>
          <w:t xml:space="preserve">классификатору</w:t>
        </w:r>
      </w:hyperlink>
      <w:r>
        <w:rPr>
          <w:sz w:val="24"/>
        </w:rPr>
        <w:t xml:space="preserve"> форм собственности (ОКФС)" </w:t>
      </w:r>
      <w:hyperlink w:history="0" w:anchor="P135" w:tooltip="12">
        <w:r>
          <w:rPr>
            <w:sz w:val="24"/>
            <w:color w:val="0000ff"/>
          </w:rPr>
          <w:t xml:space="preserve">(строка 12)</w:t>
        </w:r>
      </w:hyperlink>
      <w:r>
        <w:rPr>
          <w:sz w:val="24"/>
        </w:rPr>
        <w:t xml:space="preserve"> не формирует.</w:t>
      </w:r>
    </w:p>
    <w:p>
      <w:pPr>
        <w:pStyle w:val="0"/>
        <w:spacing w:before="240" w:lineRule="auto"/>
        <w:ind w:firstLine="540"/>
        <w:jc w:val="both"/>
      </w:pPr>
      <w:r>
        <w:rPr>
          <w:sz w:val="24"/>
        </w:rPr>
        <w:t xml:space="preserve">2.13. По показателю "Код места нахождения в государственном адресном реестре федеральной информационной адресной системы (ФИАС)" </w:t>
      </w:r>
      <w:hyperlink w:history="0" w:anchor="P139" w:tooltip="13">
        <w:r>
          <w:rPr>
            <w:sz w:val="24"/>
            <w:color w:val="0000ff"/>
          </w:rPr>
          <w:t xml:space="preserve">(строка 13)</w:t>
        </w:r>
      </w:hyperlink>
      <w:r>
        <w:rPr>
          <w:sz w:val="24"/>
        </w:rPr>
        <w:t xml:space="preserve"> указывается уникальный номер адреса объекта адресации согласно ФИАС длиной 36 символов, соответствующий адресу страховщика в пределах места нахождения страховщика.</w:t>
      </w:r>
    </w:p>
    <w:p>
      <w:pPr>
        <w:pStyle w:val="0"/>
        <w:spacing w:before="240" w:lineRule="auto"/>
        <w:ind w:firstLine="540"/>
        <w:jc w:val="both"/>
      </w:pPr>
      <w:r>
        <w:rPr>
          <w:sz w:val="24"/>
        </w:rPr>
        <w:t xml:space="preserve">В случае если уникальный номер адреса объекта адресации отсутствует в ФИАС при поиске такого номера для всех адресообразующих элементов, по показателю "Код места нахождения в государственном адресном реестре федеральной информационной адресной системы (ФИАС)" </w:t>
      </w:r>
      <w:hyperlink w:history="0" w:anchor="P139" w:tooltip="13">
        <w:r>
          <w:rPr>
            <w:sz w:val="24"/>
            <w:color w:val="0000ff"/>
          </w:rPr>
          <w:t xml:space="preserve">(строка 13)</w:t>
        </w:r>
      </w:hyperlink>
      <w:r>
        <w:rPr>
          <w:sz w:val="24"/>
        </w:rPr>
        <w:t xml:space="preserve"> указывается уникальный номер адресообразующего элемента для последнего элемента улично-дорожной сети.</w:t>
      </w:r>
    </w:p>
    <w:p>
      <w:pPr>
        <w:pStyle w:val="0"/>
        <w:spacing w:before="240" w:lineRule="auto"/>
        <w:ind w:firstLine="540"/>
        <w:jc w:val="both"/>
      </w:pPr>
      <w:r>
        <w:rPr>
          <w:sz w:val="24"/>
        </w:rPr>
        <w:t xml:space="preserve">Указание значения 0 (ноль) или символа "-" (прочерк) по показателю "Код места нахождения в государственном адресном реестре федеральной информационной адресной системы (ФИАС)" </w:t>
      </w:r>
      <w:hyperlink w:history="0" w:anchor="P139" w:tooltip="13">
        <w:r>
          <w:rPr>
            <w:sz w:val="24"/>
            <w:color w:val="0000ff"/>
          </w:rPr>
          <w:t xml:space="preserve">(строка 13)</w:t>
        </w:r>
      </w:hyperlink>
      <w:r>
        <w:rPr>
          <w:sz w:val="24"/>
        </w:rPr>
        <w:t xml:space="preserve"> не допускается.</w:t>
      </w:r>
    </w:p>
    <w:p>
      <w:pPr>
        <w:pStyle w:val="0"/>
        <w:spacing w:before="240" w:lineRule="auto"/>
        <w:ind w:firstLine="540"/>
        <w:jc w:val="both"/>
      </w:pPr>
      <w:r>
        <w:rPr>
          <w:sz w:val="24"/>
        </w:rPr>
        <w:t xml:space="preserve">Иностранная страховая организация показатель "Код места нахождения в государственном адресном реестре федеральной информационной адресной системы (ФИАС)" </w:t>
      </w:r>
      <w:hyperlink w:history="0" w:anchor="P139" w:tooltip="13">
        <w:r>
          <w:rPr>
            <w:sz w:val="24"/>
            <w:color w:val="0000ff"/>
          </w:rPr>
          <w:t xml:space="preserve">(строка 13)</w:t>
        </w:r>
      </w:hyperlink>
      <w:r>
        <w:rPr>
          <w:sz w:val="24"/>
        </w:rPr>
        <w:t xml:space="preserve"> не формирует.</w:t>
      </w:r>
    </w:p>
    <w:p>
      <w:pPr>
        <w:pStyle w:val="0"/>
        <w:spacing w:before="240" w:lineRule="auto"/>
        <w:ind w:firstLine="540"/>
        <w:jc w:val="both"/>
      </w:pPr>
      <w:r>
        <w:rPr>
          <w:sz w:val="24"/>
        </w:rPr>
        <w:t xml:space="preserve">2.14. По показателю "Код места нахождения по Общероссийскому </w:t>
      </w:r>
      <w:hyperlink w:history="0" r:id="rId4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 </w:t>
      </w:r>
      <w:hyperlink w:history="0" w:anchor="P143" w:tooltip="14">
        <w:r>
          <w:rPr>
            <w:sz w:val="24"/>
            <w:color w:val="0000ff"/>
          </w:rPr>
          <w:t xml:space="preserve">(строка 14)</w:t>
        </w:r>
      </w:hyperlink>
      <w:r>
        <w:rPr>
          <w:sz w:val="24"/>
        </w:rPr>
        <w:t xml:space="preserve"> указывается одиннадцатизначный цифровой код места нахождения страховщика согласно </w:t>
      </w:r>
      <w:hyperlink w:history="0" r:id="rId4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второму разделу</w:t>
        </w:r>
      </w:hyperlink>
      <w:r>
        <w:rPr>
          <w:sz w:val="24"/>
        </w:rPr>
        <w:t xml:space="preserve"> Общероссийского классификатора территорий муниципальных образований (далее - ОКТМО), соответствующий адресу страховщика в пределах места нахождения страховщика.</w:t>
      </w:r>
    </w:p>
    <w:p>
      <w:pPr>
        <w:pStyle w:val="0"/>
        <w:spacing w:before="240" w:lineRule="auto"/>
        <w:ind w:firstLine="540"/>
        <w:jc w:val="both"/>
      </w:pPr>
      <w:r>
        <w:rPr>
          <w:sz w:val="24"/>
        </w:rPr>
        <w:t xml:space="preserve">Для городов федерального значения, кроме населенных пунктов, входящих в состав их муниципальных образований, указываются первые два знака кодового обозначения территории муниципального образования, соответствующие идентификации объекта классификации первой ступени классификации по </w:t>
      </w:r>
      <w:hyperlink w:history="0" r:id="rId4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ОКТМО</w:t>
        </w:r>
      </w:hyperlink>
      <w:r>
        <w:rPr>
          <w:sz w:val="24"/>
        </w:rPr>
        <w:t xml:space="preserve">: 45000000000 - город Москва; 40000000000 - город Санкт-Петербург; 67000000000 - город Севастополь. Для населенных пунктов, входящих в состав муниципальных образований городов федерального значения, указывается код населенного пункта согласно </w:t>
      </w:r>
      <w:hyperlink w:history="0" r:id="rId4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второму разделу</w:t>
        </w:r>
      </w:hyperlink>
      <w:r>
        <w:rPr>
          <w:sz w:val="24"/>
        </w:rPr>
        <w:t xml:space="preserve"> ОКТМО.</w:t>
      </w:r>
    </w:p>
    <w:p>
      <w:pPr>
        <w:pStyle w:val="0"/>
        <w:spacing w:before="240" w:lineRule="auto"/>
        <w:ind w:firstLine="540"/>
        <w:jc w:val="both"/>
      </w:pPr>
      <w:r>
        <w:rPr>
          <w:sz w:val="24"/>
        </w:rPr>
        <w:t xml:space="preserve">Указание значения 0 (ноль) или символа "-" (прочерк) по показателю "Код места нахождения по Общероссийскому </w:t>
      </w:r>
      <w:hyperlink w:history="0" r:id="rId4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 </w:t>
      </w:r>
      <w:hyperlink w:history="0" w:anchor="P143" w:tooltip="14">
        <w:r>
          <w:rPr>
            <w:sz w:val="24"/>
            <w:color w:val="0000ff"/>
          </w:rPr>
          <w:t xml:space="preserve">(строка 14)</w:t>
        </w:r>
      </w:hyperlink>
      <w:r>
        <w:rPr>
          <w:sz w:val="24"/>
        </w:rPr>
        <w:t xml:space="preserve"> не допускается.</w:t>
      </w:r>
    </w:p>
    <w:p>
      <w:pPr>
        <w:pStyle w:val="0"/>
        <w:spacing w:before="240" w:lineRule="auto"/>
        <w:ind w:firstLine="540"/>
        <w:jc w:val="both"/>
      </w:pPr>
      <w:r>
        <w:rPr>
          <w:sz w:val="24"/>
        </w:rPr>
        <w:t xml:space="preserve">Иностранная страховая организация показатель "Код места нахождения по Общероссийскому </w:t>
      </w:r>
      <w:hyperlink w:history="0" r:id="rId5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 </w:t>
      </w:r>
      <w:hyperlink w:history="0" w:anchor="P143" w:tooltip="14">
        <w:r>
          <w:rPr>
            <w:sz w:val="24"/>
            <w:color w:val="0000ff"/>
          </w:rPr>
          <w:t xml:space="preserve">(строка 14)</w:t>
        </w:r>
      </w:hyperlink>
      <w:r>
        <w:rPr>
          <w:sz w:val="24"/>
        </w:rPr>
        <w:t xml:space="preserve"> не формирует.</w:t>
      </w:r>
    </w:p>
    <w:p>
      <w:pPr>
        <w:pStyle w:val="0"/>
        <w:spacing w:before="240" w:lineRule="auto"/>
        <w:ind w:firstLine="540"/>
        <w:jc w:val="both"/>
      </w:pPr>
      <w:r>
        <w:rPr>
          <w:sz w:val="24"/>
        </w:rPr>
        <w:t xml:space="preserve">2.15. По показателю "Адрес в пределах места нахождения" </w:t>
      </w:r>
      <w:hyperlink w:history="0" w:anchor="P147" w:tooltip="15">
        <w:r>
          <w:rPr>
            <w:sz w:val="24"/>
            <w:color w:val="0000ff"/>
          </w:rPr>
          <w:t xml:space="preserve">(строка 15)</w:t>
        </w:r>
      </w:hyperlink>
      <w:r>
        <w:rPr>
          <w:sz w:val="24"/>
        </w:rPr>
        <w:t xml:space="preserve"> указывается адрес страховщика в пределах места нахождения страховщика (с указанием почтового индекса).</w:t>
      </w:r>
    </w:p>
    <w:p>
      <w:pPr>
        <w:pStyle w:val="0"/>
        <w:spacing w:before="240" w:lineRule="auto"/>
        <w:ind w:firstLine="540"/>
        <w:jc w:val="both"/>
      </w:pPr>
      <w:r>
        <w:rPr>
          <w:sz w:val="24"/>
        </w:rPr>
        <w:t xml:space="preserve">Адрес страховой организации, общества взаимного страхования в пределах места нахождения страховой организации, общества взаимного страхования должен соответствовать данным, указанным в ЕГРЮЛ.</w:t>
      </w:r>
    </w:p>
    <w:p>
      <w:pPr>
        <w:pStyle w:val="0"/>
        <w:spacing w:before="240" w:lineRule="auto"/>
        <w:ind w:firstLine="540"/>
        <w:jc w:val="both"/>
      </w:pPr>
      <w:r>
        <w:rPr>
          <w:sz w:val="24"/>
        </w:rPr>
        <w:t xml:space="preserve">По показателю "Адрес в пределах места нахождения" </w:t>
      </w:r>
      <w:hyperlink w:history="0" w:anchor="P147" w:tooltip="15">
        <w:r>
          <w:rPr>
            <w:sz w:val="24"/>
            <w:color w:val="0000ff"/>
          </w:rPr>
          <w:t xml:space="preserve">(строка 15)</w:t>
        </w:r>
      </w:hyperlink>
      <w:r>
        <w:rPr>
          <w:sz w:val="24"/>
        </w:rPr>
        <w:t xml:space="preserve"> сведения (субъект Российской Федерации, муниципальное образование (административно-территориальная единица), населенный пункт, элемент планировочной структуры, элемент улично-дорожной сети, идентификационные элементы объекта адресации в соответствии с </w:t>
      </w:r>
      <w:hyperlink w:history="0" r:id="rId51" w:tooltip="Приказ Минфина России от 05.11.2015 N 171н (ред. от 23.12.2021) &quot;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quot; (Зарегистрировано в Минюсте России 10.12.2015 N 40069) {КонсультантПлюс}">
        <w:r>
          <w:rPr>
            <w:sz w:val="24"/>
            <w:color w:val="0000ff"/>
          </w:rPr>
          <w:t xml:space="preserve">приказом</w:t>
        </w:r>
      </w:hyperlink>
      <w:r>
        <w:rPr>
          <w:sz w:val="24"/>
        </w:rPr>
        <w:t xml:space="preserve"> Министерства финансов Российской Федерации от 5 ноября 2015 года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&lt;1&gt;) указываются страховой организацией, обществом взаимного страхования через символ "," (запятая) с отступом (пробелом).</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 Минюстом России 10 декабря 2015 года, регистрационный N 40069, с изменениями, внесенными приказами Минфина России от 16 октября 2018 года N 207н (зарегистрирован Минюстом России 8 ноября 2018 года, регистрационный N 52649), от 17 июня 2019 года N 97н (зарегистрирован Минюстом России 10 июля 2019 года, регистрационный N 55197), от 10 марта 2020 года N 38н (зарегистрирован Минюстом России 16 апреля 2020 года, регистрационный N 58121), от 23 декабря 2021 года N 220н (зарегистрирован Минюстом России 3 февраля 2022 года, регистрационный N 67143).</w:t>
      </w:r>
    </w:p>
    <w:p>
      <w:pPr>
        <w:pStyle w:val="0"/>
        <w:ind w:firstLine="540"/>
        <w:jc w:val="both"/>
      </w:pPr>
      <w:r>
        <w:rPr>
          <w:sz w:val="24"/>
        </w:rPr>
      </w:r>
    </w:p>
    <w:p>
      <w:pPr>
        <w:pStyle w:val="0"/>
        <w:ind w:firstLine="540"/>
        <w:jc w:val="both"/>
      </w:pPr>
      <w:r>
        <w:rPr>
          <w:sz w:val="24"/>
        </w:rPr>
        <w:t xml:space="preserve">Указание значения 0 (ноль) или символа "-" (прочерк) по показателю "Адрес в пределах места нахождения" </w:t>
      </w:r>
      <w:hyperlink w:history="0" w:anchor="P147" w:tooltip="15">
        <w:r>
          <w:rPr>
            <w:sz w:val="24"/>
            <w:color w:val="0000ff"/>
          </w:rPr>
          <w:t xml:space="preserve">(строка 15)</w:t>
        </w:r>
      </w:hyperlink>
      <w:r>
        <w:rPr>
          <w:sz w:val="24"/>
        </w:rPr>
        <w:t xml:space="preserve"> не допускается.</w:t>
      </w:r>
    </w:p>
    <w:p>
      <w:pPr>
        <w:pStyle w:val="0"/>
        <w:spacing w:before="240" w:lineRule="auto"/>
        <w:ind w:firstLine="540"/>
        <w:jc w:val="both"/>
      </w:pPr>
      <w:r>
        <w:rPr>
          <w:sz w:val="24"/>
        </w:rPr>
        <w:t xml:space="preserve">Иностранной страховой организацией по показателю "Адрес в пределах места нахождения" </w:t>
      </w:r>
      <w:hyperlink w:history="0" w:anchor="P147" w:tooltip="15">
        <w:r>
          <w:rPr>
            <w:sz w:val="24"/>
            <w:color w:val="0000ff"/>
          </w:rPr>
          <w:t xml:space="preserve">(строка 15)</w:t>
        </w:r>
      </w:hyperlink>
      <w:r>
        <w:rPr>
          <w:sz w:val="24"/>
        </w:rPr>
        <w:t xml:space="preserve"> указывается адрес иностранной страховой организации на территории страны (на территории) - члена Всемирной торговой организации (с указанием страны (территории) - члена Всемирной торговой организации).</w:t>
      </w:r>
    </w:p>
    <w:p>
      <w:pPr>
        <w:pStyle w:val="0"/>
        <w:spacing w:before="240" w:lineRule="auto"/>
        <w:ind w:firstLine="540"/>
        <w:jc w:val="both"/>
      </w:pPr>
      <w:r>
        <w:rPr>
          <w:sz w:val="24"/>
        </w:rPr>
        <w:t xml:space="preserve">2.16. По показателю "Фактический адрес" </w:t>
      </w:r>
      <w:hyperlink w:history="0" w:anchor="P151" w:tooltip="16">
        <w:r>
          <w:rPr>
            <w:sz w:val="24"/>
            <w:color w:val="0000ff"/>
          </w:rPr>
          <w:t xml:space="preserve">(строка 16)</w:t>
        </w:r>
      </w:hyperlink>
      <w:r>
        <w:rPr>
          <w:sz w:val="24"/>
        </w:rPr>
        <w:t xml:space="preserve"> указывается адрес фактического нахождения страховщика, определяемый основным местом ведения страховой деятельности, в том числе деятельности в сфере обязательного медицинского страхования (с указанием почтового индекса).</w:t>
      </w:r>
    </w:p>
    <w:p>
      <w:pPr>
        <w:pStyle w:val="0"/>
        <w:spacing w:before="240" w:lineRule="auto"/>
        <w:ind w:firstLine="540"/>
        <w:jc w:val="both"/>
      </w:pPr>
      <w:r>
        <w:rPr>
          <w:sz w:val="24"/>
        </w:rPr>
        <w:t xml:space="preserve">2.17. По показателю "Почтовый адрес" </w:t>
      </w:r>
      <w:hyperlink w:history="0" w:anchor="P155" w:tooltip="17">
        <w:r>
          <w:rPr>
            <w:sz w:val="24"/>
            <w:color w:val="0000ff"/>
          </w:rPr>
          <w:t xml:space="preserve">(строка 17)</w:t>
        </w:r>
      </w:hyperlink>
      <w:r>
        <w:rPr>
          <w:sz w:val="24"/>
        </w:rPr>
        <w:t xml:space="preserve"> указывается адрес страховщика (с почтовым индексом), на который направляется почтовая корреспонденция.</w:t>
      </w:r>
    </w:p>
    <w:p>
      <w:pPr>
        <w:pStyle w:val="0"/>
        <w:spacing w:before="240" w:lineRule="auto"/>
        <w:ind w:firstLine="540"/>
        <w:jc w:val="both"/>
      </w:pPr>
      <w:r>
        <w:rPr>
          <w:sz w:val="24"/>
        </w:rPr>
        <w:t xml:space="preserve">2.18. По показателям "Номер телефона" </w:t>
      </w:r>
      <w:hyperlink w:history="0" w:anchor="P159" w:tooltip="18">
        <w:r>
          <w:rPr>
            <w:sz w:val="24"/>
            <w:color w:val="0000ff"/>
          </w:rPr>
          <w:t xml:space="preserve">(строка 18)</w:t>
        </w:r>
      </w:hyperlink>
      <w:r>
        <w:rPr>
          <w:sz w:val="24"/>
        </w:rPr>
        <w:t xml:space="preserve"> и "Номер факса" </w:t>
      </w:r>
      <w:hyperlink w:history="0" w:anchor="P163" w:tooltip="19">
        <w:r>
          <w:rPr>
            <w:sz w:val="24"/>
            <w:color w:val="0000ff"/>
          </w:rPr>
          <w:t xml:space="preserve">(строка 19)</w:t>
        </w:r>
      </w:hyperlink>
      <w:r>
        <w:rPr>
          <w:sz w:val="24"/>
        </w:rPr>
        <w:t xml:space="preserve"> указываются соответственно номер телефона и номер факса (при наличии) страховщика с кодом города.</w:t>
      </w:r>
    </w:p>
    <w:p>
      <w:pPr>
        <w:pStyle w:val="0"/>
        <w:spacing w:before="240" w:lineRule="auto"/>
        <w:ind w:firstLine="540"/>
        <w:jc w:val="both"/>
      </w:pPr>
      <w:r>
        <w:rPr>
          <w:sz w:val="24"/>
        </w:rPr>
        <w:t xml:space="preserve">При наличии нескольких номеров телефонов, факсов они указываются через символ ";" (точка с запятой) с отступом (пробелом).</w:t>
      </w:r>
    </w:p>
    <w:p>
      <w:pPr>
        <w:pStyle w:val="0"/>
        <w:spacing w:before="240" w:lineRule="auto"/>
        <w:ind w:firstLine="540"/>
        <w:jc w:val="both"/>
      </w:pPr>
      <w:r>
        <w:rPr>
          <w:sz w:val="24"/>
        </w:rPr>
        <w:t xml:space="preserve">2.19. По показателю "Адрес сайта в информационно-телекоммуникационной сети "Интернет" </w:t>
      </w:r>
      <w:hyperlink w:history="0" w:anchor="P167" w:tooltip="20">
        <w:r>
          <w:rPr>
            <w:sz w:val="24"/>
            <w:color w:val="0000ff"/>
          </w:rPr>
          <w:t xml:space="preserve">(строка 20)</w:t>
        </w:r>
      </w:hyperlink>
      <w:r>
        <w:rPr>
          <w:sz w:val="24"/>
        </w:rPr>
        <w:t xml:space="preserve"> указываются адреса всех принадлежащих страховщику сайтов в информационно-телекоммуникационной сети "Интернет" (далее - сеть "Интернет").</w:t>
      </w:r>
    </w:p>
    <w:p>
      <w:pPr>
        <w:pStyle w:val="0"/>
        <w:spacing w:before="240" w:lineRule="auto"/>
        <w:ind w:firstLine="540"/>
        <w:jc w:val="both"/>
      </w:pPr>
      <w:r>
        <w:rPr>
          <w:sz w:val="24"/>
        </w:rPr>
        <w:t xml:space="preserve">Адреса сайтов в сети "Интернет" указываются через символ ";" (точка с запятой) с отступом (пробелом).</w:t>
      </w:r>
    </w:p>
    <w:p>
      <w:pPr>
        <w:pStyle w:val="0"/>
        <w:spacing w:before="240" w:lineRule="auto"/>
        <w:ind w:firstLine="540"/>
        <w:jc w:val="both"/>
      </w:pPr>
      <w:r>
        <w:rPr>
          <w:sz w:val="24"/>
        </w:rPr>
        <w:t xml:space="preserve">2.20. По показателю "Электронный адрес страницы официального сайта страховщика в информационно-телекоммуникационной сети "Интернет", предназначенной для приобретения страхового полиса обязательного страхования гражданской ответственности владельцев транспортных средств в виде электронного документа" </w:t>
      </w:r>
      <w:hyperlink w:history="0" w:anchor="P171" w:tooltip="21">
        <w:r>
          <w:rPr>
            <w:sz w:val="24"/>
            <w:color w:val="0000ff"/>
          </w:rPr>
          <w:t xml:space="preserve">(строка 21)</w:t>
        </w:r>
      </w:hyperlink>
      <w:r>
        <w:rPr>
          <w:sz w:val="24"/>
        </w:rPr>
        <w:t xml:space="preserve"> страховщиком, имеющим лицензию на осуществление обязательного страхования гражданской ответственности владельцев транспортных средств, указывается электронный адрес страницы его официального сайта в сети "Интернет", предназначенной для приобретения страхового полиса обязательного страхования гражданской ответственности владельцев транспортных средств в виде электронного документа.</w:t>
      </w:r>
    </w:p>
    <w:p>
      <w:pPr>
        <w:pStyle w:val="0"/>
        <w:spacing w:before="240" w:lineRule="auto"/>
        <w:ind w:firstLine="540"/>
        <w:jc w:val="both"/>
      </w:pPr>
      <w:r>
        <w:rPr>
          <w:sz w:val="24"/>
        </w:rPr>
        <w:t xml:space="preserve">2.21. По показателю "Адрес электронной почты" </w:t>
      </w:r>
      <w:hyperlink w:history="0" w:anchor="P175" w:tooltip="22">
        <w:r>
          <w:rPr>
            <w:sz w:val="24"/>
            <w:color w:val="0000ff"/>
          </w:rPr>
          <w:t xml:space="preserve">(строка 22)</w:t>
        </w:r>
      </w:hyperlink>
      <w:r>
        <w:rPr>
          <w:sz w:val="24"/>
        </w:rPr>
        <w:t xml:space="preserve"> указывается адрес электронной почты страховщика.</w:t>
      </w:r>
    </w:p>
    <w:p>
      <w:pPr>
        <w:pStyle w:val="0"/>
        <w:spacing w:before="240" w:lineRule="auto"/>
        <w:ind w:firstLine="540"/>
        <w:jc w:val="both"/>
      </w:pPr>
      <w:r>
        <w:rPr>
          <w:sz w:val="24"/>
        </w:rPr>
        <w:t xml:space="preserve">2.22. По показателям "Предоставление страховых услуг физическим лицам по месту нахождения" </w:t>
      </w:r>
      <w:hyperlink w:history="0" w:anchor="P179" w:tooltip="23">
        <w:r>
          <w:rPr>
            <w:sz w:val="24"/>
            <w:color w:val="0000ff"/>
          </w:rPr>
          <w:t xml:space="preserve">(строка 23)</w:t>
        </w:r>
      </w:hyperlink>
      <w:r>
        <w:rPr>
          <w:sz w:val="24"/>
        </w:rPr>
        <w:t xml:space="preserve"> и "Предоставление страховых услуг юридическим лицам по месту нахождения" </w:t>
      </w:r>
      <w:hyperlink w:history="0" w:anchor="P183" w:tooltip="24">
        <w:r>
          <w:rPr>
            <w:sz w:val="24"/>
            <w:color w:val="0000ff"/>
          </w:rPr>
          <w:t xml:space="preserve">(строка 24)</w:t>
        </w:r>
      </w:hyperlink>
      <w:r>
        <w:rPr>
          <w:sz w:val="24"/>
        </w:rPr>
        <w:t xml:space="preserve"> указывается значение 1 в случае, если страховщик предоставляет страховые услуги по адресу, указанному по показателю "Адрес в пределах места нахождения" </w:t>
      </w:r>
      <w:hyperlink w:history="0" w:anchor="P147" w:tooltip="15">
        <w:r>
          <w:rPr>
            <w:sz w:val="24"/>
            <w:color w:val="0000ff"/>
          </w:rPr>
          <w:t xml:space="preserve">(строка 15)</w:t>
        </w:r>
      </w:hyperlink>
      <w:r>
        <w:rPr>
          <w:sz w:val="24"/>
        </w:rPr>
        <w:t xml:space="preserve">, либо значение 0 (ноль) в случае, если страховщик не предоставляет страховые услуги по адресу, указанному по показателю "Адрес в пределах места нахождения" </w:t>
      </w:r>
      <w:hyperlink w:history="0" w:anchor="P147" w:tooltip="15">
        <w:r>
          <w:rPr>
            <w:sz w:val="24"/>
            <w:color w:val="0000ff"/>
          </w:rPr>
          <w:t xml:space="preserve">(строка 15)</w:t>
        </w:r>
      </w:hyperlink>
      <w:r>
        <w:rPr>
          <w:sz w:val="24"/>
        </w:rPr>
        <w:t xml:space="preserve">.</w:t>
      </w:r>
    </w:p>
    <w:p>
      <w:pPr>
        <w:pStyle w:val="0"/>
        <w:spacing w:before="240" w:lineRule="auto"/>
        <w:ind w:firstLine="540"/>
        <w:jc w:val="both"/>
      </w:pPr>
      <w:r>
        <w:rPr>
          <w:sz w:val="24"/>
        </w:rPr>
        <w:t xml:space="preserve">Иностранная страховая организация показатели "Предоставление страховых услуг физическим лицам по месту нахождения" </w:t>
      </w:r>
      <w:hyperlink w:history="0" w:anchor="P179" w:tooltip="23">
        <w:r>
          <w:rPr>
            <w:sz w:val="24"/>
            <w:color w:val="0000ff"/>
          </w:rPr>
          <w:t xml:space="preserve">(строка 23)</w:t>
        </w:r>
      </w:hyperlink>
      <w:r>
        <w:rPr>
          <w:sz w:val="24"/>
        </w:rPr>
        <w:t xml:space="preserve"> и "Предоставление страховых услуг юридическим лицам по месту нахождения" </w:t>
      </w:r>
      <w:hyperlink w:history="0" w:anchor="P183" w:tooltip="24">
        <w:r>
          <w:rPr>
            <w:sz w:val="24"/>
            <w:color w:val="0000ff"/>
          </w:rPr>
          <w:t xml:space="preserve">(строка 24)</w:t>
        </w:r>
      </w:hyperlink>
      <w:r>
        <w:rPr>
          <w:sz w:val="24"/>
        </w:rPr>
        <w:t xml:space="preserve"> не формирует.</w:t>
      </w:r>
    </w:p>
    <w:p>
      <w:pPr>
        <w:pStyle w:val="0"/>
        <w:spacing w:before="240" w:lineRule="auto"/>
        <w:ind w:firstLine="540"/>
        <w:jc w:val="both"/>
      </w:pPr>
      <w:r>
        <w:rPr>
          <w:sz w:val="24"/>
        </w:rPr>
        <w:t xml:space="preserve">2.23. По показателю "Страховая организация является материнской организацией и образует группу" </w:t>
      </w:r>
      <w:hyperlink w:history="0" w:anchor="P187" w:tooltip="25">
        <w:r>
          <w:rPr>
            <w:sz w:val="24"/>
            <w:color w:val="0000ff"/>
          </w:rPr>
          <w:t xml:space="preserve">(строка 25)</w:t>
        </w:r>
      </w:hyperlink>
      <w:r>
        <w:rPr>
          <w:sz w:val="24"/>
        </w:rPr>
        <w:t xml:space="preserve"> страховой организацией (за исключением страховой медицинской организации, осуществляющей деятельность исключительно в сфере обязательного медицинского страхования) указываются сведения о том, является ли она по состоянию на последний календарный день года, за который составляется годовая бухгалтерская (финансовая) отчетность, материнской организацией и образует ли она группу в соответствии с Международным </w:t>
      </w:r>
      <w:hyperlink w:history="0" r:id="rId52" w:tooltip="&quot;Международный стандарт финансовой отчетности (IFRS) 10 &quot;Консолидированная финансовая отчетность&quot; (введен в действие на территории Российской Федерации Приказом Минфина России от 28.12.2015 N 217н) (ред. от 27.06.2016) {КонсультантПлюс}">
        <w:r>
          <w:rPr>
            <w:sz w:val="24"/>
            <w:color w:val="0000ff"/>
          </w:rPr>
          <w:t xml:space="preserve">стандартом</w:t>
        </w:r>
      </w:hyperlink>
      <w:r>
        <w:rPr>
          <w:sz w:val="24"/>
        </w:rPr>
        <w:t xml:space="preserve"> финансовой отчетности (IFRS) 10 "Консолидированная финансовая отчетность" &lt;2&gt;. В случае если страховая организация (за исключением страховой медицинской организации, осуществляющей деятельность исключительно в сфере обязательного медицинского страхования) является материнской организацией и образует группу, указывается значение 1. В ином случае указывается значение 0 (ноль).</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Введен в действие на территории Российской Федерации </w:t>
      </w:r>
      <w:hyperlink w:history="0" r:id="rId53" w:tooltip="Приказ Минфина России от 28.12.2015 N 217н (ред. от 17.09.2024) &quot;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утратившими силу некоторых приказов (отдельных положений приказов) Министерства финансов Российской Федерации&quot; (Зарегистрировано в Минюсте России 02.02.2016 N 40940) {КонсультантПлюс}">
        <w:r>
          <w:rPr>
            <w:sz w:val="24"/>
            <w:color w:val="0000ff"/>
          </w:rPr>
          <w:t xml:space="preserve">приказом</w:t>
        </w:r>
      </w:hyperlink>
      <w:r>
        <w:rPr>
          <w:sz w:val="24"/>
        </w:rPr>
        <w:t xml:space="preserve"> Минфина России от 28 декабря 2015 года N 217н "О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утратившими силу некоторых приказов (отдельных положений приказов) Министерства финансов Российской Федерации" (зарегистрирован Минюстом России 2 февраля 2016 года, регистрационный N 40940) с изменениями, внесенными приказами Минфина России от 11 июля 2016 года N 111н (зарегистрирован Минюстом России 1 августа 2016 года, регистрационный N 43044), от 17 сентября 2024 года N 127н (зарегистрирован Минюстом России 2 декабря 2024 года, регистрационный N 80431) (далее - приказ Минфина России N 217н), с поправками, введенными в действие на территории Российской Федерации приказом Минфина России от 27 июня 2016 года N 98н "О введении документов Международных стандартов финансовой отчетности в действие на территории Российской Федерации и о признании утратившими силу некоторых приказов Министерства финансов Российской Федерации" (зарегистрирован Минюстом России 15 июля 2016 года, регистрационный N 42869).</w:t>
      </w:r>
    </w:p>
    <w:p>
      <w:pPr>
        <w:pStyle w:val="0"/>
        <w:ind w:firstLine="540"/>
        <w:jc w:val="both"/>
      </w:pPr>
      <w:r>
        <w:rPr>
          <w:sz w:val="24"/>
        </w:rPr>
      </w:r>
    </w:p>
    <w:p>
      <w:pPr>
        <w:pStyle w:val="0"/>
        <w:ind w:firstLine="540"/>
        <w:jc w:val="both"/>
      </w:pPr>
      <w:r>
        <w:rPr>
          <w:sz w:val="24"/>
        </w:rPr>
        <w:t xml:space="preserve">Показатель "Страховая организация является материнской организацией и образует группу" </w:t>
      </w:r>
      <w:hyperlink w:history="0" w:anchor="P187" w:tooltip="25">
        <w:r>
          <w:rPr>
            <w:sz w:val="24"/>
            <w:color w:val="0000ff"/>
          </w:rPr>
          <w:t xml:space="preserve">(строка 25)</w:t>
        </w:r>
      </w:hyperlink>
      <w:r>
        <w:rPr>
          <w:sz w:val="24"/>
        </w:rPr>
        <w:t xml:space="preserve"> формируется по состоянию на последний календарный день декабря одновременно с составлением годовой бухгалтерской (финансовой) отчетности страховой организации (за исключением страховой медицинской организации, осуществляющей деятельность исключительно в сфере обязательного медицинского страхования).</w:t>
      </w:r>
    </w:p>
    <w:p>
      <w:pPr>
        <w:pStyle w:val="0"/>
        <w:spacing w:before="240" w:lineRule="auto"/>
        <w:ind w:firstLine="540"/>
        <w:jc w:val="both"/>
      </w:pPr>
      <w:r>
        <w:rPr>
          <w:sz w:val="24"/>
        </w:rPr>
        <w:t xml:space="preserve">Страховая медицинская организация, осуществляющая деятельность исключительно в сфере обязательного медицинского страхования, общество взаимного страхования, иностранная страховая организация показатель "Страховая организация является материнской организацией и образует группу" </w:t>
      </w:r>
      <w:hyperlink w:history="0" w:anchor="P187" w:tooltip="25">
        <w:r>
          <w:rPr>
            <w:sz w:val="24"/>
            <w:color w:val="0000ff"/>
          </w:rPr>
          <w:t xml:space="preserve">(строка 25)</w:t>
        </w:r>
      </w:hyperlink>
      <w:r>
        <w:rPr>
          <w:sz w:val="24"/>
        </w:rPr>
        <w:t xml:space="preserve"> не формируют.</w:t>
      </w:r>
    </w:p>
    <w:p>
      <w:pPr>
        <w:pStyle w:val="0"/>
        <w:spacing w:before="240" w:lineRule="auto"/>
        <w:ind w:firstLine="540"/>
        <w:jc w:val="both"/>
      </w:pPr>
      <w:r>
        <w:rPr>
          <w:sz w:val="24"/>
        </w:rPr>
        <w:t xml:space="preserve">2.24. По показателю "Добровольное страхование жизни" </w:t>
      </w:r>
      <w:hyperlink w:history="0" w:anchor="P191" w:tooltip="26">
        <w:r>
          <w:rPr>
            <w:sz w:val="24"/>
            <w:color w:val="0000ff"/>
          </w:rPr>
          <w:t xml:space="preserve">(строка 26)</w:t>
        </w:r>
      </w:hyperlink>
      <w:r>
        <w:rPr>
          <w:sz w:val="24"/>
        </w:rPr>
        <w:t xml:space="preserve"> указывается значение 1, если страховая организация по состоянию на последний календарный день отчетного месяца или иностранная страховая организация по состоянию на последний календарный день отчетного квартала имеет лицензию на осуществление добровольного страхования жизни.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показатель "Добровольное страхование жизни" </w:t>
      </w:r>
      <w:hyperlink w:history="0" w:anchor="P191" w:tooltip="26">
        <w:r>
          <w:rPr>
            <w:sz w:val="24"/>
            <w:color w:val="0000ff"/>
          </w:rPr>
          <w:t xml:space="preserve">(строка 26)</w:t>
        </w:r>
      </w:hyperlink>
      <w:r>
        <w:rPr>
          <w:sz w:val="24"/>
        </w:rPr>
        <w:t xml:space="preserve"> не формирует.</w:t>
      </w:r>
    </w:p>
    <w:p>
      <w:pPr>
        <w:pStyle w:val="0"/>
        <w:spacing w:before="240" w:lineRule="auto"/>
        <w:ind w:firstLine="540"/>
        <w:jc w:val="both"/>
      </w:pPr>
      <w:r>
        <w:rPr>
          <w:sz w:val="24"/>
        </w:rPr>
        <w:t xml:space="preserve">2.25. По показателю "Добровольное личное страхование, за исключением добровольного страхования жизни" </w:t>
      </w:r>
      <w:hyperlink w:history="0" w:anchor="P195" w:tooltip="27">
        <w:r>
          <w:rPr>
            <w:sz w:val="24"/>
            <w:color w:val="0000ff"/>
          </w:rPr>
          <w:t xml:space="preserve">(строка 27)</w:t>
        </w:r>
      </w:hyperlink>
      <w:r>
        <w:rPr>
          <w:sz w:val="24"/>
        </w:rPr>
        <w:t xml:space="preserve"> указывается значение 1, если страховая организация по состоянию на последний календарный день отчетного месяца или иностранная страховая организация по состоянию на последний календарный день отчетного квартала имеет лицензию на осуществление добровольного личного страхования, за исключением добровольного страхования жизни.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показатель "Добровольное личное страхование, за исключением добровольного страхования жизни" </w:t>
      </w:r>
      <w:hyperlink w:history="0" w:anchor="P195" w:tooltip="27">
        <w:r>
          <w:rPr>
            <w:sz w:val="24"/>
            <w:color w:val="0000ff"/>
          </w:rPr>
          <w:t xml:space="preserve">(строка 27)</w:t>
        </w:r>
      </w:hyperlink>
      <w:r>
        <w:rPr>
          <w:sz w:val="24"/>
        </w:rPr>
        <w:t xml:space="preserve"> не формирует.</w:t>
      </w:r>
    </w:p>
    <w:p>
      <w:pPr>
        <w:pStyle w:val="0"/>
        <w:spacing w:before="240" w:lineRule="auto"/>
        <w:ind w:firstLine="540"/>
        <w:jc w:val="both"/>
      </w:pPr>
      <w:r>
        <w:rPr>
          <w:sz w:val="24"/>
        </w:rPr>
        <w:t xml:space="preserve">2.26. По показателю "Добровольное имущественное страхование" </w:t>
      </w:r>
      <w:hyperlink w:history="0" w:anchor="P199" w:tooltip="28">
        <w:r>
          <w:rPr>
            <w:sz w:val="24"/>
            <w:color w:val="0000ff"/>
          </w:rPr>
          <w:t xml:space="preserve">(строка 28)</w:t>
        </w:r>
      </w:hyperlink>
      <w:r>
        <w:rPr>
          <w:sz w:val="24"/>
        </w:rPr>
        <w:t xml:space="preserve"> указывается значение 1, если страховая организация по состоянию на последний календарный день отчетного месяца или иностранная страховая организация по состоянию на последний календарный день отчетного квартала имеет лицензию на осуществление добровольного имущественного страхования.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показатель "Добровольное имущественное страхование" </w:t>
      </w:r>
      <w:hyperlink w:history="0" w:anchor="P199" w:tooltip="28">
        <w:r>
          <w:rPr>
            <w:sz w:val="24"/>
            <w:color w:val="0000ff"/>
          </w:rPr>
          <w:t xml:space="preserve">(строка 28)</w:t>
        </w:r>
      </w:hyperlink>
      <w:r>
        <w:rPr>
          <w:sz w:val="24"/>
        </w:rPr>
        <w:t xml:space="preserve"> не формирует.</w:t>
      </w:r>
    </w:p>
    <w:p>
      <w:pPr>
        <w:pStyle w:val="0"/>
        <w:spacing w:before="240" w:lineRule="auto"/>
        <w:ind w:firstLine="540"/>
        <w:jc w:val="both"/>
      </w:pPr>
      <w:r>
        <w:rPr>
          <w:sz w:val="24"/>
        </w:rPr>
        <w:t xml:space="preserve">2.27. По показателю "Обязательное государственное страхование жизни и здоровья военнослужащих и приравненных к ним в обязательном государственном страховании лиц" </w:t>
      </w:r>
      <w:hyperlink w:history="0" w:anchor="P203" w:tooltip="29">
        <w:r>
          <w:rPr>
            <w:sz w:val="24"/>
            <w:color w:val="0000ff"/>
          </w:rPr>
          <w:t xml:space="preserve">(строка 29)</w:t>
        </w:r>
      </w:hyperlink>
      <w:r>
        <w:rPr>
          <w:sz w:val="24"/>
        </w:rPr>
        <w:t xml:space="preserve"> указывается значение 1, если страховая организация имеет по состоянию на последний календарный день отчетного месяца лицензию на осуществление обязательного государственного страхования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и иностранная страховая организация показатель "Обязательное государственное страхование жизни и здоровья военнослужащих и приравненных к ним в обязательном государственном страховании лиц" </w:t>
      </w:r>
      <w:hyperlink w:history="0" w:anchor="P203" w:tooltip="29">
        <w:r>
          <w:rPr>
            <w:sz w:val="24"/>
            <w:color w:val="0000ff"/>
          </w:rPr>
          <w:t xml:space="preserve">(строка 29)</w:t>
        </w:r>
      </w:hyperlink>
      <w:r>
        <w:rPr>
          <w:sz w:val="24"/>
        </w:rPr>
        <w:t xml:space="preserve"> не формируют.</w:t>
      </w:r>
    </w:p>
    <w:p>
      <w:pPr>
        <w:pStyle w:val="0"/>
        <w:spacing w:before="240" w:lineRule="auto"/>
        <w:ind w:firstLine="540"/>
        <w:jc w:val="both"/>
      </w:pPr>
      <w:r>
        <w:rPr>
          <w:sz w:val="24"/>
        </w:rPr>
        <w:t xml:space="preserve">2.28. По показателю "Обязательное страхование гражданской ответственности владельцев транспортных средств" </w:t>
      </w:r>
      <w:hyperlink w:history="0" w:anchor="P207" w:tooltip="30">
        <w:r>
          <w:rPr>
            <w:sz w:val="24"/>
            <w:color w:val="0000ff"/>
          </w:rPr>
          <w:t xml:space="preserve">(строка 30)</w:t>
        </w:r>
      </w:hyperlink>
      <w:r>
        <w:rPr>
          <w:sz w:val="24"/>
        </w:rPr>
        <w:t xml:space="preserve"> указывается значение 1, если страховая организация по состоянию на последний календарный день отчетного месяца или иностранная страховая организация по состоянию на последний календарный день отчетного квартала имеет лицензию на осуществление обязательного страхования гражданской ответственности владельцев транспортных средств.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показатель "Обязательное страхование гражданской ответственности владельцев транспортных средств" </w:t>
      </w:r>
      <w:hyperlink w:history="0" w:anchor="P207" w:tooltip="30">
        <w:r>
          <w:rPr>
            <w:sz w:val="24"/>
            <w:color w:val="0000ff"/>
          </w:rPr>
          <w:t xml:space="preserve">(строка 30)</w:t>
        </w:r>
      </w:hyperlink>
      <w:r>
        <w:rPr>
          <w:sz w:val="24"/>
        </w:rPr>
        <w:t xml:space="preserve"> не формирует.</w:t>
      </w:r>
    </w:p>
    <w:p>
      <w:pPr>
        <w:pStyle w:val="0"/>
        <w:spacing w:before="240" w:lineRule="auto"/>
        <w:ind w:firstLine="540"/>
        <w:jc w:val="both"/>
      </w:pPr>
      <w:r>
        <w:rPr>
          <w:sz w:val="24"/>
        </w:rPr>
        <w:t xml:space="preserve">2.29. По показателю "Обязательное страхование гражданской ответственности владельца опасного объекта за причинение вреда в результате аварии на опасном объекте" </w:t>
      </w:r>
      <w:hyperlink w:history="0" w:anchor="P211" w:tooltip="31">
        <w:r>
          <w:rPr>
            <w:sz w:val="24"/>
            <w:color w:val="0000ff"/>
          </w:rPr>
          <w:t xml:space="preserve">(строка 31)</w:t>
        </w:r>
      </w:hyperlink>
      <w:r>
        <w:rPr>
          <w:sz w:val="24"/>
        </w:rPr>
        <w:t xml:space="preserve"> указывается значение 1, если страховая организация имеет по состоянию на последний календарный день отчетного месяца лицензию на осуществление обязательного страхования гражданской ответственности владельца опасного объекта за причинение вреда в результате аварии на опасном объекте.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и иностранная страховая организация показатель "Обязательное страхование гражданской ответственности владельца опасного объекта за причинение вреда в результате аварии на опасном объекте" </w:t>
      </w:r>
      <w:hyperlink w:history="0" w:anchor="P211" w:tooltip="31">
        <w:r>
          <w:rPr>
            <w:sz w:val="24"/>
            <w:color w:val="0000ff"/>
          </w:rPr>
          <w:t xml:space="preserve">(строка 31)</w:t>
        </w:r>
      </w:hyperlink>
      <w:r>
        <w:rPr>
          <w:sz w:val="24"/>
        </w:rPr>
        <w:t xml:space="preserve"> не формируют.</w:t>
      </w:r>
    </w:p>
    <w:p>
      <w:pPr>
        <w:pStyle w:val="0"/>
        <w:spacing w:before="240" w:lineRule="auto"/>
        <w:ind w:firstLine="540"/>
        <w:jc w:val="both"/>
      </w:pPr>
      <w:r>
        <w:rPr>
          <w:sz w:val="24"/>
        </w:rPr>
        <w:t xml:space="preserve">2.30. По показателю "Обязательное страхование гражданской ответственности перевозчика за причинение вреда жизни, здоровью, имуществу пассажиров" </w:t>
      </w:r>
      <w:hyperlink w:history="0" w:anchor="P215" w:tooltip="32">
        <w:r>
          <w:rPr>
            <w:sz w:val="24"/>
            <w:color w:val="0000ff"/>
          </w:rPr>
          <w:t xml:space="preserve">(строка 32)</w:t>
        </w:r>
      </w:hyperlink>
      <w:r>
        <w:rPr>
          <w:sz w:val="24"/>
        </w:rPr>
        <w:t xml:space="preserve"> указывается значение 1, если страховая организация имеет по состоянию на последний календарный день отчетного месяца лицензию на осуществление обязательного страхования гражданской ответственности перевозчика за причинение при перевозках вреда жизни, здоровью, имуществу пассажиров.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и иностранная страховая организация показатель "Обязательное страхование гражданской ответственности перевозчика за причинение вреда жизни, здоровью, имуществу пассажиров" </w:t>
      </w:r>
      <w:hyperlink w:history="0" w:anchor="P215" w:tooltip="32">
        <w:r>
          <w:rPr>
            <w:sz w:val="24"/>
            <w:color w:val="0000ff"/>
          </w:rPr>
          <w:t xml:space="preserve">(строка 32)</w:t>
        </w:r>
      </w:hyperlink>
      <w:r>
        <w:rPr>
          <w:sz w:val="24"/>
        </w:rPr>
        <w:t xml:space="preserve"> не формируют.</w:t>
      </w:r>
    </w:p>
    <w:p>
      <w:pPr>
        <w:pStyle w:val="0"/>
        <w:spacing w:before="240" w:lineRule="auto"/>
        <w:ind w:firstLine="540"/>
        <w:jc w:val="both"/>
      </w:pPr>
      <w:r>
        <w:rPr>
          <w:sz w:val="24"/>
        </w:rPr>
        <w:t xml:space="preserve">2.31. По показателю "Обязательное медицинское страхование" </w:t>
      </w:r>
      <w:hyperlink w:history="0" w:anchor="P219" w:tooltip="33">
        <w:r>
          <w:rPr>
            <w:sz w:val="24"/>
            <w:color w:val="0000ff"/>
          </w:rPr>
          <w:t xml:space="preserve">(строка 33)</w:t>
        </w:r>
      </w:hyperlink>
      <w:r>
        <w:rPr>
          <w:sz w:val="24"/>
        </w:rPr>
        <w:t xml:space="preserve"> указывается значение 1, если страховая организация имеет по состоянию на последний календарный день отчетного месяца лицензию на осуществление обязательного медицинского страхования.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и иностранная страховая организация показатель "Обязательное медицинское страхование" </w:t>
      </w:r>
      <w:hyperlink w:history="0" w:anchor="P219" w:tooltip="33">
        <w:r>
          <w:rPr>
            <w:sz w:val="24"/>
            <w:color w:val="0000ff"/>
          </w:rPr>
          <w:t xml:space="preserve">(строка 33)</w:t>
        </w:r>
      </w:hyperlink>
      <w:r>
        <w:rPr>
          <w:sz w:val="24"/>
        </w:rPr>
        <w:t xml:space="preserve"> не формируют.</w:t>
      </w:r>
    </w:p>
    <w:p>
      <w:pPr>
        <w:pStyle w:val="0"/>
        <w:spacing w:before="240" w:lineRule="auto"/>
        <w:ind w:firstLine="540"/>
        <w:jc w:val="both"/>
      </w:pPr>
      <w:r>
        <w:rPr>
          <w:sz w:val="24"/>
        </w:rPr>
        <w:t xml:space="preserve">2.32. По показателю "Виды обязательного страхования" </w:t>
      </w:r>
      <w:hyperlink w:history="0" w:anchor="P223" w:tooltip="34">
        <w:r>
          <w:rPr>
            <w:sz w:val="24"/>
            <w:color w:val="0000ff"/>
          </w:rPr>
          <w:t xml:space="preserve">(строка 34)</w:t>
        </w:r>
      </w:hyperlink>
      <w:r>
        <w:rPr>
          <w:sz w:val="24"/>
        </w:rPr>
        <w:t xml:space="preserve"> указывается значение 1, если страховая организация имеет по состоянию на последний календарный день отчетного месяца лицензию на осуществление вида обязательного страхования, предусмотренного федеральным законом о нем, при этом не отраженного по показателям "Обязательное государственное страхование жизни и здоровья военнослужащих и приравненных к ним в обязательном государственном страховании лиц" </w:t>
      </w:r>
      <w:hyperlink w:history="0" w:anchor="P203" w:tooltip="29">
        <w:r>
          <w:rPr>
            <w:sz w:val="24"/>
            <w:color w:val="0000ff"/>
          </w:rPr>
          <w:t xml:space="preserve">(строка 29)</w:t>
        </w:r>
      </w:hyperlink>
      <w:r>
        <w:rPr>
          <w:sz w:val="24"/>
        </w:rPr>
        <w:t xml:space="preserve">, "Обязательное страхование гражданской ответственности владельцев транспортных средств" </w:t>
      </w:r>
      <w:hyperlink w:history="0" w:anchor="P207" w:tooltip="30">
        <w:r>
          <w:rPr>
            <w:sz w:val="24"/>
            <w:color w:val="0000ff"/>
          </w:rPr>
          <w:t xml:space="preserve">(строка 30)</w:t>
        </w:r>
      </w:hyperlink>
      <w:r>
        <w:rPr>
          <w:sz w:val="24"/>
        </w:rPr>
        <w:t xml:space="preserve">, "Обязательное страхование гражданской ответственности владельца опасного объекта за причинение вреда в результате аварии на опасном объекте" </w:t>
      </w:r>
      <w:hyperlink w:history="0" w:anchor="P211" w:tooltip="31">
        <w:r>
          <w:rPr>
            <w:sz w:val="24"/>
            <w:color w:val="0000ff"/>
          </w:rPr>
          <w:t xml:space="preserve">(строка 31)</w:t>
        </w:r>
      </w:hyperlink>
      <w:r>
        <w:rPr>
          <w:sz w:val="24"/>
        </w:rPr>
        <w:t xml:space="preserve">, "Обязательное страхование гражданской ответственности перевозчика за причинение вреда жизни, здоровью, имуществу пассажиров" </w:t>
      </w:r>
      <w:hyperlink w:history="0" w:anchor="P215" w:tooltip="32">
        <w:r>
          <w:rPr>
            <w:sz w:val="24"/>
            <w:color w:val="0000ff"/>
          </w:rPr>
          <w:t xml:space="preserve">(строка 32)</w:t>
        </w:r>
      </w:hyperlink>
      <w:r>
        <w:rPr>
          <w:sz w:val="24"/>
        </w:rPr>
        <w:t xml:space="preserve">, "Обязательное медицинское страхование" </w:t>
      </w:r>
      <w:hyperlink w:history="0" w:anchor="P219" w:tooltip="33">
        <w:r>
          <w:rPr>
            <w:sz w:val="24"/>
            <w:color w:val="0000ff"/>
          </w:rPr>
          <w:t xml:space="preserve">(строка 33)</w:t>
        </w:r>
      </w:hyperlink>
      <w:r>
        <w:rPr>
          <w:sz w:val="24"/>
        </w:rPr>
        <w:t xml:space="preserve"> (далее - иной вид обязательного страхования). В ином случае указывается значение 0 (ноль).</w:t>
      </w:r>
    </w:p>
    <w:p>
      <w:pPr>
        <w:pStyle w:val="0"/>
        <w:spacing w:before="240" w:lineRule="auto"/>
        <w:ind w:firstLine="540"/>
        <w:jc w:val="both"/>
      </w:pPr>
      <w:r>
        <w:rPr>
          <w:sz w:val="24"/>
        </w:rPr>
        <w:t xml:space="preserve">По показателю "Виды обязательного страхования" </w:t>
      </w:r>
      <w:hyperlink w:history="0" w:anchor="P223" w:tooltip="34">
        <w:r>
          <w:rPr>
            <w:sz w:val="24"/>
            <w:color w:val="0000ff"/>
          </w:rPr>
          <w:t xml:space="preserve">(строка 34)</w:t>
        </w:r>
      </w:hyperlink>
      <w:r>
        <w:rPr>
          <w:sz w:val="24"/>
        </w:rPr>
        <w:t xml:space="preserve"> указывается значение 1, если общество взаимного страхования имеет по состоянию на последний календарный день отчетного месяца лицензию на осуществление взаимного страхования, в которой указан иной вид обязательного страхования. В ином случае указывается значение 0 (ноль).</w:t>
      </w:r>
    </w:p>
    <w:p>
      <w:pPr>
        <w:pStyle w:val="0"/>
        <w:spacing w:before="240" w:lineRule="auto"/>
        <w:ind w:firstLine="540"/>
        <w:jc w:val="both"/>
      </w:pPr>
      <w:r>
        <w:rPr>
          <w:sz w:val="24"/>
        </w:rPr>
        <w:t xml:space="preserve">По аналитическим признакам группы аналитических признаков "Виды обязательного страхования" указывается наименование иного вида обязательного страхования в соответствии с действующей лицензией страховой организации на осуществление этого вида страхования либо в соответствии с действующей лицензией общества взаимного страхования на осуществление взаимного страхования, в которой указан иной вид обязательного страхования.</w:t>
      </w:r>
    </w:p>
    <w:p>
      <w:pPr>
        <w:pStyle w:val="0"/>
        <w:spacing w:before="240" w:lineRule="auto"/>
        <w:ind w:firstLine="540"/>
        <w:jc w:val="both"/>
      </w:pPr>
      <w:r>
        <w:rPr>
          <w:sz w:val="24"/>
        </w:rPr>
        <w:t xml:space="preserve">По показателю "Осуществление иного вида обязательного страхования" </w:t>
      </w:r>
      <w:hyperlink w:history="0" w:anchor="P243" w:tooltip="38">
        <w:r>
          <w:rPr>
            <w:sz w:val="24"/>
            <w:color w:val="0000ff"/>
          </w:rPr>
          <w:t xml:space="preserve">(строка 38)</w:t>
        </w:r>
      </w:hyperlink>
      <w:r>
        <w:rPr>
          <w:sz w:val="24"/>
        </w:rPr>
        <w:t xml:space="preserve"> указываются сведения об осуществлении иного вида обязательного страхования, с указанием реквизитов федерального закона об ином виде обязательного страхования, наименование которого указано по аналитическому признаку группы аналитических признаков "Виды обязательного страхования".</w:t>
      </w:r>
    </w:p>
    <w:p>
      <w:pPr>
        <w:pStyle w:val="0"/>
        <w:spacing w:before="240" w:lineRule="auto"/>
        <w:ind w:firstLine="540"/>
        <w:jc w:val="both"/>
      </w:pPr>
      <w:r>
        <w:rPr>
          <w:sz w:val="24"/>
        </w:rPr>
        <w:t xml:space="preserve">Иностранная страховая организация показатели "Виды обязательного страхования" </w:t>
      </w:r>
      <w:hyperlink w:history="0" w:anchor="P223" w:tooltip="34">
        <w:r>
          <w:rPr>
            <w:sz w:val="24"/>
            <w:color w:val="0000ff"/>
          </w:rPr>
          <w:t xml:space="preserve">(строка 34)</w:t>
        </w:r>
      </w:hyperlink>
      <w:r>
        <w:rPr>
          <w:sz w:val="24"/>
        </w:rPr>
        <w:t xml:space="preserve"> и "Осуществление иного вида обязательного страхования" </w:t>
      </w:r>
      <w:hyperlink w:history="0" w:anchor="P243" w:tooltip="38">
        <w:r>
          <w:rPr>
            <w:sz w:val="24"/>
            <w:color w:val="0000ff"/>
          </w:rPr>
          <w:t xml:space="preserve">(строка 38)</w:t>
        </w:r>
      </w:hyperlink>
      <w:r>
        <w:rPr>
          <w:sz w:val="24"/>
        </w:rPr>
        <w:t xml:space="preserve"> не формирует.</w:t>
      </w:r>
    </w:p>
    <w:p>
      <w:pPr>
        <w:pStyle w:val="0"/>
        <w:spacing w:before="240" w:lineRule="auto"/>
        <w:ind w:firstLine="540"/>
        <w:jc w:val="both"/>
      </w:pPr>
      <w:r>
        <w:rPr>
          <w:sz w:val="24"/>
        </w:rPr>
        <w:t xml:space="preserve">2.33. По показателю "Перестрахование" </w:t>
      </w:r>
      <w:hyperlink w:history="0" w:anchor="P231" w:tooltip="35">
        <w:r>
          <w:rPr>
            <w:sz w:val="24"/>
            <w:color w:val="0000ff"/>
          </w:rPr>
          <w:t xml:space="preserve">(строка 35)</w:t>
        </w:r>
      </w:hyperlink>
      <w:r>
        <w:rPr>
          <w:sz w:val="24"/>
        </w:rPr>
        <w:t xml:space="preserve"> указывается значение 1, если страховая организация по состоянию на последний календарный день отчетного месяца или иностранная страховая организация по состоянию на последний календарный день отчетного квартала имеет лицензию на осуществление перестрахования. В ином случае указывается значение 0 (ноль).</w:t>
      </w:r>
    </w:p>
    <w:p>
      <w:pPr>
        <w:pStyle w:val="0"/>
        <w:spacing w:before="240" w:lineRule="auto"/>
        <w:ind w:firstLine="540"/>
        <w:jc w:val="both"/>
      </w:pPr>
      <w:r>
        <w:rPr>
          <w:sz w:val="24"/>
        </w:rPr>
        <w:t xml:space="preserve">Общество взаимного страхования показатель "Перестрахование" </w:t>
      </w:r>
      <w:hyperlink w:history="0" w:anchor="P231" w:tooltip="35">
        <w:r>
          <w:rPr>
            <w:sz w:val="24"/>
            <w:color w:val="0000ff"/>
          </w:rPr>
          <w:t xml:space="preserve">(строка 35)</w:t>
        </w:r>
      </w:hyperlink>
      <w:r>
        <w:rPr>
          <w:sz w:val="24"/>
        </w:rPr>
        <w:t xml:space="preserve"> не формирует.</w:t>
      </w:r>
    </w:p>
    <w:p>
      <w:pPr>
        <w:pStyle w:val="0"/>
        <w:spacing w:before="240" w:lineRule="auto"/>
        <w:ind w:firstLine="540"/>
        <w:jc w:val="both"/>
      </w:pPr>
      <w:r>
        <w:rPr>
          <w:sz w:val="24"/>
        </w:rPr>
        <w:t xml:space="preserve">2.34. По показателям "Взаимное страхование на основании договора страхования" </w:t>
      </w:r>
      <w:hyperlink w:history="0" w:anchor="P235" w:tooltip="36">
        <w:r>
          <w:rPr>
            <w:sz w:val="24"/>
            <w:color w:val="0000ff"/>
          </w:rPr>
          <w:t xml:space="preserve">(строка 36)</w:t>
        </w:r>
      </w:hyperlink>
      <w:r>
        <w:rPr>
          <w:sz w:val="24"/>
        </w:rPr>
        <w:t xml:space="preserve"> и "Взаимное страхование на основании устава" </w:t>
      </w:r>
      <w:hyperlink w:history="0" w:anchor="P239" w:tooltip="37">
        <w:r>
          <w:rPr>
            <w:sz w:val="24"/>
            <w:color w:val="0000ff"/>
          </w:rPr>
          <w:t xml:space="preserve">(строка 37)</w:t>
        </w:r>
      </w:hyperlink>
      <w:r>
        <w:rPr>
          <w:sz w:val="24"/>
        </w:rPr>
        <w:t xml:space="preserve"> указывается значение 1, если общество взаимного страхования имеет по состоянию на последний календарный день отчетного месяца лицензию на осуществление взаимного страхования и осуществляет его на основании договора страхования и правил страхования либо осуществляет его непосредственно на основании устава общества взаимного страхования соответственно. В ином случае указывается значение 0 (ноль).</w:t>
      </w:r>
    </w:p>
    <w:p>
      <w:pPr>
        <w:pStyle w:val="0"/>
        <w:spacing w:before="240" w:lineRule="auto"/>
        <w:ind w:firstLine="540"/>
        <w:jc w:val="both"/>
      </w:pPr>
      <w:r>
        <w:rPr>
          <w:sz w:val="24"/>
        </w:rPr>
        <w:t xml:space="preserve">Страховая организация и иностранная страховая организация показатели "Взаимное страхование на основании договора страхования" </w:t>
      </w:r>
      <w:hyperlink w:history="0" w:anchor="P235" w:tooltip="36">
        <w:r>
          <w:rPr>
            <w:sz w:val="24"/>
            <w:color w:val="0000ff"/>
          </w:rPr>
          <w:t xml:space="preserve">(строка 36)</w:t>
        </w:r>
      </w:hyperlink>
      <w:r>
        <w:rPr>
          <w:sz w:val="24"/>
        </w:rPr>
        <w:t xml:space="preserve"> и "Взаимное страхование на основании устава" </w:t>
      </w:r>
      <w:hyperlink w:history="0" w:anchor="P239" w:tooltip="37">
        <w:r>
          <w:rPr>
            <w:sz w:val="24"/>
            <w:color w:val="0000ff"/>
          </w:rPr>
          <w:t xml:space="preserve">(строка 37)</w:t>
        </w:r>
      </w:hyperlink>
      <w:r>
        <w:rPr>
          <w:sz w:val="24"/>
        </w:rPr>
        <w:t xml:space="preserve"> не формируют.</w:t>
      </w:r>
    </w:p>
    <w:p>
      <w:pPr>
        <w:pStyle w:val="0"/>
        <w:spacing w:before="240" w:lineRule="auto"/>
        <w:ind w:firstLine="540"/>
        <w:jc w:val="both"/>
      </w:pPr>
      <w:r>
        <w:rPr>
          <w:sz w:val="24"/>
        </w:rPr>
        <w:t xml:space="preserve">3. В </w:t>
      </w:r>
      <w:hyperlink w:history="0" w:anchor="P247" w:tooltip="Раздел 2. Сведения о численности работников страховщика">
        <w:r>
          <w:rPr>
            <w:sz w:val="24"/>
            <w:color w:val="0000ff"/>
          </w:rPr>
          <w:t xml:space="preserve">разделе 2</w:t>
        </w:r>
      </w:hyperlink>
      <w:r>
        <w:rPr>
          <w:sz w:val="24"/>
        </w:rPr>
        <w:t xml:space="preserve"> отчетности по форме 0420150 указываются сведения о численности работников страховщика.</w:t>
      </w:r>
    </w:p>
    <w:p>
      <w:pPr>
        <w:pStyle w:val="0"/>
        <w:spacing w:before="240" w:lineRule="auto"/>
        <w:ind w:firstLine="540"/>
        <w:jc w:val="both"/>
      </w:pPr>
      <w:r>
        <w:rPr>
          <w:sz w:val="24"/>
        </w:rPr>
        <w:t xml:space="preserve">Страховая организация и общество взаимного страхования указывают сведения о численности своих работников (включая работников обособленных подразделений), с которыми заключен трудовой договор.</w:t>
      </w:r>
    </w:p>
    <w:p>
      <w:pPr>
        <w:pStyle w:val="0"/>
        <w:spacing w:before="240" w:lineRule="auto"/>
        <w:ind w:firstLine="540"/>
        <w:jc w:val="both"/>
      </w:pPr>
      <w:r>
        <w:rPr>
          <w:sz w:val="24"/>
        </w:rPr>
        <w:t xml:space="preserve">Иностранная страховая организация указывает сведения о численности работников филиала (филиалов), созданного (созданных) на территории Российской Федерации, через который (которые) иностранная страховая организация осуществляет страховую деятельность на территории Российской Федерации, с которыми заключен трудовой договор.</w:t>
      </w:r>
    </w:p>
    <w:p>
      <w:pPr>
        <w:pStyle w:val="0"/>
        <w:spacing w:before="240" w:lineRule="auto"/>
        <w:ind w:firstLine="540"/>
        <w:jc w:val="both"/>
      </w:pPr>
      <w:r>
        <w:rPr>
          <w:sz w:val="24"/>
        </w:rPr>
        <w:t xml:space="preserve">По показателю "Численность работников страховщика, занятых в страховой деятельности" </w:t>
      </w:r>
      <w:hyperlink w:history="0" w:anchor="P248" w:tooltip="39">
        <w:r>
          <w:rPr>
            <w:sz w:val="24"/>
            <w:color w:val="0000ff"/>
          </w:rPr>
          <w:t xml:space="preserve">(строка 39)</w:t>
        </w:r>
      </w:hyperlink>
      <w:r>
        <w:rPr>
          <w:sz w:val="24"/>
        </w:rPr>
        <w:t xml:space="preserve"> указывается фактическая численность работников страховщика, занятых в страховой деятельности, в том числе в деятельности в сфере обязательного медицинского страхования (в том числе при заключении, обслуживании и исполнении договоров страхования (перестрахования).</w:t>
      </w:r>
    </w:p>
    <w:p>
      <w:pPr>
        <w:pStyle w:val="0"/>
        <w:spacing w:before="240" w:lineRule="auto"/>
        <w:ind w:firstLine="540"/>
        <w:jc w:val="both"/>
      </w:pPr>
      <w:r>
        <w:rPr>
          <w:sz w:val="24"/>
        </w:rPr>
        <w:t xml:space="preserve">В фактическую численность работников страховщика включаются работники, работавшие на условиях полной и частичной занятости, в том числе работники, находящиеся в отпуске, отпуске по беременности и родам, отпуске по уходу за ребенком (за исключением работников, которые замещают должности работников, находящихся в отпуске по уходу за ребенком), ином отпуске, командировке, а также работники, имеющие временную нетрудоспособность. При совмещении должностей работник учитывается один раз по основной должности.</w:t>
      </w:r>
    </w:p>
    <w:p>
      <w:pPr>
        <w:pStyle w:val="0"/>
        <w:spacing w:before="240" w:lineRule="auto"/>
        <w:ind w:firstLine="540"/>
        <w:jc w:val="both"/>
      </w:pPr>
      <w:r>
        <w:rPr>
          <w:sz w:val="24"/>
        </w:rPr>
        <w:t xml:space="preserve">4. В </w:t>
      </w:r>
      <w:hyperlink w:history="0" w:anchor="P261" w:tooltip="Раздел 4. Перечень групп видов страхования и портфелей договоров">
        <w:r>
          <w:rPr>
            <w:sz w:val="24"/>
            <w:color w:val="0000ff"/>
          </w:rPr>
          <w:t xml:space="preserve">разделе 3</w:t>
        </w:r>
      </w:hyperlink>
      <w:r>
        <w:rPr>
          <w:sz w:val="24"/>
        </w:rPr>
        <w:t xml:space="preserve"> отчетности по форме 0420150 указываются сведения о членстве страховщика в саморегулируемых организациях в сфере финансового рынка, объединяющих страховые организации и иностранные страховые организации, саморегулируемых организациях в сфере финансового рынка, объединяющих общества взаимного страхования (далее при совместном упоминании - саморегулируемая организация в сфере финансового рынка), и объединениях субъектов страхового дела.</w:t>
      </w:r>
    </w:p>
    <w:p>
      <w:pPr>
        <w:pStyle w:val="0"/>
        <w:spacing w:before="240" w:lineRule="auto"/>
        <w:ind w:firstLine="540"/>
        <w:jc w:val="both"/>
      </w:pPr>
      <w:r>
        <w:rPr>
          <w:sz w:val="24"/>
        </w:rPr>
        <w:t xml:space="preserve">По показателю "Дата вступления в члены саморегулируемой организации в сфере финансового рынка, объединения субъектов страхового дела" </w:t>
      </w:r>
      <w:hyperlink w:history="0" w:anchor="P253" w:tooltip="40">
        <w:r>
          <w:rPr>
            <w:sz w:val="24"/>
            <w:color w:val="0000ff"/>
          </w:rPr>
          <w:t xml:space="preserve">(строка 40)</w:t>
        </w:r>
      </w:hyperlink>
      <w:r>
        <w:rPr>
          <w:sz w:val="24"/>
        </w:rPr>
        <w:t xml:space="preserve"> указывается дата вступления страховщика в члены саморегулируемой организации в сфере финансового рынка, объединения субъектов страхового дела, не превышающая дату окончания I квартала, первого полугодия, 9 месяцев, года. Данные приводятся в разрезе аналитических признаков группы аналитических признаков "Идентификатор саморегулируемой организации в сфере финансового рынка, объединения субъектов страхового дела".</w:t>
      </w:r>
    </w:p>
    <w:p>
      <w:pPr>
        <w:pStyle w:val="0"/>
        <w:spacing w:before="240" w:lineRule="auto"/>
        <w:ind w:firstLine="540"/>
        <w:jc w:val="both"/>
      </w:pPr>
      <w:r>
        <w:rPr>
          <w:sz w:val="24"/>
        </w:rPr>
        <w:t xml:space="preserve">Значение идентификатора саморегулируемой организации в сфере финансового рынка, объединения субъектов страхового дела, указанное по группе аналитических признаков "Идентификатор саморегулируемой организации в сфере финансового рынка, объединения субъектов страхового дела",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этой саморегулируемой организации в сфере финансового рынка, по этому объединению субъектов страхового дела.</w:t>
      </w:r>
    </w:p>
    <w:p>
      <w:pPr>
        <w:pStyle w:val="0"/>
        <w:spacing w:before="240" w:lineRule="auto"/>
        <w:ind w:firstLine="540"/>
        <w:jc w:val="both"/>
      </w:pPr>
      <w:r>
        <w:rPr>
          <w:sz w:val="24"/>
        </w:rPr>
        <w:t xml:space="preserve">В случае если на конец I квартала, первого полугодия, 9 месяцев, года страховщик не является членом саморегулируемой организации в сфере финансового рынка и объединений субъектов страхового дела, показатель "Дата вступления в члены саморегулируемой организации в сфере финансового рынка, объединения субъектов страхового дела" </w:t>
      </w:r>
      <w:hyperlink w:history="0" w:anchor="P253" w:tooltip="40">
        <w:r>
          <w:rPr>
            <w:sz w:val="24"/>
            <w:color w:val="0000ff"/>
          </w:rPr>
          <w:t xml:space="preserve">(строка 40)</w:t>
        </w:r>
      </w:hyperlink>
      <w:r>
        <w:rPr>
          <w:sz w:val="24"/>
        </w:rPr>
        <w:t xml:space="preserve"> не формируется.</w:t>
      </w:r>
    </w:p>
    <w:p>
      <w:pPr>
        <w:pStyle w:val="0"/>
        <w:spacing w:before="240" w:lineRule="auto"/>
        <w:ind w:firstLine="540"/>
        <w:jc w:val="both"/>
      </w:pPr>
      <w:r>
        <w:rPr>
          <w:sz w:val="24"/>
        </w:rPr>
        <w:t xml:space="preserve">5. По показателям </w:t>
      </w:r>
      <w:hyperlink w:history="0" w:anchor="P261" w:tooltip="Раздел 4. Перечень групп видов страхования и портфелей договоров">
        <w:r>
          <w:rPr>
            <w:sz w:val="24"/>
            <w:color w:val="0000ff"/>
          </w:rPr>
          <w:t xml:space="preserve">раздела 4</w:t>
        </w:r>
      </w:hyperlink>
      <w:r>
        <w:rPr>
          <w:sz w:val="24"/>
        </w:rPr>
        <w:t xml:space="preserve"> отчетности по форме 0420150 указывается информация о перечне групп видов страхования и портфелей договоров страхования, выпущенных (принятых) договоров перестрахования, удерживаемых (переданных) договоров перестрахования (далее - портфель договоров) страховщика.</w:t>
      </w:r>
    </w:p>
    <w:p>
      <w:pPr>
        <w:pStyle w:val="0"/>
        <w:spacing w:before="240" w:lineRule="auto"/>
        <w:ind w:firstLine="540"/>
        <w:jc w:val="both"/>
      </w:pPr>
      <w:hyperlink w:history="0" w:anchor="P261" w:tooltip="Раздел 4. Перечень групп видов страхования и портфелей договоров">
        <w:r>
          <w:rPr>
            <w:sz w:val="24"/>
            <w:color w:val="0000ff"/>
          </w:rPr>
          <w:t xml:space="preserve">Раздел 4</w:t>
        </w:r>
      </w:hyperlink>
      <w:r>
        <w:rPr>
          <w:sz w:val="24"/>
        </w:rPr>
        <w:t xml:space="preserve"> отчетности по форме 0420150 составляется страховщиком одновременно с </w:t>
      </w:r>
      <w:hyperlink w:history="0" w:anchor="P32952" w:tooltip="Раздел 1.">
        <w:r>
          <w:rPr>
            <w:sz w:val="24"/>
            <w:color w:val="0000ff"/>
          </w:rPr>
          <w:t xml:space="preserve">разделами 1</w:t>
        </w:r>
      </w:hyperlink>
      <w:r>
        <w:rPr>
          <w:sz w:val="24"/>
        </w:rPr>
        <w:t xml:space="preserve"> и </w:t>
      </w:r>
      <w:hyperlink w:history="0" w:anchor="P33222" w:tooltip="Раздел 2.">
        <w:r>
          <w:rPr>
            <w:sz w:val="24"/>
            <w:color w:val="0000ff"/>
          </w:rPr>
          <w:t xml:space="preserve">2</w:t>
        </w:r>
      </w:hyperlink>
      <w:r>
        <w:rPr>
          <w:sz w:val="24"/>
        </w:rPr>
        <w:t xml:space="preserve"> отчетности по форме 0420158 "Отчет о структуре финансового результата страховщика" (далее - отчетность по форме 0420158).</w:t>
      </w:r>
    </w:p>
    <w:p>
      <w:pPr>
        <w:pStyle w:val="0"/>
        <w:spacing w:before="240" w:lineRule="auto"/>
        <w:ind w:firstLine="540"/>
        <w:jc w:val="both"/>
      </w:pPr>
      <w:r>
        <w:rPr>
          <w:sz w:val="24"/>
        </w:rPr>
        <w:t xml:space="preserve">5.1. По показателю "Группы видов страхования" </w:t>
      </w:r>
      <w:hyperlink w:history="0" w:anchor="P262" w:tooltip="41">
        <w:r>
          <w:rPr>
            <w:sz w:val="24"/>
            <w:color w:val="0000ff"/>
          </w:rPr>
          <w:t xml:space="preserve">(строка 41)</w:t>
        </w:r>
      </w:hyperlink>
      <w:r>
        <w:rPr>
          <w:sz w:val="24"/>
        </w:rPr>
        <w:t xml:space="preserve"> указываются группы видов страхования, указанные в </w:t>
      </w:r>
      <w:hyperlink w:history="0" w:anchor="P34449" w:tooltip="2.1. Структура финансового результата в разделе 1 отчетности по форме 0420158 раскрывается в разрезе следующих групп договоров страхования, сострахования, перестрахования, относящихся к отдельным видам страхования (по аналитическим признакам группы аналитических признаков &quot;Группы видов страхования&quot;):">
        <w:r>
          <w:rPr>
            <w:sz w:val="24"/>
            <w:color w:val="0000ff"/>
          </w:rPr>
          <w:t xml:space="preserve">подпункте 2.1 пункта 2</w:t>
        </w:r>
      </w:hyperlink>
      <w:r>
        <w:rPr>
          <w:sz w:val="24"/>
        </w:rPr>
        <w:t xml:space="preserve"> Порядка и сроков составления отчетности по форме 0420158 (в случае их указания страховщиком в </w:t>
      </w:r>
      <w:hyperlink w:history="0" w:anchor="P32952" w:tooltip="Раздел 1.">
        <w:r>
          <w:rPr>
            <w:sz w:val="24"/>
            <w:color w:val="0000ff"/>
          </w:rPr>
          <w:t xml:space="preserve">разделах 1</w:t>
        </w:r>
      </w:hyperlink>
      <w:r>
        <w:rPr>
          <w:sz w:val="24"/>
        </w:rPr>
        <w:t xml:space="preserve"> и </w:t>
      </w:r>
      <w:hyperlink w:history="0" w:anchor="P33222" w:tooltip="Раздел 2.">
        <w:r>
          <w:rPr>
            <w:sz w:val="24"/>
            <w:color w:val="0000ff"/>
          </w:rPr>
          <w:t xml:space="preserve">2</w:t>
        </w:r>
      </w:hyperlink>
      <w:r>
        <w:rPr>
          <w:sz w:val="24"/>
        </w:rPr>
        <w:t xml:space="preserve"> отчетности по форме 0420158).</w:t>
      </w:r>
    </w:p>
    <w:p>
      <w:pPr>
        <w:pStyle w:val="0"/>
        <w:spacing w:before="240" w:lineRule="auto"/>
        <w:ind w:firstLine="540"/>
        <w:jc w:val="both"/>
      </w:pPr>
      <w:r>
        <w:rPr>
          <w:sz w:val="24"/>
        </w:rPr>
        <w:t xml:space="preserve">5.2. По показателю "Номер портфеля договоров" </w:t>
      </w:r>
      <w:hyperlink w:history="0" w:anchor="P270" w:tooltip="42">
        <w:r>
          <w:rPr>
            <w:sz w:val="24"/>
            <w:color w:val="0000ff"/>
          </w:rPr>
          <w:t xml:space="preserve">(строка 42)</w:t>
        </w:r>
      </w:hyperlink>
      <w:r>
        <w:rPr>
          <w:sz w:val="24"/>
        </w:rPr>
        <w:t xml:space="preserve"> для каждой группы видов страхования указывается формируемый страховщиком самостоятельно идентификатор портфеля договоров (целое число), используемый им при составлении </w:t>
      </w:r>
      <w:hyperlink w:history="0" w:anchor="P33222" w:tooltip="Раздел 2.">
        <w:r>
          <w:rPr>
            <w:sz w:val="24"/>
            <w:color w:val="0000ff"/>
          </w:rPr>
          <w:t xml:space="preserve">раздела 2</w:t>
        </w:r>
      </w:hyperlink>
      <w:r>
        <w:rPr>
          <w:sz w:val="24"/>
        </w:rPr>
        <w:t xml:space="preserve"> отчетности по форме 0420158.</w:t>
      </w:r>
    </w:p>
    <w:p>
      <w:pPr>
        <w:pStyle w:val="0"/>
        <w:spacing w:before="240" w:lineRule="auto"/>
        <w:ind w:firstLine="540"/>
        <w:jc w:val="both"/>
      </w:pPr>
      <w:r>
        <w:rPr>
          <w:sz w:val="24"/>
        </w:rPr>
        <w:t xml:space="preserve">В случае если к одной группе видов страхования, указанной по показателю "Группы видов страхования" </w:t>
      </w:r>
      <w:hyperlink w:history="0" w:anchor="P262" w:tooltip="41">
        <w:r>
          <w:rPr>
            <w:sz w:val="24"/>
            <w:color w:val="0000ff"/>
          </w:rPr>
          <w:t xml:space="preserve">(строка 41)</w:t>
        </w:r>
      </w:hyperlink>
      <w:r>
        <w:rPr>
          <w:sz w:val="24"/>
        </w:rPr>
        <w:t xml:space="preserve">, относятся несколько портфелей договоров, сведения о портфелях договоров указываются отдельно по этой группе видов страхования (по группе аналитических признаков "Идентификатор строки перечня групп видов страхования").</w:t>
      </w:r>
    </w:p>
    <w:p>
      <w:pPr>
        <w:pStyle w:val="0"/>
        <w:spacing w:before="240" w:lineRule="auto"/>
        <w:ind w:firstLine="540"/>
        <w:jc w:val="both"/>
      </w:pPr>
      <w:r>
        <w:rPr>
          <w:sz w:val="24"/>
        </w:rPr>
        <w:t xml:space="preserve">5.3. По показателю "Краткое описание портфеля договоров" </w:t>
      </w:r>
      <w:hyperlink w:history="0" w:anchor="P278" w:tooltip="43">
        <w:r>
          <w:rPr>
            <w:sz w:val="24"/>
            <w:color w:val="0000ff"/>
          </w:rPr>
          <w:t xml:space="preserve">(строка 43)</w:t>
        </w:r>
      </w:hyperlink>
      <w:r>
        <w:rPr>
          <w:sz w:val="24"/>
        </w:rPr>
        <w:t xml:space="preserve"> приводится краткое описание портфеля договоров с указанием информации о преобладающем страховом риске в портфеле договоров, идентификатор которого указан по показателю "Номер портфеля договоров" </w:t>
      </w:r>
      <w:hyperlink w:history="0" w:anchor="P270" w:tooltip="42">
        <w:r>
          <w:rPr>
            <w:sz w:val="24"/>
            <w:color w:val="0000ff"/>
          </w:rPr>
          <w:t xml:space="preserve">(строка 42)</w:t>
        </w:r>
      </w:hyperlink>
      <w:r>
        <w:rPr>
          <w:sz w:val="24"/>
        </w:rPr>
        <w:t xml:space="preserve">.</w:t>
      </w:r>
    </w:p>
    <w:p>
      <w:pPr>
        <w:pStyle w:val="0"/>
        <w:spacing w:before="240" w:lineRule="auto"/>
        <w:ind w:firstLine="540"/>
        <w:jc w:val="both"/>
      </w:pPr>
      <w:r>
        <w:rPr>
          <w:sz w:val="24"/>
        </w:rPr>
        <w:t xml:space="preserve">6. По показателям </w:t>
      </w: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раздела 5</w:t>
        </w:r>
      </w:hyperlink>
      <w:r>
        <w:rPr>
          <w:sz w:val="24"/>
        </w:rPr>
        <w:t xml:space="preserve"> отчетности по форме 0420150 указываются сведения из аудиторского заключения о годовой бухгалтерской (финансовой) отчетности страховщика, представленного страховщиком в Банк России вместе с годовой бухгалтерской (финансовой) отчетностью страховщика в соответствии с </w:t>
      </w:r>
      <w:hyperlink w:history="0" r:id="rId5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3 статьи 29</w:t>
        </w:r>
      </w:hyperlink>
      <w:r>
        <w:rPr>
          <w:sz w:val="24"/>
        </w:rPr>
        <w:t xml:space="preserve"> Закона Российской Федерации N 4015-I.</w:t>
      </w:r>
    </w:p>
    <w:p>
      <w:pPr>
        <w:pStyle w:val="0"/>
        <w:spacing w:before="240" w:lineRule="auto"/>
        <w:ind w:firstLine="540"/>
        <w:jc w:val="both"/>
      </w:pPr>
      <w:r>
        <w:rPr>
          <w:sz w:val="24"/>
        </w:rPr>
        <w:t xml:space="preserve">Данные по показателям </w:t>
      </w: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раздела 5</w:t>
        </w:r>
      </w:hyperlink>
      <w:r>
        <w:rPr>
          <w:sz w:val="24"/>
        </w:rPr>
        <w:t xml:space="preserve"> отчетности по форме 0420150 указываются в отношении аудиторской организации, выдавшей аудиторское заключение о годовой бухгалтерской (финансовой) отчетности страховщика (по группе аналитических признаков "Идентификатор аудиторской организации").</w:t>
      </w:r>
    </w:p>
    <w:p>
      <w:pPr>
        <w:pStyle w:val="0"/>
        <w:spacing w:before="240" w:lineRule="auto"/>
        <w:ind w:firstLine="540"/>
        <w:jc w:val="both"/>
      </w:pPr>
      <w:r>
        <w:rPr>
          <w:sz w:val="24"/>
        </w:rPr>
        <w:t xml:space="preserve">Значение идентификатора аудиторской организации, указанное по группе аналитических признаков "Идентификатор аудиторской организации",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этой аудиторской организации.</w:t>
      </w:r>
    </w:p>
    <w:p>
      <w:pPr>
        <w:pStyle w:val="0"/>
        <w:spacing w:before="240" w:lineRule="auto"/>
        <w:ind w:firstLine="540"/>
        <w:jc w:val="both"/>
      </w:pPr>
      <w:r>
        <w:rPr>
          <w:sz w:val="24"/>
        </w:rPr>
        <w:t xml:space="preserve">6.1. По показателю "Дата аудиторского заключения" </w:t>
      </w:r>
      <w:hyperlink w:history="0" w:anchor="P287" w:tooltip="44">
        <w:r>
          <w:rPr>
            <w:sz w:val="24"/>
            <w:color w:val="0000ff"/>
          </w:rPr>
          <w:t xml:space="preserve">(строка 44)</w:t>
        </w:r>
      </w:hyperlink>
      <w:r>
        <w:rPr>
          <w:sz w:val="24"/>
        </w:rPr>
        <w:t xml:space="preserve"> указывается дата составления аудиторского заключения о годовой бухгалтерской (финансовой) отчетности страховщика.</w:t>
      </w:r>
    </w:p>
    <w:p>
      <w:pPr>
        <w:pStyle w:val="0"/>
        <w:spacing w:before="240" w:lineRule="auto"/>
        <w:ind w:firstLine="540"/>
        <w:jc w:val="both"/>
      </w:pPr>
      <w:r>
        <w:rPr>
          <w:sz w:val="24"/>
        </w:rPr>
        <w:t xml:space="preserve">6.2. По показателю "Мнение, выраженное в аудиторском заключении" </w:t>
      </w:r>
      <w:hyperlink w:history="0" w:anchor="P295" w:tooltip="45">
        <w:r>
          <w:rPr>
            <w:sz w:val="24"/>
            <w:color w:val="0000ff"/>
          </w:rPr>
          <w:t xml:space="preserve">(строка 45)</w:t>
        </w:r>
      </w:hyperlink>
      <w:r>
        <w:rPr>
          <w:sz w:val="24"/>
        </w:rPr>
        <w:t xml:space="preserve"> указывается мнение аудиторской организации о достоверности годовой бухгалтерской (финансовой) отчетности страховщика, выраженное в аудиторском заключении о годовой бухгалтерской (финансовой) отчетности страховщика: "Немодифицированное мнение", "Мнение с оговоркой", "Отрицательное мнение" или "Отказ от выражения мнения".</w:t>
      </w:r>
    </w:p>
    <w:p>
      <w:pPr>
        <w:pStyle w:val="0"/>
        <w:spacing w:before="240" w:lineRule="auto"/>
        <w:ind w:firstLine="540"/>
        <w:jc w:val="both"/>
      </w:pPr>
      <w:r>
        <w:rPr>
          <w:sz w:val="24"/>
        </w:rPr>
        <w:t xml:space="preserve">6.3. Сведения о лицах, подписавших аудиторское заключение о годовой бухгалтерской (финансовой) отчетности страховщика, указываются по следующим показателям </w:t>
      </w: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раздела 5</w:t>
        </w:r>
      </w:hyperlink>
      <w:r>
        <w:rPr>
          <w:sz w:val="24"/>
        </w:rPr>
        <w:t xml:space="preserve"> отчетности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w:t>
      </w:r>
    </w:p>
    <w:p>
      <w:pPr>
        <w:pStyle w:val="0"/>
        <w:spacing w:before="240" w:lineRule="auto"/>
        <w:ind w:firstLine="540"/>
        <w:jc w:val="both"/>
      </w:pPr>
      <w:r>
        <w:rPr>
          <w:sz w:val="24"/>
        </w:rPr>
        <w:t xml:space="preserve">по показателю "Фамилия, имя, отчество (при наличии) руководителя аудита, подписавшего аудиторское заключение" </w:t>
      </w:r>
      <w:hyperlink w:history="0" w:anchor="P303" w:tooltip="46">
        <w:r>
          <w:rPr>
            <w:sz w:val="24"/>
            <w:color w:val="0000ff"/>
          </w:rPr>
          <w:t xml:space="preserve">(строка 46)</w:t>
        </w:r>
      </w:hyperlink>
      <w:r>
        <w:rPr>
          <w:sz w:val="24"/>
        </w:rPr>
        <w:t xml:space="preserve"> указываются фамилия, имя, отчество (при наличии) руководителя аудита, подписавшего аудиторское заключение о годовой бухгалтерской (финансовой) отчетности страховщика;</w:t>
      </w:r>
    </w:p>
    <w:p>
      <w:pPr>
        <w:pStyle w:val="0"/>
        <w:spacing w:before="240" w:lineRule="auto"/>
        <w:ind w:firstLine="540"/>
        <w:jc w:val="both"/>
      </w:pPr>
      <w:r>
        <w:rPr>
          <w:sz w:val="24"/>
        </w:rPr>
        <w:t xml:space="preserve">по показателю "Основной регистрационный номер записи (ОРНЗ) руководителя аудита, подписавшего аудиторское заключение" </w:t>
      </w:r>
      <w:hyperlink w:history="0" w:anchor="P311" w:tooltip="47">
        <w:r>
          <w:rPr>
            <w:sz w:val="24"/>
            <w:color w:val="0000ff"/>
          </w:rPr>
          <w:t xml:space="preserve">(строка 47)</w:t>
        </w:r>
      </w:hyperlink>
      <w:r>
        <w:rPr>
          <w:sz w:val="24"/>
        </w:rPr>
        <w:t xml:space="preserve"> указывается основной регистрационный номер записи (далее - ОРНЗ) руководителя аудита, подписавшего аудиторское заключение о годовой бухгалтерской (финансовой) отчетности страховщика, в реестре аудиторов и аудиторских организаций саморегулируемой организации аудиторов, который в соответствии с </w:t>
      </w:r>
      <w:hyperlink w:history="0" r:id="rId55" w:tooltip="Федеральный закон от 30.12.2008 N 307-ФЗ (ред. от 26.12.2024) &quot;Об аудиторской деятельности&quot; {КонсультантПлюс}">
        <w:r>
          <w:rPr>
            <w:sz w:val="24"/>
            <w:color w:val="0000ff"/>
          </w:rPr>
          <w:t xml:space="preserve">частью 2 статьи 19</w:t>
        </w:r>
      </w:hyperlink>
      <w:r>
        <w:rPr>
          <w:sz w:val="24"/>
        </w:rPr>
        <w:t xml:space="preserve"> Федерального закона от 30 декабря 2008 года N 307-ФЗ "Об аудиторской деятельности" ведет саморегулируемая организация аудиторов (далее - реестр аудиторов и аудиторских организаций саморегулируемой организации аудиторов);</w:t>
      </w:r>
    </w:p>
    <w:p>
      <w:pPr>
        <w:pStyle w:val="0"/>
        <w:spacing w:before="240" w:lineRule="auto"/>
        <w:ind w:firstLine="540"/>
        <w:jc w:val="both"/>
      </w:pPr>
      <w:r>
        <w:rPr>
          <w:sz w:val="24"/>
        </w:rPr>
        <w:t xml:space="preserve">по показателю "Номер квалификационного аттестата аудитора, выданного руководителю аудита, подписавшему аудиторское заключение" </w:t>
      </w:r>
      <w:hyperlink w:history="0" w:anchor="P319" w:tooltip="48">
        <w:r>
          <w:rPr>
            <w:sz w:val="24"/>
            <w:color w:val="0000ff"/>
          </w:rPr>
          <w:t xml:space="preserve">(строка 48)</w:t>
        </w:r>
      </w:hyperlink>
      <w:r>
        <w:rPr>
          <w:sz w:val="24"/>
        </w:rPr>
        <w:t xml:space="preserve"> указывается номер квалификационного аттестата аудитора, выданного руководителю аудита, подписавшему аудиторское заключение о годовой бухгалтерской (финансовой) отчетности страховщика;</w:t>
      </w:r>
    </w:p>
    <w:p>
      <w:pPr>
        <w:pStyle w:val="0"/>
        <w:spacing w:before="240" w:lineRule="auto"/>
        <w:ind w:firstLine="540"/>
        <w:jc w:val="both"/>
      </w:pPr>
      <w:r>
        <w:rPr>
          <w:sz w:val="24"/>
        </w:rPr>
        <w:t xml:space="preserve">по показателю "Фамилия, имя, отчество (при наличии) руководителя аудиторской организации или уполномоченного им лица, подписавшего аудиторское заключение" </w:t>
      </w:r>
      <w:hyperlink w:history="0" w:anchor="P327" w:tooltip="49">
        <w:r>
          <w:rPr>
            <w:sz w:val="24"/>
            <w:color w:val="0000ff"/>
          </w:rPr>
          <w:t xml:space="preserve">(строка 49)</w:t>
        </w:r>
      </w:hyperlink>
      <w:r>
        <w:rPr>
          <w:sz w:val="24"/>
        </w:rPr>
        <w:t xml:space="preserve"> указываются фамилия, имя, отчество (при наличии) руководителя аудиторской организации или уполномоченного им лица, подписавшего аудиторское заключение о годовой бухгалтерской (финансовой) отчетности страховщика;</w:t>
      </w:r>
    </w:p>
    <w:p>
      <w:pPr>
        <w:pStyle w:val="0"/>
        <w:spacing w:before="240" w:lineRule="auto"/>
        <w:ind w:firstLine="540"/>
        <w:jc w:val="both"/>
      </w:pPr>
      <w:r>
        <w:rPr>
          <w:sz w:val="24"/>
        </w:rPr>
        <w:t xml:space="preserve">по показателю "Основной регистрационный номер записи (ОРНЗ) руководителя аудиторской организации или уполномоченного им лица, подписавшего аудиторское заключение" </w:t>
      </w:r>
      <w:hyperlink w:history="0" w:anchor="P335" w:tooltip="50">
        <w:r>
          <w:rPr>
            <w:sz w:val="24"/>
            <w:color w:val="0000ff"/>
          </w:rPr>
          <w:t xml:space="preserve">(строка 50)</w:t>
        </w:r>
      </w:hyperlink>
      <w:r>
        <w:rPr>
          <w:sz w:val="24"/>
        </w:rPr>
        <w:t xml:space="preserve"> указывается ОРНЗ руководителя аудиторской организации или уполномоченного им лица, подписавшего аудиторское заключение о годовой бухгалтерской (финансовой) отчетности страховщика, в реестре аудиторов и аудиторских организаций саморегулируемой организации аудиторов;</w:t>
      </w:r>
    </w:p>
    <w:p>
      <w:pPr>
        <w:pStyle w:val="0"/>
        <w:spacing w:before="240" w:lineRule="auto"/>
        <w:ind w:firstLine="540"/>
        <w:jc w:val="both"/>
      </w:pPr>
      <w:r>
        <w:rPr>
          <w:sz w:val="24"/>
        </w:rPr>
        <w:t xml:space="preserve">по показателю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43" w:tooltip="51">
        <w:r>
          <w:rPr>
            <w:sz w:val="24"/>
            <w:color w:val="0000ff"/>
          </w:rPr>
          <w:t xml:space="preserve">(строка 51)</w:t>
        </w:r>
      </w:hyperlink>
      <w:r>
        <w:rPr>
          <w:sz w:val="24"/>
        </w:rPr>
        <w:t xml:space="preserve"> указывается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о годовой бухгалтерской (финансовой) отчетности страховщика.</w:t>
      </w:r>
    </w:p>
    <w:p>
      <w:pPr>
        <w:pStyle w:val="0"/>
        <w:spacing w:before="240" w:lineRule="auto"/>
        <w:ind w:firstLine="540"/>
        <w:jc w:val="both"/>
      </w:pPr>
      <w:r>
        <w:rPr>
          <w:sz w:val="24"/>
        </w:rPr>
        <w:t xml:space="preserve">При наличии у руководителя аудита, руководителя аудиторской организации или уполномоченного им лица, подписавшего аудиторское заключение, нескольких квалификационных аттестатов аудитора по показателям "Номер квалификационного аттестата аудитора, выданного руководителю аудита, подписавшему аудиторское заключение" </w:t>
      </w:r>
      <w:hyperlink w:history="0" w:anchor="P319" w:tooltip="48">
        <w:r>
          <w:rPr>
            <w:sz w:val="24"/>
            <w:color w:val="0000ff"/>
          </w:rPr>
          <w:t xml:space="preserve">(строка 48)</w:t>
        </w:r>
      </w:hyperlink>
      <w:r>
        <w:rPr>
          <w:sz w:val="24"/>
        </w:rPr>
        <w:t xml:space="preserve"> и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43" w:tooltip="51">
        <w:r>
          <w:rPr>
            <w:sz w:val="24"/>
            <w:color w:val="0000ff"/>
          </w:rPr>
          <w:t xml:space="preserve">(строка 51)</w:t>
        </w:r>
      </w:hyperlink>
      <w:r>
        <w:rPr>
          <w:sz w:val="24"/>
        </w:rPr>
        <w:t xml:space="preserve"> указывается номер квалификационного аттестата аудитора, состоящий из цифр, расположенных в следующей последовательности: XX-XXXXXX.</w:t>
      </w:r>
    </w:p>
    <w:p>
      <w:pPr>
        <w:pStyle w:val="0"/>
        <w:spacing w:before="240" w:lineRule="auto"/>
        <w:ind w:firstLine="540"/>
        <w:jc w:val="both"/>
      </w:pPr>
      <w:r>
        <w:rPr>
          <w:sz w:val="24"/>
        </w:rPr>
        <w:t xml:space="preserve">В случае если руководитель аудита является руководителем аудиторской организации или уполномоченным им лицом, подписавшим аудиторское заключение о годовой бухгалтерской (финансовой) отчетности страховщика, сведения о нем указываются по показателям "Фамилия, имя, отчество (при наличии) руководителя аудита, подписавшего аудиторское заключение" </w:t>
      </w:r>
      <w:hyperlink w:history="0" w:anchor="P303" w:tooltip="46">
        <w:r>
          <w:rPr>
            <w:sz w:val="24"/>
            <w:color w:val="0000ff"/>
          </w:rPr>
          <w:t xml:space="preserve">(строка 46)</w:t>
        </w:r>
      </w:hyperlink>
      <w:r>
        <w:rPr>
          <w:sz w:val="24"/>
        </w:rPr>
        <w:t xml:space="preserve">, "Основной регистрационный номер записи (ОРНЗ) руководителя аудита, подписавшего аудиторское заключение" </w:t>
      </w:r>
      <w:hyperlink w:history="0" w:anchor="P311" w:tooltip="47">
        <w:r>
          <w:rPr>
            <w:sz w:val="24"/>
            <w:color w:val="0000ff"/>
          </w:rPr>
          <w:t xml:space="preserve">(строка 47)</w:t>
        </w:r>
      </w:hyperlink>
      <w:r>
        <w:rPr>
          <w:sz w:val="24"/>
        </w:rPr>
        <w:t xml:space="preserve">, "Номер квалификационного аттестата аудитора, выданного руководителю аудита, подписавшему аудиторское заключение" </w:t>
      </w:r>
      <w:hyperlink w:history="0" w:anchor="P319" w:tooltip="48">
        <w:r>
          <w:rPr>
            <w:sz w:val="24"/>
            <w:color w:val="0000ff"/>
          </w:rPr>
          <w:t xml:space="preserve">(строка 48)</w:t>
        </w:r>
      </w:hyperlink>
      <w:r>
        <w:rPr>
          <w:sz w:val="24"/>
        </w:rPr>
        <w:t xml:space="preserve">, "Фамилия, имя, отчество (при наличии) руководителя аудиторской организации или уполномоченного им лица, подписавшего аудиторское заключение" </w:t>
      </w:r>
      <w:hyperlink w:history="0" w:anchor="P327" w:tooltip="49">
        <w:r>
          <w:rPr>
            <w:sz w:val="24"/>
            <w:color w:val="0000ff"/>
          </w:rPr>
          <w:t xml:space="preserve">(строка 49)</w:t>
        </w:r>
      </w:hyperlink>
      <w:r>
        <w:rPr>
          <w:sz w:val="24"/>
        </w:rPr>
        <w:t xml:space="preserve">, "Основной регистрационный номер записи (ОРНЗ) руководителя аудиторской организации или уполномоченного им лица, подписавшего аудиторское заключение" </w:t>
      </w:r>
      <w:hyperlink w:history="0" w:anchor="P335" w:tooltip="50">
        <w:r>
          <w:rPr>
            <w:sz w:val="24"/>
            <w:color w:val="0000ff"/>
          </w:rPr>
          <w:t xml:space="preserve">(строка 50)</w:t>
        </w:r>
      </w:hyperlink>
      <w:r>
        <w:rPr>
          <w:sz w:val="24"/>
        </w:rPr>
        <w:t xml:space="preserve"> и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43" w:tooltip="51">
        <w:r>
          <w:rPr>
            <w:sz w:val="24"/>
            <w:color w:val="0000ff"/>
          </w:rPr>
          <w:t xml:space="preserve">(строка 51)</w:t>
        </w:r>
      </w:hyperlink>
      <w:r>
        <w:rPr>
          <w:sz w:val="24"/>
        </w:rPr>
        <w:t xml:space="preserve">.</w:t>
      </w:r>
    </w:p>
    <w:p>
      <w:pPr>
        <w:pStyle w:val="0"/>
        <w:spacing w:before="240" w:lineRule="auto"/>
        <w:ind w:firstLine="540"/>
        <w:jc w:val="both"/>
      </w:pPr>
      <w:r>
        <w:rPr>
          <w:sz w:val="24"/>
        </w:rPr>
        <w:t xml:space="preserve">6.4. По показателю "Дата составления проаудированной годовой бухгалтерской (финансовой) отчетности" </w:t>
      </w:r>
      <w:hyperlink w:history="0" w:anchor="P351" w:tooltip="52">
        <w:r>
          <w:rPr>
            <w:sz w:val="24"/>
            <w:color w:val="0000ff"/>
          </w:rPr>
          <w:t xml:space="preserve">(строка 52)</w:t>
        </w:r>
      </w:hyperlink>
      <w:r>
        <w:rPr>
          <w:sz w:val="24"/>
        </w:rPr>
        <w:t xml:space="preserve"> указывается дата составления годовой бухгалтерской (финансовой) отчетности страховщика, в отношении которой аудиторской организацией составлено аудиторское заключение о годовой бухгалтерской (финансовой) отчетности страховщика.</w:t>
      </w:r>
    </w:p>
    <w:p>
      <w:pPr>
        <w:pStyle w:val="0"/>
        <w:spacing w:before="240" w:lineRule="auto"/>
        <w:ind w:firstLine="540"/>
        <w:jc w:val="both"/>
      </w:pPr>
      <w:r>
        <w:rPr>
          <w:sz w:val="24"/>
        </w:rPr>
        <w:t xml:space="preserve">7. По показателям </w:t>
      </w:r>
      <w:hyperlink w:history="0" w:anchor="P359" w:tooltip="Раздел 6. Сведения об опубликовании годовой бухгалтерской (финансовой) отчетности страховщика">
        <w:r>
          <w:rPr>
            <w:sz w:val="24"/>
            <w:color w:val="0000ff"/>
          </w:rPr>
          <w:t xml:space="preserve">раздела 6</w:t>
        </w:r>
      </w:hyperlink>
      <w:r>
        <w:rPr>
          <w:sz w:val="24"/>
        </w:rPr>
        <w:t xml:space="preserve"> отчетности по форме 0420150, составляемого страховщиком (за исключением иностранной страховой организации) в целях выполнения требования </w:t>
      </w:r>
      <w:hyperlink w:history="0" r:id="rId56"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пункта 6 статьи 29</w:t>
        </w:r>
      </w:hyperlink>
      <w:r>
        <w:rPr>
          <w:sz w:val="24"/>
        </w:rPr>
        <w:t xml:space="preserve"> Закона Российской Федерации N 4015-I, указываются сведения об опубликовании годовой бухгалтерской (финансовой) отчетности страховщика за предыдущий отчетный год вместе с аудиторским заключением о ней в соответствии с </w:t>
      </w:r>
      <w:hyperlink w:history="0" r:id="rId57"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подпунктом 6 пункта 6 статьи 6</w:t>
        </w:r>
      </w:hyperlink>
      <w:r>
        <w:rPr>
          <w:sz w:val="24"/>
        </w:rPr>
        <w:t xml:space="preserve"> и </w:t>
      </w:r>
      <w:hyperlink w:history="0" r:id="rId58"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 статьи 29</w:t>
        </w:r>
      </w:hyperlink>
      <w:r>
        <w:rPr>
          <w:sz w:val="24"/>
        </w:rPr>
        <w:t xml:space="preserve"> Закона Российской Федерации N 4015-I.</w:t>
      </w:r>
    </w:p>
    <w:p>
      <w:pPr>
        <w:pStyle w:val="0"/>
        <w:spacing w:before="240" w:lineRule="auto"/>
        <w:ind w:firstLine="540"/>
        <w:jc w:val="both"/>
      </w:pPr>
      <w:r>
        <w:rPr>
          <w:sz w:val="24"/>
        </w:rPr>
        <w:t xml:space="preserve">7.1. По показателю "Дата размещения на официальном сайте страховщика в информационно-телекоммуникационной сети "Интернет" </w:t>
      </w:r>
      <w:hyperlink w:history="0" w:anchor="P360" w:tooltip="53">
        <w:r>
          <w:rPr>
            <w:sz w:val="24"/>
            <w:color w:val="0000ff"/>
          </w:rPr>
          <w:t xml:space="preserve">(строка 53)</w:t>
        </w:r>
      </w:hyperlink>
      <w:r>
        <w:rPr>
          <w:sz w:val="24"/>
        </w:rPr>
        <w:t xml:space="preserve"> указывается дата размещения страховщиком годовой бухгалтерской (финансовой) отчетности страховщика за предыдущий отчетный год вместе с аудиторским заключением о ней на официальном сайте страховщика в сети "Интернет".</w:t>
      </w:r>
    </w:p>
    <w:p>
      <w:pPr>
        <w:pStyle w:val="0"/>
        <w:spacing w:before="240" w:lineRule="auto"/>
        <w:ind w:firstLine="540"/>
        <w:jc w:val="both"/>
      </w:pPr>
      <w:r>
        <w:rPr>
          <w:sz w:val="24"/>
        </w:rPr>
        <w:t xml:space="preserve">7.2. По показателю "Электронный адрес страницы официального сайта страховщика в информационно-телекоммуникационной сети "Интернет" </w:t>
      </w:r>
      <w:hyperlink w:history="0" w:anchor="P364" w:tooltip="54">
        <w:r>
          <w:rPr>
            <w:sz w:val="24"/>
            <w:color w:val="0000ff"/>
          </w:rPr>
          <w:t xml:space="preserve">(строка 54)</w:t>
        </w:r>
      </w:hyperlink>
      <w:r>
        <w:rPr>
          <w:sz w:val="24"/>
        </w:rPr>
        <w:t xml:space="preserve"> указывается электронный адрес страницы официального сайта страховщика в сети "Интернет", на которой размещены годовая бухгалтерская (финансовая) отчетность страховщика за предыдущий отчетный год вместе с аудиторским заключением о ней.</w:t>
      </w:r>
    </w:p>
    <w:p>
      <w:pPr>
        <w:pStyle w:val="0"/>
        <w:spacing w:before="240" w:lineRule="auto"/>
        <w:ind w:firstLine="540"/>
        <w:jc w:val="both"/>
      </w:pPr>
      <w:r>
        <w:rPr>
          <w:sz w:val="24"/>
        </w:rPr>
        <w:t xml:space="preserve">7.3. По показателю "Опубликование годовой бухгалтерской (финансовой) отчетности в иных источниках" </w:t>
      </w:r>
      <w:hyperlink w:history="0" w:anchor="P368" w:tooltip="55">
        <w:r>
          <w:rPr>
            <w:sz w:val="24"/>
            <w:color w:val="0000ff"/>
          </w:rPr>
          <w:t xml:space="preserve">(строка 55)</w:t>
        </w:r>
      </w:hyperlink>
      <w:r>
        <w:rPr>
          <w:sz w:val="24"/>
        </w:rPr>
        <w:t xml:space="preserve"> указываются (при наличии) сведения об опубликовании годовой бухгалтерской (финансовой) отчетности страховщика за предыдущий отчетный год вместе с аудиторским заключением о ней в средствах массовой информации в соответствии с </w:t>
      </w:r>
      <w:hyperlink w:history="0" r:id="rId5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5 статьи 29</w:t>
        </w:r>
      </w:hyperlink>
      <w:r>
        <w:rPr>
          <w:sz w:val="24"/>
        </w:rPr>
        <w:t xml:space="preserve"> Закона Российской Федерации N 4015-I (с указанием места и даты опубликования).</w:t>
      </w:r>
    </w:p>
    <w:p>
      <w:pPr>
        <w:pStyle w:val="0"/>
        <w:spacing w:before="240" w:lineRule="auto"/>
        <w:ind w:firstLine="540"/>
        <w:jc w:val="both"/>
      </w:pPr>
      <w:r>
        <w:rPr>
          <w:sz w:val="24"/>
        </w:rPr>
        <w:t xml:space="preserve">В случае если годовая бухгалтерская (финансовая) отчетность страховщика за предыдущий отчетный год вместе с аудиторским заключением о ней размещена только на официальном сайте страховщика в сети "Интернет", показатель "Опубликование годовой бухгалтерской (финансовой) отчетности в иных источниках" </w:t>
      </w:r>
      <w:hyperlink w:history="0" w:anchor="P368" w:tooltip="55">
        <w:r>
          <w:rPr>
            <w:sz w:val="24"/>
            <w:color w:val="0000ff"/>
          </w:rPr>
          <w:t xml:space="preserve">(строка 55)</w:t>
        </w:r>
      </w:hyperlink>
      <w:r>
        <w:rPr>
          <w:sz w:val="24"/>
        </w:rPr>
        <w:t xml:space="preserve"> не формируется.</w:t>
      </w:r>
    </w:p>
    <w:p>
      <w:pPr>
        <w:pStyle w:val="0"/>
        <w:spacing w:before="240" w:lineRule="auto"/>
        <w:ind w:firstLine="540"/>
        <w:jc w:val="both"/>
      </w:pPr>
      <w:r>
        <w:rPr>
          <w:sz w:val="24"/>
        </w:rPr>
        <w:t xml:space="preserve">8. По показателям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указываются сведения о контрагентах - физических и юридических лицах, информация о которых указана страховщиком в </w:t>
      </w:r>
      <w:hyperlink w:history="0" w:anchor="P252" w:tooltip="Раздел 3. Сведения о членстве в саморегулируемой организации в сфере финансового рынка и объединениях субъектов страхового дела">
        <w:r>
          <w:rPr>
            <w:sz w:val="24"/>
            <w:color w:val="0000ff"/>
          </w:rPr>
          <w:t xml:space="preserve">разделах 3</w:t>
        </w:r>
      </w:hyperlink>
      <w:r>
        <w:rPr>
          <w:sz w:val="24"/>
        </w:rPr>
        <w:t xml:space="preserve"> и </w:t>
      </w: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5</w:t>
        </w:r>
      </w:hyperlink>
      <w:r>
        <w:rPr>
          <w:sz w:val="24"/>
        </w:rPr>
        <w:t xml:space="preserve"> отчетности по форме 0420150, в отчетности по </w:t>
      </w:r>
      <w:hyperlink w:history="0" w:anchor="P1468" w:tooltip="Отчетность по форме 0420152">
        <w:r>
          <w:rPr>
            <w:sz w:val="24"/>
            <w:color w:val="0000ff"/>
          </w:rPr>
          <w:t xml:space="preserve">форме 0420152</w:t>
        </w:r>
      </w:hyperlink>
      <w:r>
        <w:rPr>
          <w:sz w:val="24"/>
        </w:rPr>
        <w:t xml:space="preserve"> "Отчет об акционерах (участниках) и сведения об аффилированных лицах страховой организации" (далее - отчетность по форме 0420152), отчетности по </w:t>
      </w:r>
      <w:hyperlink w:history="0" w:anchor="P1888" w:tooltip="Отчетность по форме 0420153">
        <w:r>
          <w:rPr>
            <w:sz w:val="24"/>
            <w:color w:val="0000ff"/>
          </w:rPr>
          <w:t xml:space="preserve">форме 0420153</w:t>
        </w:r>
      </w:hyperlink>
      <w:r>
        <w:rPr>
          <w:sz w:val="24"/>
        </w:rPr>
        <w:t xml:space="preserve"> "Сведения о размере гарантийного депозита филиала иностранной страховой организации" (далее - отчетность по форме 0420153), отчетности по </w:t>
      </w:r>
      <w:hyperlink w:history="0" w:anchor="P2335" w:tooltip="Отчетность по форме 0420154">
        <w:r>
          <w:rPr>
            <w:sz w:val="24"/>
            <w:color w:val="0000ff"/>
          </w:rPr>
          <w:t xml:space="preserve">форме 0420154</w:t>
        </w:r>
      </w:hyperlink>
      <w:r>
        <w:rPr>
          <w:sz w:val="24"/>
        </w:rPr>
        <w:t xml:space="preserve"> "Отчет об активах и обязательствах страховщика" (далее - отчетность по форме 0420154), отчетности по </w:t>
      </w:r>
      <w:hyperlink w:history="0" w:anchor="P32577" w:tooltip="Отчетность по форме 0420157">
        <w:r>
          <w:rPr>
            <w:sz w:val="24"/>
            <w:color w:val="0000ff"/>
          </w:rPr>
          <w:t xml:space="preserve">форме 0420157</w:t>
        </w:r>
      </w:hyperlink>
      <w:r>
        <w:rPr>
          <w:sz w:val="24"/>
        </w:rPr>
        <w:t xml:space="preserve"> "Отчет об операциях перестрахования страховщика" (далее - отчетность по форме 0420157), отчетности по </w:t>
      </w:r>
      <w:hyperlink w:history="0" w:anchor="P34526" w:tooltip="Отчетность по форме 0420159">
        <w:r>
          <w:rPr>
            <w:sz w:val="24"/>
            <w:color w:val="0000ff"/>
          </w:rPr>
          <w:t xml:space="preserve">форме 0420159</w:t>
        </w:r>
      </w:hyperlink>
      <w:r>
        <w:rPr>
          <w:sz w:val="24"/>
        </w:rPr>
        <w:t xml:space="preserve"> "Сведения о сделках страховщика" (далее - отчетность по форме 0420159), отчетности по </w:t>
      </w:r>
      <w:hyperlink w:history="0" w:anchor="P35303" w:tooltip="Отчетность по форме 0420160">
        <w:r>
          <w:rPr>
            <w:sz w:val="24"/>
            <w:color w:val="0000ff"/>
          </w:rPr>
          <w:t xml:space="preserve">форме 0420160</w:t>
        </w:r>
      </w:hyperlink>
      <w:r>
        <w:rPr>
          <w:sz w:val="24"/>
        </w:rPr>
        <w:t xml:space="preserve"> "Сведения о привлеченных страховщиком средствах" (далее - отчетность по форме 0420160), отчетности по </w:t>
      </w:r>
      <w:hyperlink w:history="0" w:anchor="P37006" w:tooltip="Отчетность по форме 0420161">
        <w:r>
          <w:rPr>
            <w:sz w:val="24"/>
            <w:color w:val="0000ff"/>
          </w:rPr>
          <w:t xml:space="preserve">форме 0420161</w:t>
        </w:r>
      </w:hyperlink>
      <w:r>
        <w:rPr>
          <w:sz w:val="24"/>
        </w:rPr>
        <w:t xml:space="preserve"> "Отчет о выданных страховщиком поручительствах, независимых гарантиях и других способах обеспечения исполнения обязательств" (далее - отчетность по форме 0420161), отчетности по </w:t>
      </w:r>
      <w:hyperlink w:history="0" w:anchor="P37230" w:tooltip="Отчетность по форме 0420163">
        <w:r>
          <w:rPr>
            <w:sz w:val="24"/>
            <w:color w:val="0000ff"/>
          </w:rPr>
          <w:t xml:space="preserve">форме 0420163</w:t>
        </w:r>
      </w:hyperlink>
      <w:r>
        <w:rPr>
          <w:sz w:val="24"/>
        </w:rPr>
        <w:t xml:space="preserve"> "Отчет об операциях со связанными сторонами страховщика" (далее - отчетность по форме 0420163), отчетности по </w:t>
      </w:r>
      <w:hyperlink w:history="0" w:anchor="P38630" w:tooltip="Отчетность по форме 0420169">
        <w:r>
          <w:rPr>
            <w:sz w:val="24"/>
            <w:color w:val="0000ff"/>
          </w:rPr>
          <w:t xml:space="preserve">форме 0420169</w:t>
        </w:r>
      </w:hyperlink>
      <w:r>
        <w:rPr>
          <w:sz w:val="24"/>
        </w:rPr>
        <w:t xml:space="preserve"> "Сведения для расчета размера (квоты) участия иностранного капитала в совокупном уставном капитале страховых организаций, имеющих лицензию на осуществление страховой деятельности" (далее - отчетность по форме 0420169) (далее - контрагенты) (в случае составления страховщиком указанных форм отчетности).</w:t>
      </w:r>
    </w:p>
    <w:p>
      <w:pPr>
        <w:pStyle w:val="0"/>
        <w:spacing w:before="240" w:lineRule="auto"/>
        <w:ind w:firstLine="540"/>
        <w:jc w:val="both"/>
      </w:pPr>
      <w:hyperlink w:history="0" w:anchor="P372" w:tooltip="Раздел 7. Реестр контрагентов страховщика">
        <w:r>
          <w:rPr>
            <w:sz w:val="24"/>
            <w:color w:val="0000ff"/>
          </w:rPr>
          <w:t xml:space="preserve">Раздел 7</w:t>
        </w:r>
      </w:hyperlink>
      <w:r>
        <w:rPr>
          <w:sz w:val="24"/>
        </w:rPr>
        <w:t xml:space="preserve"> отчетности по форме 0420150 составляется одновременно с составлением </w:t>
      </w:r>
      <w:hyperlink w:history="0" w:anchor="P252" w:tooltip="Раздел 3. Сведения о членстве в саморегулируемой организации в сфере финансового рынка и объединениях субъектов страхового дела">
        <w:r>
          <w:rPr>
            <w:sz w:val="24"/>
            <w:color w:val="0000ff"/>
          </w:rPr>
          <w:t xml:space="preserve">разделов 3</w:t>
        </w:r>
      </w:hyperlink>
      <w:r>
        <w:rPr>
          <w:sz w:val="24"/>
        </w:rPr>
        <w:t xml:space="preserve"> и </w:t>
      </w: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5</w:t>
        </w:r>
      </w:hyperlink>
      <w:r>
        <w:rPr>
          <w:sz w:val="24"/>
        </w:rPr>
        <w:t xml:space="preserve"> отчетности по форме 0420150, составлением отчетности по </w:t>
      </w:r>
      <w:hyperlink w:history="0" w:anchor="P1468" w:tooltip="Отчетность по форме 0420152">
        <w:r>
          <w:rPr>
            <w:sz w:val="24"/>
            <w:color w:val="0000ff"/>
          </w:rPr>
          <w:t xml:space="preserve">форме 0420152</w:t>
        </w:r>
      </w:hyperlink>
      <w:r>
        <w:rPr>
          <w:sz w:val="24"/>
        </w:rPr>
        <w:t xml:space="preserve">, отчетности по </w:t>
      </w:r>
      <w:hyperlink w:history="0" w:anchor="P1888" w:tooltip="Отчетность по форме 0420153">
        <w:r>
          <w:rPr>
            <w:sz w:val="24"/>
            <w:color w:val="0000ff"/>
          </w:rPr>
          <w:t xml:space="preserve">форме 0420153</w:t>
        </w:r>
      </w:hyperlink>
      <w:r>
        <w:rPr>
          <w:sz w:val="24"/>
        </w:rPr>
        <w:t xml:space="preserve">, отчетности по </w:t>
      </w:r>
      <w:hyperlink w:history="0" w:anchor="P2335" w:tooltip="Отчетность по форме 0420154">
        <w:r>
          <w:rPr>
            <w:sz w:val="24"/>
            <w:color w:val="0000ff"/>
          </w:rPr>
          <w:t xml:space="preserve">форме 0420154</w:t>
        </w:r>
      </w:hyperlink>
      <w:r>
        <w:rPr>
          <w:sz w:val="24"/>
        </w:rPr>
        <w:t xml:space="preserve">, отчетности по </w:t>
      </w:r>
      <w:hyperlink w:history="0" w:anchor="P32577" w:tooltip="Отчетность по форме 0420157">
        <w:r>
          <w:rPr>
            <w:sz w:val="24"/>
            <w:color w:val="0000ff"/>
          </w:rPr>
          <w:t xml:space="preserve">форме 0420157</w:t>
        </w:r>
      </w:hyperlink>
      <w:r>
        <w:rPr>
          <w:sz w:val="24"/>
        </w:rPr>
        <w:t xml:space="preserve">, отчетности по </w:t>
      </w:r>
      <w:hyperlink w:history="0" w:anchor="P34526" w:tooltip="Отчетность по форме 0420159">
        <w:r>
          <w:rPr>
            <w:sz w:val="24"/>
            <w:color w:val="0000ff"/>
          </w:rPr>
          <w:t xml:space="preserve">форме 0420159</w:t>
        </w:r>
      </w:hyperlink>
      <w:r>
        <w:rPr>
          <w:sz w:val="24"/>
        </w:rPr>
        <w:t xml:space="preserve">, отчетности по </w:t>
      </w:r>
      <w:hyperlink w:history="0" w:anchor="P35303" w:tooltip="Отчетность по форме 0420160">
        <w:r>
          <w:rPr>
            <w:sz w:val="24"/>
            <w:color w:val="0000ff"/>
          </w:rPr>
          <w:t xml:space="preserve">форме 0420160</w:t>
        </w:r>
      </w:hyperlink>
      <w:r>
        <w:rPr>
          <w:sz w:val="24"/>
        </w:rPr>
        <w:t xml:space="preserve">, отчетности по </w:t>
      </w:r>
      <w:hyperlink w:history="0" w:anchor="P37006" w:tooltip="Отчетность по форме 0420161">
        <w:r>
          <w:rPr>
            <w:sz w:val="24"/>
            <w:color w:val="0000ff"/>
          </w:rPr>
          <w:t xml:space="preserve">форме 0420161</w:t>
        </w:r>
      </w:hyperlink>
      <w:r>
        <w:rPr>
          <w:sz w:val="24"/>
        </w:rPr>
        <w:t xml:space="preserve">, отчетности по </w:t>
      </w:r>
      <w:hyperlink w:history="0" w:anchor="P37230" w:tooltip="Отчетность по форме 0420163">
        <w:r>
          <w:rPr>
            <w:sz w:val="24"/>
            <w:color w:val="0000ff"/>
          </w:rPr>
          <w:t xml:space="preserve">форме 0420163</w:t>
        </w:r>
      </w:hyperlink>
      <w:r>
        <w:rPr>
          <w:sz w:val="24"/>
        </w:rPr>
        <w:t xml:space="preserve">, отчетности по </w:t>
      </w:r>
      <w:hyperlink w:history="0" w:anchor="P38630" w:tooltip="Отчетность по форме 0420169">
        <w:r>
          <w:rPr>
            <w:sz w:val="24"/>
            <w:color w:val="0000ff"/>
          </w:rPr>
          <w:t xml:space="preserve">форме 0420169</w:t>
        </w:r>
      </w:hyperlink>
      <w:r>
        <w:rPr>
          <w:sz w:val="24"/>
        </w:rPr>
        <w:t xml:space="preserve">.</w:t>
      </w:r>
    </w:p>
    <w:p>
      <w:pPr>
        <w:pStyle w:val="0"/>
        <w:spacing w:before="240" w:lineRule="auto"/>
        <w:ind w:firstLine="540"/>
        <w:jc w:val="both"/>
      </w:pPr>
      <w:r>
        <w:rPr>
          <w:sz w:val="24"/>
        </w:rPr>
        <w:t xml:space="preserve">Показатели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 указываются в разрезе аналитических признаков группы аналитических признаков "Идентификатор контрагента", значения которых формируются страховщиком в соответствии с </w:t>
      </w:r>
      <w:hyperlink w:history="0" w:anchor="P966" w:tooltip="8.27. При формировании значения идентификатора контрагента, указываемого по группе аналитических признаков &quot;Идентификатор контрагента&quot;, позволяющего выделить одного контрагента из других контрагентов страховщика, страховщик должен указать в зависимости от контрагента характеристики, перечисленные в подпунктах 8.27.1 - 8.27.5 настоящего пункта (с сохранением приведенной последовательности их указания).">
        <w:r>
          <w:rPr>
            <w:sz w:val="24"/>
            <w:color w:val="0000ff"/>
          </w:rPr>
          <w:t xml:space="preserve">подпунктом 8.27</w:t>
        </w:r>
      </w:hyperlink>
      <w:r>
        <w:rPr>
          <w:sz w:val="24"/>
        </w:rPr>
        <w:t xml:space="preserve"> настоящего пункта.</w:t>
      </w:r>
    </w:p>
    <w:p>
      <w:pPr>
        <w:pStyle w:val="0"/>
        <w:spacing w:before="240" w:lineRule="auto"/>
        <w:ind w:firstLine="540"/>
        <w:jc w:val="both"/>
      </w:pPr>
      <w:r>
        <w:rPr>
          <w:sz w:val="24"/>
        </w:rPr>
        <w:t xml:space="preserve">В целях составления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 хозяйственные общества со статусом международной компании, зарегистрированные в ЕГРЮЛ в порядке инкорпорации или в связи с изменением иностранным юридическим лицом личного закона в порядке редомициляции в соответствии со </w:t>
      </w:r>
      <w:hyperlink w:history="0" r:id="rId60"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от 3 августа 2018 года N 290-ФЗ "О международных компаниях и международных фондах" (далее - Федеральный закон N 290-ФЗ), а также фонды, имеющие статус международных фондов, зарегистрированные в ЕГРЮЛ в порядке инкорпорации или в связи с изменением иностранным юридическим лицом личного закона в порядке редомициляции в соответствии со </w:t>
      </w:r>
      <w:hyperlink w:history="0" r:id="rId61"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отражаются в качестве резидентов.</w:t>
      </w:r>
    </w:p>
    <w:p>
      <w:pPr>
        <w:pStyle w:val="0"/>
        <w:spacing w:before="240" w:lineRule="auto"/>
        <w:ind w:firstLine="540"/>
        <w:jc w:val="both"/>
      </w:pPr>
      <w:r>
        <w:rPr>
          <w:sz w:val="24"/>
        </w:rPr>
        <w:t xml:space="preserve">8.1. По показателю "Полное наименование" </w:t>
      </w:r>
      <w:hyperlink w:history="0" w:anchor="P373" w:tooltip="56">
        <w:r>
          <w:rPr>
            <w:sz w:val="24"/>
            <w:color w:val="0000ff"/>
          </w:rPr>
          <w:t xml:space="preserve">(строка 56)</w:t>
        </w:r>
      </w:hyperlink>
      <w:r>
        <w:rPr>
          <w:sz w:val="24"/>
        </w:rPr>
        <w:t xml:space="preserve"> для каждого контрагента - юридического лица указывается полное наименование (для некоммерческой организации) или полное фирменное наименование (для коммерческой организации).</w:t>
      </w:r>
    </w:p>
    <w:p>
      <w:pPr>
        <w:pStyle w:val="0"/>
        <w:spacing w:before="240" w:lineRule="auto"/>
        <w:ind w:firstLine="540"/>
        <w:jc w:val="both"/>
      </w:pPr>
      <w:r>
        <w:rPr>
          <w:sz w:val="24"/>
        </w:rPr>
        <w:t xml:space="preserve">Для контрагентов - физических лиц (в том числе индивидуальных предпринимателей) показатель "Полное наименование" </w:t>
      </w:r>
      <w:hyperlink w:history="0" w:anchor="P373" w:tooltip="56">
        <w:r>
          <w:rPr>
            <w:sz w:val="24"/>
            <w:color w:val="0000ff"/>
          </w:rPr>
          <w:t xml:space="preserve">(строка 56)</w:t>
        </w:r>
      </w:hyperlink>
      <w:r>
        <w:rPr>
          <w:sz w:val="24"/>
        </w:rPr>
        <w:t xml:space="preserve"> не формируется.</w:t>
      </w:r>
    </w:p>
    <w:p>
      <w:pPr>
        <w:pStyle w:val="0"/>
        <w:spacing w:before="240" w:lineRule="auto"/>
        <w:ind w:firstLine="540"/>
        <w:jc w:val="both"/>
      </w:pPr>
      <w:r>
        <w:rPr>
          <w:sz w:val="24"/>
        </w:rPr>
        <w:t xml:space="preserve">8.2. По показателям "Фамилия" </w:t>
      </w:r>
      <w:hyperlink w:history="0" w:anchor="P381" w:tooltip="57">
        <w:r>
          <w:rPr>
            <w:sz w:val="24"/>
            <w:color w:val="0000ff"/>
          </w:rPr>
          <w:t xml:space="preserve">(строка 57)</w:t>
        </w:r>
      </w:hyperlink>
      <w:r>
        <w:rPr>
          <w:sz w:val="24"/>
        </w:rPr>
        <w:t xml:space="preserve">, "Имя" </w:t>
      </w:r>
      <w:hyperlink w:history="0" w:anchor="P389" w:tooltip="58">
        <w:r>
          <w:rPr>
            <w:sz w:val="24"/>
            <w:color w:val="0000ff"/>
          </w:rPr>
          <w:t xml:space="preserve">(строка 58)</w:t>
        </w:r>
      </w:hyperlink>
      <w:r>
        <w:rPr>
          <w:sz w:val="24"/>
        </w:rPr>
        <w:t xml:space="preserve"> и "Отчество (при наличии)" </w:t>
      </w:r>
      <w:hyperlink w:history="0" w:anchor="P397" w:tooltip="59">
        <w:r>
          <w:rPr>
            <w:sz w:val="24"/>
            <w:color w:val="0000ff"/>
          </w:rPr>
          <w:t xml:space="preserve">(строка 59)</w:t>
        </w:r>
      </w:hyperlink>
      <w:r>
        <w:rPr>
          <w:sz w:val="24"/>
        </w:rPr>
        <w:t xml:space="preserve"> для каждого контрагента - физического лица (в том числе индивидуального предпринимателя) указываются соответственно фамилия, имя и отчество (при наличии).</w:t>
      </w:r>
    </w:p>
    <w:p>
      <w:pPr>
        <w:pStyle w:val="0"/>
        <w:spacing w:before="240" w:lineRule="auto"/>
        <w:ind w:firstLine="540"/>
        <w:jc w:val="both"/>
      </w:pPr>
      <w:r>
        <w:rPr>
          <w:sz w:val="24"/>
        </w:rPr>
        <w:t xml:space="preserve">Для контрагентов - юридических лиц показатели "Фамилия" </w:t>
      </w:r>
      <w:hyperlink w:history="0" w:anchor="P381" w:tooltip="57">
        <w:r>
          <w:rPr>
            <w:sz w:val="24"/>
            <w:color w:val="0000ff"/>
          </w:rPr>
          <w:t xml:space="preserve">(строка 57)</w:t>
        </w:r>
      </w:hyperlink>
      <w:r>
        <w:rPr>
          <w:sz w:val="24"/>
        </w:rPr>
        <w:t xml:space="preserve">, "Имя" </w:t>
      </w:r>
      <w:hyperlink w:history="0" w:anchor="P389" w:tooltip="58">
        <w:r>
          <w:rPr>
            <w:sz w:val="24"/>
            <w:color w:val="0000ff"/>
          </w:rPr>
          <w:t xml:space="preserve">(строка 58)</w:t>
        </w:r>
      </w:hyperlink>
      <w:r>
        <w:rPr>
          <w:sz w:val="24"/>
        </w:rPr>
        <w:t xml:space="preserve"> и "Отчество (при наличии)" </w:t>
      </w:r>
      <w:hyperlink w:history="0" w:anchor="P397" w:tooltip="59">
        <w:r>
          <w:rPr>
            <w:sz w:val="24"/>
            <w:color w:val="0000ff"/>
          </w:rPr>
          <w:t xml:space="preserve">(строка 59)</w:t>
        </w:r>
      </w:hyperlink>
      <w:r>
        <w:rPr>
          <w:sz w:val="24"/>
        </w:rPr>
        <w:t xml:space="preserve"> не формируются.</w:t>
      </w:r>
    </w:p>
    <w:p>
      <w:pPr>
        <w:pStyle w:val="0"/>
        <w:spacing w:before="240" w:lineRule="auto"/>
        <w:ind w:firstLine="540"/>
        <w:jc w:val="both"/>
      </w:pPr>
      <w:r>
        <w:rPr>
          <w:sz w:val="24"/>
        </w:rPr>
        <w:t xml:space="preserve">8.3. По показателю "Идентификационный номер налогоплательщика (ИНН)" </w:t>
      </w:r>
      <w:hyperlink w:history="0" w:anchor="P405" w:tooltip="60">
        <w:r>
          <w:rPr>
            <w:sz w:val="24"/>
            <w:color w:val="0000ff"/>
          </w:rPr>
          <w:t xml:space="preserve">(строка 60)</w:t>
        </w:r>
      </w:hyperlink>
      <w:r>
        <w:rPr>
          <w:sz w:val="24"/>
        </w:rPr>
        <w:t xml:space="preserve"> для каждого контрагента-резидента указывается ИНН.</w:t>
      </w:r>
    </w:p>
    <w:bookmarkStart w:id="855" w:name="P855"/>
    <w:bookmarkEnd w:id="855"/>
    <w:p>
      <w:pPr>
        <w:pStyle w:val="0"/>
        <w:spacing w:before="240" w:lineRule="auto"/>
        <w:ind w:firstLine="540"/>
        <w:jc w:val="both"/>
      </w:pPr>
      <w:r>
        <w:rPr>
          <w:sz w:val="24"/>
        </w:rPr>
        <w:t xml:space="preserve">Для контрагентов-нерезидентов показатель "Идентификационный номер налогоплательщика (ИНН)" </w:t>
      </w:r>
      <w:hyperlink w:history="0" w:anchor="P405" w:tooltip="60">
        <w:r>
          <w:rPr>
            <w:sz w:val="24"/>
            <w:color w:val="0000ff"/>
          </w:rPr>
          <w:t xml:space="preserve">(строка 60)</w:t>
        </w:r>
      </w:hyperlink>
      <w:r>
        <w:rPr>
          <w:sz w:val="24"/>
        </w:rPr>
        <w:t xml:space="preserve"> не формируется, сведения об ИНН (при наличии) указываются по показателю "Примечание" </w:t>
      </w:r>
      <w:hyperlink w:history="0" w:anchor="P693" w:tooltip="94">
        <w:r>
          <w:rPr>
            <w:sz w:val="24"/>
            <w:color w:val="0000ff"/>
          </w:rPr>
          <w:t xml:space="preserve">(строка 94)</w:t>
        </w:r>
      </w:hyperlink>
      <w:r>
        <w:rPr>
          <w:sz w:val="24"/>
        </w:rPr>
        <w:t xml:space="preserve">.</w:t>
      </w:r>
    </w:p>
    <w:p>
      <w:pPr>
        <w:pStyle w:val="0"/>
        <w:spacing w:before="240" w:lineRule="auto"/>
        <w:ind w:firstLine="540"/>
        <w:jc w:val="both"/>
      </w:pPr>
      <w:r>
        <w:rPr>
          <w:sz w:val="24"/>
        </w:rPr>
        <w:t xml:space="preserve">8.4. По показателю "TIN" </w:t>
      </w:r>
      <w:hyperlink w:history="0" w:anchor="P413" w:tooltip="61">
        <w:r>
          <w:rPr>
            <w:sz w:val="24"/>
            <w:color w:val="0000ff"/>
          </w:rPr>
          <w:t xml:space="preserve">(строка 61)</w:t>
        </w:r>
      </w:hyperlink>
      <w:r>
        <w:rPr>
          <w:sz w:val="24"/>
        </w:rPr>
        <w:t xml:space="preserve"> для каждого контрагента-нерезидента указывается идентификационный номер налогоплательщика (Tax Identification Number) в стране регистрации (далее - TIN) или его аналог.</w:t>
      </w:r>
    </w:p>
    <w:p>
      <w:pPr>
        <w:pStyle w:val="0"/>
        <w:spacing w:before="240" w:lineRule="auto"/>
        <w:ind w:firstLine="540"/>
        <w:jc w:val="both"/>
      </w:pPr>
      <w:r>
        <w:rPr>
          <w:sz w:val="24"/>
        </w:rPr>
        <w:t xml:space="preserve">При отсутствии у контрагента-нерезидента TIN или его аналога по показателю "TIN" </w:t>
      </w:r>
      <w:hyperlink w:history="0" w:anchor="P413" w:tooltip="61">
        <w:r>
          <w:rPr>
            <w:sz w:val="24"/>
            <w:color w:val="0000ff"/>
          </w:rPr>
          <w:t xml:space="preserve">(строка 61)</w:t>
        </w:r>
      </w:hyperlink>
      <w:r>
        <w:rPr>
          <w:sz w:val="24"/>
        </w:rPr>
        <w:t xml:space="preserve"> указываются три нуля (для контрагента - юридического лица) или пять нулей (для контрагента - физического лица, в том числе зарегистрированного в качестве индивидуального предпринимателя в соответствии с законодательством иностранного государства).</w:t>
      </w:r>
    </w:p>
    <w:p>
      <w:pPr>
        <w:pStyle w:val="0"/>
        <w:spacing w:before="240" w:lineRule="auto"/>
        <w:ind w:firstLine="540"/>
        <w:jc w:val="both"/>
      </w:pPr>
      <w:r>
        <w:rPr>
          <w:sz w:val="24"/>
        </w:rPr>
        <w:t xml:space="preserve">Для контрагентов-резидентов показатель "TIN" </w:t>
      </w:r>
      <w:hyperlink w:history="0" w:anchor="P413" w:tooltip="61">
        <w:r>
          <w:rPr>
            <w:sz w:val="24"/>
            <w:color w:val="0000ff"/>
          </w:rPr>
          <w:t xml:space="preserve">(строка 61)</w:t>
        </w:r>
      </w:hyperlink>
      <w:r>
        <w:rPr>
          <w:sz w:val="24"/>
        </w:rPr>
        <w:t xml:space="preserve"> не формируется.</w:t>
      </w:r>
    </w:p>
    <w:p>
      <w:pPr>
        <w:pStyle w:val="0"/>
        <w:spacing w:before="240" w:lineRule="auto"/>
        <w:ind w:firstLine="540"/>
        <w:jc w:val="both"/>
      </w:pPr>
      <w:r>
        <w:rPr>
          <w:sz w:val="24"/>
        </w:rPr>
        <w:t xml:space="preserve">8.5. По показателю "Регистрационный номер в стране регистрации (NUM)" </w:t>
      </w:r>
      <w:hyperlink w:history="0" w:anchor="P421" w:tooltip="62">
        <w:r>
          <w:rPr>
            <w:sz w:val="24"/>
            <w:color w:val="0000ff"/>
          </w:rPr>
          <w:t xml:space="preserve">(строка 62)</w:t>
        </w:r>
      </w:hyperlink>
      <w:r>
        <w:rPr>
          <w:sz w:val="24"/>
        </w:rPr>
        <w:t xml:space="preserve"> для каждого контрагента-нерезидента, являющегося юридическим лицом, указывается регистрационный номер в стране регистрации (при наличии) в случае, если контрагент-нерезидент отражен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w:t>
      </w:r>
    </w:p>
    <w:p>
      <w:pPr>
        <w:pStyle w:val="0"/>
        <w:spacing w:before="240" w:lineRule="auto"/>
        <w:ind w:firstLine="540"/>
        <w:jc w:val="both"/>
      </w:pPr>
      <w:r>
        <w:rPr>
          <w:sz w:val="24"/>
        </w:rPr>
        <w:t xml:space="preserve">Для контрагентов-нерезидентов, являющихся юридическими лицами, сведения о которых не отражены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по показателю "Регистрационный номер в стране регистрации (NUM)" </w:t>
      </w:r>
      <w:hyperlink w:history="0" w:anchor="P421" w:tooltip="62">
        <w:r>
          <w:rPr>
            <w:sz w:val="24"/>
            <w:color w:val="0000ff"/>
          </w:rPr>
          <w:t xml:space="preserve">(строка 62)</w:t>
        </w:r>
      </w:hyperlink>
      <w:r>
        <w:rPr>
          <w:sz w:val="24"/>
        </w:rPr>
        <w:t xml:space="preserve"> указывается регистрационный номер в стране регистрации в случае, если у страховщика отсутствует информация о TIN контрагента.</w:t>
      </w:r>
    </w:p>
    <w:p>
      <w:pPr>
        <w:pStyle w:val="0"/>
        <w:spacing w:before="240" w:lineRule="auto"/>
        <w:ind w:firstLine="540"/>
        <w:jc w:val="both"/>
      </w:pPr>
      <w:r>
        <w:rPr>
          <w:sz w:val="24"/>
        </w:rPr>
        <w:t xml:space="preserve">Для контрагентов-резидентов и контрагентов-нерезидентов, являющихся физическими лицами (в том числе зарегистрированными в качестве индивидуальных предпринимателей в соответствии с законодательством иностранного государства), показатель "Регистрационный номер в стране регистрации (NUM)" </w:t>
      </w:r>
      <w:hyperlink w:history="0" w:anchor="P421" w:tooltip="62">
        <w:r>
          <w:rPr>
            <w:sz w:val="24"/>
            <w:color w:val="0000ff"/>
          </w:rPr>
          <w:t xml:space="preserve">(строка 62)</w:t>
        </w:r>
      </w:hyperlink>
      <w:r>
        <w:rPr>
          <w:sz w:val="24"/>
        </w:rPr>
        <w:t xml:space="preserve"> не формируется.</w:t>
      </w:r>
    </w:p>
    <w:p>
      <w:pPr>
        <w:pStyle w:val="0"/>
        <w:spacing w:before="240" w:lineRule="auto"/>
        <w:ind w:firstLine="540"/>
        <w:jc w:val="both"/>
      </w:pPr>
      <w:r>
        <w:rPr>
          <w:sz w:val="24"/>
        </w:rPr>
        <w:t xml:space="preserve">8.6. По показателю "LEI" </w:t>
      </w:r>
      <w:hyperlink w:history="0" w:anchor="P429" w:tooltip="63">
        <w:r>
          <w:rPr>
            <w:sz w:val="24"/>
            <w:color w:val="0000ff"/>
          </w:rPr>
          <w:t xml:space="preserve">(строка 63)</w:t>
        </w:r>
      </w:hyperlink>
      <w:r>
        <w:rPr>
          <w:sz w:val="24"/>
        </w:rPr>
        <w:t xml:space="preserve"> для каждого контрагента-нерезидента указывается двадцатизначный международный код идентификации юридического лица (Legal Entity Identifier) (далее - LEI).</w:t>
      </w:r>
    </w:p>
    <w:p>
      <w:pPr>
        <w:pStyle w:val="0"/>
        <w:spacing w:before="240" w:lineRule="auto"/>
        <w:ind w:firstLine="540"/>
        <w:jc w:val="both"/>
      </w:pPr>
      <w:r>
        <w:rPr>
          <w:sz w:val="24"/>
        </w:rPr>
        <w:t xml:space="preserve">При отсутствии у контрагента-нерезидента LEI по показателю "LEI" </w:t>
      </w:r>
      <w:hyperlink w:history="0" w:anchor="P429" w:tooltip="63">
        <w:r>
          <w:rPr>
            <w:sz w:val="24"/>
            <w:color w:val="0000ff"/>
          </w:rPr>
          <w:t xml:space="preserve">(строка 63)</w:t>
        </w:r>
      </w:hyperlink>
      <w:r>
        <w:rPr>
          <w:sz w:val="24"/>
        </w:rPr>
        <w:t xml:space="preserve"> указываются три нуля.</w:t>
      </w:r>
    </w:p>
    <w:p>
      <w:pPr>
        <w:pStyle w:val="0"/>
        <w:spacing w:before="240" w:lineRule="auto"/>
        <w:ind w:firstLine="540"/>
        <w:jc w:val="both"/>
      </w:pPr>
      <w:r>
        <w:rPr>
          <w:sz w:val="24"/>
        </w:rPr>
        <w:t xml:space="preserve">Для контрагентов-нерезидентов, являющихся физическими лицами, указанных только по группам аналитических признаков "Идентификатор аффилированного лица", "Идентификатор аффилированного лица (лицо 1)" и (или) "Идентификатор аффилированного лица (лицо 2)"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и контрагентов-резидентов показатель "LEI" </w:t>
      </w:r>
      <w:hyperlink w:history="0" w:anchor="P429" w:tooltip="63">
        <w:r>
          <w:rPr>
            <w:sz w:val="24"/>
            <w:color w:val="0000ff"/>
          </w:rPr>
          <w:t xml:space="preserve">(строка 63)</w:t>
        </w:r>
      </w:hyperlink>
      <w:r>
        <w:rPr>
          <w:sz w:val="24"/>
        </w:rPr>
        <w:t xml:space="preserve"> не формируется.</w:t>
      </w:r>
    </w:p>
    <w:p>
      <w:pPr>
        <w:pStyle w:val="0"/>
        <w:spacing w:before="240" w:lineRule="auto"/>
        <w:ind w:firstLine="540"/>
        <w:jc w:val="both"/>
      </w:pPr>
      <w:r>
        <w:rPr>
          <w:sz w:val="24"/>
        </w:rPr>
        <w:t xml:space="preserve">8.7. По показателю "Основной государственный регистрационный номер (ОГРН)" </w:t>
      </w:r>
      <w:hyperlink w:history="0" w:anchor="P437" w:tooltip="64">
        <w:r>
          <w:rPr>
            <w:sz w:val="24"/>
            <w:color w:val="0000ff"/>
          </w:rPr>
          <w:t xml:space="preserve">(строка 64)</w:t>
        </w:r>
      </w:hyperlink>
      <w:r>
        <w:rPr>
          <w:sz w:val="24"/>
        </w:rPr>
        <w:t xml:space="preserve"> для каждого контрагента-резидента, являющегося юридическим лицом, указывается ОГРН.</w:t>
      </w:r>
    </w:p>
    <w:p>
      <w:pPr>
        <w:pStyle w:val="0"/>
        <w:spacing w:before="240" w:lineRule="auto"/>
        <w:ind w:firstLine="540"/>
        <w:jc w:val="both"/>
      </w:pPr>
      <w:r>
        <w:rPr>
          <w:sz w:val="24"/>
        </w:rPr>
        <w:t xml:space="preserve">Для контрагентов-нерезидентов и контрагентов-резидентов, являющихся физическими лицами (в том числе индивидуальными предпринимателями), показатель "Основной государственный регистрационный номер (ОГРН)" </w:t>
      </w:r>
      <w:hyperlink w:history="0" w:anchor="P437" w:tooltip="64">
        <w:r>
          <w:rPr>
            <w:sz w:val="24"/>
            <w:color w:val="0000ff"/>
          </w:rPr>
          <w:t xml:space="preserve">(строка 64)</w:t>
        </w:r>
      </w:hyperlink>
      <w:r>
        <w:rPr>
          <w:sz w:val="24"/>
        </w:rPr>
        <w:t xml:space="preserve"> не формируется.</w:t>
      </w:r>
    </w:p>
    <w:p>
      <w:pPr>
        <w:pStyle w:val="0"/>
        <w:spacing w:before="240" w:lineRule="auto"/>
        <w:ind w:firstLine="540"/>
        <w:jc w:val="both"/>
      </w:pPr>
      <w:r>
        <w:rPr>
          <w:sz w:val="24"/>
        </w:rPr>
        <w:t xml:space="preserve">8.8. По показателю "Основной государственный регистрационный номер индивидуального предпринимателя (ОГРНИП)" </w:t>
      </w:r>
      <w:hyperlink w:history="0" w:anchor="P445" w:tooltip="65">
        <w:r>
          <w:rPr>
            <w:sz w:val="24"/>
            <w:color w:val="0000ff"/>
          </w:rPr>
          <w:t xml:space="preserve">(строка 65)</w:t>
        </w:r>
      </w:hyperlink>
      <w:r>
        <w:rPr>
          <w:sz w:val="24"/>
        </w:rPr>
        <w:t xml:space="preserve"> для каждого контрагента-резидента, являющегося физическим лицом, указывается основной государственный регистрационный номер индивидуального предпринимателя (далее - ОГРНИП).</w:t>
      </w:r>
    </w:p>
    <w:p>
      <w:pPr>
        <w:pStyle w:val="0"/>
        <w:spacing w:before="240" w:lineRule="auto"/>
        <w:ind w:firstLine="540"/>
        <w:jc w:val="both"/>
      </w:pPr>
      <w:r>
        <w:rPr>
          <w:sz w:val="24"/>
        </w:rPr>
        <w:t xml:space="preserve">Для контрагентов-резидентов, являющихся физическими лицами, указанных только по группам аналитических признаков "Идентификатор аффилированного лица", "Идентификатор аффилированного лица (лицо 1)" и (или) "Идентификатор аффилированного лица (лицо 2)"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контрагентов-резидентов, являющихся юридическими лицами, и контрагентов-нерезидентов показатель "Основной государственный регистрационный номер индивидуального предпринимателя (ОГРНИП)" </w:t>
      </w:r>
      <w:hyperlink w:history="0" w:anchor="P445" w:tooltip="65">
        <w:r>
          <w:rPr>
            <w:sz w:val="24"/>
            <w:color w:val="0000ff"/>
          </w:rPr>
          <w:t xml:space="preserve">(строка 65)</w:t>
        </w:r>
      </w:hyperlink>
      <w:r>
        <w:rPr>
          <w:sz w:val="24"/>
        </w:rPr>
        <w:t xml:space="preserve"> не формируется.</w:t>
      </w:r>
    </w:p>
    <w:bookmarkStart w:id="869" w:name="P869"/>
    <w:bookmarkEnd w:id="869"/>
    <w:p>
      <w:pPr>
        <w:pStyle w:val="0"/>
        <w:spacing w:before="240" w:lineRule="auto"/>
        <w:ind w:firstLine="540"/>
        <w:jc w:val="both"/>
      </w:pPr>
      <w:r>
        <w:rPr>
          <w:sz w:val="24"/>
        </w:rPr>
        <w:t xml:space="preserve">8.9. По показателю "СНИЛС" </w:t>
      </w:r>
      <w:hyperlink w:history="0" w:anchor="P453" w:tooltip="66">
        <w:r>
          <w:rPr>
            <w:sz w:val="24"/>
            <w:color w:val="0000ff"/>
          </w:rPr>
          <w:t xml:space="preserve">(строка 66)</w:t>
        </w:r>
      </w:hyperlink>
      <w:r>
        <w:rPr>
          <w:sz w:val="24"/>
        </w:rPr>
        <w:t xml:space="preserve"> для каждого контрагента-резидента, являющегося физическим лицом, сведения о котором отражены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указывается страховой номер индивидуального лицевого счета гражданина в системе обязательного пенсионного страхования Российской Федерации (далее - СНИЛС) (при наличии).</w:t>
      </w:r>
    </w:p>
    <w:p>
      <w:pPr>
        <w:pStyle w:val="0"/>
        <w:spacing w:before="240" w:lineRule="auto"/>
        <w:ind w:firstLine="540"/>
        <w:jc w:val="both"/>
      </w:pPr>
      <w:r>
        <w:rPr>
          <w:sz w:val="24"/>
        </w:rPr>
        <w:t xml:space="preserve">Для контрагентов-резидентов, являющихся физическими лицами, сведения о которых не отражены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по показателю "СНИЛС" </w:t>
      </w:r>
      <w:hyperlink w:history="0" w:anchor="P453" w:tooltip="66">
        <w:r>
          <w:rPr>
            <w:sz w:val="24"/>
            <w:color w:val="0000ff"/>
          </w:rPr>
          <w:t xml:space="preserve">(строка 66)</w:t>
        </w:r>
      </w:hyperlink>
      <w:r>
        <w:rPr>
          <w:sz w:val="24"/>
        </w:rPr>
        <w:t xml:space="preserve"> указывается СНИЛС (при наличии) при отсутствии ИНН.</w:t>
      </w:r>
    </w:p>
    <w:p>
      <w:pPr>
        <w:pStyle w:val="0"/>
        <w:spacing w:before="240" w:lineRule="auto"/>
        <w:ind w:firstLine="540"/>
        <w:jc w:val="both"/>
      </w:pPr>
      <w:r>
        <w:rPr>
          <w:sz w:val="24"/>
        </w:rPr>
        <w:t xml:space="preserve">В случае отсутствия СНИЛС у контрагента-резидента, являющегося физическим лицом, сведения о котором отражены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или в случае наличия ИНН у контрагента-резидента, являющегося физическим лицом, сведения о котором не отражены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по показателю "СНИЛС" </w:t>
      </w:r>
      <w:hyperlink w:history="0" w:anchor="P453" w:tooltip="66">
        <w:r>
          <w:rPr>
            <w:sz w:val="24"/>
            <w:color w:val="0000ff"/>
          </w:rPr>
          <w:t xml:space="preserve">(строка 66)</w:t>
        </w:r>
      </w:hyperlink>
      <w:r>
        <w:rPr>
          <w:sz w:val="24"/>
        </w:rPr>
        <w:t xml:space="preserve"> указывается значение 000-000-00000.</w:t>
      </w:r>
    </w:p>
    <w:p>
      <w:pPr>
        <w:pStyle w:val="0"/>
        <w:spacing w:before="240" w:lineRule="auto"/>
        <w:ind w:firstLine="540"/>
        <w:jc w:val="both"/>
      </w:pPr>
      <w:r>
        <w:rPr>
          <w:sz w:val="24"/>
        </w:rPr>
        <w:t xml:space="preserve">Для контрагентов-резидентов, являющихся юридическими лицами, и контрагентов-нерезидентов показатель "СНИЛС" </w:t>
      </w:r>
      <w:hyperlink w:history="0" w:anchor="P453" w:tooltip="66">
        <w:r>
          <w:rPr>
            <w:sz w:val="24"/>
            <w:color w:val="0000ff"/>
          </w:rPr>
          <w:t xml:space="preserve">(строка 66)</w:t>
        </w:r>
      </w:hyperlink>
      <w:r>
        <w:rPr>
          <w:sz w:val="24"/>
        </w:rPr>
        <w:t xml:space="preserve"> не формируется.</w:t>
      </w:r>
    </w:p>
    <w:bookmarkStart w:id="873" w:name="P873"/>
    <w:bookmarkEnd w:id="873"/>
    <w:p>
      <w:pPr>
        <w:pStyle w:val="0"/>
        <w:spacing w:before="240" w:lineRule="auto"/>
        <w:ind w:firstLine="540"/>
        <w:jc w:val="both"/>
      </w:pPr>
      <w:r>
        <w:rPr>
          <w:sz w:val="24"/>
        </w:rPr>
        <w:t xml:space="preserve">Сведения о СНИЛС физического лица - нерезидента (при наличии) указываются по показателю "Примечание" </w:t>
      </w:r>
      <w:hyperlink w:history="0" w:anchor="P693" w:tooltip="94">
        <w:r>
          <w:rPr>
            <w:sz w:val="24"/>
            <w:color w:val="0000ff"/>
          </w:rPr>
          <w:t xml:space="preserve">(строка 94)</w:t>
        </w:r>
      </w:hyperlink>
      <w:r>
        <w:rPr>
          <w:sz w:val="24"/>
        </w:rPr>
        <w:t xml:space="preserve">.</w:t>
      </w:r>
    </w:p>
    <w:p>
      <w:pPr>
        <w:pStyle w:val="0"/>
        <w:spacing w:before="240" w:lineRule="auto"/>
        <w:ind w:firstLine="540"/>
        <w:jc w:val="both"/>
      </w:pPr>
      <w:r>
        <w:rPr>
          <w:sz w:val="24"/>
        </w:rPr>
        <w:t xml:space="preserve">8.10. По показателям "Серия документа, удостоверяющего личность" </w:t>
      </w:r>
      <w:hyperlink w:history="0" w:anchor="P461" w:tooltip="67">
        <w:r>
          <w:rPr>
            <w:sz w:val="24"/>
            <w:color w:val="0000ff"/>
          </w:rPr>
          <w:t xml:space="preserve">(строка 67)</w:t>
        </w:r>
      </w:hyperlink>
      <w:r>
        <w:rPr>
          <w:sz w:val="24"/>
        </w:rPr>
        <w:t xml:space="preserve"> и "Номер документа, удостоверяющего личность" </w:t>
      </w:r>
      <w:hyperlink w:history="0" w:anchor="P477" w:tooltip="68">
        <w:r>
          <w:rPr>
            <w:sz w:val="24"/>
            <w:color w:val="0000ff"/>
          </w:rPr>
          <w:t xml:space="preserve">(строка 68)</w:t>
        </w:r>
      </w:hyperlink>
      <w:r>
        <w:rPr>
          <w:sz w:val="24"/>
        </w:rPr>
        <w:t xml:space="preserve"> указываются соответственно серия (при наличии) и номер документа, удостоверяющего личность физического лица:</w:t>
      </w:r>
    </w:p>
    <w:bookmarkStart w:id="875" w:name="P875"/>
    <w:bookmarkEnd w:id="875"/>
    <w:p>
      <w:pPr>
        <w:pStyle w:val="0"/>
        <w:spacing w:before="240" w:lineRule="auto"/>
        <w:ind w:firstLine="540"/>
        <w:jc w:val="both"/>
      </w:pPr>
      <w:r>
        <w:rPr>
          <w:sz w:val="24"/>
        </w:rPr>
        <w:t xml:space="preserve">для каждого контрагента - физического лица (в том числе индивидуального предпринимателя), указанного по группе аналитических признаков "Идентификатор акционера (участника)" </w:t>
      </w:r>
      <w:hyperlink w:history="0" w:anchor="P1493" w:tooltip="Раздел 1. Состав акционеров (участников)">
        <w:r>
          <w:rPr>
            <w:sz w:val="24"/>
            <w:color w:val="0000ff"/>
          </w:rPr>
          <w:t xml:space="preserve">раздела 1</w:t>
        </w:r>
      </w:hyperlink>
      <w:r>
        <w:rPr>
          <w:sz w:val="24"/>
        </w:rPr>
        <w:t xml:space="preserve"> отчетности по форме 0420152;</w:t>
      </w:r>
    </w:p>
    <w:bookmarkStart w:id="876" w:name="P876"/>
    <w:bookmarkEnd w:id="876"/>
    <w:p>
      <w:pPr>
        <w:pStyle w:val="0"/>
        <w:spacing w:before="240" w:lineRule="auto"/>
        <w:ind w:firstLine="540"/>
        <w:jc w:val="both"/>
      </w:pPr>
      <w:r>
        <w:rPr>
          <w:sz w:val="24"/>
        </w:rPr>
        <w:t xml:space="preserve">для каждого контрагента - физического лица, указанного по группам аналитических признаков "Идентификатор аффилированного лица", "Идентификатор аффилированного лица (лицо 1)" и (или) "Идентификатор аффилированного лица (лицо 2)"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в случае, если в отношении указанного контрагента по показателю "Идентификационный номер налогоплательщика (ИНН)" </w:t>
      </w:r>
      <w:hyperlink w:history="0" w:anchor="P405" w:tooltip="60">
        <w:r>
          <w:rPr>
            <w:sz w:val="24"/>
            <w:color w:val="0000ff"/>
          </w:rPr>
          <w:t xml:space="preserve">(строка 60)</w:t>
        </w:r>
      </w:hyperlink>
      <w:r>
        <w:rPr>
          <w:sz w:val="24"/>
        </w:rPr>
        <w:t xml:space="preserve"> указано двенадцать нулей и по показателю "СНИЛС" </w:t>
      </w:r>
      <w:hyperlink w:history="0" w:anchor="P453" w:tooltip="66">
        <w:r>
          <w:rPr>
            <w:sz w:val="24"/>
            <w:color w:val="0000ff"/>
          </w:rPr>
          <w:t xml:space="preserve">(строка 66)</w:t>
        </w:r>
      </w:hyperlink>
      <w:r>
        <w:rPr>
          <w:sz w:val="24"/>
        </w:rPr>
        <w:t xml:space="preserve"> указано значение 000-000-00000.</w:t>
      </w:r>
    </w:p>
    <w:p>
      <w:pPr>
        <w:pStyle w:val="0"/>
        <w:spacing w:before="240" w:lineRule="auto"/>
        <w:ind w:firstLine="540"/>
        <w:jc w:val="both"/>
      </w:pPr>
      <w:r>
        <w:rPr>
          <w:sz w:val="24"/>
        </w:rPr>
        <w:t xml:space="preserve">Для контрагентов, не указанных в </w:t>
      </w:r>
      <w:hyperlink w:history="0" w:anchor="P875" w:tooltip="для каждого контрагента - физического лица (в том числе индивидуального предпринимателя), указанного по группе аналитических признаков &quot;Идентификатор акционера (участника)&quot; раздела 1 отчетности по форме 0420152;">
        <w:r>
          <w:rPr>
            <w:sz w:val="24"/>
            <w:color w:val="0000ff"/>
          </w:rPr>
          <w:t xml:space="preserve">абзацах втором</w:t>
        </w:r>
      </w:hyperlink>
      <w:r>
        <w:rPr>
          <w:sz w:val="24"/>
        </w:rPr>
        <w:t xml:space="preserve"> и </w:t>
      </w:r>
      <w:hyperlink w:history="0" w:anchor="P876" w:tooltip="для каждого контрагента - физического лица, указанного по группам аналитических признаков &quot;Идентификатор аффилированного лица&quot;, &quot;Идентификатор аффилированного лица (лицо 1)&quot; и (или) &quot;Идентификатор аффилированного лица (лицо 2)&quot; раздела 2 отчетности по форме 0420152 в случае, если в отношении указанного контрагента по показателю &quot;Идентификационный номер налогоплательщика (ИНН)&quot; (строка 60) указано двенадцать нулей и по показателю &quot;СНИЛС&quot; (строка 66) указано значение 000-000-00000.">
        <w:r>
          <w:rPr>
            <w:sz w:val="24"/>
            <w:color w:val="0000ff"/>
          </w:rPr>
          <w:t xml:space="preserve">третьем</w:t>
        </w:r>
      </w:hyperlink>
      <w:r>
        <w:rPr>
          <w:sz w:val="24"/>
        </w:rPr>
        <w:t xml:space="preserve"> настоящего подпункта, показатели "Серия документа, удостоверяющего личность" </w:t>
      </w:r>
      <w:hyperlink w:history="0" w:anchor="P461" w:tooltip="67">
        <w:r>
          <w:rPr>
            <w:sz w:val="24"/>
            <w:color w:val="0000ff"/>
          </w:rPr>
          <w:t xml:space="preserve">(строка 67)</w:t>
        </w:r>
      </w:hyperlink>
      <w:r>
        <w:rPr>
          <w:sz w:val="24"/>
        </w:rPr>
        <w:t xml:space="preserve"> и "Номер документа, удостоверяющего личность" </w:t>
      </w:r>
      <w:hyperlink w:history="0" w:anchor="P477" w:tooltip="68">
        <w:r>
          <w:rPr>
            <w:sz w:val="24"/>
            <w:color w:val="0000ff"/>
          </w:rPr>
          <w:t xml:space="preserve">(строка 68)</w:t>
        </w:r>
      </w:hyperlink>
      <w:r>
        <w:rPr>
          <w:sz w:val="24"/>
        </w:rPr>
        <w:t xml:space="preserve"> не формируются.</w:t>
      </w:r>
    </w:p>
    <w:p>
      <w:pPr>
        <w:pStyle w:val="0"/>
        <w:spacing w:before="240" w:lineRule="auto"/>
        <w:ind w:firstLine="540"/>
        <w:jc w:val="both"/>
      </w:pPr>
      <w:r>
        <w:rPr>
          <w:sz w:val="24"/>
        </w:rPr>
        <w:t xml:space="preserve">Значения показателей "Серия документа, удостоверяющего личность" </w:t>
      </w:r>
      <w:hyperlink w:history="0" w:anchor="P461" w:tooltip="67">
        <w:r>
          <w:rPr>
            <w:sz w:val="24"/>
            <w:color w:val="0000ff"/>
          </w:rPr>
          <w:t xml:space="preserve">(строка 67)</w:t>
        </w:r>
      </w:hyperlink>
      <w:r>
        <w:rPr>
          <w:sz w:val="24"/>
        </w:rPr>
        <w:t xml:space="preserve"> и "Номер документа, удостоверяющего личность" </w:t>
      </w:r>
      <w:hyperlink w:history="0" w:anchor="P477" w:tooltip="68">
        <w:r>
          <w:rPr>
            <w:sz w:val="24"/>
            <w:color w:val="0000ff"/>
          </w:rPr>
          <w:t xml:space="preserve">(строка 68)</w:t>
        </w:r>
      </w:hyperlink>
      <w:r>
        <w:rPr>
          <w:sz w:val="24"/>
        </w:rPr>
        <w:t xml:space="preserve"> указываются в разрезе видов документов, удостоверяющих личность физического лица, в соответствии со следующими аналитическими признаками группы аналитических признаков "Вид документа, удостоверяющего личность":</w:t>
      </w:r>
    </w:p>
    <w:bookmarkStart w:id="879" w:name="P879"/>
    <w:bookmarkEnd w:id="879"/>
    <w:p>
      <w:pPr>
        <w:pStyle w:val="0"/>
        <w:spacing w:before="240" w:lineRule="auto"/>
        <w:ind w:firstLine="540"/>
        <w:jc w:val="both"/>
      </w:pPr>
      <w:r>
        <w:rPr>
          <w:sz w:val="24"/>
        </w:rPr>
        <w:t xml:space="preserve">21 - паспорт гражданина Российской Федерации;</w:t>
      </w:r>
    </w:p>
    <w:p>
      <w:pPr>
        <w:pStyle w:val="0"/>
        <w:spacing w:before="240" w:lineRule="auto"/>
        <w:ind w:firstLine="540"/>
        <w:jc w:val="both"/>
      </w:pPr>
      <w:r>
        <w:rPr>
          <w:sz w:val="24"/>
        </w:rPr>
        <w:t xml:space="preserve">27 - свидетельство о рождении (для граждан Российской Федерации в возрасте до 14 лет);</w:t>
      </w:r>
    </w:p>
    <w:bookmarkStart w:id="881" w:name="P881"/>
    <w:bookmarkEnd w:id="881"/>
    <w:p>
      <w:pPr>
        <w:pStyle w:val="0"/>
        <w:spacing w:before="240" w:lineRule="auto"/>
        <w:ind w:firstLine="540"/>
        <w:jc w:val="both"/>
      </w:pPr>
      <w:r>
        <w:rPr>
          <w:sz w:val="24"/>
        </w:rPr>
        <w:t xml:space="preserve">31 - документ, удостоверяющий личность иностранного гражданина или лица без гражданства в Российской Федерации;</w:t>
      </w:r>
    </w:p>
    <w:p>
      <w:pPr>
        <w:pStyle w:val="0"/>
        <w:spacing w:before="240" w:lineRule="auto"/>
        <w:ind w:firstLine="540"/>
        <w:jc w:val="both"/>
      </w:pPr>
      <w:r>
        <w:rPr>
          <w:sz w:val="24"/>
        </w:rPr>
        <w:t xml:space="preserve">99 - иной документ, удостоверяющий личность физического лица, предусмотренный </w:t>
      </w:r>
      <w:hyperlink w:history="0" r:id="rId62" w:tooltip="Постановление Правительства РФ от 06.08.2015 N 813 (ред. от 21.10.2024) &quot;Об утверждении Положения о государственной системе миграционного и регистрационного учета, а также изготовления, оформления и контроля обращения документов, удостоверяющих личность&quot; {КонсультантПлюс}">
        <w:r>
          <w:rPr>
            <w:sz w:val="24"/>
            <w:color w:val="0000ff"/>
          </w:rPr>
          <w:t xml:space="preserve">пунктом 5</w:t>
        </w:r>
      </w:hyperlink>
      <w:r>
        <w:rPr>
          <w:sz w:val="24"/>
        </w:rPr>
        <w:t xml:space="preserve"> Положения о государственной системе миграционного и регистрационного учета, а также изготовления, оформления и контроля обращения документов, удостоверяющих личность, утвержденного постановлением Правительства Российской Федерации от 6 августа 2015 года N 813 (кроме документов, указанных в </w:t>
      </w:r>
      <w:hyperlink w:history="0" w:anchor="P879" w:tooltip="21 - паспорт гражданина Российской Федерации;">
        <w:r>
          <w:rPr>
            <w:sz w:val="24"/>
            <w:color w:val="0000ff"/>
          </w:rPr>
          <w:t xml:space="preserve">абзацах шестом</w:t>
        </w:r>
      </w:hyperlink>
      <w:r>
        <w:rPr>
          <w:sz w:val="24"/>
        </w:rPr>
        <w:t xml:space="preserve"> и </w:t>
      </w:r>
      <w:hyperlink w:history="0" w:anchor="P881" w:tooltip="31 - документ, удостоверяющий личность иностранного гражданина или лица без гражданства в Российской Федерации;">
        <w:r>
          <w:rPr>
            <w:sz w:val="24"/>
            <w:color w:val="0000ff"/>
          </w:rPr>
          <w:t xml:space="preserve">восьмом</w:t>
        </w:r>
      </w:hyperlink>
      <w:r>
        <w:rPr>
          <w:sz w:val="24"/>
        </w:rPr>
        <w:t xml:space="preserve"> настоящего подпункта).</w:t>
      </w:r>
    </w:p>
    <w:p>
      <w:pPr>
        <w:pStyle w:val="0"/>
        <w:spacing w:before="240" w:lineRule="auto"/>
        <w:ind w:firstLine="540"/>
        <w:jc w:val="both"/>
      </w:pPr>
      <w:r>
        <w:rPr>
          <w:sz w:val="24"/>
        </w:rPr>
        <w:t xml:space="preserve">Информация о документах, удостоверяющих личность одного контрагента - физического лица, сведения о котором отражены в отчетности по </w:t>
      </w:r>
      <w:hyperlink w:history="0" w:anchor="P1468" w:tooltip="Отчетность по форме 0420152">
        <w:r>
          <w:rPr>
            <w:sz w:val="24"/>
            <w:color w:val="0000ff"/>
          </w:rPr>
          <w:t xml:space="preserve">форме 0420152</w:t>
        </w:r>
      </w:hyperlink>
      <w:r>
        <w:rPr>
          <w:sz w:val="24"/>
        </w:rPr>
        <w:t xml:space="preserve">, указывается отдельно по каждому такому документу, информацией о котором располагает страховая организация.</w:t>
      </w:r>
    </w:p>
    <w:p>
      <w:pPr>
        <w:pStyle w:val="0"/>
        <w:spacing w:before="240" w:lineRule="auto"/>
        <w:ind w:firstLine="540"/>
        <w:jc w:val="both"/>
      </w:pPr>
      <w:r>
        <w:rPr>
          <w:sz w:val="24"/>
        </w:rPr>
        <w:t xml:space="preserve">В случае если документы, удостоверяющие личность одного контрагента - физического лица, сведения о котором отражены в отчетности по </w:t>
      </w:r>
      <w:hyperlink w:history="0" w:anchor="P1468" w:tooltip="Отчетность по форме 0420152">
        <w:r>
          <w:rPr>
            <w:sz w:val="24"/>
            <w:color w:val="0000ff"/>
          </w:rPr>
          <w:t xml:space="preserve">форме 0420152</w:t>
        </w:r>
      </w:hyperlink>
      <w:r>
        <w:rPr>
          <w:sz w:val="24"/>
        </w:rPr>
        <w:t xml:space="preserve">, относятся к одному аналитическому признаку группы аналитических признаков "Вид документа, удостоверяющего личность", по группе аналитических признаков "Идентификатор строки" указывается идентификатор, который формируется страховой организацией самостоятельно, позволяющий выделить один документ, удостоверяющий личность, из других документов, удостоверяющих личность, этого физического лица. В ином случае по группе аналитических признаков "Идентификатор строки" указывается значение "НП".</w:t>
      </w:r>
    </w:p>
    <w:p>
      <w:pPr>
        <w:pStyle w:val="0"/>
        <w:spacing w:before="240" w:lineRule="auto"/>
        <w:ind w:firstLine="540"/>
        <w:jc w:val="both"/>
      </w:pPr>
      <w:r>
        <w:rPr>
          <w:sz w:val="24"/>
        </w:rPr>
        <w:t xml:space="preserve">8.11. По показателю "Регистрационный номер записи в едином государственном реестре субъектов страхового дела" </w:t>
      </w:r>
      <w:hyperlink w:history="0" w:anchor="P493" w:tooltip="69">
        <w:r>
          <w:rPr>
            <w:sz w:val="24"/>
            <w:color w:val="0000ff"/>
          </w:rPr>
          <w:t xml:space="preserve">(строка 69)</w:t>
        </w:r>
      </w:hyperlink>
      <w:r>
        <w:rPr>
          <w:sz w:val="24"/>
        </w:rPr>
        <w:t xml:space="preserve"> для каждого контрагента-резидента, являющегося субъектом страхового дела, указывается регистрационный номер записи субъекта страхового дела в ЕГРССД (регистрационный номер записи включает от одной до четырех цифр без лидирующих нулей).</w:t>
      </w:r>
    </w:p>
    <w:p>
      <w:pPr>
        <w:pStyle w:val="0"/>
        <w:spacing w:before="240" w:lineRule="auto"/>
        <w:ind w:firstLine="540"/>
        <w:jc w:val="both"/>
      </w:pPr>
      <w:r>
        <w:rPr>
          <w:sz w:val="24"/>
        </w:rPr>
        <w:t xml:space="preserve">Значение показателя "Регистрационный номер записи в едином государственном реестре субъектов страхового дела" </w:t>
      </w:r>
      <w:hyperlink w:history="0" w:anchor="P493" w:tooltip="69">
        <w:r>
          <w:rPr>
            <w:sz w:val="24"/>
            <w:color w:val="0000ff"/>
          </w:rPr>
          <w:t xml:space="preserve">(строка 69)</w:t>
        </w:r>
      </w:hyperlink>
      <w:r>
        <w:rPr>
          <w:sz w:val="24"/>
        </w:rPr>
        <w:t xml:space="preserve"> также указывается в случае, если контрагентом является иностранная страховая организация, осуществляющая на территории Российской Федерации страховую деятельность через созданный (созданные) ею филиал (филиалы).</w:t>
      </w:r>
    </w:p>
    <w:p>
      <w:pPr>
        <w:pStyle w:val="0"/>
        <w:spacing w:before="240" w:lineRule="auto"/>
        <w:ind w:firstLine="540"/>
        <w:jc w:val="both"/>
      </w:pPr>
      <w:r>
        <w:rPr>
          <w:sz w:val="24"/>
        </w:rPr>
        <w:t xml:space="preserve">В случае отсутствия в ЕГРССД регистрационного номера записи субъекта страхового дела в связи с отзывом Банком России у него лицензии по показателю "Регистрационный номер записи в едином государственном реестре субъектов страхового дела" </w:t>
      </w:r>
      <w:hyperlink w:history="0" w:anchor="P493" w:tooltip="69">
        <w:r>
          <w:rPr>
            <w:sz w:val="24"/>
            <w:color w:val="0000ff"/>
          </w:rPr>
          <w:t xml:space="preserve">(строка 69)</w:t>
        </w:r>
      </w:hyperlink>
      <w:r>
        <w:rPr>
          <w:sz w:val="24"/>
        </w:rPr>
        <w:t xml:space="preserve"> указывается регистрационный номер записи субъекта страхового дела в соответствии с отозванной Банком России лицензией, по показателю "Дополнительная информация в отношении субъекта страхового дела - резидента" </w:t>
      </w:r>
      <w:hyperlink w:history="0" w:anchor="P653" w:tooltip="89">
        <w:r>
          <w:rPr>
            <w:sz w:val="24"/>
            <w:color w:val="0000ff"/>
          </w:rPr>
          <w:t xml:space="preserve">(строка 89)</w:t>
        </w:r>
      </w:hyperlink>
      <w:r>
        <w:rPr>
          <w:sz w:val="24"/>
        </w:rPr>
        <w:t xml:space="preserve"> указывается, что лицензия отозвана (за исключением правопреемства при реорганизации субъекта страхового дела - юридического лица).</w:t>
      </w:r>
    </w:p>
    <w:p>
      <w:pPr>
        <w:pStyle w:val="0"/>
        <w:spacing w:before="240" w:lineRule="auto"/>
        <w:ind w:firstLine="540"/>
        <w:jc w:val="both"/>
      </w:pPr>
      <w:r>
        <w:rPr>
          <w:sz w:val="24"/>
        </w:rPr>
        <w:t xml:space="preserve">В случае правопреемства при реорганизации субъекта страхового дела - юридического лица по показателю "Регистрационный номер записи в едином государственном реестре субъектов страхового дела" </w:t>
      </w:r>
      <w:hyperlink w:history="0" w:anchor="P493" w:tooltip="69">
        <w:r>
          <w:rPr>
            <w:sz w:val="24"/>
            <w:color w:val="0000ff"/>
          </w:rPr>
          <w:t xml:space="preserve">(строка 69)</w:t>
        </w:r>
      </w:hyperlink>
      <w:r>
        <w:rPr>
          <w:sz w:val="24"/>
        </w:rPr>
        <w:t xml:space="preserve"> указывается регистрационный номер записи субъекта страхового дела - юридического лица в ЕГРССД и полное наименование правопреемника, к которому перешли права и обязанности реорганизованного субъекта страхового дела - юридического лица.</w:t>
      </w:r>
    </w:p>
    <w:p>
      <w:pPr>
        <w:pStyle w:val="0"/>
        <w:spacing w:before="240" w:lineRule="auto"/>
        <w:ind w:firstLine="540"/>
        <w:jc w:val="both"/>
      </w:pPr>
      <w:r>
        <w:rPr>
          <w:sz w:val="24"/>
        </w:rPr>
        <w:t xml:space="preserve">Для контрагентов-резидентов, являющихся физическими лицами и субъектами страхового дела, указанных только по группам аналитических признаков "Идентификатор аффилированного лица", "Идентификатор аффилированного лица (лицо 1)" и (или) "Идентификатор аффилированного лица (лицо 2)"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контрагентов-нерезидентов, являющихся субъектами страхового дела, и контрагентов, не являющихся субъектами страхового дела (за исключением акционерного общества "Российское агентство по страхованию экспортных кредитов и инвестиций"), показатель "Регистрационный номер записи в едином государственном реестре субъектов страхового дела" </w:t>
      </w:r>
      <w:hyperlink w:history="0" w:anchor="P493" w:tooltip="69">
        <w:r>
          <w:rPr>
            <w:sz w:val="24"/>
            <w:color w:val="0000ff"/>
          </w:rPr>
          <w:t xml:space="preserve">(строка 69)</w:t>
        </w:r>
      </w:hyperlink>
      <w:r>
        <w:rPr>
          <w:sz w:val="24"/>
        </w:rPr>
        <w:t xml:space="preserve"> не формируется.</w:t>
      </w:r>
    </w:p>
    <w:p>
      <w:pPr>
        <w:pStyle w:val="0"/>
        <w:spacing w:before="240" w:lineRule="auto"/>
        <w:ind w:firstLine="540"/>
        <w:jc w:val="both"/>
      </w:pPr>
      <w:r>
        <w:rPr>
          <w:sz w:val="24"/>
        </w:rPr>
        <w:t xml:space="preserve">В случае если страховщик заключал договоры перестрахования с акционерным обществом "Российское агентство по страхованию экспортных кредитов и инвестиций" в соответствии с </w:t>
      </w:r>
      <w:hyperlink w:history="0" r:id="rId63"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в которых страховщик выступает перестрахователем, по показателю "Регистрационный номер записи в едином государственном реестре субъектов страхового дела" </w:t>
      </w:r>
      <w:hyperlink w:history="0" w:anchor="P493" w:tooltip="69">
        <w:r>
          <w:rPr>
            <w:sz w:val="24"/>
            <w:color w:val="0000ff"/>
          </w:rPr>
          <w:t xml:space="preserve">(строка 69)</w:t>
        </w:r>
      </w:hyperlink>
      <w:r>
        <w:rPr>
          <w:sz w:val="24"/>
        </w:rPr>
        <w:t xml:space="preserve"> в отношении указанного акционерного общества указываются четыре нуля. Требования к отражению в </w:t>
      </w:r>
      <w:hyperlink w:history="0" w:anchor="P372" w:tooltip="Раздел 7. Реестр контрагентов страховщика">
        <w:r>
          <w:rPr>
            <w:sz w:val="24"/>
            <w:color w:val="0000ff"/>
          </w:rPr>
          <w:t xml:space="preserve">разделе 7</w:t>
        </w:r>
      </w:hyperlink>
      <w:r>
        <w:rPr>
          <w:sz w:val="24"/>
        </w:rPr>
        <w:t xml:space="preserve"> отчетности по форме 0420150 сведений о перестраховщиках распространяются также на акционерное общество "Российское агентство по страхованию экспортных кредитов и инвестиций", как если бы указанное акционерное общество являлось перестраховщиком.</w:t>
      </w:r>
    </w:p>
    <w:bookmarkStart w:id="891" w:name="P891"/>
    <w:bookmarkEnd w:id="891"/>
    <w:p>
      <w:pPr>
        <w:pStyle w:val="0"/>
        <w:spacing w:before="240" w:lineRule="auto"/>
        <w:ind w:firstLine="540"/>
        <w:jc w:val="both"/>
      </w:pPr>
      <w:r>
        <w:rPr>
          <w:sz w:val="24"/>
        </w:rPr>
        <w:t xml:space="preserve">8.12. По показателю "Адрес в пределах места нахождения" </w:t>
      </w:r>
      <w:hyperlink w:history="0" w:anchor="P501" w:tooltip="70">
        <w:r>
          <w:rPr>
            <w:sz w:val="24"/>
            <w:color w:val="0000ff"/>
          </w:rPr>
          <w:t xml:space="preserve">(строка 70)</w:t>
        </w:r>
      </w:hyperlink>
      <w:r>
        <w:rPr>
          <w:sz w:val="24"/>
        </w:rPr>
        <w:t xml:space="preserve"> для каждого контрагента - юридического лица, указанного по группе аналитических признаков "Идентификатор акционера (участника)" </w:t>
      </w:r>
      <w:hyperlink w:history="0" w:anchor="P1493" w:tooltip="Раздел 1. Состав акционеров (участников)">
        <w:r>
          <w:rPr>
            <w:sz w:val="24"/>
            <w:color w:val="0000ff"/>
          </w:rPr>
          <w:t xml:space="preserve">раздела 1</w:t>
        </w:r>
      </w:hyperlink>
      <w:r>
        <w:rPr>
          <w:sz w:val="24"/>
        </w:rPr>
        <w:t xml:space="preserve"> отчетности по форме 0420152 и (или) по группе аналитических признаков "Идентификатор связанной стороны" отчетности по </w:t>
      </w:r>
      <w:hyperlink w:history="0" w:anchor="P37230" w:tooltip="Отчетность по форме 0420163">
        <w:r>
          <w:rPr>
            <w:sz w:val="24"/>
            <w:color w:val="0000ff"/>
          </w:rPr>
          <w:t xml:space="preserve">форме 0420163</w:t>
        </w:r>
      </w:hyperlink>
      <w:r>
        <w:rPr>
          <w:sz w:val="24"/>
        </w:rPr>
        <w:t xml:space="preserve">, указывается адрес юридического лица в пределах места нахождения (для контрагентов-резидентов - адрес юридического лица в пределах места нахождения, указанный в ЕГРЮЛ).</w:t>
      </w:r>
    </w:p>
    <w:p>
      <w:pPr>
        <w:pStyle w:val="0"/>
        <w:spacing w:before="240" w:lineRule="auto"/>
        <w:ind w:firstLine="540"/>
        <w:jc w:val="both"/>
      </w:pPr>
      <w:r>
        <w:rPr>
          <w:sz w:val="24"/>
        </w:rPr>
        <w:t xml:space="preserve">Для контрагентов, не указанных в </w:t>
      </w:r>
      <w:hyperlink w:history="0" w:anchor="P891" w:tooltip="8.12. По показателю &quot;Адрес в пределах места нахождения&quot; (строка 70) для каждого контрагента - юридического лица, указанного по группе аналитических признаков &quot;Идентификатор акционера (участника)&quot; раздела 1 отчетности по форме 0420152 и (или) по группе аналитических признаков &quot;Идентификатор связанной стороны&quot; отчетности по форме 0420163, указывается адрес юридического лица в пределах места нахождения (для контрагентов-резидентов - адрес юридического лица в пределах места нахождения, указанный в ЕГРЮЛ).">
        <w:r>
          <w:rPr>
            <w:sz w:val="24"/>
            <w:color w:val="0000ff"/>
          </w:rPr>
          <w:t xml:space="preserve">абзаце первом</w:t>
        </w:r>
      </w:hyperlink>
      <w:r>
        <w:rPr>
          <w:sz w:val="24"/>
        </w:rPr>
        <w:t xml:space="preserve"> настоящего подпункта, показатель "Адрес в пределах места нахождения" </w:t>
      </w:r>
      <w:hyperlink w:history="0" w:anchor="P501" w:tooltip="70">
        <w:r>
          <w:rPr>
            <w:sz w:val="24"/>
            <w:color w:val="0000ff"/>
          </w:rPr>
          <w:t xml:space="preserve">(строка 70)</w:t>
        </w:r>
      </w:hyperlink>
      <w:r>
        <w:rPr>
          <w:sz w:val="24"/>
        </w:rPr>
        <w:t xml:space="preserve"> не формируется.</w:t>
      </w:r>
    </w:p>
    <w:bookmarkStart w:id="893" w:name="P893"/>
    <w:bookmarkEnd w:id="893"/>
    <w:p>
      <w:pPr>
        <w:pStyle w:val="0"/>
        <w:spacing w:before="240" w:lineRule="auto"/>
        <w:ind w:firstLine="540"/>
        <w:jc w:val="both"/>
      </w:pPr>
      <w:r>
        <w:rPr>
          <w:sz w:val="24"/>
        </w:rPr>
        <w:t xml:space="preserve">8.13. По показателю "Адрес регистрации по месту жительства" </w:t>
      </w:r>
      <w:hyperlink w:history="0" w:anchor="P509" w:tooltip="71">
        <w:r>
          <w:rPr>
            <w:sz w:val="24"/>
            <w:color w:val="0000ff"/>
          </w:rPr>
          <w:t xml:space="preserve">(строка 71)</w:t>
        </w:r>
      </w:hyperlink>
      <w:r>
        <w:rPr>
          <w:sz w:val="24"/>
        </w:rPr>
        <w:t xml:space="preserve"> для каждого контрагента - физического лица (в том числе индивидуального предпринимателя), указанного по группе аналитических признаков "Идентификатор акционера (участника)" </w:t>
      </w:r>
      <w:hyperlink w:history="0" w:anchor="P1493" w:tooltip="Раздел 1. Состав акционеров (участников)">
        <w:r>
          <w:rPr>
            <w:sz w:val="24"/>
            <w:color w:val="0000ff"/>
          </w:rPr>
          <w:t xml:space="preserve">раздела 1</w:t>
        </w:r>
      </w:hyperlink>
      <w:r>
        <w:rPr>
          <w:sz w:val="24"/>
        </w:rPr>
        <w:t xml:space="preserve"> отчетности по форме 0420152, указывается адрес регистрации по месту жительства физического лица (в том числе индивидуального предпринимателя). В случае отсутствия сведений об адресе регистрации по месту жительства указывается адрес регистрации по месту пребывания.</w:t>
      </w:r>
    </w:p>
    <w:p>
      <w:pPr>
        <w:pStyle w:val="0"/>
        <w:spacing w:before="240" w:lineRule="auto"/>
        <w:ind w:firstLine="540"/>
        <w:jc w:val="both"/>
      </w:pPr>
      <w:r>
        <w:rPr>
          <w:sz w:val="24"/>
        </w:rPr>
        <w:t xml:space="preserve">Для контрагентов, не указанных в </w:t>
      </w:r>
      <w:hyperlink w:history="0" w:anchor="P893" w:tooltip="8.13. По показателю &quot;Адрес регистрации по месту жительства&quot; (строка 71) для каждого контрагента - физического лица (в том числе индивидуального предпринимателя), указанного по группе аналитических признаков &quot;Идентификатор акционера (участника)&quot; раздела 1 отчетности по форме 0420152, указывается адрес регистрации по месту жительства физического лица (в том числе индивидуального предпринимателя). В случае отсутствия сведений об адресе регистрации по месту жительства указывается адрес регистрации по месту п...">
        <w:r>
          <w:rPr>
            <w:sz w:val="24"/>
            <w:color w:val="0000ff"/>
          </w:rPr>
          <w:t xml:space="preserve">абзаце первом</w:t>
        </w:r>
      </w:hyperlink>
      <w:r>
        <w:rPr>
          <w:sz w:val="24"/>
        </w:rPr>
        <w:t xml:space="preserve"> настоящего подпункта, показатель "Адрес регистрации по месту жительства" </w:t>
      </w:r>
      <w:hyperlink w:history="0" w:anchor="P509" w:tooltip="71">
        <w:r>
          <w:rPr>
            <w:sz w:val="24"/>
            <w:color w:val="0000ff"/>
          </w:rPr>
          <w:t xml:space="preserve">(строка 71)</w:t>
        </w:r>
      </w:hyperlink>
      <w:r>
        <w:rPr>
          <w:sz w:val="24"/>
        </w:rPr>
        <w:t xml:space="preserve"> не формируется.</w:t>
      </w:r>
    </w:p>
    <w:p>
      <w:pPr>
        <w:pStyle w:val="0"/>
        <w:spacing w:before="240" w:lineRule="auto"/>
        <w:ind w:firstLine="540"/>
        <w:jc w:val="both"/>
      </w:pPr>
      <w:r>
        <w:rPr>
          <w:sz w:val="24"/>
        </w:rPr>
        <w:t xml:space="preserve">8.14. По показателю "Код страны" </w:t>
      </w:r>
      <w:hyperlink w:history="0" w:anchor="P517" w:tooltip="72">
        <w:r>
          <w:rPr>
            <w:sz w:val="24"/>
            <w:color w:val="0000ff"/>
          </w:rPr>
          <w:t xml:space="preserve">(строка 72)</w:t>
        </w:r>
      </w:hyperlink>
      <w:r>
        <w:rPr>
          <w:sz w:val="24"/>
        </w:rPr>
        <w:t xml:space="preserve"> для каждого контрагента-юридического лица указывается код страны регистрации в соответствии с Общероссийским </w:t>
      </w:r>
      <w:hyperlink w:history="0" r:id="rId64"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классификатором</w:t>
        </w:r>
      </w:hyperlink>
      <w:r>
        <w:rPr>
          <w:sz w:val="24"/>
        </w:rPr>
        <w:t xml:space="preserve"> стран мира (далее - ОКСМ).</w:t>
      </w:r>
    </w:p>
    <w:p>
      <w:pPr>
        <w:pStyle w:val="0"/>
        <w:spacing w:before="240" w:lineRule="auto"/>
        <w:ind w:firstLine="540"/>
        <w:jc w:val="both"/>
      </w:pPr>
      <w:r>
        <w:rPr>
          <w:sz w:val="24"/>
        </w:rPr>
        <w:t xml:space="preserve">Для контрагентов, не являющихся юридическим лицами, показатель "Код страны" </w:t>
      </w:r>
      <w:hyperlink w:history="0" w:anchor="P517" w:tooltip="72">
        <w:r>
          <w:rPr>
            <w:sz w:val="24"/>
            <w:color w:val="0000ff"/>
          </w:rPr>
          <w:t xml:space="preserve">(строка 72)</w:t>
        </w:r>
      </w:hyperlink>
      <w:r>
        <w:rPr>
          <w:sz w:val="24"/>
        </w:rPr>
        <w:t xml:space="preserve"> не формируется.</w:t>
      </w:r>
    </w:p>
    <w:p>
      <w:pPr>
        <w:pStyle w:val="0"/>
        <w:spacing w:before="240" w:lineRule="auto"/>
        <w:ind w:firstLine="540"/>
        <w:jc w:val="both"/>
      </w:pPr>
      <w:r>
        <w:rPr>
          <w:sz w:val="24"/>
        </w:rPr>
        <w:t xml:space="preserve">8.15. По показателю "Код страны гражданства" </w:t>
      </w:r>
      <w:hyperlink w:history="0" w:anchor="P525" w:tooltip="73">
        <w:r>
          <w:rPr>
            <w:sz w:val="24"/>
            <w:color w:val="0000ff"/>
          </w:rPr>
          <w:t xml:space="preserve">(строка 73)</w:t>
        </w:r>
      </w:hyperlink>
      <w:r>
        <w:rPr>
          <w:sz w:val="24"/>
        </w:rPr>
        <w:t xml:space="preserve"> для каждого контрагента - физического лица (в том числе индивидуального предпринимателя) указывается в соответствии с </w:t>
      </w:r>
      <w:hyperlink w:history="0" r:id="rId6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код страны, гражданином (подданным) которой является контрагент. В случае наличия у контрагента нескольких гражданств (подданств) коды стран по </w:t>
      </w:r>
      <w:hyperlink w:history="0" r:id="rId66"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указываются через пробел. В случае отсутствия у контрагента гражданства (подданства) указывается значение "Лицо без гражданства".</w:t>
      </w:r>
    </w:p>
    <w:p>
      <w:pPr>
        <w:pStyle w:val="0"/>
        <w:spacing w:before="240" w:lineRule="auto"/>
        <w:ind w:firstLine="540"/>
        <w:jc w:val="both"/>
      </w:pPr>
      <w:r>
        <w:rPr>
          <w:sz w:val="24"/>
        </w:rPr>
        <w:t xml:space="preserve">Для контрагентов - юридических лиц показатель "Код страны гражданства" </w:t>
      </w:r>
      <w:hyperlink w:history="0" w:anchor="P525" w:tooltip="73">
        <w:r>
          <w:rPr>
            <w:sz w:val="24"/>
            <w:color w:val="0000ff"/>
          </w:rPr>
          <w:t xml:space="preserve">(строка 73)</w:t>
        </w:r>
      </w:hyperlink>
      <w:r>
        <w:rPr>
          <w:sz w:val="24"/>
        </w:rPr>
        <w:t xml:space="preserve"> не формируется.</w:t>
      </w:r>
    </w:p>
    <w:p>
      <w:pPr>
        <w:pStyle w:val="0"/>
        <w:spacing w:before="240" w:lineRule="auto"/>
        <w:ind w:firstLine="540"/>
        <w:jc w:val="both"/>
      </w:pPr>
      <w:r>
        <w:rPr>
          <w:sz w:val="24"/>
        </w:rPr>
        <w:t xml:space="preserve">8.16. По показателю "Вид контрагента" </w:t>
      </w:r>
      <w:hyperlink w:history="0" w:anchor="P533" w:tooltip="74">
        <w:r>
          <w:rPr>
            <w:sz w:val="24"/>
            <w:color w:val="0000ff"/>
          </w:rPr>
          <w:t xml:space="preserve">(строка 74)</w:t>
        </w:r>
      </w:hyperlink>
      <w:r>
        <w:rPr>
          <w:sz w:val="24"/>
        </w:rPr>
        <w:t xml:space="preserve"> для каждого контрагента указывается одно из следующих значений: "ФЛ" (для контрагента - физического лица), "ИП" (для контрагента - индивидуального предпринимателя) или "ЮЛ" (для контрагента - юридического лица).</w:t>
      </w:r>
    </w:p>
    <w:p>
      <w:pPr>
        <w:pStyle w:val="0"/>
        <w:spacing w:before="240" w:lineRule="auto"/>
        <w:ind w:firstLine="540"/>
        <w:jc w:val="both"/>
      </w:pPr>
      <w:r>
        <w:rPr>
          <w:sz w:val="24"/>
        </w:rPr>
        <w:t xml:space="preserve">Для контрагентов, указанных только по группам аналитических признаков "Идентификатор аффилированного лица", "Идентификатор аффилированного лица (лицо 1)" и (или) "Идентификатор аффилированного лица (лицо 2)"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по показателю "Вид контрагента" </w:t>
      </w:r>
      <w:hyperlink w:history="0" w:anchor="P533" w:tooltip="74">
        <w:r>
          <w:rPr>
            <w:sz w:val="24"/>
            <w:color w:val="0000ff"/>
          </w:rPr>
          <w:t xml:space="preserve">(строка 74)</w:t>
        </w:r>
      </w:hyperlink>
      <w:r>
        <w:rPr>
          <w:sz w:val="24"/>
        </w:rPr>
        <w:t xml:space="preserve"> указывается значение "ЮЛ" или значение "ФЛ".</w:t>
      </w:r>
    </w:p>
    <w:bookmarkStart w:id="901" w:name="P901"/>
    <w:bookmarkEnd w:id="901"/>
    <w:p>
      <w:pPr>
        <w:pStyle w:val="0"/>
        <w:spacing w:before="240" w:lineRule="auto"/>
        <w:ind w:firstLine="540"/>
        <w:jc w:val="both"/>
      </w:pPr>
      <w:r>
        <w:rPr>
          <w:sz w:val="24"/>
        </w:rPr>
        <w:t xml:space="preserve">8.17. Для каждого контрагента, указанного по группам аналитических признаков "Идентификатор аффилированного лица", и (или) "Идентификатор аффилированного лица (лицо 1)", и (или) "Идентификатор аффилированного лица (лицо 2)"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указываются значения показателей "Идентификатор контрагента (до внесения изменений)" </w:t>
      </w:r>
      <w:hyperlink w:history="0" w:anchor="P541" w:tooltip="75">
        <w:r>
          <w:rPr>
            <w:sz w:val="24"/>
            <w:color w:val="0000ff"/>
          </w:rPr>
          <w:t xml:space="preserve">(строка 75)</w:t>
        </w:r>
      </w:hyperlink>
      <w:r>
        <w:rPr>
          <w:sz w:val="24"/>
        </w:rPr>
        <w:t xml:space="preserve"> и "Аффилированное лицо" </w:t>
      </w:r>
      <w:hyperlink w:history="0" w:anchor="P549" w:tooltip="76">
        <w:r>
          <w:rPr>
            <w:sz w:val="24"/>
            <w:color w:val="0000ff"/>
          </w:rPr>
          <w:t xml:space="preserve">(строка 76)</w:t>
        </w:r>
      </w:hyperlink>
      <w:r>
        <w:rPr>
          <w:sz w:val="24"/>
        </w:rPr>
        <w:t xml:space="preserve"> в соответствии с </w:t>
      </w:r>
      <w:hyperlink w:history="0" w:anchor="P903" w:tooltip="8.17.1. По показателю &quot;Идентификатор контрагента (до внесения изменений)&quot; (строка 75) указывается значение идентификатора контрагента, отраженное в разделе 2 отчетности по форме 0420152, составленной и представленной в Банк России за предыдущий календарный квартал, в случае если значение идентификатора этого контрагента изменилось по сравнению со значением идентификатора этого контрагента, отраженным в разделе 2 отчетности по форме 0420152, составленной и представленной в Банк России за предыдущий календ...">
        <w:r>
          <w:rPr>
            <w:sz w:val="24"/>
            <w:color w:val="0000ff"/>
          </w:rPr>
          <w:t xml:space="preserve">подпунктами 8.17.1</w:t>
        </w:r>
      </w:hyperlink>
      <w:r>
        <w:rPr>
          <w:sz w:val="24"/>
        </w:rPr>
        <w:t xml:space="preserve"> и </w:t>
      </w:r>
      <w:hyperlink w:history="0" w:anchor="P905" w:tooltip="8.17.2. По показателю &quot;Аффилированное лицо&quot; (строка 76) указывается значение &quot;Да&quot;.">
        <w:r>
          <w:rPr>
            <w:sz w:val="24"/>
            <w:color w:val="0000ff"/>
          </w:rPr>
          <w:t xml:space="preserve">8.17.2</w:t>
        </w:r>
      </w:hyperlink>
      <w:r>
        <w:rPr>
          <w:sz w:val="24"/>
        </w:rPr>
        <w:t xml:space="preserve"> настоящего пункта.</w:t>
      </w:r>
    </w:p>
    <w:p>
      <w:pPr>
        <w:pStyle w:val="0"/>
        <w:spacing w:before="240" w:lineRule="auto"/>
        <w:ind w:firstLine="540"/>
        <w:jc w:val="both"/>
      </w:pPr>
      <w:r>
        <w:rPr>
          <w:sz w:val="24"/>
        </w:rPr>
        <w:t xml:space="preserve">Для контрагентов, не указанных в </w:t>
      </w:r>
      <w:hyperlink w:history="0" w:anchor="P901" w:tooltip="8.17. Для каждого контрагента, указанного по группам аналитических признаков &quot;Идентификатор аффилированного лица&quot;, и (или) &quot;Идентификатор аффилированного лица (лицо 1)&quot;, и (или) &quot;Идентификатор аффилированного лица (лицо 2)&quot; раздела 2 отчетности по форме 0420152, указываются значения показателей &quot;Идентификатор контрагента (до внесения изменений)&quot; (строка 75) и &quot;Аффилированное лицо&quot; (строка 76) в соответствии с подпунктами 8.17.1 и 8.17.2 настоящего пункта.">
        <w:r>
          <w:rPr>
            <w:sz w:val="24"/>
            <w:color w:val="0000ff"/>
          </w:rPr>
          <w:t xml:space="preserve">абзаце первом</w:t>
        </w:r>
      </w:hyperlink>
      <w:r>
        <w:rPr>
          <w:sz w:val="24"/>
        </w:rPr>
        <w:t xml:space="preserve"> настоящего подпункта, показатели "Идентификатор контрагента (до внесения изменений)" </w:t>
      </w:r>
      <w:hyperlink w:history="0" w:anchor="P541" w:tooltip="75">
        <w:r>
          <w:rPr>
            <w:sz w:val="24"/>
            <w:color w:val="0000ff"/>
          </w:rPr>
          <w:t xml:space="preserve">(строка 75)</w:t>
        </w:r>
      </w:hyperlink>
      <w:r>
        <w:rPr>
          <w:sz w:val="24"/>
        </w:rPr>
        <w:t xml:space="preserve"> и "Аффилированное лицо" </w:t>
      </w:r>
      <w:hyperlink w:history="0" w:anchor="P549" w:tooltip="76">
        <w:r>
          <w:rPr>
            <w:sz w:val="24"/>
            <w:color w:val="0000ff"/>
          </w:rPr>
          <w:t xml:space="preserve">(строка 76)</w:t>
        </w:r>
      </w:hyperlink>
      <w:r>
        <w:rPr>
          <w:sz w:val="24"/>
        </w:rPr>
        <w:t xml:space="preserve"> не формируются.</w:t>
      </w:r>
    </w:p>
    <w:bookmarkStart w:id="903" w:name="P903"/>
    <w:bookmarkEnd w:id="903"/>
    <w:p>
      <w:pPr>
        <w:pStyle w:val="0"/>
        <w:spacing w:before="240" w:lineRule="auto"/>
        <w:ind w:firstLine="540"/>
        <w:jc w:val="both"/>
      </w:pPr>
      <w:r>
        <w:rPr>
          <w:sz w:val="24"/>
        </w:rPr>
        <w:t xml:space="preserve">8.17.1. По показателю "Идентификатор контрагента (до внесения изменений)" </w:t>
      </w:r>
      <w:hyperlink w:history="0" w:anchor="P541" w:tooltip="75">
        <w:r>
          <w:rPr>
            <w:sz w:val="24"/>
            <w:color w:val="0000ff"/>
          </w:rPr>
          <w:t xml:space="preserve">(строка 75)</w:t>
        </w:r>
      </w:hyperlink>
      <w:r>
        <w:rPr>
          <w:sz w:val="24"/>
        </w:rPr>
        <w:t xml:space="preserve"> указывается значение идентификатора контрагента, отраженное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составленной и представленной в Банк России за предыдущий календарный квартал, в случае если значение идентификатора этого контрагента изменилось по сравнению со значением идентификатора этого контрагента, отраженным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составленной и представленной в Банк России за предыдущий календарный квартал, в связи с изменением значений характеристик, указанных в составе идентификатора контрагента.</w:t>
      </w:r>
    </w:p>
    <w:p>
      <w:pPr>
        <w:pStyle w:val="0"/>
        <w:spacing w:before="240" w:lineRule="auto"/>
        <w:ind w:firstLine="540"/>
        <w:jc w:val="both"/>
      </w:pPr>
      <w:r>
        <w:rPr>
          <w:sz w:val="24"/>
        </w:rPr>
        <w:t xml:space="preserve">В случае если значение идентификатора контрагента не изменилось по сравнению со значением идентификатора этого контрагента, отраженным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составленной и представленной в Банк России за предыдущий календарный квартал, показатель "Идентификатор контрагента (до внесения изменений)" </w:t>
      </w:r>
      <w:hyperlink w:history="0" w:anchor="P541" w:tooltip="75">
        <w:r>
          <w:rPr>
            <w:sz w:val="24"/>
            <w:color w:val="0000ff"/>
          </w:rPr>
          <w:t xml:space="preserve">(строка 75)</w:t>
        </w:r>
      </w:hyperlink>
      <w:r>
        <w:rPr>
          <w:sz w:val="24"/>
        </w:rPr>
        <w:t xml:space="preserve"> не формируется.</w:t>
      </w:r>
    </w:p>
    <w:bookmarkStart w:id="905" w:name="P905"/>
    <w:bookmarkEnd w:id="905"/>
    <w:p>
      <w:pPr>
        <w:pStyle w:val="0"/>
        <w:spacing w:before="240" w:lineRule="auto"/>
        <w:ind w:firstLine="540"/>
        <w:jc w:val="both"/>
      </w:pPr>
      <w:r>
        <w:rPr>
          <w:sz w:val="24"/>
        </w:rPr>
        <w:t xml:space="preserve">8.17.2. По показателю "Аффилированное лицо" </w:t>
      </w:r>
      <w:hyperlink w:history="0" w:anchor="P549" w:tooltip="76">
        <w:r>
          <w:rPr>
            <w:sz w:val="24"/>
            <w:color w:val="0000ff"/>
          </w:rPr>
          <w:t xml:space="preserve">(строка 76)</w:t>
        </w:r>
      </w:hyperlink>
      <w:r>
        <w:rPr>
          <w:sz w:val="24"/>
        </w:rPr>
        <w:t xml:space="preserve"> указывается значение "Да".</w:t>
      </w:r>
    </w:p>
    <w:bookmarkStart w:id="906" w:name="P906"/>
    <w:bookmarkEnd w:id="906"/>
    <w:p>
      <w:pPr>
        <w:pStyle w:val="0"/>
        <w:spacing w:before="240" w:lineRule="auto"/>
        <w:ind w:firstLine="540"/>
        <w:jc w:val="both"/>
      </w:pPr>
      <w:r>
        <w:rPr>
          <w:sz w:val="24"/>
        </w:rPr>
        <w:t xml:space="preserve">8.18. Для каждого контрагента, указанного по группам аналитических признаков "Идентификатор контрагента", и (или) "Идентификатор поручителя (гаранта)", и (или) "Идентификатор контрагента по базисному активу по срочной сделке или активу, от которого зависит поток по облигации", и (или) "Идентификатор обязанного лица" отчетности по </w:t>
      </w:r>
      <w:hyperlink w:history="0" w:anchor="P2335" w:tooltip="Отчетность по форме 0420154">
        <w:r>
          <w:rPr>
            <w:sz w:val="24"/>
            <w:color w:val="0000ff"/>
          </w:rPr>
          <w:t xml:space="preserve">форме 0420154</w:t>
        </w:r>
      </w:hyperlink>
      <w:r>
        <w:rPr>
          <w:sz w:val="24"/>
        </w:rPr>
        <w:t xml:space="preserve">, указываются значения следующих показателей в соответствии с </w:t>
      </w:r>
      <w:hyperlink w:history="0" w:anchor="P917" w:tooltip="8.18.1. По показателю &quot;Категория контрагентов для оценки риска 2&quot; (строка 77) указывается:">
        <w:r>
          <w:rPr>
            <w:sz w:val="24"/>
            <w:color w:val="0000ff"/>
          </w:rPr>
          <w:t xml:space="preserve">подпунктами 8.18.1</w:t>
        </w:r>
      </w:hyperlink>
      <w:r>
        <w:rPr>
          <w:sz w:val="24"/>
        </w:rPr>
        <w:t xml:space="preserve"> - </w:t>
      </w:r>
      <w:hyperlink w:history="0" w:anchor="P940" w:tooltip="8.18.9. По показателю &quot;Является участником договора сострахования, перестраховочного пула или ассоциации, если такой договор или условия участия предполагают солидарную или субсидиарную ответственность&quot; (строка 85) указывается значение &quot;Да&quot;, если контрагент является лицом, указанным в абзаце третьем пункта 2.6 Положения Банка России N 858-П. Для контрагентов, не указанных в первом предложении настоящего абзаца, показатель не формируется.">
        <w:r>
          <w:rPr>
            <w:sz w:val="24"/>
            <w:color w:val="0000ff"/>
          </w:rPr>
          <w:t xml:space="preserve">8.18.9</w:t>
        </w:r>
      </w:hyperlink>
      <w:r>
        <w:rPr>
          <w:sz w:val="24"/>
        </w:rPr>
        <w:t xml:space="preserve"> настоящего пункта:</w:t>
      </w:r>
    </w:p>
    <w:p>
      <w:pPr>
        <w:pStyle w:val="0"/>
        <w:spacing w:before="240" w:lineRule="auto"/>
        <w:ind w:firstLine="540"/>
        <w:jc w:val="both"/>
      </w:pPr>
      <w:r>
        <w:rPr>
          <w:sz w:val="24"/>
        </w:rPr>
        <w:t xml:space="preserve">"Категория контрагентов для оценки риска 2" </w:t>
      </w:r>
      <w:hyperlink w:history="0" w:anchor="P557" w:tooltip="77">
        <w:r>
          <w:rPr>
            <w:sz w:val="24"/>
            <w:color w:val="0000ff"/>
          </w:rPr>
          <w:t xml:space="preserve">(строка 77)</w:t>
        </w:r>
      </w:hyperlink>
      <w:r>
        <w:rPr>
          <w:sz w:val="24"/>
        </w:rPr>
        <w:t xml:space="preserve">;</w:t>
      </w:r>
    </w:p>
    <w:p>
      <w:pPr>
        <w:pStyle w:val="0"/>
        <w:spacing w:before="240" w:lineRule="auto"/>
        <w:ind w:firstLine="540"/>
        <w:jc w:val="both"/>
      </w:pPr>
      <w:r>
        <w:rPr>
          <w:sz w:val="24"/>
        </w:rPr>
        <w:t xml:space="preserve">"Группа связанных со страховщиком лиц" </w:t>
      </w:r>
      <w:hyperlink w:history="0" w:anchor="P565" w:tooltip="78">
        <w:r>
          <w:rPr>
            <w:sz w:val="24"/>
            <w:color w:val="0000ff"/>
          </w:rPr>
          <w:t xml:space="preserve">(строка 78)</w:t>
        </w:r>
      </w:hyperlink>
      <w:r>
        <w:rPr>
          <w:sz w:val="24"/>
        </w:rPr>
        <w:t xml:space="preserve">;</w:t>
      </w:r>
    </w:p>
    <w:p>
      <w:pPr>
        <w:pStyle w:val="0"/>
        <w:spacing w:before="240" w:lineRule="auto"/>
        <w:ind w:firstLine="540"/>
        <w:jc w:val="both"/>
      </w:pPr>
      <w:r>
        <w:rPr>
          <w:sz w:val="24"/>
        </w:rPr>
        <w:t xml:space="preserve">"Группа кредитного качества" </w:t>
      </w:r>
      <w:hyperlink w:history="0" w:anchor="P573" w:tooltip="79">
        <w:r>
          <w:rPr>
            <w:sz w:val="24"/>
            <w:color w:val="0000ff"/>
          </w:rPr>
          <w:t xml:space="preserve">(строка 79)</w:t>
        </w:r>
      </w:hyperlink>
      <w:r>
        <w:rPr>
          <w:sz w:val="24"/>
        </w:rPr>
        <w:t xml:space="preserve">;</w:t>
      </w:r>
    </w:p>
    <w:p>
      <w:pPr>
        <w:pStyle w:val="0"/>
        <w:spacing w:before="240" w:lineRule="auto"/>
        <w:ind w:firstLine="540"/>
        <w:jc w:val="both"/>
      </w:pPr>
      <w:r>
        <w:rPr>
          <w:sz w:val="24"/>
        </w:rPr>
        <w:t xml:space="preserve">"Относится к синдикатам Ллойда" </w:t>
      </w:r>
      <w:hyperlink w:history="0" w:anchor="P581" w:tooltip="80">
        <w:r>
          <w:rPr>
            <w:sz w:val="24"/>
            <w:color w:val="0000ff"/>
          </w:rPr>
          <w:t xml:space="preserve">(строка 80)</w:t>
        </w:r>
      </w:hyperlink>
      <w:r>
        <w:rPr>
          <w:sz w:val="24"/>
        </w:rPr>
        <w:t xml:space="preserve">;</w:t>
      </w:r>
    </w:p>
    <w:p>
      <w:pPr>
        <w:pStyle w:val="0"/>
        <w:spacing w:before="240" w:lineRule="auto"/>
        <w:ind w:firstLine="540"/>
        <w:jc w:val="both"/>
      </w:pPr>
      <w:r>
        <w:rPr>
          <w:sz w:val="24"/>
        </w:rPr>
        <w:t xml:space="preserve">"Является перестраховщиком, которому передано в перестрахование обязательство по страховой выплате" </w:t>
      </w:r>
      <w:hyperlink w:history="0" w:anchor="P589" w:tooltip="81">
        <w:r>
          <w:rPr>
            <w:sz w:val="24"/>
            <w:color w:val="0000ff"/>
          </w:rPr>
          <w:t xml:space="preserve">(строка 81)</w:t>
        </w:r>
      </w:hyperlink>
      <w:r>
        <w:rPr>
          <w:sz w:val="24"/>
        </w:rPr>
        <w:t xml:space="preserve">;</w:t>
      </w:r>
    </w:p>
    <w:p>
      <w:pPr>
        <w:pStyle w:val="0"/>
        <w:spacing w:before="240" w:lineRule="auto"/>
        <w:ind w:firstLine="540"/>
        <w:jc w:val="both"/>
      </w:pPr>
      <w:r>
        <w:rPr>
          <w:sz w:val="24"/>
        </w:rPr>
        <w:t xml:space="preserve">"Номер лицензии на осуществление медицинской деятельности (для медицинской организации)" </w:t>
      </w:r>
      <w:hyperlink w:history="0" w:anchor="P597" w:tooltip="82">
        <w:r>
          <w:rPr>
            <w:sz w:val="24"/>
            <w:color w:val="0000ff"/>
          </w:rPr>
          <w:t xml:space="preserve">(строка 82)</w:t>
        </w:r>
      </w:hyperlink>
      <w:r>
        <w:rPr>
          <w:sz w:val="24"/>
        </w:rPr>
        <w:t xml:space="preserve">;</w:t>
      </w:r>
    </w:p>
    <w:p>
      <w:pPr>
        <w:pStyle w:val="0"/>
        <w:spacing w:before="240" w:lineRule="auto"/>
        <w:ind w:firstLine="540"/>
        <w:jc w:val="both"/>
      </w:pPr>
      <w:r>
        <w:rPr>
          <w:sz w:val="24"/>
        </w:rPr>
        <w:t xml:space="preserve">"Относится к учреждению санаторно-курортного профиля" </w:t>
      </w:r>
      <w:hyperlink w:history="0" w:anchor="P605" w:tooltip="83">
        <w:r>
          <w:rPr>
            <w:sz w:val="24"/>
            <w:color w:val="0000ff"/>
          </w:rPr>
          <w:t xml:space="preserve">(строка 83)</w:t>
        </w:r>
      </w:hyperlink>
      <w:r>
        <w:rPr>
          <w:sz w:val="24"/>
        </w:rPr>
        <w:t xml:space="preserve">;</w:t>
      </w:r>
    </w:p>
    <w:p>
      <w:pPr>
        <w:pStyle w:val="0"/>
        <w:spacing w:before="240" w:lineRule="auto"/>
        <w:ind w:firstLine="540"/>
        <w:jc w:val="both"/>
      </w:pPr>
      <w:r>
        <w:rPr>
          <w:sz w:val="24"/>
        </w:rPr>
        <w:t xml:space="preserve">"Является лицом, в отношении которого введена процедура банкротства или у которого отозвана (аннулирована) лицензия, либо лицом, не исполнившим в срок и в полном объеме обязательство" </w:t>
      </w:r>
      <w:hyperlink w:history="0" w:anchor="P613" w:tooltip="84">
        <w:r>
          <w:rPr>
            <w:sz w:val="24"/>
            <w:color w:val="0000ff"/>
          </w:rPr>
          <w:t xml:space="preserve">(строка 84)</w:t>
        </w:r>
      </w:hyperlink>
      <w:r>
        <w:rPr>
          <w:sz w:val="24"/>
        </w:rPr>
        <w:t xml:space="preserve">;</w:t>
      </w:r>
    </w:p>
    <w:p>
      <w:pPr>
        <w:pStyle w:val="0"/>
        <w:spacing w:before="240" w:lineRule="auto"/>
        <w:ind w:firstLine="540"/>
        <w:jc w:val="both"/>
      </w:pPr>
      <w:r>
        <w:rPr>
          <w:sz w:val="24"/>
        </w:rPr>
        <w:t xml:space="preserve">"Является участником договора сострахования, перестраховочного пула или ассоциации, если такой договор или условия участия предполагают солидарную или субсидиарную ответственность" </w:t>
      </w:r>
      <w:hyperlink w:history="0" w:anchor="P621" w:tooltip="85">
        <w:r>
          <w:rPr>
            <w:sz w:val="24"/>
            <w:color w:val="0000ff"/>
          </w:rPr>
          <w:t xml:space="preserve">(строка 85)</w:t>
        </w:r>
      </w:hyperlink>
      <w:r>
        <w:rPr>
          <w:sz w:val="24"/>
        </w:rPr>
        <w:t xml:space="preserve">.</w:t>
      </w:r>
    </w:p>
    <w:p>
      <w:pPr>
        <w:pStyle w:val="0"/>
        <w:spacing w:before="240" w:lineRule="auto"/>
        <w:ind w:firstLine="540"/>
        <w:jc w:val="both"/>
      </w:pPr>
      <w:r>
        <w:rPr>
          <w:sz w:val="24"/>
        </w:rPr>
        <w:t xml:space="preserve">Для контрагентов, не указанных в </w:t>
      </w:r>
      <w:hyperlink w:history="0" w:anchor="P906" w:tooltip="8.18. Для каждого контрагента, указанного по группам аналитических признаков &quot;Идентификатор контрагента&quot;, и (или) &quot;Идентификатор поручителя (гаранта)&quot;, и (или) &quot;Идентификатор контрагента по базисному активу по срочной сделке или активу, от которого зависит поток по облигации&quot;, и (или) &quot;Идентификатор обязанного лица&quot; отчетности по форме 0420154, указываются значения следующих показателей в соответствии с подпунктами 8.18.1 - 8.18.9 настоящего пункта:">
        <w:r>
          <w:rPr>
            <w:sz w:val="24"/>
            <w:color w:val="0000ff"/>
          </w:rPr>
          <w:t xml:space="preserve">абзаце первом</w:t>
        </w:r>
      </w:hyperlink>
      <w:r>
        <w:rPr>
          <w:sz w:val="24"/>
        </w:rPr>
        <w:t xml:space="preserve"> настоящего подпункта, показатели "Категория контрагентов для оценки риска 2" </w:t>
      </w:r>
      <w:hyperlink w:history="0" w:anchor="P557" w:tooltip="77">
        <w:r>
          <w:rPr>
            <w:sz w:val="24"/>
            <w:color w:val="0000ff"/>
          </w:rPr>
          <w:t xml:space="preserve">(строка 77)</w:t>
        </w:r>
      </w:hyperlink>
      <w:r>
        <w:rPr>
          <w:sz w:val="24"/>
        </w:rPr>
        <w:t xml:space="preserve">, "Группа связанных со страховщиком лиц" </w:t>
      </w:r>
      <w:hyperlink w:history="0" w:anchor="P565" w:tooltip="78">
        <w:r>
          <w:rPr>
            <w:sz w:val="24"/>
            <w:color w:val="0000ff"/>
          </w:rPr>
          <w:t xml:space="preserve">(строка 78)</w:t>
        </w:r>
      </w:hyperlink>
      <w:r>
        <w:rPr>
          <w:sz w:val="24"/>
        </w:rPr>
        <w:t xml:space="preserve">, "Группа кредитного качества" </w:t>
      </w:r>
      <w:hyperlink w:history="0" w:anchor="P573" w:tooltip="79">
        <w:r>
          <w:rPr>
            <w:sz w:val="24"/>
            <w:color w:val="0000ff"/>
          </w:rPr>
          <w:t xml:space="preserve">(строка 79)</w:t>
        </w:r>
      </w:hyperlink>
      <w:r>
        <w:rPr>
          <w:sz w:val="24"/>
        </w:rPr>
        <w:t xml:space="preserve">, "Относится к синдикатам Ллойда" </w:t>
      </w:r>
      <w:hyperlink w:history="0" w:anchor="P581" w:tooltip="80">
        <w:r>
          <w:rPr>
            <w:sz w:val="24"/>
            <w:color w:val="0000ff"/>
          </w:rPr>
          <w:t xml:space="preserve">(строка 80)</w:t>
        </w:r>
      </w:hyperlink>
      <w:r>
        <w:rPr>
          <w:sz w:val="24"/>
        </w:rPr>
        <w:t xml:space="preserve">, "Является перестраховщиком, которому передано в перестрахование обязательство по страховой выплате" </w:t>
      </w:r>
      <w:hyperlink w:history="0" w:anchor="P589" w:tooltip="81">
        <w:r>
          <w:rPr>
            <w:sz w:val="24"/>
            <w:color w:val="0000ff"/>
          </w:rPr>
          <w:t xml:space="preserve">(строка 81)</w:t>
        </w:r>
      </w:hyperlink>
      <w:r>
        <w:rPr>
          <w:sz w:val="24"/>
        </w:rPr>
        <w:t xml:space="preserve">, "Номер лицензии на осуществление медицинской деятельности (для медицинской организации)" </w:t>
      </w:r>
      <w:hyperlink w:history="0" w:anchor="P597" w:tooltip="82">
        <w:r>
          <w:rPr>
            <w:sz w:val="24"/>
            <w:color w:val="0000ff"/>
          </w:rPr>
          <w:t xml:space="preserve">(строка 82)</w:t>
        </w:r>
      </w:hyperlink>
      <w:r>
        <w:rPr>
          <w:sz w:val="24"/>
        </w:rPr>
        <w:t xml:space="preserve">, "Относится к учреждению санаторно-курортного профиля" </w:t>
      </w:r>
      <w:hyperlink w:history="0" w:anchor="P605" w:tooltip="83">
        <w:r>
          <w:rPr>
            <w:sz w:val="24"/>
            <w:color w:val="0000ff"/>
          </w:rPr>
          <w:t xml:space="preserve">(строка 83)</w:t>
        </w:r>
      </w:hyperlink>
      <w:r>
        <w:rPr>
          <w:sz w:val="24"/>
        </w:rPr>
        <w:t xml:space="preserve"> "Является лицом, в отношении которого введена процедура банкротства или у которого отозвана (аннулирована) лицензия, либо лицом, не исполнившим в срок и в полном объеме обязательство" </w:t>
      </w:r>
      <w:hyperlink w:history="0" w:anchor="P613" w:tooltip="84">
        <w:r>
          <w:rPr>
            <w:sz w:val="24"/>
            <w:color w:val="0000ff"/>
          </w:rPr>
          <w:t xml:space="preserve">(строка 84)</w:t>
        </w:r>
      </w:hyperlink>
      <w:r>
        <w:rPr>
          <w:sz w:val="24"/>
        </w:rPr>
        <w:t xml:space="preserve"> и "Является участником договора сострахования, перестраховочного пула или ассоциации, если такой договор или условия участия предполагают солидарную или субсидиарную ответственность" </w:t>
      </w:r>
      <w:hyperlink w:history="0" w:anchor="P621" w:tooltip="85">
        <w:r>
          <w:rPr>
            <w:sz w:val="24"/>
            <w:color w:val="0000ff"/>
          </w:rPr>
          <w:t xml:space="preserve">(строка 85)</w:t>
        </w:r>
      </w:hyperlink>
      <w:r>
        <w:rPr>
          <w:sz w:val="24"/>
        </w:rPr>
        <w:t xml:space="preserve"> не формируются.</w:t>
      </w:r>
    </w:p>
    <w:bookmarkStart w:id="917" w:name="P917"/>
    <w:bookmarkEnd w:id="917"/>
    <w:p>
      <w:pPr>
        <w:pStyle w:val="0"/>
        <w:spacing w:before="240" w:lineRule="auto"/>
        <w:ind w:firstLine="540"/>
        <w:jc w:val="both"/>
      </w:pPr>
      <w:r>
        <w:rPr>
          <w:sz w:val="24"/>
        </w:rPr>
        <w:t xml:space="preserve">8.18.1. По показателю "Категория контрагентов для оценки риска 2" </w:t>
      </w:r>
      <w:hyperlink w:history="0" w:anchor="P557" w:tooltip="77">
        <w:r>
          <w:rPr>
            <w:sz w:val="24"/>
            <w:color w:val="0000ff"/>
          </w:rPr>
          <w:t xml:space="preserve">(строка 77)</w:t>
        </w:r>
      </w:hyperlink>
      <w:r>
        <w:rPr>
          <w:sz w:val="24"/>
        </w:rPr>
        <w:t xml:space="preserve"> указывается:</w:t>
      </w:r>
    </w:p>
    <w:p>
      <w:pPr>
        <w:pStyle w:val="0"/>
        <w:spacing w:before="240" w:lineRule="auto"/>
        <w:ind w:firstLine="540"/>
        <w:jc w:val="both"/>
      </w:pPr>
      <w:r>
        <w:rPr>
          <w:sz w:val="24"/>
        </w:rPr>
        <w:t xml:space="preserve">для контрагента, отнесенного в соответствии с </w:t>
      </w:r>
      <w:hyperlink w:history="0" r:id="rId6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девятым</w:t>
        </w:r>
      </w:hyperlink>
      <w:r>
        <w:rPr>
          <w:sz w:val="24"/>
        </w:rPr>
        <w:t xml:space="preserve"> - </w:t>
      </w:r>
      <w:hyperlink w:history="0" r:id="rId6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четырнадцатым пункта 8</w:t>
        </w:r>
      </w:hyperlink>
      <w:r>
        <w:rPr>
          <w:sz w:val="24"/>
        </w:rPr>
        <w:t xml:space="preserve"> приложения 1 к Положению Банка России от 17 июня 2025 года N 858-П "О требованиях к финансовой устойчивости и платежеспособности страховщиков" &lt;3&gt; (далее - Положение Банка России N 858-П) к первой категории контрагентов, - "1 категория";</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Зарегистрировано Минюстом России 27 августа 2025 года, регистрационный N 83340.</w:t>
      </w:r>
    </w:p>
    <w:p>
      <w:pPr>
        <w:pStyle w:val="0"/>
        <w:ind w:firstLine="540"/>
        <w:jc w:val="both"/>
      </w:pPr>
      <w:r>
        <w:rPr>
          <w:sz w:val="24"/>
        </w:rPr>
      </w:r>
    </w:p>
    <w:p>
      <w:pPr>
        <w:pStyle w:val="0"/>
        <w:ind w:firstLine="540"/>
        <w:jc w:val="both"/>
      </w:pPr>
      <w:r>
        <w:rPr>
          <w:sz w:val="24"/>
        </w:rPr>
        <w:t xml:space="preserve">для контрагента, отнесенного в соответствии с </w:t>
      </w:r>
      <w:hyperlink w:history="0" r:id="rId6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пятнадцатым пункта 8</w:t>
        </w:r>
      </w:hyperlink>
      <w:r>
        <w:rPr>
          <w:sz w:val="24"/>
        </w:rPr>
        <w:t xml:space="preserve"> приложения 1 к Положению Банка России N 858-П ко второй категории контрагентов, - "2 категория";</w:t>
      </w:r>
    </w:p>
    <w:p>
      <w:pPr>
        <w:pStyle w:val="0"/>
        <w:spacing w:before="240" w:lineRule="auto"/>
        <w:ind w:firstLine="540"/>
        <w:jc w:val="both"/>
      </w:pPr>
      <w:r>
        <w:rPr>
          <w:sz w:val="24"/>
        </w:rPr>
        <w:t xml:space="preserve">для контрагента, отнесенного в соответствии с </w:t>
      </w:r>
      <w:hyperlink w:history="0" r:id="rId7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шестнадцатым пункта 8</w:t>
        </w:r>
      </w:hyperlink>
      <w:r>
        <w:rPr>
          <w:sz w:val="24"/>
        </w:rPr>
        <w:t xml:space="preserve"> приложения 1 к Положению Банка России N 858-П к третьей категории контрагентов, - "3 категория";</w:t>
      </w:r>
    </w:p>
    <w:p>
      <w:pPr>
        <w:pStyle w:val="0"/>
        <w:spacing w:before="240" w:lineRule="auto"/>
        <w:ind w:firstLine="540"/>
        <w:jc w:val="both"/>
      </w:pPr>
      <w:r>
        <w:rPr>
          <w:sz w:val="24"/>
        </w:rPr>
        <w:t xml:space="preserve">для контрагента, отнесенного в соответствии с </w:t>
      </w:r>
      <w:hyperlink w:history="0" r:id="rId7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семнадцатым пункта 8</w:t>
        </w:r>
      </w:hyperlink>
      <w:r>
        <w:rPr>
          <w:sz w:val="24"/>
        </w:rPr>
        <w:t xml:space="preserve"> приложения 1 к Положению Банка России N 858-П к четвертой категории контрагентов, - "4 категория";</w:t>
      </w:r>
    </w:p>
    <w:p>
      <w:pPr>
        <w:pStyle w:val="0"/>
        <w:spacing w:before="240" w:lineRule="auto"/>
        <w:ind w:firstLine="540"/>
        <w:jc w:val="both"/>
      </w:pPr>
      <w:r>
        <w:rPr>
          <w:sz w:val="24"/>
        </w:rPr>
        <w:t xml:space="preserve">для контрагента, отнесенного в соответствии с </w:t>
      </w:r>
      <w:hyperlink w:history="0" r:id="rId7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восемнадцатым пункта 8</w:t>
        </w:r>
      </w:hyperlink>
      <w:r>
        <w:rPr>
          <w:sz w:val="24"/>
        </w:rPr>
        <w:t xml:space="preserve"> приложения 1 к Положению Банка России N 858-П к пятой категории контрагентов, - "5 категория".</w:t>
      </w:r>
    </w:p>
    <w:p>
      <w:pPr>
        <w:pStyle w:val="0"/>
        <w:spacing w:before="240" w:lineRule="auto"/>
        <w:ind w:firstLine="540"/>
        <w:jc w:val="both"/>
      </w:pPr>
      <w:r>
        <w:rPr>
          <w:sz w:val="24"/>
        </w:rPr>
        <w:t xml:space="preserve">В случае если активы контрагента в соответствии с </w:t>
      </w:r>
      <w:hyperlink w:history="0" r:id="rId7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6.5.10.1 пункта 6.5</w:t>
        </w:r>
      </w:hyperlink>
      <w:r>
        <w:rPr>
          <w:sz w:val="24"/>
        </w:rPr>
        <w:t xml:space="preserve"> Положения Банка России N 858-П не учитываются при определении концентрации на обязанное лицо для целей расчета риска 2, по показателю "Категория контрагентов для оценки риска 2" </w:t>
      </w:r>
      <w:hyperlink w:history="0" w:anchor="P557" w:tooltip="77">
        <w:r>
          <w:rPr>
            <w:sz w:val="24"/>
            <w:color w:val="0000ff"/>
          </w:rPr>
          <w:t xml:space="preserve">(строка 77)</w:t>
        </w:r>
      </w:hyperlink>
      <w:r>
        <w:rPr>
          <w:sz w:val="24"/>
        </w:rPr>
        <w:t xml:space="preserve"> указывается "Не участвует в оценке риска 2".</w:t>
      </w:r>
    </w:p>
    <w:p>
      <w:pPr>
        <w:pStyle w:val="0"/>
        <w:spacing w:before="240" w:lineRule="auto"/>
        <w:ind w:firstLine="540"/>
        <w:jc w:val="both"/>
      </w:pPr>
      <w:r>
        <w:rPr>
          <w:sz w:val="24"/>
        </w:rPr>
        <w:t xml:space="preserve">8.18.2. По показателю "Группа связанных со страховщиком лиц" </w:t>
      </w:r>
      <w:hyperlink w:history="0" w:anchor="P565" w:tooltip="78">
        <w:r>
          <w:rPr>
            <w:sz w:val="24"/>
            <w:color w:val="0000ff"/>
          </w:rPr>
          <w:t xml:space="preserve">(строка 78)</w:t>
        </w:r>
      </w:hyperlink>
      <w:r>
        <w:rPr>
          <w:sz w:val="24"/>
        </w:rPr>
        <w:t xml:space="preserve"> указывается "Основное общество группы связанных со страховщиком лиц" (для группы связанных со страховщиком контрагентов - юридических лиц, учитываемой в соответствии с </w:t>
      </w:r>
      <w:hyperlink w:history="0" r:id="rId7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четвертым пункта 6.4</w:t>
        </w:r>
      </w:hyperlink>
      <w:r>
        <w:rPr>
          <w:sz w:val="24"/>
        </w:rPr>
        <w:t xml:space="preserve"> Положения Банка России N 858-П как одно юридическое лицо), "Связанное лицо, кроме основного общества группы" или "Несвязанное лицо".</w:t>
      </w:r>
    </w:p>
    <w:p>
      <w:pPr>
        <w:pStyle w:val="0"/>
        <w:spacing w:before="240" w:lineRule="auto"/>
        <w:ind w:firstLine="540"/>
        <w:jc w:val="both"/>
      </w:pPr>
      <w:r>
        <w:rPr>
          <w:sz w:val="24"/>
        </w:rPr>
        <w:t xml:space="preserve">В случае отсутствия у страховщика контрагента - юридического лица, определяемого в соответствии с </w:t>
      </w:r>
      <w:hyperlink w:history="0" r:id="rId7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четвертым пункта 6.4</w:t>
        </w:r>
      </w:hyperlink>
      <w:r>
        <w:rPr>
          <w:sz w:val="24"/>
        </w:rPr>
        <w:t xml:space="preserve"> Положения Банка России N 858-П как основное общество, по группе аналитических признаков "Идентификатор контрагента" указывается идентификатор отчитывающегося страховщика, сформированный им в соответствии с </w:t>
      </w:r>
      <w:hyperlink w:history="0" w:anchor="P969" w:tooltip="8.27.1. Для контрагента-резидента, являющегося юридическим лицом, указываются следующие характеристики:">
        <w:r>
          <w:rPr>
            <w:sz w:val="24"/>
            <w:color w:val="0000ff"/>
          </w:rPr>
          <w:t xml:space="preserve">подпунктом 8.27.1</w:t>
        </w:r>
      </w:hyperlink>
      <w:r>
        <w:rPr>
          <w:sz w:val="24"/>
        </w:rPr>
        <w:t xml:space="preserve"> настоящего пункта, по показателю "Группа связанных со страховщиком лиц" </w:t>
      </w:r>
      <w:hyperlink w:history="0" w:anchor="P565" w:tooltip="78">
        <w:r>
          <w:rPr>
            <w:sz w:val="24"/>
            <w:color w:val="0000ff"/>
          </w:rPr>
          <w:t xml:space="preserve">(строка 78)</w:t>
        </w:r>
      </w:hyperlink>
      <w:r>
        <w:rPr>
          <w:sz w:val="24"/>
        </w:rPr>
        <w:t xml:space="preserve"> указывается "Основное общество группы связанных со страховщиком лиц".</w:t>
      </w:r>
    </w:p>
    <w:p>
      <w:pPr>
        <w:pStyle w:val="0"/>
        <w:spacing w:before="240" w:lineRule="auto"/>
        <w:ind w:firstLine="540"/>
        <w:jc w:val="both"/>
      </w:pPr>
      <w:r>
        <w:rPr>
          <w:sz w:val="24"/>
        </w:rPr>
        <w:t xml:space="preserve">8.18.3. По показателю "Группа кредитного качества" </w:t>
      </w:r>
      <w:hyperlink w:history="0" w:anchor="P573" w:tooltip="79">
        <w:r>
          <w:rPr>
            <w:sz w:val="24"/>
            <w:color w:val="0000ff"/>
          </w:rPr>
          <w:t xml:space="preserve">(строка 79)</w:t>
        </w:r>
      </w:hyperlink>
      <w:r>
        <w:rPr>
          <w:sz w:val="24"/>
        </w:rPr>
        <w:t xml:space="preserve"> указывается номер группы кредитного качества, определенной в соответствии с </w:t>
      </w:r>
      <w:hyperlink w:history="0" r:id="rId7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6.5.2.2 пункта 6.5</w:t>
        </w:r>
      </w:hyperlink>
      <w:r>
        <w:rPr>
          <w:sz w:val="24"/>
        </w:rPr>
        <w:t xml:space="preserve"> Положения Банка России N 858-П.</w:t>
      </w:r>
    </w:p>
    <w:p>
      <w:pPr>
        <w:pStyle w:val="0"/>
        <w:spacing w:before="240" w:lineRule="auto"/>
        <w:ind w:firstLine="540"/>
        <w:jc w:val="both"/>
      </w:pPr>
      <w:r>
        <w:rPr>
          <w:sz w:val="24"/>
        </w:rPr>
        <w:t xml:space="preserve">8.18.4. По показателю "Относится к синдикатам Ллойда" </w:t>
      </w:r>
      <w:hyperlink w:history="0" w:anchor="P581" w:tooltip="80">
        <w:r>
          <w:rPr>
            <w:sz w:val="24"/>
            <w:color w:val="0000ff"/>
          </w:rPr>
          <w:t xml:space="preserve">(строка 80)</w:t>
        </w:r>
      </w:hyperlink>
      <w:r>
        <w:rPr>
          <w:sz w:val="24"/>
        </w:rPr>
        <w:t xml:space="preserve"> указывается значение "Да", если контрагент - юридическое лицо, учитываемое в соответствии с </w:t>
      </w:r>
      <w:hyperlink w:history="0" r:id="rId7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восьмым пункта 2.6</w:t>
        </w:r>
      </w:hyperlink>
      <w:r>
        <w:rPr>
          <w:sz w:val="24"/>
        </w:rPr>
        <w:t xml:space="preserve"> Положения Банка России N 858-П как одно юридическое лицо, относится к синдикатам Ллойда. Для контрагентов, не указанных в первом предложении настоящего абзаца, показатель не формируется.</w:t>
      </w:r>
    </w:p>
    <w:p>
      <w:pPr>
        <w:pStyle w:val="0"/>
        <w:spacing w:before="240" w:lineRule="auto"/>
        <w:ind w:firstLine="540"/>
        <w:jc w:val="both"/>
      </w:pPr>
      <w:r>
        <w:rPr>
          <w:sz w:val="24"/>
        </w:rPr>
        <w:t xml:space="preserve">По контрагенту - юридическому лицу, указанному по показателю "Относится к синдикатам Ллойда" </w:t>
      </w:r>
      <w:hyperlink w:history="0" w:anchor="P581" w:tooltip="80">
        <w:r>
          <w:rPr>
            <w:sz w:val="24"/>
            <w:color w:val="0000ff"/>
          </w:rPr>
          <w:t xml:space="preserve">(строка 80)</w:t>
        </w:r>
      </w:hyperlink>
      <w:r>
        <w:rPr>
          <w:sz w:val="24"/>
        </w:rPr>
        <w:t xml:space="preserve">, указывается:</w:t>
      </w:r>
    </w:p>
    <w:p>
      <w:pPr>
        <w:pStyle w:val="0"/>
        <w:spacing w:before="240" w:lineRule="auto"/>
        <w:ind w:firstLine="540"/>
        <w:jc w:val="both"/>
      </w:pPr>
      <w:r>
        <w:rPr>
          <w:sz w:val="24"/>
        </w:rPr>
        <w:t xml:space="preserve">по показателю "Полное наименование" </w:t>
      </w:r>
      <w:hyperlink w:history="0" w:anchor="P373" w:tooltip="56">
        <w:r>
          <w:rPr>
            <w:sz w:val="24"/>
            <w:color w:val="0000ff"/>
          </w:rPr>
          <w:t xml:space="preserve">(строка 56)</w:t>
        </w:r>
      </w:hyperlink>
      <w:r>
        <w:rPr>
          <w:sz w:val="24"/>
        </w:rPr>
        <w:t xml:space="preserve"> - наименование синдиката согласно приведенному на официальном сайте "Ллойда" ("www.lloyds.com") списку синдикатов;</w:t>
      </w:r>
    </w:p>
    <w:p>
      <w:pPr>
        <w:pStyle w:val="0"/>
        <w:spacing w:before="240" w:lineRule="auto"/>
        <w:ind w:firstLine="540"/>
        <w:jc w:val="both"/>
      </w:pPr>
      <w:r>
        <w:rPr>
          <w:sz w:val="24"/>
        </w:rPr>
        <w:t xml:space="preserve">по показателю "TIN" </w:t>
      </w:r>
      <w:hyperlink w:history="0" w:anchor="P413" w:tooltip="61">
        <w:r>
          <w:rPr>
            <w:sz w:val="24"/>
            <w:color w:val="0000ff"/>
          </w:rPr>
          <w:t xml:space="preserve">(строка 61)</w:t>
        </w:r>
      </w:hyperlink>
      <w:r>
        <w:rPr>
          <w:sz w:val="24"/>
        </w:rPr>
        <w:t xml:space="preserve"> - TIN или его аналог либо регистрационный номер в стране регистрации (в случае отсутствия TIN или его аналога) управляющего агентства;</w:t>
      </w:r>
    </w:p>
    <w:p>
      <w:pPr>
        <w:pStyle w:val="0"/>
        <w:spacing w:before="240" w:lineRule="auto"/>
        <w:ind w:firstLine="540"/>
        <w:jc w:val="both"/>
      </w:pPr>
      <w:r>
        <w:rPr>
          <w:sz w:val="24"/>
        </w:rPr>
        <w:t xml:space="preserve">по показателю "Код страны" </w:t>
      </w:r>
      <w:hyperlink w:history="0" w:anchor="P517" w:tooltip="72">
        <w:r>
          <w:rPr>
            <w:sz w:val="24"/>
            <w:color w:val="0000ff"/>
          </w:rPr>
          <w:t xml:space="preserve">(строка 72)</w:t>
        </w:r>
      </w:hyperlink>
      <w:r>
        <w:rPr>
          <w:sz w:val="24"/>
        </w:rPr>
        <w:t xml:space="preserve"> - код страны регистрации управляющего агентства;</w:t>
      </w:r>
    </w:p>
    <w:p>
      <w:pPr>
        <w:pStyle w:val="0"/>
        <w:spacing w:before="240" w:lineRule="auto"/>
        <w:ind w:firstLine="540"/>
        <w:jc w:val="both"/>
      </w:pPr>
      <w:r>
        <w:rPr>
          <w:sz w:val="24"/>
        </w:rPr>
        <w:t xml:space="preserve">в идентификаторе контрагента, указанном по группе аналитических признаков "Идентификатор контрагента", в качестве дополнительной характеристики (после символа "_" (нижнее подчеркивание (без пробелов) - уникальный номер синдиката.</w:t>
      </w:r>
    </w:p>
    <w:p>
      <w:pPr>
        <w:pStyle w:val="0"/>
        <w:spacing w:before="240" w:lineRule="auto"/>
        <w:ind w:firstLine="540"/>
        <w:jc w:val="both"/>
      </w:pPr>
      <w:r>
        <w:rPr>
          <w:sz w:val="24"/>
        </w:rPr>
        <w:t xml:space="preserve">8.18.5. По показателю "Является перестраховщиком, которому передано в перестрахование обязательство по страховой выплате" </w:t>
      </w:r>
      <w:hyperlink w:history="0" w:anchor="P589" w:tooltip="81">
        <w:r>
          <w:rPr>
            <w:sz w:val="24"/>
            <w:color w:val="0000ff"/>
          </w:rPr>
          <w:t xml:space="preserve">(строка 81)</w:t>
        </w:r>
      </w:hyperlink>
      <w:r>
        <w:rPr>
          <w:sz w:val="24"/>
        </w:rPr>
        <w:t xml:space="preserve"> указывается значение "Да", если контрагент - юридическое лицо является перестраховщиком, которому передано в перестрахование обязательство по страховой выплате, указанным в </w:t>
      </w:r>
      <w:hyperlink w:history="0" r:id="rId7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тридцать шестом пункта 1</w:t>
        </w:r>
      </w:hyperlink>
      <w:r>
        <w:rPr>
          <w:sz w:val="24"/>
        </w:rPr>
        <w:t xml:space="preserve"> приложения 1 к Положению Банка России N 858-П. Для контрагентов, не указанных в первом предложении настоящего абзаца, показатель не формируется.</w:t>
      </w:r>
    </w:p>
    <w:p>
      <w:pPr>
        <w:pStyle w:val="0"/>
        <w:spacing w:before="240" w:lineRule="auto"/>
        <w:ind w:firstLine="540"/>
        <w:jc w:val="both"/>
      </w:pPr>
      <w:r>
        <w:rPr>
          <w:sz w:val="24"/>
        </w:rPr>
        <w:t xml:space="preserve">8.18.6. По показателю "Номер лицензии на осуществление медицинской деятельности (для медицинской организации)" </w:t>
      </w:r>
      <w:hyperlink w:history="0" w:anchor="P597" w:tooltip="82">
        <w:r>
          <w:rPr>
            <w:sz w:val="24"/>
            <w:color w:val="0000ff"/>
          </w:rPr>
          <w:t xml:space="preserve">(строка 82)</w:t>
        </w:r>
      </w:hyperlink>
      <w:r>
        <w:rPr>
          <w:sz w:val="24"/>
        </w:rPr>
        <w:t xml:space="preserve"> для контрагента, являющегося медицинской организацией, указанной в </w:t>
      </w:r>
      <w:hyperlink w:history="0" r:id="rId7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3.1.16 пункта 3.1</w:t>
        </w:r>
      </w:hyperlink>
      <w:r>
        <w:rPr>
          <w:sz w:val="24"/>
        </w:rPr>
        <w:t xml:space="preserve"> Положения Банка России N 858-П, а также приравненным к ней в соответствии с </w:t>
      </w:r>
      <w:hyperlink w:history="0" r:id="rId80"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пунктом 11 статьи 2</w:t>
        </w:r>
      </w:hyperlink>
      <w:r>
        <w:rPr>
          <w:sz w:val="24"/>
        </w:rPr>
        <w:t xml:space="preserve"> Федерального закона от 21 ноября 2011 года N 323-ФЗ "Об основах охраны здоровья граждан в Российской Федерации" индивидуальным предпринимателем, указывается номер лицензии на осуществление медицинской деятельности. Для контрагентов, не указанных в первом предложении настоящего абзаца, показатель не формируется.</w:t>
      </w:r>
    </w:p>
    <w:p>
      <w:pPr>
        <w:pStyle w:val="0"/>
        <w:spacing w:before="240" w:lineRule="auto"/>
        <w:ind w:firstLine="540"/>
        <w:jc w:val="both"/>
      </w:pPr>
      <w:r>
        <w:rPr>
          <w:sz w:val="24"/>
        </w:rPr>
        <w:t xml:space="preserve">8.18.7. По показателю "Относится к учреждению санаторно-курортного профиля" </w:t>
      </w:r>
      <w:hyperlink w:history="0" w:anchor="P605" w:tooltip="83">
        <w:r>
          <w:rPr>
            <w:sz w:val="24"/>
            <w:color w:val="0000ff"/>
          </w:rPr>
          <w:t xml:space="preserve">(строка 83)</w:t>
        </w:r>
      </w:hyperlink>
      <w:r>
        <w:rPr>
          <w:sz w:val="24"/>
        </w:rPr>
        <w:t xml:space="preserve"> указывается значение "Да", если контрагент относится к учреждению санаторно-курортного профиля, указанному в </w:t>
      </w:r>
      <w:hyperlink w:history="0" r:id="rId8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3.1.16 пункта 3.1</w:t>
        </w:r>
      </w:hyperlink>
      <w:r>
        <w:rPr>
          <w:sz w:val="24"/>
        </w:rPr>
        <w:t xml:space="preserve"> Положения Банка России N 858-П. Для контрагентов, не указанных в первом предложении настоящего абзаца, показатель не формируется.</w:t>
      </w:r>
    </w:p>
    <w:p>
      <w:pPr>
        <w:pStyle w:val="0"/>
        <w:spacing w:before="240" w:lineRule="auto"/>
        <w:ind w:firstLine="540"/>
        <w:jc w:val="both"/>
      </w:pPr>
      <w:r>
        <w:rPr>
          <w:sz w:val="24"/>
        </w:rPr>
        <w:t xml:space="preserve">8.18.8. По показателю "Является лицом, в отношении которого введена процедура банкротства или у которого отозвана (аннулирована) лицензия, либо лицом, не исполнившим в срок и в полном объеме обязательство" </w:t>
      </w:r>
      <w:hyperlink w:history="0" w:anchor="P613" w:tooltip="84">
        <w:r>
          <w:rPr>
            <w:sz w:val="24"/>
            <w:color w:val="0000ff"/>
          </w:rPr>
          <w:t xml:space="preserve">(строка 84)</w:t>
        </w:r>
      </w:hyperlink>
      <w:r>
        <w:rPr>
          <w:sz w:val="24"/>
        </w:rPr>
        <w:t xml:space="preserve"> указывается значение "Да", если контрагент удовлетворяет хотя бы одному из критериев, указанных в </w:t>
      </w:r>
      <w:hyperlink w:history="0" r:id="rId8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абзацах втором</w:t>
        </w:r>
      </w:hyperlink>
      <w:r>
        <w:rPr>
          <w:sz w:val="24"/>
        </w:rPr>
        <w:t xml:space="preserve"> - </w:t>
      </w:r>
      <w:hyperlink w:history="0" r:id="rId8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пятом подпункта 3.1.14 пункта 3.1</w:t>
        </w:r>
      </w:hyperlink>
      <w:r>
        <w:rPr>
          <w:sz w:val="24"/>
        </w:rPr>
        <w:t xml:space="preserve"> Положения Банка России N 858-П, или значение "Нет", если контрагент не удовлетворяет всем критериям, указанным в </w:t>
      </w:r>
      <w:hyperlink w:history="0" r:id="rId8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абзацах втором</w:t>
        </w:r>
      </w:hyperlink>
      <w:r>
        <w:rPr>
          <w:sz w:val="24"/>
        </w:rPr>
        <w:t xml:space="preserve"> - </w:t>
      </w:r>
      <w:hyperlink w:history="0" r:id="rId8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пятом подпункта 3.1.14 пункта 3.1</w:t>
        </w:r>
      </w:hyperlink>
      <w:r>
        <w:rPr>
          <w:sz w:val="24"/>
        </w:rPr>
        <w:t xml:space="preserve"> Положения Банка России N 858-П, или значение "Неприменимо", если контрагент подпадает под хотя бы одно из исключений, предусмотренных </w:t>
      </w:r>
      <w:hyperlink w:history="0" r:id="rId8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первым подпункта 3.1.14 пункта 3.1</w:t>
        </w:r>
      </w:hyperlink>
      <w:r>
        <w:rPr>
          <w:sz w:val="24"/>
        </w:rPr>
        <w:t xml:space="preserve"> Положения Банка России N 858-П.</w:t>
      </w:r>
    </w:p>
    <w:bookmarkStart w:id="940" w:name="P940"/>
    <w:bookmarkEnd w:id="940"/>
    <w:p>
      <w:pPr>
        <w:pStyle w:val="0"/>
        <w:spacing w:before="240" w:lineRule="auto"/>
        <w:ind w:firstLine="540"/>
        <w:jc w:val="both"/>
      </w:pPr>
      <w:r>
        <w:rPr>
          <w:sz w:val="24"/>
        </w:rPr>
        <w:t xml:space="preserve">8.18.9. По показателю "Является участником договора сострахования, перестраховочного пула или ассоциации, если такой договор или условия участия предполагают солидарную или субсидиарную ответственность" </w:t>
      </w:r>
      <w:hyperlink w:history="0" w:anchor="P621" w:tooltip="85">
        <w:r>
          <w:rPr>
            <w:sz w:val="24"/>
            <w:color w:val="0000ff"/>
          </w:rPr>
          <w:t xml:space="preserve">(строка 85)</w:t>
        </w:r>
      </w:hyperlink>
      <w:r>
        <w:rPr>
          <w:sz w:val="24"/>
        </w:rPr>
        <w:t xml:space="preserve"> указывается значение "Да", если контрагент является лицом, указанным в </w:t>
      </w:r>
      <w:hyperlink w:history="0" r:id="rId8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третьем пункта 2.6</w:t>
        </w:r>
      </w:hyperlink>
      <w:r>
        <w:rPr>
          <w:sz w:val="24"/>
        </w:rPr>
        <w:t xml:space="preserve"> Положения Банка России N 858-П. Для контрагентов, не указанных в первом предложении настоящего абзаца, показатель не формируется.</w:t>
      </w:r>
    </w:p>
    <w:p>
      <w:pPr>
        <w:pStyle w:val="0"/>
        <w:spacing w:before="240" w:lineRule="auto"/>
        <w:ind w:firstLine="540"/>
        <w:jc w:val="both"/>
      </w:pPr>
      <w:r>
        <w:rPr>
          <w:sz w:val="24"/>
        </w:rPr>
        <w:t xml:space="preserve">8.19. По показателю "Категория связанной стороны" </w:t>
      </w:r>
      <w:hyperlink w:history="0" w:anchor="P629" w:tooltip="86">
        <w:r>
          <w:rPr>
            <w:sz w:val="24"/>
            <w:color w:val="0000ff"/>
          </w:rPr>
          <w:t xml:space="preserve">(строка 86)</w:t>
        </w:r>
      </w:hyperlink>
      <w:r>
        <w:rPr>
          <w:sz w:val="24"/>
        </w:rPr>
        <w:t xml:space="preserve"> для каждого контрагента указывается одна из следующих категорий связанной стороны: "Материнское предприятие", "Дочернее предприятие", "Совместно контролируемое предприятие", "Ассоциированное предприятие", "Ключевой управленческий персонал", "Компания под общим контролем", "Прочее", "Не является связанной стороной".</w:t>
      </w:r>
    </w:p>
    <w:p>
      <w:pPr>
        <w:pStyle w:val="0"/>
        <w:spacing w:before="240" w:lineRule="auto"/>
        <w:ind w:firstLine="540"/>
        <w:jc w:val="both"/>
      </w:pPr>
      <w:r>
        <w:rPr>
          <w:sz w:val="24"/>
        </w:rPr>
        <w:t xml:space="preserve">Основания признания страховщиком лица связанной стороной, в том числе основания для включения лица в состав ключевого управленческого персонала, определяются страховщиком самостоятельно в соответствии с Международным </w:t>
      </w:r>
      <w:hyperlink w:history="0" r:id="rId88" w:tooltip="&quot;Международный стандарт финансовой отчетности (IAS) 24 &quot;Раскрытие информации о связанных сторонах&quot; (введен в действие на территории Российской Федерации Приказом Минфина России от 28.12.2015 N 217н) {КонсультантПлюс}">
        <w:r>
          <w:rPr>
            <w:sz w:val="24"/>
            <w:color w:val="0000ff"/>
          </w:rPr>
          <w:t xml:space="preserve">стандартом</w:t>
        </w:r>
      </w:hyperlink>
      <w:r>
        <w:rPr>
          <w:sz w:val="24"/>
        </w:rPr>
        <w:t xml:space="preserve"> финансовой отчетности (IAS) 24 "Раскрытие информации о связанных сторонах" &lt;4&gt;.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&lt;4&gt; Введен в действие на территории Российской Федерации </w:t>
      </w:r>
      <w:hyperlink w:history="0" r:id="rId89" w:tooltip="Приказ Минфина России от 28.12.2015 N 217н (ред. от 17.09.2024) &quot;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утратившими силу некоторых приказов (отдельных положений приказов) Министерства финансов Российской Федерации&quot; (Зарегистрировано в Минюсте России 02.02.2016 N 40940) {КонсультантПлюс}">
        <w:r>
          <w:rPr>
            <w:sz w:val="24"/>
            <w:color w:val="0000ff"/>
          </w:rPr>
          <w:t xml:space="preserve">приказом</w:t>
        </w:r>
      </w:hyperlink>
      <w:r>
        <w:rPr>
          <w:sz w:val="24"/>
        </w:rPr>
        <w:t xml:space="preserve"> Минфина России N 217н.</w:t>
      </w:r>
    </w:p>
    <w:p>
      <w:pPr>
        <w:pStyle w:val="0"/>
        <w:ind w:firstLine="540"/>
        <w:jc w:val="both"/>
      </w:pPr>
      <w:r>
        <w:rPr>
          <w:sz w:val="24"/>
        </w:rPr>
      </w:r>
    </w:p>
    <w:bookmarkStart w:id="946" w:name="P946"/>
    <w:bookmarkEnd w:id="946"/>
    <w:p>
      <w:pPr>
        <w:pStyle w:val="0"/>
        <w:ind w:firstLine="540"/>
        <w:jc w:val="both"/>
      </w:pPr>
      <w:r>
        <w:rPr>
          <w:sz w:val="24"/>
        </w:rPr>
        <w:t xml:space="preserve">8.20. Для каждого контрагента, указанного по группе аналитических признаков "Идентификатор посредника" </w:t>
      </w:r>
      <w:hyperlink w:history="0" w:anchor="P34699" w:tooltip="Раздел 2.">
        <w:r>
          <w:rPr>
            <w:sz w:val="24"/>
            <w:color w:val="0000ff"/>
          </w:rPr>
          <w:t xml:space="preserve">раздела 2</w:t>
        </w:r>
      </w:hyperlink>
      <w:r>
        <w:rPr>
          <w:sz w:val="24"/>
        </w:rPr>
        <w:t xml:space="preserve"> отчетности по форме 0420159, по показателю "Тип посредника по заключению договоров страхования" </w:t>
      </w:r>
      <w:hyperlink w:history="0" w:anchor="P637" w:tooltip="87">
        <w:r>
          <w:rPr>
            <w:sz w:val="24"/>
            <w:color w:val="0000ff"/>
          </w:rPr>
          <w:t xml:space="preserve">(строка 87)</w:t>
        </w:r>
      </w:hyperlink>
      <w:r>
        <w:rPr>
          <w:sz w:val="24"/>
        </w:rPr>
        <w:t xml:space="preserve"> указывается одно из следующих значений, соответствующих виду организации, к которой он относится: "Страховые организации", "Страховые брокеры", "Кредитные организации", "Организации, осуществляющие деятельность по торговле транспортными средствами, а также их техническое обслуживание и ремонт", "Туроператоры, турагентства", "Объекты почтовой связи", "Медицинские организации", "Лизинговые компании", "Юридические лица, основным видом экономической деятельности которых является деятельность страховых агентов", "Другие юридические лица".</w:t>
      </w:r>
    </w:p>
    <w:p>
      <w:pPr>
        <w:pStyle w:val="0"/>
        <w:spacing w:before="240" w:lineRule="auto"/>
        <w:ind w:firstLine="540"/>
        <w:jc w:val="both"/>
      </w:pPr>
      <w:r>
        <w:rPr>
          <w:sz w:val="24"/>
        </w:rPr>
        <w:t xml:space="preserve">Для контрагентов, не указанных в </w:t>
      </w:r>
      <w:hyperlink w:history="0" w:anchor="P946" w:tooltip="8.20. Для каждого контрагента, указанного по группе аналитических признаков &quot;Идентификатор посредника&quot; раздела 2 отчетности по форме 0420159, по показателю &quot;Тип посредника по заключению договоров страхования&quot; (строка 87) указывается одно из следующих значений, соответствующих виду организации, к которой он относится: &quot;Страховые организации&quot;, &quot;Страховые брокеры&quot;, &quot;Кредитные организации&quot;, &quot;Организации, осуществляющие деятельность по торговле транспортными средствами, а также их техническое обслуживание и р...">
        <w:r>
          <w:rPr>
            <w:sz w:val="24"/>
            <w:color w:val="0000ff"/>
          </w:rPr>
          <w:t xml:space="preserve">абзаце первом</w:t>
        </w:r>
      </w:hyperlink>
      <w:r>
        <w:rPr>
          <w:sz w:val="24"/>
        </w:rPr>
        <w:t xml:space="preserve"> настоящего подпункта, показатель "Тип посредника по заключению договоров страхования" </w:t>
      </w:r>
      <w:hyperlink w:history="0" w:anchor="P637" w:tooltip="87">
        <w:r>
          <w:rPr>
            <w:sz w:val="24"/>
            <w:color w:val="0000ff"/>
          </w:rPr>
          <w:t xml:space="preserve">(строка 87)</w:t>
        </w:r>
      </w:hyperlink>
      <w:r>
        <w:rPr>
          <w:sz w:val="24"/>
        </w:rPr>
        <w:t xml:space="preserve"> не формируется.</w:t>
      </w:r>
    </w:p>
    <w:bookmarkStart w:id="948" w:name="P948"/>
    <w:bookmarkEnd w:id="948"/>
    <w:p>
      <w:pPr>
        <w:pStyle w:val="0"/>
        <w:spacing w:before="240" w:lineRule="auto"/>
        <w:ind w:firstLine="540"/>
        <w:jc w:val="both"/>
      </w:pPr>
      <w:r>
        <w:rPr>
          <w:sz w:val="24"/>
        </w:rPr>
        <w:t xml:space="preserve">8.21. Для каждого контрагента, указанного по группе аналитических признаков "Идентификатор акционера (участника)" отчетности по </w:t>
      </w:r>
      <w:hyperlink w:history="0" w:anchor="P38630" w:tooltip="Отчетность по форме 0420169">
        <w:r>
          <w:rPr>
            <w:sz w:val="24"/>
            <w:color w:val="0000ff"/>
          </w:rPr>
          <w:t xml:space="preserve">форме 0420169</w:t>
        </w:r>
      </w:hyperlink>
      <w:r>
        <w:rPr>
          <w:sz w:val="24"/>
        </w:rPr>
        <w:t xml:space="preserve">, указывается значение показателя "Дата вхождения акционера (участника) - нерезидента в состав акционеров (участников)" </w:t>
      </w:r>
      <w:hyperlink w:history="0" w:anchor="P645" w:tooltip="88">
        <w:r>
          <w:rPr>
            <w:sz w:val="24"/>
            <w:color w:val="0000ff"/>
          </w:rPr>
          <w:t xml:space="preserve">(строка 88)</w:t>
        </w:r>
      </w:hyperlink>
      <w:r>
        <w:rPr>
          <w:sz w:val="24"/>
        </w:rPr>
        <w:t xml:space="preserve"> в соответствии с </w:t>
      </w:r>
      <w:hyperlink w:history="0" w:anchor="P950" w:tooltip="8.21.1. В случае вхождения лица в состав акционеров (участников) страховой организации до 1 января 2007 года указывается &quot;До 01.01.2007&quot;.">
        <w:r>
          <w:rPr>
            <w:sz w:val="24"/>
            <w:color w:val="0000ff"/>
          </w:rPr>
          <w:t xml:space="preserve">подпунктами 8.21.1</w:t>
        </w:r>
      </w:hyperlink>
      <w:r>
        <w:rPr>
          <w:sz w:val="24"/>
        </w:rPr>
        <w:t xml:space="preserve"> и </w:t>
      </w:r>
      <w:hyperlink w:history="0" w:anchor="P951" w:tooltip="8.21.2. В случае вхождения лица в состав акционеров (участников) страховой организации после 1 января 2007 года указывается:">
        <w:r>
          <w:rPr>
            <w:sz w:val="24"/>
            <w:color w:val="0000ff"/>
          </w:rPr>
          <w:t xml:space="preserve">8.21.2</w:t>
        </w:r>
      </w:hyperlink>
      <w:r>
        <w:rPr>
          <w:sz w:val="24"/>
        </w:rPr>
        <w:t xml:space="preserve"> настоящего пункта.</w:t>
      </w:r>
    </w:p>
    <w:p>
      <w:pPr>
        <w:pStyle w:val="0"/>
        <w:spacing w:before="240" w:lineRule="auto"/>
        <w:ind w:firstLine="540"/>
        <w:jc w:val="both"/>
      </w:pPr>
      <w:r>
        <w:rPr>
          <w:sz w:val="24"/>
        </w:rPr>
        <w:t xml:space="preserve">Для контрагентов, не указанных в </w:t>
      </w:r>
      <w:hyperlink w:history="0" w:anchor="P948" w:tooltip="8.21. Для каждого контрагента, указанного по группе аналитических признаков &quot;Идентификатор акционера (участника)&quot; отчетности по форме 0420169, указывается значение показателя &quot;Дата вхождения акционера (участника) - нерезидента в состав акционеров (участников)&quot; (строка 88) в соответствии с подпунктами 8.21.1 и 8.21.2 настоящего пункта.">
        <w:r>
          <w:rPr>
            <w:sz w:val="24"/>
            <w:color w:val="0000ff"/>
          </w:rPr>
          <w:t xml:space="preserve">абзаце первом</w:t>
        </w:r>
      </w:hyperlink>
      <w:r>
        <w:rPr>
          <w:sz w:val="24"/>
        </w:rPr>
        <w:t xml:space="preserve"> настоящего подпункта, показатель "Дата вхождения акционера (участника) - нерезидента в состав акционеров (участников)" </w:t>
      </w:r>
      <w:hyperlink w:history="0" w:anchor="P645" w:tooltip="88">
        <w:r>
          <w:rPr>
            <w:sz w:val="24"/>
            <w:color w:val="0000ff"/>
          </w:rPr>
          <w:t xml:space="preserve">(строка 88)</w:t>
        </w:r>
      </w:hyperlink>
      <w:r>
        <w:rPr>
          <w:sz w:val="24"/>
        </w:rPr>
        <w:t xml:space="preserve"> не формируется.</w:t>
      </w:r>
    </w:p>
    <w:bookmarkStart w:id="950" w:name="P950"/>
    <w:bookmarkEnd w:id="950"/>
    <w:p>
      <w:pPr>
        <w:pStyle w:val="0"/>
        <w:spacing w:before="240" w:lineRule="auto"/>
        <w:ind w:firstLine="540"/>
        <w:jc w:val="both"/>
      </w:pPr>
      <w:r>
        <w:rPr>
          <w:sz w:val="24"/>
        </w:rPr>
        <w:t xml:space="preserve">8.21.1. В случае вхождения лица в состав акционеров (участников) страховой организации до 1 января 2007 года указывается "До 01.01.2007".</w:t>
      </w:r>
    </w:p>
    <w:bookmarkStart w:id="951" w:name="P951"/>
    <w:bookmarkEnd w:id="951"/>
    <w:p>
      <w:pPr>
        <w:pStyle w:val="0"/>
        <w:spacing w:before="240" w:lineRule="auto"/>
        <w:ind w:firstLine="540"/>
        <w:jc w:val="both"/>
      </w:pPr>
      <w:r>
        <w:rPr>
          <w:sz w:val="24"/>
        </w:rPr>
        <w:t xml:space="preserve">8.21.2. В случае вхождения лица в состав акционеров (участников) страховой организации после 1 января 2007 года указывается:</w:t>
      </w:r>
    </w:p>
    <w:p>
      <w:pPr>
        <w:pStyle w:val="0"/>
        <w:spacing w:before="240" w:lineRule="auto"/>
        <w:ind w:firstLine="540"/>
        <w:jc w:val="both"/>
      </w:pPr>
      <w:r>
        <w:rPr>
          <w:sz w:val="24"/>
        </w:rPr>
        <w:t xml:space="preserve">при приобретении акций страховой организации, действующей в форме акционерного общества, при увеличении ее уставного капитала - дата государственной регистрации отчета об итогах выпуска (дополнительного выпуска) акций или дата представления страховой организацией в регистрирующий орган уведомления об итогах выпуска акций;</w:t>
      </w:r>
    </w:p>
    <w:p>
      <w:pPr>
        <w:pStyle w:val="0"/>
        <w:spacing w:before="240" w:lineRule="auto"/>
        <w:ind w:firstLine="540"/>
        <w:jc w:val="both"/>
      </w:pPr>
      <w:r>
        <w:rPr>
          <w:sz w:val="24"/>
        </w:rPr>
        <w:t xml:space="preserve">при приобретении долей страховой организации, действующей в форме общества с ограниченной ответственностью, при увеличении ее уставного капитала - дата государственной регистрации изменений, внесенных в устав страховой организации в связи с изменением величины ее уставного капитала, в ЕГРЮЛ;</w:t>
      </w:r>
    </w:p>
    <w:p>
      <w:pPr>
        <w:pStyle w:val="0"/>
        <w:spacing w:before="240" w:lineRule="auto"/>
        <w:ind w:firstLine="540"/>
        <w:jc w:val="both"/>
      </w:pPr>
      <w:r>
        <w:rPr>
          <w:sz w:val="24"/>
        </w:rPr>
        <w:t xml:space="preserve">при приобретении акций страховой организации, действующей в форме акционерного общества, на вторичном рынке - дата внесения записи по лицевому счету нерезидента в реестре акционеров страховой организации, ведение и хранение которого обязана обеспечить страховая организация в соответствии с </w:t>
      </w:r>
      <w:hyperlink w:history="0" r:id="rId90"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пунктом 1 статьи 44</w:t>
        </w:r>
      </w:hyperlink>
      <w:r>
        <w:rPr>
          <w:sz w:val="24"/>
        </w:rPr>
        <w:t xml:space="preserve"> Федерального закона от 26 декабря 1995 года N 208-ФЗ "Об акционерных обществах";</w:t>
      </w:r>
    </w:p>
    <w:p>
      <w:pPr>
        <w:pStyle w:val="0"/>
        <w:spacing w:before="240" w:lineRule="auto"/>
        <w:ind w:firstLine="540"/>
        <w:jc w:val="both"/>
      </w:pPr>
      <w:r>
        <w:rPr>
          <w:sz w:val="24"/>
        </w:rPr>
        <w:t xml:space="preserve">при приобретении долей страховой организации, действующей в форме общества с ограниченной ответственностью, на вторичном рынке - дата вхождения в состав участников страховой организации в соответствии со </w:t>
      </w:r>
      <w:hyperlink w:history="0" r:id="rId91" w:tooltip="Федеральный закон от 08.02.1998 N 14-ФЗ (ред. от 28.12.2025) &quot;Об обществах с ограниченной ответственностью&quot; {КонсультантПлюс}">
        <w:r>
          <w:rPr>
            <w:sz w:val="24"/>
            <w:color w:val="0000ff"/>
          </w:rPr>
          <w:t xml:space="preserve">статьей 21</w:t>
        </w:r>
      </w:hyperlink>
      <w:r>
        <w:rPr>
          <w:sz w:val="24"/>
        </w:rPr>
        <w:t xml:space="preserve"> Федерального закона от 8 февраля 1998 года N 14-ФЗ "Об обществах с ограниченной ответственностью";</w:t>
      </w:r>
    </w:p>
    <w:p>
      <w:pPr>
        <w:pStyle w:val="0"/>
        <w:spacing w:before="240" w:lineRule="auto"/>
        <w:ind w:firstLine="540"/>
        <w:jc w:val="both"/>
      </w:pPr>
      <w:r>
        <w:rPr>
          <w:sz w:val="24"/>
        </w:rPr>
        <w:t xml:space="preserve">при приобретении акций (долей) страховой организации в результате реорганизации - дата вхождения в состав акционеров (участников) страховой организации, участвовавшей в реорганизации, в том числе прекратившей деятельность в результате такой реорганизации.</w:t>
      </w:r>
    </w:p>
    <w:p>
      <w:pPr>
        <w:pStyle w:val="0"/>
        <w:spacing w:before="240" w:lineRule="auto"/>
        <w:ind w:firstLine="540"/>
        <w:jc w:val="both"/>
      </w:pPr>
      <w:r>
        <w:rPr>
          <w:sz w:val="24"/>
        </w:rPr>
        <w:t xml:space="preserve">8.22. По показателю "Расхождение между первичными учетными документами и реестрами" </w:t>
      </w:r>
      <w:hyperlink w:history="0" w:anchor="P661" w:tooltip="90">
        <w:r>
          <w:rPr>
            <w:sz w:val="24"/>
            <w:color w:val="0000ff"/>
          </w:rPr>
          <w:t xml:space="preserve">(строка 90)</w:t>
        </w:r>
      </w:hyperlink>
      <w:r>
        <w:rPr>
          <w:sz w:val="24"/>
        </w:rPr>
        <w:t xml:space="preserve"> указываются полное наименование контрагента-резидента, являющегося юридическим лицом, фамилия, имя и отчество (при наличии) контрагента-резидента, являющегося индивидуальным предпринимателем, содержащиеся в его учредительных документах (первичных учетных документах), в случае выявления страховщиком расхождений в написании полного наименования контрагента-резидента, являющегося юридическим лицом, фамилии, имени и отчества (при наличии) контрагента-резидента, являющегося индивидуальным предпринимателем, содержащихся в учредительных документах (первичных учетных документах) и ЕГРЮЛ, едином государственном реестре индивидуальных предпринимателей (далее - ЕГРИП).</w:t>
      </w:r>
    </w:p>
    <w:p>
      <w:pPr>
        <w:pStyle w:val="0"/>
        <w:spacing w:before="240" w:lineRule="auto"/>
        <w:ind w:firstLine="540"/>
        <w:jc w:val="both"/>
      </w:pPr>
      <w:r>
        <w:rPr>
          <w:sz w:val="24"/>
        </w:rPr>
        <w:t xml:space="preserve">При отсутствии расхождений между учредительными документами (первичными учетными документами) и ЕГРЮЛ, ЕГРИП показатель "Расхождение между первичными учетными документами и реестрами" </w:t>
      </w:r>
      <w:hyperlink w:history="0" w:anchor="P661" w:tooltip="90">
        <w:r>
          <w:rPr>
            <w:sz w:val="24"/>
            <w:color w:val="0000ff"/>
          </w:rPr>
          <w:t xml:space="preserve">(строка 90)</w:t>
        </w:r>
      </w:hyperlink>
      <w:r>
        <w:rPr>
          <w:sz w:val="24"/>
        </w:rPr>
        <w:t xml:space="preserve"> не формируется.</w:t>
      </w:r>
    </w:p>
    <w:bookmarkStart w:id="959" w:name="P959"/>
    <w:bookmarkEnd w:id="959"/>
    <w:p>
      <w:pPr>
        <w:pStyle w:val="0"/>
        <w:spacing w:before="240" w:lineRule="auto"/>
        <w:ind w:firstLine="540"/>
        <w:jc w:val="both"/>
      </w:pPr>
      <w:r>
        <w:rPr>
          <w:sz w:val="24"/>
        </w:rPr>
        <w:t xml:space="preserve">8.23. По показателю "Дополнительная информация в отношении банка-нерезидента" </w:t>
      </w:r>
      <w:hyperlink w:history="0" w:anchor="P669" w:tooltip="91">
        <w:r>
          <w:rPr>
            <w:sz w:val="24"/>
            <w:color w:val="0000ff"/>
          </w:rPr>
          <w:t xml:space="preserve">(строка 91)</w:t>
        </w:r>
      </w:hyperlink>
      <w:r>
        <w:rPr>
          <w:sz w:val="24"/>
        </w:rPr>
        <w:t xml:space="preserve"> для каждого контрагента-банка, являющегося нерезидентом, указываются номер документа (лицензии, разрешения), на основании которого указанный контрагент-банк осуществляет банковские операции, а также наименование органа, выдавшего указанный документ (лицензию, разрешение).</w:t>
      </w:r>
    </w:p>
    <w:p>
      <w:pPr>
        <w:pStyle w:val="0"/>
        <w:spacing w:before="240" w:lineRule="auto"/>
        <w:ind w:firstLine="540"/>
        <w:jc w:val="both"/>
      </w:pPr>
      <w:r>
        <w:rPr>
          <w:sz w:val="24"/>
        </w:rPr>
        <w:t xml:space="preserve">Для контрагентов, не указанных в </w:t>
      </w:r>
      <w:hyperlink w:history="0" w:anchor="P959" w:tooltip="8.23. По показателю &quot;Дополнительная информация в отношении банка-нерезидента&quot; (строка 91) для каждого контрагента-банка, являющегося нерезидентом, указываются номер документа (лицензии, разрешения), на основании которого указанный контрагент-банк осуществляет банковские операции, а также наименование органа, выдавшего указанный документ (лицензию, разрешение).">
        <w:r>
          <w:rPr>
            <w:sz w:val="24"/>
            <w:color w:val="0000ff"/>
          </w:rPr>
          <w:t xml:space="preserve">абзаце первом</w:t>
        </w:r>
      </w:hyperlink>
      <w:r>
        <w:rPr>
          <w:sz w:val="24"/>
        </w:rPr>
        <w:t xml:space="preserve"> настоящего подпункта, показатель "Дополнительная информация в отношении банка-нерезидента" </w:t>
      </w:r>
      <w:hyperlink w:history="0" w:anchor="P669" w:tooltip="91">
        <w:r>
          <w:rPr>
            <w:sz w:val="24"/>
            <w:color w:val="0000ff"/>
          </w:rPr>
          <w:t xml:space="preserve">(строка 91)</w:t>
        </w:r>
      </w:hyperlink>
      <w:r>
        <w:rPr>
          <w:sz w:val="24"/>
        </w:rPr>
        <w:t xml:space="preserve"> не формируется.</w:t>
      </w:r>
    </w:p>
    <w:bookmarkStart w:id="961" w:name="P961"/>
    <w:bookmarkEnd w:id="961"/>
    <w:p>
      <w:pPr>
        <w:pStyle w:val="0"/>
        <w:spacing w:before="240" w:lineRule="auto"/>
        <w:ind w:firstLine="540"/>
        <w:jc w:val="both"/>
      </w:pPr>
      <w:r>
        <w:rPr>
          <w:sz w:val="24"/>
        </w:rPr>
        <w:t xml:space="preserve">8.24. По показателю "Дополнительная информация в отношении перестраховщика-нерезидента" </w:t>
      </w:r>
      <w:hyperlink w:history="0" w:anchor="P677" w:tooltip="92">
        <w:r>
          <w:rPr>
            <w:sz w:val="24"/>
            <w:color w:val="0000ff"/>
          </w:rPr>
          <w:t xml:space="preserve">(строка 92)</w:t>
        </w:r>
      </w:hyperlink>
      <w:r>
        <w:rPr>
          <w:sz w:val="24"/>
        </w:rPr>
        <w:t xml:space="preserve"> для каждого контрагента-перестраховщика, являющегося нерезидентом, указываются номер документа (лицензии, разрешения), на основании которого указанный контрагент-перестраховщик осуществляет операции перестрахования, а также наименование органа, выдавшего документ (лицензию, разрешение).</w:t>
      </w:r>
    </w:p>
    <w:p>
      <w:pPr>
        <w:pStyle w:val="0"/>
        <w:spacing w:before="240" w:lineRule="auto"/>
        <w:ind w:firstLine="540"/>
        <w:jc w:val="both"/>
      </w:pPr>
      <w:r>
        <w:rPr>
          <w:sz w:val="24"/>
        </w:rPr>
        <w:t xml:space="preserve">Для контрагентов, не указанных в </w:t>
      </w:r>
      <w:hyperlink w:history="0" w:anchor="P961" w:tooltip="8.24. По показателю &quot;Дополнительная информация в отношении перестраховщика-нерезидента&quot; (строка 92) для каждого контрагента-перестраховщика, являющегося нерезидентом, указываются номер документа (лицензии, разрешения), на основании которого указанный контрагент-перестраховщик осуществляет операции перестрахования, а также наименование органа, выдавшего документ (лицензию, разрешение).">
        <w:r>
          <w:rPr>
            <w:sz w:val="24"/>
            <w:color w:val="0000ff"/>
          </w:rPr>
          <w:t xml:space="preserve">абзаце первом</w:t>
        </w:r>
      </w:hyperlink>
      <w:r>
        <w:rPr>
          <w:sz w:val="24"/>
        </w:rPr>
        <w:t xml:space="preserve"> настоящего подпункта, показатель "Дополнительная информация в отношении перестраховщика-нерезидента" </w:t>
      </w:r>
      <w:hyperlink w:history="0" w:anchor="P677" w:tooltip="92">
        <w:r>
          <w:rPr>
            <w:sz w:val="24"/>
            <w:color w:val="0000ff"/>
          </w:rPr>
          <w:t xml:space="preserve">(строка 92)</w:t>
        </w:r>
      </w:hyperlink>
      <w:r>
        <w:rPr>
          <w:sz w:val="24"/>
        </w:rPr>
        <w:t xml:space="preserve"> не формируется.</w:t>
      </w:r>
    </w:p>
    <w:bookmarkStart w:id="963" w:name="P963"/>
    <w:bookmarkEnd w:id="963"/>
    <w:p>
      <w:pPr>
        <w:pStyle w:val="0"/>
        <w:spacing w:before="240" w:lineRule="auto"/>
        <w:ind w:firstLine="540"/>
        <w:jc w:val="both"/>
      </w:pPr>
      <w:r>
        <w:rPr>
          <w:sz w:val="24"/>
        </w:rPr>
        <w:t xml:space="preserve">8.25. По показателю "Дополнительная информация в отношении перестрахователя-нерезидента" </w:t>
      </w:r>
      <w:hyperlink w:history="0" w:anchor="P685" w:tooltip="93">
        <w:r>
          <w:rPr>
            <w:sz w:val="24"/>
            <w:color w:val="0000ff"/>
          </w:rPr>
          <w:t xml:space="preserve">(строка 93)</w:t>
        </w:r>
      </w:hyperlink>
      <w:r>
        <w:rPr>
          <w:sz w:val="24"/>
        </w:rPr>
        <w:t xml:space="preserve"> для каждого контрагента-перестрахователя, являющегося нерезидентом, указываются номер документа (лицензии, разрешения), на основании которого указанный контрагент-перестрахователь осуществляет операции страхования и (или) перестрахования, а также наименование органа, выдавшего документ (лицензию, разрешение).</w:t>
      </w:r>
    </w:p>
    <w:p>
      <w:pPr>
        <w:pStyle w:val="0"/>
        <w:spacing w:before="240" w:lineRule="auto"/>
        <w:ind w:firstLine="540"/>
        <w:jc w:val="both"/>
      </w:pPr>
      <w:r>
        <w:rPr>
          <w:sz w:val="24"/>
        </w:rPr>
        <w:t xml:space="preserve">Для контрагентов, не указанных в </w:t>
      </w:r>
      <w:hyperlink w:history="0" w:anchor="P963" w:tooltip="8.25. По показателю &quot;Дополнительная информация в отношении перестрахователя-нерезидента&quot; (строка 93) для каждого контрагента-перестрахователя, являющегося нерезидентом, указываются номер документа (лицензии, разрешения), на основании которого указанный контрагент-перестрахователь осуществляет операции страхования и (или) перестрахования, а также наименование органа, выдавшего документ (лицензию, разрешение).">
        <w:r>
          <w:rPr>
            <w:sz w:val="24"/>
            <w:color w:val="0000ff"/>
          </w:rPr>
          <w:t xml:space="preserve">абзаце первом</w:t>
        </w:r>
      </w:hyperlink>
      <w:r>
        <w:rPr>
          <w:sz w:val="24"/>
        </w:rPr>
        <w:t xml:space="preserve"> настоящего подпункта, показатель "Дополнительная информация в отношении перестрахователя-нерезидента" </w:t>
      </w:r>
      <w:hyperlink w:history="0" w:anchor="P685" w:tooltip="93">
        <w:r>
          <w:rPr>
            <w:sz w:val="24"/>
            <w:color w:val="0000ff"/>
          </w:rPr>
          <w:t xml:space="preserve">(строка 93)</w:t>
        </w:r>
      </w:hyperlink>
      <w:r>
        <w:rPr>
          <w:sz w:val="24"/>
        </w:rPr>
        <w:t xml:space="preserve"> не формируется.</w:t>
      </w:r>
    </w:p>
    <w:p>
      <w:pPr>
        <w:pStyle w:val="0"/>
        <w:spacing w:before="240" w:lineRule="auto"/>
        <w:ind w:firstLine="540"/>
        <w:jc w:val="both"/>
      </w:pPr>
      <w:r>
        <w:rPr>
          <w:sz w:val="24"/>
        </w:rPr>
        <w:t xml:space="preserve">8.26. По показателю "Примечание" </w:t>
      </w:r>
      <w:hyperlink w:history="0" w:anchor="P693" w:tooltip="94">
        <w:r>
          <w:rPr>
            <w:sz w:val="24"/>
            <w:color w:val="0000ff"/>
          </w:rPr>
          <w:t xml:space="preserve">(строка 94)</w:t>
        </w:r>
      </w:hyperlink>
      <w:r>
        <w:rPr>
          <w:sz w:val="24"/>
        </w:rPr>
        <w:t xml:space="preserve"> указывается информация, предусмотренная </w:t>
      </w:r>
      <w:hyperlink w:history="0" w:anchor="P855" w:tooltip="Для контрагентов-нерезидентов показатель &quot;Идентификационный номер налогоплательщика (ИНН)&quot; (строка 60) не формируется, сведения об ИНН (при наличии) указываются по показателю &quot;Примечание&quot; (строка 94).">
        <w:r>
          <w:rPr>
            <w:sz w:val="24"/>
            <w:color w:val="0000ff"/>
          </w:rPr>
          <w:t xml:space="preserve">абзацем вторым подпункта 8.3</w:t>
        </w:r>
      </w:hyperlink>
      <w:r>
        <w:rPr>
          <w:sz w:val="24"/>
        </w:rPr>
        <w:t xml:space="preserve"> и </w:t>
      </w:r>
      <w:hyperlink w:history="0" w:anchor="P873" w:tooltip="Сведения о СНИЛС физического лица - нерезидента (при наличии) указываются по показателю &quot;Примечание&quot; (строка 94).">
        <w:r>
          <w:rPr>
            <w:sz w:val="24"/>
            <w:color w:val="0000ff"/>
          </w:rPr>
          <w:t xml:space="preserve">абзацем пятым подпункта 8.9</w:t>
        </w:r>
      </w:hyperlink>
      <w:r>
        <w:rPr>
          <w:sz w:val="24"/>
        </w:rPr>
        <w:t xml:space="preserve"> настоящего пункта, а также иная информация по контрагенту (при наличии), являющаяся по решению страховщика существенной.</w:t>
      </w:r>
    </w:p>
    <w:bookmarkStart w:id="966" w:name="P966"/>
    <w:bookmarkEnd w:id="966"/>
    <w:p>
      <w:pPr>
        <w:pStyle w:val="0"/>
        <w:spacing w:before="240" w:lineRule="auto"/>
        <w:ind w:firstLine="540"/>
        <w:jc w:val="both"/>
      </w:pPr>
      <w:r>
        <w:rPr>
          <w:sz w:val="24"/>
        </w:rPr>
        <w:t xml:space="preserve">8.27. При формировании значения идентификатора контрагента, указываемого по группе аналитических признаков "Идентификатор контрагента", позволяющего выделить одного контрагента из других контрагентов страховщика, страховщик должен указать в зависимости от контрагента характеристики, перечисленные в </w:t>
      </w:r>
      <w:hyperlink w:history="0" w:anchor="P969" w:tooltip="8.27.1. Для контрагента-резидента, являющегося юридическим лицом, указываются следующие характеристики:">
        <w:r>
          <w:rPr>
            <w:sz w:val="24"/>
            <w:color w:val="0000ff"/>
          </w:rPr>
          <w:t xml:space="preserve">подпунктах 8.27.1</w:t>
        </w:r>
      </w:hyperlink>
      <w:r>
        <w:rPr>
          <w:sz w:val="24"/>
        </w:rPr>
        <w:t xml:space="preserve"> - </w:t>
      </w:r>
      <w:hyperlink w:history="0" w:anchor="P987" w:tooltip="8.27.5. Для контрагента-нерезидента, являющегося физическим лицом (в том числе зарегистрированным в качестве индивидуального предпринимателя в соответствии с законодательством иностранного государства), указываются следующие характеристики:">
        <w:r>
          <w:rPr>
            <w:sz w:val="24"/>
            <w:color w:val="0000ff"/>
          </w:rPr>
          <w:t xml:space="preserve">8.27.5</w:t>
        </w:r>
      </w:hyperlink>
      <w:r>
        <w:rPr>
          <w:sz w:val="24"/>
        </w:rPr>
        <w:t xml:space="preserve"> настоящего пункта (с сохранением приведенной последовательности их указания).</w:t>
      </w:r>
    </w:p>
    <w:p>
      <w:pPr>
        <w:pStyle w:val="0"/>
        <w:spacing w:before="240" w:lineRule="auto"/>
        <w:ind w:firstLine="540"/>
        <w:jc w:val="both"/>
      </w:pPr>
      <w:r>
        <w:rPr>
          <w:sz w:val="24"/>
        </w:rPr>
        <w:t xml:space="preserve">В качестве разделителя характеристик идентификатора контрагента используется символ "_" (нижнее подчеркивание (без пробелов).</w:t>
      </w:r>
    </w:p>
    <w:p>
      <w:pPr>
        <w:pStyle w:val="0"/>
        <w:spacing w:before="240" w:lineRule="auto"/>
        <w:ind w:firstLine="540"/>
        <w:jc w:val="both"/>
      </w:pPr>
      <w:r>
        <w:rPr>
          <w:sz w:val="24"/>
        </w:rPr>
        <w:t xml:space="preserve">При отражении в отчетности страховщика сведений, относящихся к одному и тому же контрагенту, должно быть указано одно и то же значение идентификатора контрагента. Изменение значения идентификатора контрагента осуществляется в случае изменения характеристик, использованных при формировании идентификатора контрагента.</w:t>
      </w:r>
    </w:p>
    <w:bookmarkStart w:id="969" w:name="P969"/>
    <w:bookmarkEnd w:id="969"/>
    <w:p>
      <w:pPr>
        <w:pStyle w:val="0"/>
        <w:spacing w:before="240" w:lineRule="auto"/>
        <w:ind w:firstLine="540"/>
        <w:jc w:val="both"/>
      </w:pPr>
      <w:r>
        <w:rPr>
          <w:sz w:val="24"/>
        </w:rPr>
        <w:t xml:space="preserve">8.27.1. Для контрагента-резидента, являющегося юридическим лицом, указываются следующие характеристики:</w:t>
      </w:r>
    </w:p>
    <w:p>
      <w:pPr>
        <w:pStyle w:val="0"/>
        <w:spacing w:before="240" w:lineRule="auto"/>
        <w:ind w:firstLine="540"/>
        <w:jc w:val="both"/>
      </w:pPr>
      <w:r>
        <w:rPr>
          <w:sz w:val="24"/>
        </w:rPr>
        <w:t xml:space="preserve">код 995 (для хозяйственных обществ со статусом международной компании, зарегистрированных в ЕГРЮЛ в порядке инкорпорации в соответствии со </w:t>
      </w:r>
      <w:hyperlink w:history="0" r:id="rId92"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и фондов, имеющих статус международного фонда, зарегистрированных в ЕГРЮЛ в порядке инкорпорации в соответствии со </w:t>
      </w:r>
      <w:hyperlink w:history="0" r:id="rId93"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код 996 (для хозяйственных обществ со статусом международной компании, зарегистрированных в ЕГРЮЛ в связи с изменением иностранным юридическим лицом личного закона в порядке редомициляции в соответствии со </w:t>
      </w:r>
      <w:hyperlink w:history="0" r:id="rId94"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и фондов, имеющих статус международного фонда, зарегистрированных в ЕГРЮЛ в связи с изменением иностранным юридическим лицом личного закона в порядке редомициляции в соответствии со </w:t>
      </w:r>
      <w:hyperlink w:history="0" r:id="rId95"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или код Российской Федерации 643 в соответствии с </w:t>
      </w:r>
      <w:hyperlink w:history="0" r:id="rId96"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(для контрагентов, по которым не указан код 995 или код 996);</w:t>
      </w:r>
    </w:p>
    <w:p>
      <w:pPr>
        <w:pStyle w:val="0"/>
        <w:spacing w:before="240" w:lineRule="auto"/>
        <w:ind w:firstLine="540"/>
        <w:jc w:val="both"/>
      </w:pPr>
      <w:r>
        <w:rPr>
          <w:sz w:val="24"/>
        </w:rPr>
        <w:t xml:space="preserve">ИНН;</w:t>
      </w:r>
    </w:p>
    <w:p>
      <w:pPr>
        <w:pStyle w:val="0"/>
        <w:spacing w:before="240" w:lineRule="auto"/>
        <w:ind w:firstLine="540"/>
        <w:jc w:val="both"/>
      </w:pPr>
      <w:r>
        <w:rPr>
          <w:sz w:val="24"/>
        </w:rPr>
        <w:t xml:space="preserve">ОГРН.</w:t>
      </w:r>
    </w:p>
    <w:p>
      <w:pPr>
        <w:pStyle w:val="0"/>
        <w:spacing w:before="240" w:lineRule="auto"/>
        <w:ind w:firstLine="540"/>
        <w:jc w:val="both"/>
      </w:pPr>
      <w:r>
        <w:rPr>
          <w:sz w:val="24"/>
        </w:rPr>
        <w:t xml:space="preserve">8.27.2. Для контрагента-нерезидента, являющегося юридическим лицом, указываются следующие характеристики:</w:t>
      </w:r>
    </w:p>
    <w:bookmarkStart w:id="974" w:name="P974"/>
    <w:bookmarkEnd w:id="974"/>
    <w:p>
      <w:pPr>
        <w:pStyle w:val="0"/>
        <w:spacing w:before="240" w:lineRule="auto"/>
        <w:ind w:firstLine="540"/>
        <w:jc w:val="both"/>
      </w:pPr>
      <w:r>
        <w:rPr>
          <w:sz w:val="24"/>
        </w:rPr>
        <w:t xml:space="preserve">код 998 (для международной организации, в том числе международной финансовой организации, осуществляющей деятельность в сфере перестрахования) или код страны регистрации в соответствии с </w:t>
      </w:r>
      <w:hyperlink w:history="0" r:id="rId9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(для контрагентов, по которым не указан код 998);</w:t>
      </w:r>
    </w:p>
    <w:p>
      <w:pPr>
        <w:pStyle w:val="0"/>
        <w:spacing w:before="240" w:lineRule="auto"/>
        <w:ind w:firstLine="540"/>
        <w:jc w:val="both"/>
      </w:pPr>
      <w:r>
        <w:rPr>
          <w:sz w:val="24"/>
        </w:rPr>
        <w:t xml:space="preserve">TIN или его аналог, либо регистрационный номер в стране регистрации (в случае отсутствия TIN или его аналога), либо LEI (в случае отсутствия TIN или его аналога и регистрационного номера в стране регистрации). В случае отсутствия TIN или его аналога, регистрационного номера в стране регистрации и LEI указываются три нуля;</w:t>
      </w:r>
    </w:p>
    <w:bookmarkStart w:id="976" w:name="P976"/>
    <w:bookmarkEnd w:id="976"/>
    <w:p>
      <w:pPr>
        <w:pStyle w:val="0"/>
        <w:spacing w:before="240" w:lineRule="auto"/>
        <w:ind w:firstLine="540"/>
        <w:jc w:val="both"/>
      </w:pPr>
      <w:r>
        <w:rPr>
          <w:sz w:val="24"/>
        </w:rPr>
        <w:t xml:space="preserve">код нерезидента, присвоенный страховщиком контрагенту в соответствии с </w:t>
      </w:r>
      <w:hyperlink w:history="0" w:anchor="P992" w:tooltip="8.27.6. В коде нерезидента, присваиваемом страховщиком нерезиденту, позволяющем выделить одного нерезидента из других нерезидентов, страховщик должен отразить значение &quot;КН&quot; и порядковый номер нерезидента, присвоенный ему страховщиком и состоящий из четырех цифр с лидирующими нулями.">
        <w:r>
          <w:rPr>
            <w:sz w:val="24"/>
            <w:color w:val="0000ff"/>
          </w:rPr>
          <w:t xml:space="preserve">подпунктом 8.27.6</w:t>
        </w:r>
      </w:hyperlink>
      <w:r>
        <w:rPr>
          <w:sz w:val="24"/>
        </w:rPr>
        <w:t xml:space="preserve"> настоящего пункта. В случае наличия TIN или его аналога либо регистрационного номера в стране регистрации указывается значение "КН0000".</w:t>
      </w:r>
    </w:p>
    <w:p>
      <w:pPr>
        <w:pStyle w:val="0"/>
        <w:spacing w:before="240" w:lineRule="auto"/>
        <w:ind w:firstLine="540"/>
        <w:jc w:val="both"/>
      </w:pPr>
      <w:r>
        <w:rPr>
          <w:sz w:val="24"/>
        </w:rPr>
        <w:t xml:space="preserve">В случае если характеристики, указанные в </w:t>
      </w:r>
      <w:hyperlink w:history="0" w:anchor="P974" w:tooltip="код 998 (для международной организации, в том числе международной финансовой организации, осуществляющей деятельность в сфере перестрахования) или код страны регистрации в соответствии с ОКСМ (для контрагентов, по которым не указан код 998);">
        <w:r>
          <w:rPr>
            <w:sz w:val="24"/>
            <w:color w:val="0000ff"/>
          </w:rPr>
          <w:t xml:space="preserve">абзацах втором</w:t>
        </w:r>
      </w:hyperlink>
      <w:r>
        <w:rPr>
          <w:sz w:val="24"/>
        </w:rPr>
        <w:t xml:space="preserve"> - </w:t>
      </w:r>
      <w:hyperlink w:history="0" w:anchor="P976" w:tooltip="код нерезидента, присвоенный страховщиком контрагенту в соответствии с подпунктом 8.27.6 настоящего пункта. В случае наличия TIN или его аналога либо регистрационного номера в стране регистрации указывается значение &quot;КН0000&quot;.">
        <w:r>
          <w:rPr>
            <w:sz w:val="24"/>
            <w:color w:val="0000ff"/>
          </w:rPr>
          <w:t xml:space="preserve">четвертом</w:t>
        </w:r>
      </w:hyperlink>
      <w:r>
        <w:rPr>
          <w:sz w:val="24"/>
        </w:rPr>
        <w:t xml:space="preserve"> настоящего подпункта, не позволяют выделить одного контрагента-нерезидента, являющегося юридическим лицом, из других контрагентов-нерезидентов, являющихся юридическими лицами, в целях обеспечения идентификации указанного контрагента значение идентификатора контрагента после характеристик, указанных в </w:t>
      </w:r>
      <w:hyperlink w:history="0" w:anchor="P974" w:tooltip="код 998 (для международной организации, в том числе международной финансовой организации, осуществляющей деятельность в сфере перестрахования) или код страны регистрации в соответствии с ОКСМ (для контрагентов, по которым не указан код 998);">
        <w:r>
          <w:rPr>
            <w:sz w:val="24"/>
            <w:color w:val="0000ff"/>
          </w:rPr>
          <w:t xml:space="preserve">абзацах втором</w:t>
        </w:r>
      </w:hyperlink>
      <w:r>
        <w:rPr>
          <w:sz w:val="24"/>
        </w:rPr>
        <w:t xml:space="preserve"> - </w:t>
      </w:r>
      <w:hyperlink w:history="0" w:anchor="P976" w:tooltip="код нерезидента, присвоенный страховщиком контрагенту в соответствии с подпунктом 8.27.6 настоящего пункта. В случае наличия TIN или его аналога либо регистрационного номера в стране регистрации указывается значение &quot;КН0000&quot;.">
        <w:r>
          <w:rPr>
            <w:sz w:val="24"/>
            <w:color w:val="0000ff"/>
          </w:rPr>
          <w:t xml:space="preserve">четвертом</w:t>
        </w:r>
      </w:hyperlink>
      <w:r>
        <w:rPr>
          <w:sz w:val="24"/>
        </w:rPr>
        <w:t xml:space="preserve"> настоящего подпункта, страховщик дополняет характеристикой, являющейся по решению страховщика существенной и относящейся к конкретному контрагенту (в том числе наименованием юридического лица).</w:t>
      </w:r>
    </w:p>
    <w:p>
      <w:pPr>
        <w:pStyle w:val="0"/>
        <w:spacing w:before="240" w:lineRule="auto"/>
        <w:ind w:firstLine="540"/>
        <w:jc w:val="both"/>
      </w:pPr>
      <w:r>
        <w:rPr>
          <w:sz w:val="24"/>
        </w:rPr>
        <w:t xml:space="preserve">8.27.3. Для контрагента-резидента, являющегося индивидуальным предпринимателем, указываются следующие характеристики:</w:t>
      </w:r>
    </w:p>
    <w:p>
      <w:pPr>
        <w:pStyle w:val="0"/>
        <w:spacing w:before="240" w:lineRule="auto"/>
        <w:ind w:firstLine="540"/>
        <w:jc w:val="both"/>
      </w:pPr>
      <w:r>
        <w:rPr>
          <w:sz w:val="24"/>
        </w:rPr>
        <w:t xml:space="preserve">код Российской Федерации 643 в соответствии с </w:t>
      </w:r>
      <w:hyperlink w:history="0" r:id="rId98"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w:t>
      </w:r>
    </w:p>
    <w:p>
      <w:pPr>
        <w:pStyle w:val="0"/>
        <w:spacing w:before="240" w:lineRule="auto"/>
        <w:ind w:firstLine="540"/>
        <w:jc w:val="both"/>
      </w:pPr>
      <w:r>
        <w:rPr>
          <w:sz w:val="24"/>
        </w:rPr>
        <w:t xml:space="preserve">ИНН;</w:t>
      </w:r>
    </w:p>
    <w:p>
      <w:pPr>
        <w:pStyle w:val="0"/>
        <w:spacing w:before="240" w:lineRule="auto"/>
        <w:ind w:firstLine="540"/>
        <w:jc w:val="both"/>
      </w:pPr>
      <w:r>
        <w:rPr>
          <w:sz w:val="24"/>
        </w:rPr>
        <w:t xml:space="preserve">ОГРНИП.</w:t>
      </w:r>
    </w:p>
    <w:p>
      <w:pPr>
        <w:pStyle w:val="0"/>
        <w:spacing w:before="240" w:lineRule="auto"/>
        <w:ind w:firstLine="540"/>
        <w:jc w:val="both"/>
      </w:pPr>
      <w:r>
        <w:rPr>
          <w:sz w:val="24"/>
        </w:rPr>
        <w:t xml:space="preserve">8.27.4. Для контрагента-резидента, являющегося физическим лицом (кроме индивидуального предпринимателя), указываются следующие характеристики:</w:t>
      </w:r>
    </w:p>
    <w:bookmarkStart w:id="983" w:name="P983"/>
    <w:bookmarkEnd w:id="983"/>
    <w:p>
      <w:pPr>
        <w:pStyle w:val="0"/>
        <w:spacing w:before="240" w:lineRule="auto"/>
        <w:ind w:firstLine="540"/>
        <w:jc w:val="both"/>
      </w:pPr>
      <w:r>
        <w:rPr>
          <w:sz w:val="24"/>
        </w:rPr>
        <w:t xml:space="preserve">код Российской Федерации 643 в соответствии с </w:t>
      </w:r>
      <w:hyperlink w:history="0" r:id="rId9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w:t>
      </w:r>
    </w:p>
    <w:p>
      <w:pPr>
        <w:pStyle w:val="0"/>
        <w:spacing w:before="240" w:lineRule="auto"/>
        <w:ind w:firstLine="540"/>
        <w:jc w:val="both"/>
      </w:pPr>
      <w:r>
        <w:rPr>
          <w:sz w:val="24"/>
        </w:rPr>
        <w:t xml:space="preserve">ИНН (в случае отсутствия ИНН указываются двенадцать нулей);</w:t>
      </w:r>
    </w:p>
    <w:bookmarkStart w:id="985" w:name="P985"/>
    <w:bookmarkEnd w:id="985"/>
    <w:p>
      <w:pPr>
        <w:pStyle w:val="0"/>
        <w:spacing w:before="240" w:lineRule="auto"/>
        <w:ind w:firstLine="540"/>
        <w:jc w:val="both"/>
      </w:pPr>
      <w:r>
        <w:rPr>
          <w:sz w:val="24"/>
        </w:rPr>
        <w:t xml:space="preserve">СНИЛС (указывается в соответствии со значением показателя "СНИЛС" </w:t>
      </w:r>
      <w:hyperlink w:history="0" w:anchor="P453" w:tooltip="66">
        <w:r>
          <w:rPr>
            <w:sz w:val="24"/>
            <w:color w:val="0000ff"/>
          </w:rPr>
          <w:t xml:space="preserve">(строка 66)</w:t>
        </w:r>
      </w:hyperlink>
      <w:r>
        <w:rPr>
          <w:sz w:val="24"/>
        </w:rPr>
        <w:t xml:space="preserve">, указанным в соответствии с </w:t>
      </w:r>
      <w:hyperlink w:history="0" w:anchor="P869" w:tooltip="8.9. По показателю &quot;СНИЛС&quot; (строка 66) для каждого контрагента-резидента, являющегося физическим лицом, сведения о котором отражены в разделе 2 отчетности по форме 0420152, указывается страховой номер индивидуального лицевого счета гражданина в системе обязательного пенсионного страхования Российской Федерации (далее - СНИЛС) (при наличии).">
        <w:r>
          <w:rPr>
            <w:sz w:val="24"/>
            <w:color w:val="0000ff"/>
          </w:rPr>
          <w:t xml:space="preserve">подпунктом 8.9</w:t>
        </w:r>
      </w:hyperlink>
      <w:r>
        <w:rPr>
          <w:sz w:val="24"/>
        </w:rPr>
        <w:t xml:space="preserve"> настоящего пункта).</w:t>
      </w:r>
    </w:p>
    <w:p>
      <w:pPr>
        <w:pStyle w:val="0"/>
        <w:spacing w:before="240" w:lineRule="auto"/>
        <w:ind w:firstLine="540"/>
        <w:jc w:val="both"/>
      </w:pPr>
      <w:r>
        <w:rPr>
          <w:sz w:val="24"/>
        </w:rPr>
        <w:t xml:space="preserve">В случае если характеристики, указанные в </w:t>
      </w:r>
      <w:hyperlink w:history="0" w:anchor="P983" w:tooltip="код Российской Федерации 643 в соответствии с ОКСМ;">
        <w:r>
          <w:rPr>
            <w:sz w:val="24"/>
            <w:color w:val="0000ff"/>
          </w:rPr>
          <w:t xml:space="preserve">абзацах втором</w:t>
        </w:r>
      </w:hyperlink>
      <w:r>
        <w:rPr>
          <w:sz w:val="24"/>
        </w:rPr>
        <w:t xml:space="preserve"> - </w:t>
      </w:r>
      <w:hyperlink w:history="0" w:anchor="P985" w:tooltip="СНИЛС (указывается в соответствии со значением показателя &quot;СНИЛС&quot; (строка 66), указанным в соответствии с подпунктом 8.9 настоящего пункта).">
        <w:r>
          <w:rPr>
            <w:sz w:val="24"/>
            <w:color w:val="0000ff"/>
          </w:rPr>
          <w:t xml:space="preserve">четвертом</w:t>
        </w:r>
      </w:hyperlink>
      <w:r>
        <w:rPr>
          <w:sz w:val="24"/>
        </w:rPr>
        <w:t xml:space="preserve"> настоящего подпункта, не позволяют выделить одного контрагента-резидента, являющегося физическим лицом (кроме индивидуального предпринимателя), из других контрагентов-резидентов, являющихся физическими лицами (кроме индивидуальных предпринимателей), в целях обеспечения идентификации указанного контрагента значение идентификатора контрагента после характеристик, указанных в </w:t>
      </w:r>
      <w:hyperlink w:history="0" w:anchor="P983" w:tooltip="код Российской Федерации 643 в соответствии с ОКСМ;">
        <w:r>
          <w:rPr>
            <w:sz w:val="24"/>
            <w:color w:val="0000ff"/>
          </w:rPr>
          <w:t xml:space="preserve">абзацах втором</w:t>
        </w:r>
      </w:hyperlink>
      <w:r>
        <w:rPr>
          <w:sz w:val="24"/>
        </w:rPr>
        <w:t xml:space="preserve"> - </w:t>
      </w:r>
      <w:hyperlink w:history="0" w:anchor="P985" w:tooltip="СНИЛС (указывается в соответствии со значением показателя &quot;СНИЛС&quot; (строка 66), указанным в соответствии с подпунктом 8.9 настоящего пункта).">
        <w:r>
          <w:rPr>
            <w:sz w:val="24"/>
            <w:color w:val="0000ff"/>
          </w:rPr>
          <w:t xml:space="preserve">четвертом</w:t>
        </w:r>
      </w:hyperlink>
      <w:r>
        <w:rPr>
          <w:sz w:val="24"/>
        </w:rPr>
        <w:t xml:space="preserve"> настоящего подпункта, страховщик дополняет характеристикой, являющейся по решению страховщика существенной и относящейся к конкретному контрагенту (в том числе серией (при наличии) и номером документа, удостоверяющего личность физического лица (указываются без пробелов), фамилией, именем и отчеством (при наличии) физического лица).</w:t>
      </w:r>
    </w:p>
    <w:bookmarkStart w:id="987" w:name="P987"/>
    <w:bookmarkEnd w:id="987"/>
    <w:p>
      <w:pPr>
        <w:pStyle w:val="0"/>
        <w:spacing w:before="240" w:lineRule="auto"/>
        <w:ind w:firstLine="540"/>
        <w:jc w:val="both"/>
      </w:pPr>
      <w:r>
        <w:rPr>
          <w:sz w:val="24"/>
        </w:rPr>
        <w:t xml:space="preserve">8.27.5. Для контрагента-нерезидента, являющегося физическим лицом (в том числе зарегистрированным в качестве индивидуального предпринимателя в соответствии с законодательством иностранного государства), указываются следующие характеристики:</w:t>
      </w:r>
    </w:p>
    <w:bookmarkStart w:id="988" w:name="P988"/>
    <w:bookmarkEnd w:id="988"/>
    <w:p>
      <w:pPr>
        <w:pStyle w:val="0"/>
        <w:spacing w:before="240" w:lineRule="auto"/>
        <w:ind w:firstLine="540"/>
        <w:jc w:val="both"/>
      </w:pPr>
      <w:r>
        <w:rPr>
          <w:sz w:val="24"/>
        </w:rPr>
        <w:t xml:space="preserve">код страны гражданства (подданства) в соответствии с </w:t>
      </w:r>
      <w:hyperlink w:history="0" r:id="rId100"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В случае наличия нескольких гражданств (подданств) указывается код страны, резидентом которой является указанное физическое лицо;</w:t>
      </w:r>
    </w:p>
    <w:p>
      <w:pPr>
        <w:pStyle w:val="0"/>
        <w:spacing w:before="240" w:lineRule="auto"/>
        <w:ind w:firstLine="540"/>
        <w:jc w:val="both"/>
      </w:pPr>
      <w:r>
        <w:rPr>
          <w:sz w:val="24"/>
        </w:rPr>
        <w:t xml:space="preserve">TIN или его аналог (в случае отсутствия TIN или его аналога указываются пять нулей);</w:t>
      </w:r>
    </w:p>
    <w:bookmarkStart w:id="990" w:name="P990"/>
    <w:bookmarkEnd w:id="990"/>
    <w:p>
      <w:pPr>
        <w:pStyle w:val="0"/>
        <w:spacing w:before="240" w:lineRule="auto"/>
        <w:ind w:firstLine="540"/>
        <w:jc w:val="both"/>
      </w:pPr>
      <w:r>
        <w:rPr>
          <w:sz w:val="24"/>
        </w:rPr>
        <w:t xml:space="preserve">код нерезидента, присвоенный страховщиком контрагенту в соответствии с </w:t>
      </w:r>
      <w:hyperlink w:history="0" w:anchor="P992" w:tooltip="8.27.6. В коде нерезидента, присваиваемом страховщиком нерезиденту, позволяющем выделить одного нерезидента из других нерезидентов, страховщик должен отразить значение &quot;КН&quot; и порядковый номер нерезидента, присвоенный ему страховщиком и состоящий из четырех цифр с лидирующими нулями.">
        <w:r>
          <w:rPr>
            <w:sz w:val="24"/>
            <w:color w:val="0000ff"/>
          </w:rPr>
          <w:t xml:space="preserve">подпунктом 8.27.6</w:t>
        </w:r>
      </w:hyperlink>
      <w:r>
        <w:rPr>
          <w:sz w:val="24"/>
        </w:rPr>
        <w:t xml:space="preserve"> настоящего пункта. В случае наличия TIN или его аналога указывается значение "КН0000".</w:t>
      </w:r>
    </w:p>
    <w:p>
      <w:pPr>
        <w:pStyle w:val="0"/>
        <w:spacing w:before="240" w:lineRule="auto"/>
        <w:ind w:firstLine="540"/>
        <w:jc w:val="both"/>
      </w:pPr>
      <w:r>
        <w:rPr>
          <w:sz w:val="24"/>
        </w:rPr>
        <w:t xml:space="preserve">В случае если характеристики, указанные в </w:t>
      </w:r>
      <w:hyperlink w:history="0" w:anchor="P988" w:tooltip="код страны гражданства (подданства) в соответствии с ОКСМ. В случае наличия нескольких гражданств (подданств) указывается код страны, резидентом которой является указанное физическое лицо;">
        <w:r>
          <w:rPr>
            <w:sz w:val="24"/>
            <w:color w:val="0000ff"/>
          </w:rPr>
          <w:t xml:space="preserve">абзацах втором</w:t>
        </w:r>
      </w:hyperlink>
      <w:r>
        <w:rPr>
          <w:sz w:val="24"/>
        </w:rPr>
        <w:t xml:space="preserve"> - </w:t>
      </w:r>
      <w:hyperlink w:history="0" w:anchor="P990" w:tooltip="код нерезидента, присвоенный страховщиком контрагенту в соответствии с подпунктом 8.27.6 настоящего пункта. В случае наличия TIN или его аналога указывается значение &quot;КН0000&quot;.">
        <w:r>
          <w:rPr>
            <w:sz w:val="24"/>
            <w:color w:val="0000ff"/>
          </w:rPr>
          <w:t xml:space="preserve">четвертом</w:t>
        </w:r>
      </w:hyperlink>
      <w:r>
        <w:rPr>
          <w:sz w:val="24"/>
        </w:rPr>
        <w:t xml:space="preserve"> настоящего подпункта, не позволяют выделить одного контрагента-нерезидента, являющегося физическим лицом (в том числе зарегистрированным в качестве индивидуального предпринимателя в соответствии с законодательством иностранного государства), из других контрагентов-нерезидентов, являющихся физическими лицами (в том числе зарегистрированными в качестве индивидуальных предпринимателей в соответствии с законодательством иностранного государства), в целях обеспечения идентификации указанного контрагента значение идентификатора контрагента после характеристик, указанных в </w:t>
      </w:r>
      <w:hyperlink w:history="0" w:anchor="P988" w:tooltip="код страны гражданства (подданства) в соответствии с ОКСМ. В случае наличия нескольких гражданств (подданств) указывается код страны, резидентом которой является указанное физическое лицо;">
        <w:r>
          <w:rPr>
            <w:sz w:val="24"/>
            <w:color w:val="0000ff"/>
          </w:rPr>
          <w:t xml:space="preserve">абзацах втором</w:t>
        </w:r>
      </w:hyperlink>
      <w:r>
        <w:rPr>
          <w:sz w:val="24"/>
        </w:rPr>
        <w:t xml:space="preserve"> - </w:t>
      </w:r>
      <w:hyperlink w:history="0" w:anchor="P990" w:tooltip="код нерезидента, присвоенный страховщиком контрагенту в соответствии с подпунктом 8.27.6 настоящего пункта. В случае наличия TIN или его аналога указывается значение &quot;КН0000&quot;.">
        <w:r>
          <w:rPr>
            <w:sz w:val="24"/>
            <w:color w:val="0000ff"/>
          </w:rPr>
          <w:t xml:space="preserve">четвертом</w:t>
        </w:r>
      </w:hyperlink>
      <w:r>
        <w:rPr>
          <w:sz w:val="24"/>
        </w:rPr>
        <w:t xml:space="preserve"> настоящего подпункта, страховщик дополняет характеристикой, являющейся по решению страховщика существенной и относящейся к конкретному контрагенту (в том числе серией (при наличии) и номером документа, удостоверяющего личность физического лица (указываются без пробелов), фамилией, именем и отчеством (при наличии) физического лица).</w:t>
      </w:r>
    </w:p>
    <w:bookmarkStart w:id="992" w:name="P992"/>
    <w:bookmarkEnd w:id="992"/>
    <w:p>
      <w:pPr>
        <w:pStyle w:val="0"/>
        <w:spacing w:before="240" w:lineRule="auto"/>
        <w:ind w:firstLine="540"/>
        <w:jc w:val="both"/>
      </w:pPr>
      <w:r>
        <w:rPr>
          <w:sz w:val="24"/>
        </w:rPr>
        <w:t xml:space="preserve">8.27.6. В коде нерезидента, присваиваемом страховщиком нерезиденту, позволяющем выделить одного нерезидента из других нерезидентов, страховщик должен отразить значение "КН" и порядковый номер нерезидента, присвоенный ему страховщиком и состоящий из четырех цифр с лидирующими нулями.</w:t>
      </w:r>
    </w:p>
    <w:p>
      <w:pPr>
        <w:pStyle w:val="0"/>
        <w:spacing w:before="240" w:lineRule="auto"/>
        <w:ind w:firstLine="540"/>
        <w:jc w:val="both"/>
      </w:pPr>
      <w:r>
        <w:rPr>
          <w:sz w:val="24"/>
        </w:rPr>
        <w:t xml:space="preserve">В целях присвоения порядкового номера нерезидента страховщик составляет список юридических и физических лиц (в том числе зарегистрированных в качестве индивидуальных предпринимателей в соответствии с законодательством иностранного государства), являющихся нерезидентами Российской Федерации, у которых отсутствуют TIN и регистрационный номер в стране регистрации, и присваивает каждому порядковый номер начиная с номера 0001. Один и тот же нерезидент включается в список только один раз, присвоение одного и того же кода нерезидента разным лицам не допускается.</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1001" w:name="P1001"/>
    <w:bookmarkEnd w:id="1001"/>
    <w:p>
      <w:pPr>
        <w:pStyle w:val="0"/>
        <w:jc w:val="center"/>
      </w:pPr>
      <w:r>
        <w:rPr>
          <w:sz w:val="24"/>
        </w:rPr>
        <w:t xml:space="preserve">Отчетность по форме 0420151</w:t>
      </w:r>
    </w:p>
    <w:p>
      <w:pPr>
        <w:pStyle w:val="0"/>
        <w:jc w:val="center"/>
      </w:pPr>
      <w:r>
        <w:rPr>
          <w:sz w:val="24"/>
        </w:rPr>
        <w:t xml:space="preserve">"Сведения об обособленных подразделениях страховщика"</w:t>
      </w:r>
    </w:p>
    <w:p>
      <w:pPr>
        <w:pStyle w:val="0"/>
        <w:ind w:firstLine="540"/>
        <w:jc w:val="both"/>
      </w:pPr>
      <w:r>
        <w:rPr>
          <w:sz w:val="24"/>
        </w:rPr>
      </w:r>
    </w:p>
    <w:p>
      <w:pPr>
        <w:pStyle w:val="0"/>
        <w:jc w:val="right"/>
      </w:pPr>
      <w:r>
        <w:rPr>
          <w:sz w:val="24"/>
        </w:rPr>
        <w:t xml:space="preserve">Код формы по </w:t>
      </w:r>
      <w:hyperlink w:history="0" r:id="rId10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1380" w:tooltip="&lt;1&gt; Общероссийский классификатор управленческой документации.">
        <w:r>
          <w:rPr>
            <w:sz w:val="24"/>
            <w:color w:val="0000ff"/>
          </w:rPr>
          <w:t xml:space="preserve">&lt;1&gt;</w:t>
        </w:r>
      </w:hyperlink>
      <w:r>
        <w:rPr>
          <w:sz w:val="24"/>
        </w:rPr>
        <w:t xml:space="preserve"> 0420151</w:t>
      </w:r>
    </w:p>
    <w:p>
      <w:pPr>
        <w:pStyle w:val="0"/>
        <w:ind w:firstLine="540"/>
        <w:jc w:val="both"/>
      </w:pPr>
      <w:r>
        <w:rPr>
          <w:sz w:val="24"/>
        </w:rPr>
      </w:r>
    </w:p>
    <w:p>
      <w:pPr>
        <w:pStyle w:val="0"/>
        <w:jc w:val="right"/>
      </w:pPr>
      <w:r>
        <w:rPr>
          <w:sz w:val="24"/>
        </w:rPr>
        <w:t xml:space="preserve">Квартальная, годовая,</w:t>
      </w:r>
    </w:p>
    <w:p>
      <w:pPr>
        <w:pStyle w:val="0"/>
        <w:jc w:val="right"/>
      </w:pPr>
      <w:r>
        <w:rPr>
          <w:sz w:val="24"/>
        </w:rPr>
        <w:t xml:space="preserve">на нерегулярной основе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1017" w:name="P1017"/>
          <w:bookmarkEnd w:id="1017"/>
          <w:p>
            <w:pPr>
              <w:pStyle w:val="0"/>
            </w:pPr>
            <w:r>
              <w:rPr>
                <w:sz w:val="24"/>
              </w:rPr>
              <w:t xml:space="preserve">1</w:t>
            </w:r>
          </w:p>
        </w:tc>
        <w:tc>
          <w:tcPr>
            <w:tcW w:w="2608" w:type="dxa"/>
          </w:tcPr>
          <w:p>
            <w:pPr>
              <w:pStyle w:val="0"/>
            </w:pPr>
            <w:r>
              <w:rPr>
                <w:sz w:val="24"/>
              </w:rPr>
              <w:t xml:space="preserve">Код по Общероссийскому классификатору предприятий и организаций (ОКПО)</w:t>
            </w:r>
          </w:p>
        </w:tc>
        <w:tc>
          <w:tcPr>
            <w:tcW w:w="2608" w:type="dxa"/>
          </w:tcPr>
          <w:p>
            <w:pPr>
              <w:pStyle w:val="0"/>
            </w:pPr>
            <w:r>
              <w:rPr>
                <w:sz w:val="24"/>
              </w:rPr>
            </w:r>
          </w:p>
        </w:tc>
        <w:tc>
          <w:tcPr>
            <w:tcW w:w="2948" w:type="dxa"/>
          </w:tcPr>
          <w:p>
            <w:pPr>
              <w:pStyle w:val="0"/>
            </w:pPr>
            <w:r>
              <w:rPr>
                <w:sz w:val="24"/>
              </w:rPr>
              <w:t xml:space="preserve">nfo-dic:Okpo</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25" w:name="P1025"/>
          <w:bookmarkEnd w:id="1025"/>
          <w:p>
            <w:pPr>
              <w:pStyle w:val="0"/>
            </w:pPr>
            <w:r>
              <w:rPr>
                <w:sz w:val="24"/>
              </w:rPr>
              <w:t xml:space="preserve">2</w:t>
            </w:r>
          </w:p>
        </w:tc>
        <w:tc>
          <w:tcPr>
            <w:tcW w:w="2608" w:type="dxa"/>
          </w:tcPr>
          <w:p>
            <w:pPr>
              <w:pStyle w:val="0"/>
            </w:pPr>
            <w:r>
              <w:rPr>
                <w:sz w:val="24"/>
              </w:rPr>
              <w:t xml:space="preserve">Полное наименование</w:t>
            </w:r>
          </w:p>
        </w:tc>
        <w:tc>
          <w:tcPr>
            <w:tcW w:w="2608" w:type="dxa"/>
          </w:tcPr>
          <w:p>
            <w:pPr>
              <w:pStyle w:val="0"/>
            </w:pPr>
            <w:r>
              <w:rPr>
                <w:sz w:val="24"/>
              </w:rPr>
            </w:r>
          </w:p>
        </w:tc>
        <w:tc>
          <w:tcPr>
            <w:tcW w:w="2948" w:type="dxa"/>
          </w:tcPr>
          <w:p>
            <w:pPr>
              <w:pStyle w:val="0"/>
            </w:pPr>
            <w:r>
              <w:rPr>
                <w:sz w:val="24"/>
              </w:rPr>
              <w:t xml:space="preserve">nfo-dic:PolnNaim</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33" w:name="P1033"/>
          <w:bookmarkEnd w:id="1033"/>
          <w:p>
            <w:pPr>
              <w:pStyle w:val="0"/>
            </w:pPr>
            <w:r>
              <w:rPr>
                <w:sz w:val="24"/>
              </w:rPr>
              <w:t xml:space="preserve">3</w:t>
            </w:r>
          </w:p>
        </w:tc>
        <w:tc>
          <w:tcPr>
            <w:tcW w:w="2608" w:type="dxa"/>
          </w:tcPr>
          <w:p>
            <w:pPr>
              <w:pStyle w:val="0"/>
            </w:pPr>
            <w:r>
              <w:rPr>
                <w:sz w:val="24"/>
              </w:rPr>
              <w:t xml:space="preserve">Государственный регистрационный номер в едином государственном реестре юридических лиц</w:t>
            </w:r>
          </w:p>
        </w:tc>
        <w:tc>
          <w:tcPr>
            <w:tcW w:w="2608" w:type="dxa"/>
          </w:tcPr>
          <w:p>
            <w:pPr>
              <w:pStyle w:val="0"/>
            </w:pPr>
            <w:r>
              <w:rPr>
                <w:sz w:val="24"/>
              </w:rPr>
            </w:r>
          </w:p>
        </w:tc>
        <w:tc>
          <w:tcPr>
            <w:tcW w:w="2948" w:type="dxa"/>
          </w:tcPr>
          <w:p>
            <w:pPr>
              <w:pStyle w:val="0"/>
            </w:pPr>
            <w:r>
              <w:rPr>
                <w:sz w:val="24"/>
              </w:rPr>
              <w:t xml:space="preserve">nfo-dic:GRNEgryul</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41" w:name="P1041"/>
          <w:bookmarkEnd w:id="1041"/>
          <w:p>
            <w:pPr>
              <w:pStyle w:val="0"/>
            </w:pPr>
            <w:r>
              <w:rPr>
                <w:sz w:val="24"/>
              </w:rPr>
              <w:t xml:space="preserve">4</w:t>
            </w:r>
          </w:p>
        </w:tc>
        <w:tc>
          <w:tcPr>
            <w:tcW w:w="2608" w:type="dxa"/>
          </w:tcPr>
          <w:p>
            <w:pPr>
              <w:pStyle w:val="0"/>
            </w:pPr>
            <w:r>
              <w:rPr>
                <w:sz w:val="24"/>
              </w:rPr>
              <w:t xml:space="preserve">Номер записи об аккредитации филиала иностранной страховой организации в государственном реестре аккредитованных филиалов, представительств иностранных юридических лиц</w:t>
            </w:r>
          </w:p>
        </w:tc>
        <w:tc>
          <w:tcPr>
            <w:tcW w:w="2608" w:type="dxa"/>
          </w:tcPr>
          <w:p>
            <w:pPr>
              <w:pStyle w:val="0"/>
            </w:pPr>
            <w:r>
              <w:rPr>
                <w:sz w:val="24"/>
              </w:rPr>
            </w:r>
          </w:p>
        </w:tc>
        <w:tc>
          <w:tcPr>
            <w:tcW w:w="2948" w:type="dxa"/>
          </w:tcPr>
          <w:p>
            <w:pPr>
              <w:pStyle w:val="0"/>
            </w:pPr>
            <w:r>
              <w:rPr>
                <w:sz w:val="24"/>
              </w:rPr>
              <w:t xml:space="preserve">ins-dic:NomZapisi_Ob_Ak_Fil_VGosReestreAkFil_Predst_In_YUr_Licz</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49" w:name="P1049"/>
          <w:bookmarkEnd w:id="1049"/>
          <w:p>
            <w:pPr>
              <w:pStyle w:val="0"/>
            </w:pPr>
            <w:r>
              <w:rPr>
                <w:sz w:val="24"/>
              </w:rPr>
              <w:t xml:space="preserve">5</w:t>
            </w:r>
          </w:p>
        </w:tc>
        <w:tc>
          <w:tcPr>
            <w:tcW w:w="2608" w:type="dxa"/>
          </w:tcPr>
          <w:p>
            <w:pPr>
              <w:pStyle w:val="0"/>
            </w:pPr>
            <w:r>
              <w:rPr>
                <w:sz w:val="24"/>
              </w:rPr>
              <w:t xml:space="preserve">Дата открытия</w:t>
            </w:r>
          </w:p>
        </w:tc>
        <w:tc>
          <w:tcPr>
            <w:tcW w:w="2608" w:type="dxa"/>
          </w:tcPr>
          <w:p>
            <w:pPr>
              <w:pStyle w:val="0"/>
            </w:pPr>
            <w:r>
              <w:rPr>
                <w:sz w:val="24"/>
              </w:rPr>
            </w:r>
          </w:p>
        </w:tc>
        <w:tc>
          <w:tcPr>
            <w:tcW w:w="2948" w:type="dxa"/>
          </w:tcPr>
          <w:p>
            <w:pPr>
              <w:pStyle w:val="0"/>
            </w:pPr>
            <w:r>
              <w:rPr>
                <w:sz w:val="24"/>
              </w:rPr>
              <w:t xml:space="preserve">nfo-dic:Data_Otkr_Obosobl_Podrazd</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57" w:name="P1057"/>
          <w:bookmarkEnd w:id="1057"/>
          <w:p>
            <w:pPr>
              <w:pStyle w:val="0"/>
            </w:pPr>
            <w:r>
              <w:rPr>
                <w:sz w:val="24"/>
              </w:rPr>
              <w:t xml:space="preserve">6</w:t>
            </w:r>
          </w:p>
        </w:tc>
        <w:tc>
          <w:tcPr>
            <w:tcW w:w="2608" w:type="dxa"/>
          </w:tcPr>
          <w:p>
            <w:pPr>
              <w:pStyle w:val="0"/>
            </w:pPr>
            <w:r>
              <w:rPr>
                <w:sz w:val="24"/>
              </w:rPr>
              <w:t xml:space="preserve">Дата закрытия</w:t>
            </w:r>
          </w:p>
        </w:tc>
        <w:tc>
          <w:tcPr>
            <w:tcW w:w="2608" w:type="dxa"/>
          </w:tcPr>
          <w:p>
            <w:pPr>
              <w:pStyle w:val="0"/>
            </w:pPr>
            <w:r>
              <w:rPr>
                <w:sz w:val="24"/>
              </w:rPr>
            </w:r>
          </w:p>
        </w:tc>
        <w:tc>
          <w:tcPr>
            <w:tcW w:w="2948" w:type="dxa"/>
          </w:tcPr>
          <w:p>
            <w:pPr>
              <w:pStyle w:val="0"/>
            </w:pPr>
            <w:r>
              <w:rPr>
                <w:sz w:val="24"/>
              </w:rPr>
              <w:t xml:space="preserve">nfo-dic:DataZakrObosoblPodrazd</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65" w:name="P1065"/>
          <w:bookmarkEnd w:id="1065"/>
          <w:p>
            <w:pPr>
              <w:pStyle w:val="0"/>
            </w:pPr>
            <w:r>
              <w:rPr>
                <w:sz w:val="24"/>
              </w:rPr>
              <w:t xml:space="preserve">7</w:t>
            </w:r>
          </w:p>
        </w:tc>
        <w:tc>
          <w:tcPr>
            <w:tcW w:w="2608" w:type="dxa"/>
          </w:tcPr>
          <w:p>
            <w:pPr>
              <w:pStyle w:val="0"/>
            </w:pPr>
            <w:r>
              <w:rPr>
                <w:sz w:val="24"/>
              </w:rPr>
              <w:t xml:space="preserve">Вид обособленного подразделения</w:t>
            </w:r>
          </w:p>
        </w:tc>
        <w:tc>
          <w:tcPr>
            <w:tcW w:w="2608" w:type="dxa"/>
          </w:tcPr>
          <w:p>
            <w:pPr>
              <w:pStyle w:val="0"/>
            </w:pPr>
            <w:r>
              <w:rPr>
                <w:sz w:val="24"/>
              </w:rPr>
            </w:r>
          </w:p>
        </w:tc>
        <w:tc>
          <w:tcPr>
            <w:tcW w:w="2948" w:type="dxa"/>
          </w:tcPr>
          <w:p>
            <w:pPr>
              <w:pStyle w:val="0"/>
            </w:pPr>
            <w:r>
              <w:rPr>
                <w:sz w:val="24"/>
              </w:rPr>
              <w:t xml:space="preserve">nfo-dic:Vid_Obosobpodrazd_Enumerator</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73" w:name="P1073"/>
          <w:bookmarkEnd w:id="1073"/>
          <w:p>
            <w:pPr>
              <w:pStyle w:val="0"/>
            </w:pPr>
            <w:r>
              <w:rPr>
                <w:sz w:val="24"/>
              </w:rPr>
              <w:t xml:space="preserve">8</w:t>
            </w:r>
          </w:p>
        </w:tc>
        <w:tc>
          <w:tcPr>
            <w:tcW w:w="2608" w:type="dxa"/>
          </w:tcPr>
          <w:p>
            <w:pPr>
              <w:pStyle w:val="0"/>
            </w:pPr>
            <w:r>
              <w:rPr>
                <w:sz w:val="24"/>
              </w:rPr>
              <w:t xml:space="preserve">Код места нахождения в государственном адресном реестре федеральной информационной адресной системы (ФИАС)</w:t>
            </w:r>
          </w:p>
        </w:tc>
        <w:tc>
          <w:tcPr>
            <w:tcW w:w="2608" w:type="dxa"/>
          </w:tcPr>
          <w:p>
            <w:pPr>
              <w:pStyle w:val="0"/>
            </w:pPr>
            <w:r>
              <w:rPr>
                <w:sz w:val="24"/>
              </w:rPr>
            </w:r>
          </w:p>
        </w:tc>
        <w:tc>
          <w:tcPr>
            <w:tcW w:w="2948" w:type="dxa"/>
          </w:tcPr>
          <w:p>
            <w:pPr>
              <w:pStyle w:val="0"/>
            </w:pPr>
            <w:r>
              <w:rPr>
                <w:sz w:val="24"/>
              </w:rPr>
              <w:t xml:space="preserve">nfo-dic:Kod_FIAS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81" w:name="P1081"/>
          <w:bookmarkEnd w:id="1081"/>
          <w:p>
            <w:pPr>
              <w:pStyle w:val="0"/>
            </w:pPr>
            <w:r>
              <w:rPr>
                <w:sz w:val="24"/>
              </w:rPr>
              <w:t xml:space="preserve">9</w:t>
            </w:r>
          </w:p>
        </w:tc>
        <w:tc>
          <w:tcPr>
            <w:tcW w:w="2608" w:type="dxa"/>
          </w:tcPr>
          <w:p>
            <w:pPr>
              <w:pStyle w:val="0"/>
            </w:pPr>
            <w:r>
              <w:rPr>
                <w:sz w:val="24"/>
              </w:rPr>
              <w:t xml:space="preserve">Код места нахождения по Общероссийскому </w:t>
            </w:r>
            <w:hyperlink w:history="0" r:id="rId10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w:t>
            </w:r>
          </w:p>
        </w:tc>
        <w:tc>
          <w:tcPr>
            <w:tcW w:w="2608" w:type="dxa"/>
          </w:tcPr>
          <w:p>
            <w:pPr>
              <w:pStyle w:val="0"/>
            </w:pPr>
            <w:r>
              <w:rPr>
                <w:sz w:val="24"/>
              </w:rPr>
            </w:r>
          </w:p>
        </w:tc>
        <w:tc>
          <w:tcPr>
            <w:tcW w:w="2948" w:type="dxa"/>
          </w:tcPr>
          <w:p>
            <w:pPr>
              <w:pStyle w:val="0"/>
            </w:pPr>
            <w:r>
              <w:rPr>
                <w:sz w:val="24"/>
              </w:rPr>
              <w:t xml:space="preserve">nfo-dic:KodTerritoriiPoOKTMO</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89" w:name="P1089"/>
          <w:bookmarkEnd w:id="1089"/>
          <w:p>
            <w:pPr>
              <w:pStyle w:val="0"/>
            </w:pPr>
            <w:r>
              <w:rPr>
                <w:sz w:val="24"/>
              </w:rPr>
              <w:t xml:space="preserve">10</w:t>
            </w:r>
          </w:p>
        </w:tc>
        <w:tc>
          <w:tcPr>
            <w:tcW w:w="2608" w:type="dxa"/>
          </w:tcPr>
          <w:p>
            <w:pPr>
              <w:pStyle w:val="0"/>
            </w:pPr>
            <w:r>
              <w:rPr>
                <w:sz w:val="24"/>
              </w:rPr>
              <w:t xml:space="preserve">Код страны</w:t>
            </w:r>
          </w:p>
        </w:tc>
        <w:tc>
          <w:tcPr>
            <w:tcW w:w="2608" w:type="dxa"/>
          </w:tcPr>
          <w:p>
            <w:pPr>
              <w:pStyle w:val="0"/>
            </w:pPr>
            <w:r>
              <w:rPr>
                <w:sz w:val="24"/>
              </w:rPr>
            </w:r>
          </w:p>
        </w:tc>
        <w:tc>
          <w:tcPr>
            <w:tcW w:w="2948" w:type="dxa"/>
          </w:tcPr>
          <w:p>
            <w:pPr>
              <w:pStyle w:val="0"/>
            </w:pPr>
            <w:r>
              <w:rPr>
                <w:sz w:val="24"/>
              </w:rPr>
              <w:t xml:space="preserve">nfo-dic:Kod_stranEnumerator</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097" w:name="P1097"/>
          <w:bookmarkEnd w:id="1097"/>
          <w:p>
            <w:pPr>
              <w:pStyle w:val="0"/>
            </w:pPr>
            <w:r>
              <w:rPr>
                <w:sz w:val="24"/>
              </w:rPr>
              <w:t xml:space="preserve">11</w:t>
            </w:r>
          </w:p>
        </w:tc>
        <w:tc>
          <w:tcPr>
            <w:tcW w:w="2608" w:type="dxa"/>
          </w:tcPr>
          <w:p>
            <w:pPr>
              <w:pStyle w:val="0"/>
            </w:pPr>
            <w:r>
              <w:rPr>
                <w:sz w:val="24"/>
              </w:rPr>
              <w:t xml:space="preserve">Фактический адрес</w:t>
            </w:r>
          </w:p>
        </w:tc>
        <w:tc>
          <w:tcPr>
            <w:tcW w:w="2608" w:type="dxa"/>
          </w:tcPr>
          <w:p>
            <w:pPr>
              <w:pStyle w:val="0"/>
            </w:pPr>
            <w:r>
              <w:rPr>
                <w:sz w:val="24"/>
              </w:rPr>
            </w:r>
          </w:p>
        </w:tc>
        <w:tc>
          <w:tcPr>
            <w:tcW w:w="2948" w:type="dxa"/>
          </w:tcPr>
          <w:p>
            <w:pPr>
              <w:pStyle w:val="0"/>
            </w:pPr>
            <w:r>
              <w:rPr>
                <w:sz w:val="24"/>
              </w:rPr>
              <w:t xml:space="preserve">nfo-dic:FaktAdr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105" w:name="P1105"/>
          <w:bookmarkEnd w:id="1105"/>
          <w:p>
            <w:pPr>
              <w:pStyle w:val="0"/>
            </w:pPr>
            <w:r>
              <w:rPr>
                <w:sz w:val="24"/>
              </w:rPr>
              <w:t xml:space="preserve">12</w:t>
            </w:r>
          </w:p>
        </w:tc>
        <w:tc>
          <w:tcPr>
            <w:tcW w:w="2608" w:type="dxa"/>
          </w:tcPr>
          <w:p>
            <w:pPr>
              <w:pStyle w:val="0"/>
            </w:pPr>
            <w:r>
              <w:rPr>
                <w:sz w:val="24"/>
              </w:rPr>
              <w:t xml:space="preserve">Предоставление страховых услуг физическим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ins-dic:PredostavlenieUslugFizLitsamEnumerator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113" w:name="P1113"/>
          <w:bookmarkEnd w:id="1113"/>
          <w:p>
            <w:pPr>
              <w:pStyle w:val="0"/>
            </w:pPr>
            <w:r>
              <w:rPr>
                <w:sz w:val="24"/>
              </w:rPr>
              <w:t xml:space="preserve">13</w:t>
            </w:r>
          </w:p>
        </w:tc>
        <w:tc>
          <w:tcPr>
            <w:tcW w:w="2608" w:type="dxa"/>
          </w:tcPr>
          <w:p>
            <w:pPr>
              <w:pStyle w:val="0"/>
            </w:pPr>
            <w:r>
              <w:rPr>
                <w:sz w:val="24"/>
              </w:rPr>
              <w:t xml:space="preserve">Предоставление страховых услуг юридическим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ins-dic:PredostavlenieUslugYurLitsamEnumerator</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121" w:name="P1121"/>
          <w:bookmarkEnd w:id="1121"/>
          <w:p>
            <w:pPr>
              <w:pStyle w:val="0"/>
            </w:pPr>
            <w:r>
              <w:rPr>
                <w:sz w:val="24"/>
              </w:rPr>
              <w:t xml:space="preserve">14</w:t>
            </w:r>
          </w:p>
        </w:tc>
        <w:tc>
          <w:tcPr>
            <w:tcW w:w="2608" w:type="dxa"/>
          </w:tcPr>
          <w:p>
            <w:pPr>
              <w:pStyle w:val="0"/>
            </w:pPr>
            <w:r>
              <w:rPr>
                <w:sz w:val="24"/>
              </w:rPr>
              <w:t xml:space="preserve">Номер телефона</w:t>
            </w:r>
          </w:p>
        </w:tc>
        <w:tc>
          <w:tcPr>
            <w:tcW w:w="2608" w:type="dxa"/>
          </w:tcPr>
          <w:p>
            <w:pPr>
              <w:pStyle w:val="0"/>
            </w:pPr>
            <w:r>
              <w:rPr>
                <w:sz w:val="24"/>
              </w:rPr>
            </w:r>
          </w:p>
        </w:tc>
        <w:tc>
          <w:tcPr>
            <w:tcW w:w="2948" w:type="dxa"/>
          </w:tcPr>
          <w:p>
            <w:pPr>
              <w:pStyle w:val="0"/>
            </w:pPr>
            <w:r>
              <w:rPr>
                <w:sz w:val="24"/>
              </w:rPr>
              <w:t xml:space="preserve">ins-dic:Nomer_Tel</w:t>
            </w:r>
          </w:p>
        </w:tc>
      </w:tr>
      <w:tr>
        <w:tc>
          <w:tcPr>
            <w:tcW w:w="907" w:type="dxa"/>
          </w:tcPr>
          <w:p>
            <w:pPr>
              <w:pStyle w:val="0"/>
            </w:pPr>
            <w:r>
              <w:rPr>
                <w:sz w:val="24"/>
              </w:rPr>
              <w:t xml:space="preserve">14.1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129" w:name="P1129"/>
          <w:bookmarkEnd w:id="1129"/>
          <w:p>
            <w:pPr>
              <w:pStyle w:val="0"/>
            </w:pPr>
            <w:r>
              <w:rPr>
                <w:sz w:val="24"/>
              </w:rPr>
              <w:t xml:space="preserve">15</w:t>
            </w:r>
          </w:p>
        </w:tc>
        <w:tc>
          <w:tcPr>
            <w:tcW w:w="2608" w:type="dxa"/>
          </w:tcPr>
          <w:p>
            <w:pPr>
              <w:pStyle w:val="0"/>
            </w:pPr>
            <w:r>
              <w:rPr>
                <w:sz w:val="24"/>
              </w:rPr>
              <w:t xml:space="preserve">Номер факса</w:t>
            </w:r>
          </w:p>
        </w:tc>
        <w:tc>
          <w:tcPr>
            <w:tcW w:w="2608" w:type="dxa"/>
          </w:tcPr>
          <w:p>
            <w:pPr>
              <w:pStyle w:val="0"/>
            </w:pPr>
            <w:r>
              <w:rPr>
                <w:sz w:val="24"/>
              </w:rPr>
            </w:r>
          </w:p>
        </w:tc>
        <w:tc>
          <w:tcPr>
            <w:tcW w:w="2948" w:type="dxa"/>
          </w:tcPr>
          <w:p>
            <w:pPr>
              <w:pStyle w:val="0"/>
            </w:pPr>
            <w:r>
              <w:rPr>
                <w:sz w:val="24"/>
              </w:rPr>
              <w:t xml:space="preserve">nfo-dic:Faks</w:t>
            </w:r>
          </w:p>
        </w:tc>
      </w:tr>
      <w:tr>
        <w:tc>
          <w:tcPr>
            <w:tcW w:w="907" w:type="dxa"/>
          </w:tcPr>
          <w:p>
            <w:pPr>
              <w:pStyle w:val="0"/>
            </w:pPr>
            <w:r>
              <w:rPr>
                <w:sz w:val="24"/>
              </w:rPr>
              <w:t xml:space="preserve">15.1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137" w:name="P1137"/>
          <w:bookmarkEnd w:id="1137"/>
          <w:p>
            <w:pPr>
              <w:pStyle w:val="0"/>
            </w:pPr>
            <w:r>
              <w:rPr>
                <w:sz w:val="24"/>
              </w:rPr>
              <w:t xml:space="preserve">16</w:t>
            </w:r>
          </w:p>
        </w:tc>
        <w:tc>
          <w:tcPr>
            <w:tcW w:w="2608" w:type="dxa"/>
          </w:tcPr>
          <w:p>
            <w:pPr>
              <w:pStyle w:val="0"/>
            </w:pPr>
            <w:r>
              <w:rPr>
                <w:sz w:val="24"/>
              </w:rPr>
              <w:t xml:space="preserve">Адрес электронной почты</w:t>
            </w:r>
          </w:p>
        </w:tc>
        <w:tc>
          <w:tcPr>
            <w:tcW w:w="2608" w:type="dxa"/>
          </w:tcPr>
          <w:p>
            <w:pPr>
              <w:pStyle w:val="0"/>
            </w:pPr>
            <w:r>
              <w:rPr>
                <w:sz w:val="24"/>
              </w:rPr>
            </w:r>
          </w:p>
        </w:tc>
        <w:tc>
          <w:tcPr>
            <w:tcW w:w="2948" w:type="dxa"/>
          </w:tcPr>
          <w:p>
            <w:pPr>
              <w:pStyle w:val="0"/>
            </w:pPr>
            <w:r>
              <w:rPr>
                <w:sz w:val="24"/>
              </w:rPr>
              <w:t xml:space="preserve">ins-dic:Adres_Elektr_Pochty</w:t>
            </w:r>
          </w:p>
        </w:tc>
      </w:tr>
      <w:tr>
        <w:tc>
          <w:tcPr>
            <w:tcW w:w="907" w:type="dxa"/>
          </w:tcPr>
          <w:p>
            <w:pPr>
              <w:pStyle w:val="0"/>
            </w:pPr>
            <w:r>
              <w:rPr>
                <w:sz w:val="24"/>
              </w:rPr>
              <w:t xml:space="preserve">16.1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145" w:name="P1145"/>
          <w:bookmarkEnd w:id="1145"/>
          <w:p>
            <w:pPr>
              <w:pStyle w:val="0"/>
            </w:pPr>
            <w:r>
              <w:rPr>
                <w:sz w:val="24"/>
              </w:rPr>
              <w:t xml:space="preserve">17</w:t>
            </w:r>
          </w:p>
        </w:tc>
        <w:tc>
          <w:tcPr>
            <w:tcW w:w="2608" w:type="dxa"/>
          </w:tcPr>
          <w:p>
            <w:pPr>
              <w:pStyle w:val="0"/>
            </w:pPr>
            <w:r>
              <w:rPr>
                <w:sz w:val="24"/>
              </w:rPr>
              <w:t xml:space="preserve">Информация об изменениях</w:t>
            </w:r>
          </w:p>
        </w:tc>
        <w:tc>
          <w:tcPr>
            <w:tcW w:w="2608" w:type="dxa"/>
          </w:tcPr>
          <w:p>
            <w:pPr>
              <w:pStyle w:val="0"/>
            </w:pPr>
            <w:r>
              <w:rPr>
                <w:sz w:val="24"/>
              </w:rPr>
            </w:r>
          </w:p>
        </w:tc>
        <w:tc>
          <w:tcPr>
            <w:tcW w:w="2948" w:type="dxa"/>
          </w:tcPr>
          <w:p>
            <w:pPr>
              <w:pStyle w:val="0"/>
            </w:pPr>
            <w:r>
              <w:rPr>
                <w:sz w:val="24"/>
              </w:rPr>
              <w:t xml:space="preserve">ins-dic:InformacziyaobizmeneniyaxEnumerator</w:t>
            </w:r>
          </w:p>
        </w:tc>
      </w:tr>
      <w:tr>
        <w:tc>
          <w:tcPr>
            <w:tcW w:w="907" w:type="dxa"/>
          </w:tcPr>
          <w:p>
            <w:pPr>
              <w:pStyle w:val="0"/>
            </w:pPr>
            <w:r>
              <w:rPr>
                <w:sz w:val="24"/>
              </w:rPr>
              <w:t xml:space="preserve">17.1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bookmarkStart w:id="1153" w:name="P1153"/>
          <w:bookmarkEnd w:id="1153"/>
          <w:p>
            <w:pPr>
              <w:pStyle w:val="0"/>
            </w:pPr>
            <w:r>
              <w:rPr>
                <w:sz w:val="24"/>
              </w:rPr>
              <w:t xml:space="preserve">18</w:t>
            </w:r>
          </w:p>
        </w:tc>
        <w:tc>
          <w:tcPr>
            <w:tcW w:w="2608" w:type="dxa"/>
          </w:tcPr>
          <w:p>
            <w:pPr>
              <w:pStyle w:val="0"/>
            </w:pPr>
            <w:r>
              <w:rPr>
                <w:sz w:val="24"/>
              </w:rPr>
              <w:t xml:space="preserve">Описание изменений</w:t>
            </w:r>
          </w:p>
        </w:tc>
        <w:tc>
          <w:tcPr>
            <w:tcW w:w="2608" w:type="dxa"/>
          </w:tcPr>
          <w:p>
            <w:pPr>
              <w:pStyle w:val="0"/>
            </w:pPr>
            <w:r>
              <w:rPr>
                <w:sz w:val="24"/>
              </w:rPr>
            </w:r>
          </w:p>
        </w:tc>
        <w:tc>
          <w:tcPr>
            <w:tcW w:w="2948" w:type="dxa"/>
          </w:tcPr>
          <w:p>
            <w:pPr>
              <w:pStyle w:val="0"/>
            </w:pPr>
            <w:r>
              <w:rPr>
                <w:sz w:val="24"/>
              </w:rPr>
              <w:t xml:space="preserve">ins-dic:OpisanieIzmenenij</w:t>
            </w:r>
          </w:p>
        </w:tc>
      </w:tr>
      <w:tr>
        <w:tc>
          <w:tcPr>
            <w:tcW w:w="907" w:type="dxa"/>
          </w:tcPr>
          <w:p>
            <w:pPr>
              <w:pStyle w:val="0"/>
            </w:pPr>
            <w:r>
              <w:rPr>
                <w:sz w:val="24"/>
              </w:rPr>
              <w:t xml:space="preserve">18.1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dim-int:ID_ObosoblPodrazdTaxis</w:t>
            </w:r>
          </w:p>
        </w:tc>
      </w:tr>
      <w:tr>
        <w:tc>
          <w:tcPr>
            <w:gridSpan w:val="4"/>
            <w:tcW w:w="9071" w:type="dxa"/>
          </w:tcPr>
          <w:p>
            <w:pPr>
              <w:pStyle w:val="0"/>
              <w:outlineLvl w:val="3"/>
            </w:pPr>
            <w:r>
              <w:rPr>
                <w:sz w:val="24"/>
              </w:rPr>
              <w:t xml:space="preserve">Сведения о руководителе обособленного подразделения страховщика</w:t>
            </w:r>
          </w:p>
        </w:tc>
      </w:tr>
      <w:tr>
        <w:tc>
          <w:tcPr>
            <w:tcW w:w="907" w:type="dxa"/>
          </w:tcPr>
          <w:bookmarkStart w:id="1162" w:name="P1162"/>
          <w:bookmarkEnd w:id="1162"/>
          <w:p>
            <w:pPr>
              <w:pStyle w:val="0"/>
            </w:pPr>
            <w:r>
              <w:rPr>
                <w:sz w:val="24"/>
              </w:rPr>
              <w:t xml:space="preserve">19</w:t>
            </w:r>
          </w:p>
        </w:tc>
        <w:tc>
          <w:tcPr>
            <w:tcW w:w="2608" w:type="dxa"/>
          </w:tcPr>
          <w:p>
            <w:pPr>
              <w:pStyle w:val="0"/>
            </w:pPr>
            <w:r>
              <w:rPr>
                <w:sz w:val="24"/>
              </w:rPr>
              <w:t xml:space="preserve">Дата документа о назначении на должность</w:t>
            </w:r>
          </w:p>
        </w:tc>
        <w:tc>
          <w:tcPr>
            <w:tcW w:w="2608" w:type="dxa"/>
          </w:tcPr>
          <w:p>
            <w:pPr>
              <w:pStyle w:val="0"/>
            </w:pPr>
            <w:r>
              <w:rPr>
                <w:sz w:val="24"/>
              </w:rPr>
            </w:r>
          </w:p>
        </w:tc>
        <w:tc>
          <w:tcPr>
            <w:tcW w:w="2948" w:type="dxa"/>
          </w:tcPr>
          <w:p>
            <w:pPr>
              <w:pStyle w:val="0"/>
            </w:pPr>
            <w:r>
              <w:rPr>
                <w:sz w:val="24"/>
              </w:rPr>
              <w:t xml:space="preserve">ins-dic:DataDokumentaONaznacheniiNaDolzhnost</w:t>
            </w:r>
          </w:p>
        </w:tc>
      </w:tr>
      <w:tr>
        <w:tc>
          <w:tcPr>
            <w:tcW w:w="907" w:type="dxa"/>
          </w:tcPr>
          <w:p>
            <w:pPr>
              <w:pStyle w:val="0"/>
            </w:pPr>
            <w:r>
              <w:rPr>
                <w:sz w:val="24"/>
              </w:rPr>
              <w:t xml:space="preserve">19.1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19.2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174" w:name="P1174"/>
          <w:bookmarkEnd w:id="1174"/>
          <w:p>
            <w:pPr>
              <w:pStyle w:val="0"/>
            </w:pPr>
            <w:r>
              <w:rPr>
                <w:sz w:val="24"/>
              </w:rPr>
              <w:t xml:space="preserve">20</w:t>
            </w:r>
          </w:p>
        </w:tc>
        <w:tc>
          <w:tcPr>
            <w:tcW w:w="2608" w:type="dxa"/>
          </w:tcPr>
          <w:p>
            <w:pPr>
              <w:pStyle w:val="0"/>
            </w:pPr>
            <w:r>
              <w:rPr>
                <w:sz w:val="24"/>
              </w:rPr>
              <w:t xml:space="preserve">Дата документа о прекращении полномочий</w:t>
            </w:r>
          </w:p>
        </w:tc>
        <w:tc>
          <w:tcPr>
            <w:tcW w:w="2608" w:type="dxa"/>
          </w:tcPr>
          <w:p>
            <w:pPr>
              <w:pStyle w:val="0"/>
            </w:pPr>
            <w:r>
              <w:rPr>
                <w:sz w:val="24"/>
              </w:rPr>
            </w:r>
          </w:p>
        </w:tc>
        <w:tc>
          <w:tcPr>
            <w:tcW w:w="2948" w:type="dxa"/>
          </w:tcPr>
          <w:p>
            <w:pPr>
              <w:pStyle w:val="0"/>
            </w:pPr>
            <w:r>
              <w:rPr>
                <w:sz w:val="24"/>
              </w:rPr>
              <w:t xml:space="preserve">ins-dic:DataDokumentaOPrekrashheniiPolnomochij</w:t>
            </w:r>
          </w:p>
        </w:tc>
      </w:tr>
      <w:tr>
        <w:tc>
          <w:tcPr>
            <w:tcW w:w="907" w:type="dxa"/>
          </w:tcPr>
          <w:p>
            <w:pPr>
              <w:pStyle w:val="0"/>
            </w:pPr>
            <w:r>
              <w:rPr>
                <w:sz w:val="24"/>
              </w:rPr>
              <w:t xml:space="preserve">20.1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20.2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186" w:name="P1186"/>
          <w:bookmarkEnd w:id="1186"/>
          <w:p>
            <w:pPr>
              <w:pStyle w:val="0"/>
            </w:pPr>
            <w:r>
              <w:rPr>
                <w:sz w:val="24"/>
              </w:rPr>
              <w:t xml:space="preserve">21</w:t>
            </w:r>
          </w:p>
        </w:tc>
        <w:tc>
          <w:tcPr>
            <w:tcW w:w="2608" w:type="dxa"/>
          </w:tcPr>
          <w:p>
            <w:pPr>
              <w:pStyle w:val="0"/>
            </w:pPr>
            <w:r>
              <w:rPr>
                <w:sz w:val="24"/>
              </w:rPr>
              <w:t xml:space="preserve">Фамилия</w:t>
            </w:r>
          </w:p>
        </w:tc>
        <w:tc>
          <w:tcPr>
            <w:tcW w:w="2608" w:type="dxa"/>
          </w:tcPr>
          <w:p>
            <w:pPr>
              <w:pStyle w:val="0"/>
            </w:pPr>
            <w:r>
              <w:rPr>
                <w:sz w:val="24"/>
              </w:rPr>
            </w:r>
          </w:p>
        </w:tc>
        <w:tc>
          <w:tcPr>
            <w:tcW w:w="2948" w:type="dxa"/>
          </w:tcPr>
          <w:p>
            <w:pPr>
              <w:pStyle w:val="0"/>
            </w:pPr>
            <w:r>
              <w:rPr>
                <w:sz w:val="24"/>
              </w:rPr>
              <w:t xml:space="preserve">nfo-dic:Familiya</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198" w:name="P1198"/>
          <w:bookmarkEnd w:id="1198"/>
          <w:p>
            <w:pPr>
              <w:pStyle w:val="0"/>
            </w:pPr>
            <w:r>
              <w:rPr>
                <w:sz w:val="24"/>
              </w:rPr>
              <w:t xml:space="preserve">22</w:t>
            </w:r>
          </w:p>
        </w:tc>
        <w:tc>
          <w:tcPr>
            <w:tcW w:w="2608" w:type="dxa"/>
          </w:tcPr>
          <w:p>
            <w:pPr>
              <w:pStyle w:val="0"/>
            </w:pPr>
            <w:r>
              <w:rPr>
                <w:sz w:val="24"/>
              </w:rPr>
              <w:t xml:space="preserve">Имя</w:t>
            </w:r>
          </w:p>
        </w:tc>
        <w:tc>
          <w:tcPr>
            <w:tcW w:w="2608" w:type="dxa"/>
          </w:tcPr>
          <w:p>
            <w:pPr>
              <w:pStyle w:val="0"/>
            </w:pPr>
            <w:r>
              <w:rPr>
                <w:sz w:val="24"/>
              </w:rPr>
            </w:r>
          </w:p>
        </w:tc>
        <w:tc>
          <w:tcPr>
            <w:tcW w:w="2948" w:type="dxa"/>
          </w:tcPr>
          <w:p>
            <w:pPr>
              <w:pStyle w:val="0"/>
            </w:pPr>
            <w:r>
              <w:rPr>
                <w:sz w:val="24"/>
              </w:rPr>
              <w:t xml:space="preserve">nfo-dic:Imya</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10" w:name="P1210"/>
          <w:bookmarkEnd w:id="1210"/>
          <w:p>
            <w:pPr>
              <w:pStyle w:val="0"/>
            </w:pPr>
            <w:r>
              <w:rPr>
                <w:sz w:val="24"/>
              </w:rPr>
              <w:t xml:space="preserve">23</w:t>
            </w:r>
          </w:p>
        </w:tc>
        <w:tc>
          <w:tcPr>
            <w:tcW w:w="2608" w:type="dxa"/>
          </w:tcPr>
          <w:p>
            <w:pPr>
              <w:pStyle w:val="0"/>
            </w:pPr>
            <w:r>
              <w:rPr>
                <w:sz w:val="24"/>
              </w:rPr>
              <w:t xml:space="preserve">Отчество (при наличии)</w:t>
            </w:r>
          </w:p>
        </w:tc>
        <w:tc>
          <w:tcPr>
            <w:tcW w:w="2608" w:type="dxa"/>
          </w:tcPr>
          <w:p>
            <w:pPr>
              <w:pStyle w:val="0"/>
            </w:pPr>
            <w:r>
              <w:rPr>
                <w:sz w:val="24"/>
              </w:rPr>
            </w:r>
          </w:p>
        </w:tc>
        <w:tc>
          <w:tcPr>
            <w:tcW w:w="2948" w:type="dxa"/>
          </w:tcPr>
          <w:p>
            <w:pPr>
              <w:pStyle w:val="0"/>
            </w:pPr>
            <w:r>
              <w:rPr>
                <w:sz w:val="24"/>
              </w:rPr>
              <w:t xml:space="preserve">nfo-dic:Otch</w:t>
            </w:r>
          </w:p>
        </w:tc>
      </w:tr>
      <w:tr>
        <w:tc>
          <w:tcPr>
            <w:tcW w:w="907" w:type="dxa"/>
          </w:tcPr>
          <w:p>
            <w:pPr>
              <w:pStyle w:val="0"/>
            </w:pPr>
            <w:r>
              <w:rPr>
                <w:sz w:val="24"/>
              </w:rPr>
              <w:t xml:space="preserve">23.1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23.2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22" w:name="P1222"/>
          <w:bookmarkEnd w:id="1222"/>
          <w:p>
            <w:pPr>
              <w:pStyle w:val="0"/>
            </w:pPr>
            <w:r>
              <w:rPr>
                <w:sz w:val="24"/>
              </w:rPr>
              <w:t xml:space="preserve">24</w:t>
            </w:r>
          </w:p>
        </w:tc>
        <w:tc>
          <w:tcPr>
            <w:tcW w:w="2608" w:type="dxa"/>
          </w:tcPr>
          <w:p>
            <w:pPr>
              <w:pStyle w:val="0"/>
            </w:pPr>
            <w:r>
              <w:rPr>
                <w:sz w:val="24"/>
              </w:rPr>
              <w:t xml:space="preserve">Дата рождения</w:t>
            </w:r>
          </w:p>
        </w:tc>
        <w:tc>
          <w:tcPr>
            <w:tcW w:w="2608" w:type="dxa"/>
          </w:tcPr>
          <w:p>
            <w:pPr>
              <w:pStyle w:val="0"/>
            </w:pPr>
            <w:r>
              <w:rPr>
                <w:sz w:val="24"/>
              </w:rPr>
            </w:r>
          </w:p>
        </w:tc>
        <w:tc>
          <w:tcPr>
            <w:tcW w:w="2948" w:type="dxa"/>
          </w:tcPr>
          <w:p>
            <w:pPr>
              <w:pStyle w:val="0"/>
            </w:pPr>
            <w:r>
              <w:rPr>
                <w:sz w:val="24"/>
              </w:rPr>
              <w:t xml:space="preserve">nfo-dic:Data_rozhdeniya</w:t>
            </w:r>
          </w:p>
        </w:tc>
      </w:tr>
      <w:tr>
        <w:tc>
          <w:tcPr>
            <w:tcW w:w="907" w:type="dxa"/>
          </w:tcPr>
          <w:p>
            <w:pPr>
              <w:pStyle w:val="0"/>
            </w:pPr>
            <w:r>
              <w:rPr>
                <w:sz w:val="24"/>
              </w:rPr>
              <w:t xml:space="preserve">24.1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24.2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34" w:name="P1234"/>
          <w:bookmarkEnd w:id="1234"/>
          <w:p>
            <w:pPr>
              <w:pStyle w:val="0"/>
            </w:pPr>
            <w:r>
              <w:rPr>
                <w:sz w:val="24"/>
              </w:rPr>
              <w:t xml:space="preserve">25</w:t>
            </w:r>
          </w:p>
        </w:tc>
        <w:tc>
          <w:tcPr>
            <w:tcW w:w="2608" w:type="dxa"/>
          </w:tcPr>
          <w:p>
            <w:pPr>
              <w:pStyle w:val="0"/>
            </w:pPr>
            <w:r>
              <w:rPr>
                <w:sz w:val="24"/>
              </w:rPr>
              <w:t xml:space="preserve">Место рождения</w:t>
            </w:r>
          </w:p>
        </w:tc>
        <w:tc>
          <w:tcPr>
            <w:tcW w:w="2608" w:type="dxa"/>
          </w:tcPr>
          <w:p>
            <w:pPr>
              <w:pStyle w:val="0"/>
            </w:pPr>
            <w:r>
              <w:rPr>
                <w:sz w:val="24"/>
              </w:rPr>
            </w:r>
          </w:p>
        </w:tc>
        <w:tc>
          <w:tcPr>
            <w:tcW w:w="2948" w:type="dxa"/>
          </w:tcPr>
          <w:p>
            <w:pPr>
              <w:pStyle w:val="0"/>
            </w:pPr>
            <w:r>
              <w:rPr>
                <w:sz w:val="24"/>
              </w:rPr>
              <w:t xml:space="preserve">nfo-dic:Mesto_rozhdeniya</w:t>
            </w:r>
          </w:p>
        </w:tc>
      </w:tr>
      <w:tr>
        <w:tc>
          <w:tcPr>
            <w:tcW w:w="907" w:type="dxa"/>
          </w:tcPr>
          <w:p>
            <w:pPr>
              <w:pStyle w:val="0"/>
            </w:pPr>
            <w:r>
              <w:rPr>
                <w:sz w:val="24"/>
              </w:rPr>
              <w:t xml:space="preserve">25.1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25.2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46" w:name="P1246"/>
          <w:bookmarkEnd w:id="1246"/>
          <w:p>
            <w:pPr>
              <w:pStyle w:val="0"/>
            </w:pPr>
            <w:r>
              <w:rPr>
                <w:sz w:val="24"/>
              </w:rPr>
              <w:t xml:space="preserve">26</w:t>
            </w:r>
          </w:p>
        </w:tc>
        <w:tc>
          <w:tcPr>
            <w:tcW w:w="2608" w:type="dxa"/>
          </w:tcPr>
          <w:p>
            <w:pPr>
              <w:pStyle w:val="0"/>
            </w:pPr>
            <w:r>
              <w:rPr>
                <w:sz w:val="24"/>
              </w:rPr>
              <w:t xml:space="preserve">Гражданство (подданство)</w:t>
            </w:r>
          </w:p>
        </w:tc>
        <w:tc>
          <w:tcPr>
            <w:tcW w:w="2608" w:type="dxa"/>
          </w:tcPr>
          <w:p>
            <w:pPr>
              <w:pStyle w:val="0"/>
            </w:pPr>
            <w:r>
              <w:rPr>
                <w:sz w:val="24"/>
              </w:rPr>
            </w:r>
          </w:p>
        </w:tc>
        <w:tc>
          <w:tcPr>
            <w:tcW w:w="2948" w:type="dxa"/>
          </w:tcPr>
          <w:p>
            <w:pPr>
              <w:pStyle w:val="0"/>
            </w:pPr>
            <w:r>
              <w:rPr>
                <w:sz w:val="24"/>
              </w:rPr>
              <w:t xml:space="preserve">nfo-dic:GrazhdanstvoEnumerator2</w:t>
            </w:r>
          </w:p>
        </w:tc>
      </w:tr>
      <w:tr>
        <w:tc>
          <w:tcPr>
            <w:tcW w:w="907" w:type="dxa"/>
          </w:tcPr>
          <w:p>
            <w:pPr>
              <w:pStyle w:val="0"/>
            </w:pPr>
            <w:r>
              <w:rPr>
                <w:sz w:val="24"/>
              </w:rPr>
              <w:t xml:space="preserve">26.1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26.2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58" w:name="P1258"/>
          <w:bookmarkEnd w:id="1258"/>
          <w:p>
            <w:pPr>
              <w:pStyle w:val="0"/>
            </w:pPr>
            <w:r>
              <w:rPr>
                <w:sz w:val="24"/>
              </w:rPr>
              <w:t xml:space="preserve">27</w:t>
            </w:r>
          </w:p>
        </w:tc>
        <w:tc>
          <w:tcPr>
            <w:tcW w:w="2608" w:type="dxa"/>
          </w:tcPr>
          <w:p>
            <w:pPr>
              <w:pStyle w:val="0"/>
            </w:pPr>
            <w:r>
              <w:rPr>
                <w:sz w:val="24"/>
              </w:rPr>
              <w:t xml:space="preserve">Наименование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nfo-dic:NaimDokUdostLich</w:t>
            </w:r>
          </w:p>
        </w:tc>
      </w:tr>
      <w:tr>
        <w:tc>
          <w:tcPr>
            <w:tcW w:w="907" w:type="dxa"/>
          </w:tcPr>
          <w:p>
            <w:pPr>
              <w:pStyle w:val="0"/>
            </w:pPr>
            <w:r>
              <w:rPr>
                <w:sz w:val="24"/>
              </w:rPr>
              <w:t xml:space="preserve">27.1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27.2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70" w:name="P1270"/>
          <w:bookmarkEnd w:id="1270"/>
          <w:p>
            <w:pPr>
              <w:pStyle w:val="0"/>
            </w:pPr>
            <w:r>
              <w:rPr>
                <w:sz w:val="24"/>
              </w:rPr>
              <w:t xml:space="preserve">28</w:t>
            </w:r>
          </w:p>
        </w:tc>
        <w:tc>
          <w:tcPr>
            <w:tcW w:w="2608" w:type="dxa"/>
          </w:tcPr>
          <w:p>
            <w:pPr>
              <w:pStyle w:val="0"/>
            </w:pPr>
            <w:r>
              <w:rPr>
                <w:sz w:val="24"/>
              </w:rPr>
              <w:t xml:space="preserve">Серия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nfo-dic:Seriya_Documenta</w:t>
            </w:r>
          </w:p>
        </w:tc>
      </w:tr>
      <w:tr>
        <w:tc>
          <w:tcPr>
            <w:tcW w:w="907" w:type="dxa"/>
          </w:tcPr>
          <w:p>
            <w:pPr>
              <w:pStyle w:val="0"/>
            </w:pPr>
            <w:r>
              <w:rPr>
                <w:sz w:val="24"/>
              </w:rPr>
              <w:t xml:space="preserve">28.1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28.2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82" w:name="P1282"/>
          <w:bookmarkEnd w:id="1282"/>
          <w:p>
            <w:pPr>
              <w:pStyle w:val="0"/>
            </w:pPr>
            <w:r>
              <w:rPr>
                <w:sz w:val="24"/>
              </w:rPr>
              <w:t xml:space="preserve">29</w:t>
            </w:r>
          </w:p>
        </w:tc>
        <w:tc>
          <w:tcPr>
            <w:tcW w:w="2608" w:type="dxa"/>
          </w:tcPr>
          <w:p>
            <w:pPr>
              <w:pStyle w:val="0"/>
            </w:pPr>
            <w:r>
              <w:rPr>
                <w:sz w:val="24"/>
              </w:rPr>
              <w:t xml:space="preserve">Номер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nfo-dic:Nomer_Documenta</w:t>
            </w:r>
          </w:p>
        </w:tc>
      </w:tr>
      <w:tr>
        <w:tc>
          <w:tcPr>
            <w:tcW w:w="907" w:type="dxa"/>
          </w:tcPr>
          <w:p>
            <w:pPr>
              <w:pStyle w:val="0"/>
            </w:pPr>
            <w:r>
              <w:rPr>
                <w:sz w:val="24"/>
              </w:rPr>
              <w:t xml:space="preserve">29.1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29.2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294" w:name="P1294"/>
          <w:bookmarkEnd w:id="1294"/>
          <w:p>
            <w:pPr>
              <w:pStyle w:val="0"/>
            </w:pPr>
            <w:r>
              <w:rPr>
                <w:sz w:val="24"/>
              </w:rPr>
              <w:t xml:space="preserve">30</w:t>
            </w:r>
          </w:p>
        </w:tc>
        <w:tc>
          <w:tcPr>
            <w:tcW w:w="2608" w:type="dxa"/>
          </w:tcPr>
          <w:p>
            <w:pPr>
              <w:pStyle w:val="0"/>
            </w:pPr>
            <w:r>
              <w:rPr>
                <w:sz w:val="24"/>
              </w:rPr>
              <w:t xml:space="preserve">Наименование органа, выдавшего документ, удостоверяющий личность</w:t>
            </w:r>
          </w:p>
        </w:tc>
        <w:tc>
          <w:tcPr>
            <w:tcW w:w="2608" w:type="dxa"/>
          </w:tcPr>
          <w:p>
            <w:pPr>
              <w:pStyle w:val="0"/>
            </w:pPr>
            <w:r>
              <w:rPr>
                <w:sz w:val="24"/>
              </w:rPr>
            </w:r>
          </w:p>
        </w:tc>
        <w:tc>
          <w:tcPr>
            <w:tcW w:w="2948" w:type="dxa"/>
          </w:tcPr>
          <w:p>
            <w:pPr>
              <w:pStyle w:val="0"/>
            </w:pPr>
            <w:r>
              <w:rPr>
                <w:sz w:val="24"/>
              </w:rPr>
              <w:t xml:space="preserve">nfo-dic:NaimOrgVydachDok</w:t>
            </w:r>
          </w:p>
        </w:tc>
      </w:tr>
      <w:tr>
        <w:tc>
          <w:tcPr>
            <w:tcW w:w="907" w:type="dxa"/>
          </w:tcPr>
          <w:p>
            <w:pPr>
              <w:pStyle w:val="0"/>
            </w:pPr>
            <w:r>
              <w:rPr>
                <w:sz w:val="24"/>
              </w:rPr>
              <w:t xml:space="preserve">30.1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30.2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306" w:name="P1306"/>
          <w:bookmarkEnd w:id="1306"/>
          <w:p>
            <w:pPr>
              <w:pStyle w:val="0"/>
            </w:pPr>
            <w:r>
              <w:rPr>
                <w:sz w:val="24"/>
              </w:rPr>
              <w:t xml:space="preserve">31</w:t>
            </w:r>
          </w:p>
        </w:tc>
        <w:tc>
          <w:tcPr>
            <w:tcW w:w="2608" w:type="dxa"/>
          </w:tcPr>
          <w:p>
            <w:pPr>
              <w:pStyle w:val="0"/>
            </w:pPr>
            <w:r>
              <w:rPr>
                <w:sz w:val="24"/>
              </w:rPr>
              <w:t xml:space="preserve">Дата выдачи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nfo-dic:DatVydachDokUDL</w:t>
            </w:r>
          </w:p>
        </w:tc>
      </w:tr>
      <w:tr>
        <w:tc>
          <w:tcPr>
            <w:tcW w:w="907" w:type="dxa"/>
          </w:tcPr>
          <w:p>
            <w:pPr>
              <w:pStyle w:val="0"/>
            </w:pPr>
            <w:r>
              <w:rPr>
                <w:sz w:val="24"/>
              </w:rPr>
              <w:t xml:space="preserve">31.1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31.2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318" w:name="P1318"/>
          <w:bookmarkEnd w:id="1318"/>
          <w:p>
            <w:pPr>
              <w:pStyle w:val="0"/>
            </w:pPr>
            <w:r>
              <w:rPr>
                <w:sz w:val="24"/>
              </w:rPr>
              <w:t xml:space="preserve">32</w:t>
            </w:r>
          </w:p>
        </w:tc>
        <w:tc>
          <w:tcPr>
            <w:tcW w:w="2608" w:type="dxa"/>
          </w:tcPr>
          <w:p>
            <w:pPr>
              <w:pStyle w:val="0"/>
            </w:pPr>
            <w:r>
              <w:rPr>
                <w:sz w:val="24"/>
              </w:rPr>
              <w:t xml:space="preserve">Дата окончания срока действия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nfo-dic:DatOkonchSrDeystDokUDL</w:t>
            </w:r>
          </w:p>
        </w:tc>
      </w:tr>
      <w:tr>
        <w:tc>
          <w:tcPr>
            <w:tcW w:w="907" w:type="dxa"/>
          </w:tcPr>
          <w:p>
            <w:pPr>
              <w:pStyle w:val="0"/>
            </w:pPr>
            <w:r>
              <w:rPr>
                <w:sz w:val="24"/>
              </w:rPr>
              <w:t xml:space="preserve">32.1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32.2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330" w:name="P1330"/>
          <w:bookmarkEnd w:id="1330"/>
          <w:p>
            <w:pPr>
              <w:pStyle w:val="0"/>
            </w:pPr>
            <w:r>
              <w:rPr>
                <w:sz w:val="24"/>
              </w:rPr>
              <w:t xml:space="preserve">33</w:t>
            </w:r>
          </w:p>
        </w:tc>
        <w:tc>
          <w:tcPr>
            <w:tcW w:w="2608" w:type="dxa"/>
          </w:tcPr>
          <w:p>
            <w:pPr>
              <w:pStyle w:val="0"/>
            </w:pPr>
            <w:r>
              <w:rPr>
                <w:sz w:val="24"/>
              </w:rPr>
              <w:t xml:space="preserve">Идентификационный номер налогоплательщика (ИНН)</w:t>
            </w:r>
          </w:p>
        </w:tc>
        <w:tc>
          <w:tcPr>
            <w:tcW w:w="2608" w:type="dxa"/>
          </w:tcPr>
          <w:p>
            <w:pPr>
              <w:pStyle w:val="0"/>
            </w:pPr>
            <w:r>
              <w:rPr>
                <w:sz w:val="24"/>
              </w:rPr>
            </w:r>
          </w:p>
        </w:tc>
        <w:tc>
          <w:tcPr>
            <w:tcW w:w="2948" w:type="dxa"/>
          </w:tcPr>
          <w:p>
            <w:pPr>
              <w:pStyle w:val="0"/>
            </w:pPr>
            <w:r>
              <w:rPr>
                <w:sz w:val="24"/>
              </w:rPr>
              <w:t xml:space="preserve">nfo-dic:INN</w:t>
            </w:r>
          </w:p>
        </w:tc>
      </w:tr>
      <w:tr>
        <w:tc>
          <w:tcPr>
            <w:tcW w:w="907" w:type="dxa"/>
          </w:tcPr>
          <w:p>
            <w:pPr>
              <w:pStyle w:val="0"/>
            </w:pPr>
            <w:r>
              <w:rPr>
                <w:sz w:val="24"/>
              </w:rPr>
              <w:t xml:space="preserve">33.1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33.2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342" w:name="P1342"/>
          <w:bookmarkEnd w:id="1342"/>
          <w:p>
            <w:pPr>
              <w:pStyle w:val="0"/>
            </w:pPr>
            <w:r>
              <w:rPr>
                <w:sz w:val="24"/>
              </w:rPr>
              <w:t xml:space="preserve">34</w:t>
            </w:r>
          </w:p>
        </w:tc>
        <w:tc>
          <w:tcPr>
            <w:tcW w:w="2608" w:type="dxa"/>
          </w:tcPr>
          <w:p>
            <w:pPr>
              <w:pStyle w:val="0"/>
            </w:pPr>
            <w:r>
              <w:rPr>
                <w:sz w:val="24"/>
              </w:rPr>
              <w:t xml:space="preserve">Номер телефона</w:t>
            </w:r>
          </w:p>
        </w:tc>
        <w:tc>
          <w:tcPr>
            <w:tcW w:w="2608" w:type="dxa"/>
          </w:tcPr>
          <w:p>
            <w:pPr>
              <w:pStyle w:val="0"/>
            </w:pPr>
            <w:r>
              <w:rPr>
                <w:sz w:val="24"/>
              </w:rPr>
            </w:r>
          </w:p>
        </w:tc>
        <w:tc>
          <w:tcPr>
            <w:tcW w:w="2948" w:type="dxa"/>
          </w:tcPr>
          <w:p>
            <w:pPr>
              <w:pStyle w:val="0"/>
            </w:pPr>
            <w:r>
              <w:rPr>
                <w:sz w:val="24"/>
              </w:rPr>
              <w:t xml:space="preserve">nfo-dic:NomKontTel</w:t>
            </w:r>
          </w:p>
        </w:tc>
      </w:tr>
      <w:tr>
        <w:tc>
          <w:tcPr>
            <w:tcW w:w="907" w:type="dxa"/>
          </w:tcPr>
          <w:p>
            <w:pPr>
              <w:pStyle w:val="0"/>
            </w:pPr>
            <w:r>
              <w:rPr>
                <w:sz w:val="24"/>
              </w:rPr>
              <w:t xml:space="preserve">34.1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34.2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354" w:name="P1354"/>
          <w:bookmarkEnd w:id="1354"/>
          <w:p>
            <w:pPr>
              <w:pStyle w:val="0"/>
            </w:pPr>
            <w:r>
              <w:rPr>
                <w:sz w:val="24"/>
              </w:rPr>
              <w:t xml:space="preserve">35</w:t>
            </w:r>
          </w:p>
        </w:tc>
        <w:tc>
          <w:tcPr>
            <w:tcW w:w="2608" w:type="dxa"/>
          </w:tcPr>
          <w:p>
            <w:pPr>
              <w:pStyle w:val="0"/>
            </w:pPr>
            <w:r>
              <w:rPr>
                <w:sz w:val="24"/>
              </w:rPr>
              <w:t xml:space="preserve">Дата совершения доверенности</w:t>
            </w:r>
          </w:p>
        </w:tc>
        <w:tc>
          <w:tcPr>
            <w:tcW w:w="2608" w:type="dxa"/>
          </w:tcPr>
          <w:p>
            <w:pPr>
              <w:pStyle w:val="0"/>
            </w:pPr>
            <w:r>
              <w:rPr>
                <w:sz w:val="24"/>
              </w:rPr>
            </w:r>
          </w:p>
        </w:tc>
        <w:tc>
          <w:tcPr>
            <w:tcW w:w="2948" w:type="dxa"/>
          </w:tcPr>
          <w:p>
            <w:pPr>
              <w:pStyle w:val="0"/>
            </w:pPr>
            <w:r>
              <w:rPr>
                <w:sz w:val="24"/>
              </w:rPr>
              <w:t xml:space="preserve">ins-die:DataSoversheniyaDoverennosti</w:t>
            </w:r>
          </w:p>
        </w:tc>
      </w:tr>
      <w:tr>
        <w:tc>
          <w:tcPr>
            <w:tcW w:w="907" w:type="dxa"/>
          </w:tcPr>
          <w:p>
            <w:pPr>
              <w:pStyle w:val="0"/>
            </w:pPr>
            <w:r>
              <w:rPr>
                <w:sz w:val="24"/>
              </w:rPr>
              <w:t xml:space="preserve">35.1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35.2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1366" w:name="P1366"/>
          <w:bookmarkEnd w:id="1366"/>
          <w:p>
            <w:pPr>
              <w:pStyle w:val="0"/>
            </w:pPr>
            <w:r>
              <w:rPr>
                <w:sz w:val="24"/>
              </w:rPr>
              <w:t xml:space="preserve">36</w:t>
            </w:r>
          </w:p>
        </w:tc>
        <w:tc>
          <w:tcPr>
            <w:tcW w:w="2608" w:type="dxa"/>
          </w:tcPr>
          <w:p>
            <w:pPr>
              <w:pStyle w:val="0"/>
            </w:pPr>
            <w:r>
              <w:rPr>
                <w:sz w:val="24"/>
              </w:rPr>
              <w:t xml:space="preserve">Номер доверенности</w:t>
            </w:r>
          </w:p>
        </w:tc>
        <w:tc>
          <w:tcPr>
            <w:tcW w:w="2608" w:type="dxa"/>
          </w:tcPr>
          <w:p>
            <w:pPr>
              <w:pStyle w:val="0"/>
            </w:pPr>
            <w:r>
              <w:rPr>
                <w:sz w:val="24"/>
              </w:rPr>
            </w:r>
          </w:p>
        </w:tc>
        <w:tc>
          <w:tcPr>
            <w:tcW w:w="2948" w:type="dxa"/>
          </w:tcPr>
          <w:p>
            <w:pPr>
              <w:pStyle w:val="0"/>
            </w:pPr>
            <w:r>
              <w:rPr>
                <w:sz w:val="24"/>
              </w:rPr>
              <w:t xml:space="preserve">ins-dic:NomerDoverennosti</w:t>
            </w:r>
          </w:p>
        </w:tc>
      </w:tr>
      <w:tr>
        <w:tc>
          <w:tcPr>
            <w:tcW w:w="907" w:type="dxa"/>
          </w:tcPr>
          <w:p>
            <w:pPr>
              <w:pStyle w:val="0"/>
            </w:pPr>
            <w:r>
              <w:rPr>
                <w:sz w:val="24"/>
              </w:rPr>
              <w:t xml:space="preserve">36.1</w:t>
            </w:r>
          </w:p>
        </w:tc>
        <w:tc>
          <w:tcPr>
            <w:tcW w:w="2608" w:type="dxa"/>
          </w:tcPr>
          <w:p>
            <w:pPr>
              <w:pStyle w:val="0"/>
            </w:pPr>
            <w:r>
              <w:rPr>
                <w:sz w:val="24"/>
              </w:rPr>
            </w:r>
          </w:p>
        </w:tc>
        <w:tc>
          <w:tcPr>
            <w:tcW w:w="2608" w:type="dxa"/>
          </w:tcPr>
          <w:p>
            <w:pPr>
              <w:pStyle w:val="0"/>
            </w:pPr>
            <w:r>
              <w:rPr>
                <w:sz w:val="24"/>
              </w:rPr>
              <w:t xml:space="preserve">Идентификатор обособленного подразделения</w:t>
            </w:r>
          </w:p>
        </w:tc>
        <w:tc>
          <w:tcPr>
            <w:tcW w:w="2948" w:type="dxa"/>
          </w:tcPr>
          <w:p>
            <w:pPr>
              <w:pStyle w:val="0"/>
            </w:pPr>
            <w:r>
              <w:rPr>
                <w:sz w:val="24"/>
              </w:rPr>
              <w:t xml:space="preserve">dim-int:ID_Obosobl_PodrazdTaxis</w:t>
            </w:r>
          </w:p>
        </w:tc>
      </w:tr>
      <w:tr>
        <w:tc>
          <w:tcPr>
            <w:tcW w:w="907" w:type="dxa"/>
          </w:tcPr>
          <w:p>
            <w:pPr>
              <w:pStyle w:val="0"/>
            </w:pPr>
            <w:r>
              <w:rPr>
                <w:sz w:val="24"/>
              </w:rPr>
              <w:t xml:space="preserve">36.2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bl>
    <w:p>
      <w:pPr>
        <w:pStyle w:val="0"/>
        <w:ind w:firstLine="540"/>
        <w:jc w:val="both"/>
      </w:pPr>
      <w:r>
        <w:rPr>
          <w:sz w:val="24"/>
        </w:rPr>
      </w:r>
    </w:p>
    <w:p>
      <w:pPr>
        <w:pStyle w:val="0"/>
        <w:ind w:firstLine="540"/>
        <w:jc w:val="both"/>
      </w:pPr>
      <w:r>
        <w:rPr>
          <w:sz w:val="24"/>
        </w:rPr>
        <w:t xml:space="preserve">--------------------------------</w:t>
      </w:r>
    </w:p>
    <w:bookmarkStart w:id="1380" w:name="P1380"/>
    <w:bookmarkEnd w:id="1380"/>
    <w:p>
      <w:pPr>
        <w:pStyle w:val="0"/>
        <w:spacing w:before="240" w:lineRule="auto"/>
        <w:ind w:firstLine="540"/>
        <w:jc w:val="both"/>
      </w:pPr>
      <w:r>
        <w:rPr>
          <w:sz w:val="24"/>
        </w:rPr>
        <w:t xml:space="preserve">&lt;1&gt; Общероссийский </w:t>
      </w:r>
      <w:hyperlink w:history="0" r:id="rId103"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0420151 "Сведения</w:t>
      </w:r>
    </w:p>
    <w:p>
      <w:pPr>
        <w:pStyle w:val="0"/>
        <w:jc w:val="center"/>
      </w:pPr>
      <w:r>
        <w:rPr>
          <w:sz w:val="24"/>
        </w:rPr>
        <w:t xml:space="preserve">об обособленных подразделениях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1001" w:tooltip="Отчетность по форме 0420151">
        <w:r>
          <w:rPr>
            <w:sz w:val="24"/>
            <w:color w:val="0000ff"/>
          </w:rPr>
          <w:t xml:space="preserve">форме 0420151</w:t>
        </w:r>
      </w:hyperlink>
      <w:r>
        <w:rPr>
          <w:sz w:val="24"/>
        </w:rPr>
        <w:t xml:space="preserve"> "Сведения об обособленных подразделениях страховщика" (далее - отчетность по форме 0420151) составляется страховщиком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1.1. Страховая организация и общество взаимного страхования составляют отчетность по </w:t>
      </w:r>
      <w:hyperlink w:history="0" w:anchor="P1001" w:tooltip="Отчетность по форме 0420151">
        <w:r>
          <w:rPr>
            <w:sz w:val="24"/>
            <w:color w:val="0000ff"/>
          </w:rPr>
          <w:t xml:space="preserve">форме 0420151</w:t>
        </w:r>
      </w:hyperlink>
      <w:r>
        <w:rPr>
          <w:sz w:val="24"/>
        </w:rPr>
        <w:t xml:space="preserve"> ежегодно за календарный год (далее - отчетный год) по состоянию на 31 декабря отчетного года включительно, а также в целях выполнения требования </w:t>
      </w:r>
      <w:hyperlink w:history="0" r:id="rId10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подпункта 5 пункта 5 статьи 30</w:t>
        </w:r>
      </w:hyperlink>
      <w:r>
        <w:rPr>
          <w:sz w:val="24"/>
        </w:rPr>
        <w:t xml:space="preserve"> Закона Российской Федерации от 27 ноября 1992 года N 4015-I "Об организации страхового дела в Российской Федерации" в случае изменения в течение отчетного года содержащихся в отчетности по </w:t>
      </w:r>
      <w:hyperlink w:history="0" w:anchor="P1001" w:tooltip="Отчетность по форме 0420151">
        <w:r>
          <w:rPr>
            <w:sz w:val="24"/>
            <w:color w:val="0000ff"/>
          </w:rPr>
          <w:t xml:space="preserve">форме 0420151</w:t>
        </w:r>
      </w:hyperlink>
      <w:r>
        <w:rPr>
          <w:sz w:val="24"/>
        </w:rPr>
        <w:t xml:space="preserve"> сведений.</w:t>
      </w:r>
    </w:p>
    <w:p>
      <w:pPr>
        <w:pStyle w:val="0"/>
        <w:spacing w:before="240" w:lineRule="auto"/>
        <w:ind w:firstLine="540"/>
        <w:jc w:val="both"/>
      </w:pPr>
      <w:r>
        <w:rPr>
          <w:sz w:val="24"/>
        </w:rPr>
        <w:t xml:space="preserve">При составлении отчетности по </w:t>
      </w:r>
      <w:hyperlink w:history="0" w:anchor="P1001" w:tooltip="Отчетность по форме 0420151">
        <w:r>
          <w:rPr>
            <w:sz w:val="24"/>
            <w:color w:val="0000ff"/>
          </w:rPr>
          <w:t xml:space="preserve">форме 0420151</w:t>
        </w:r>
      </w:hyperlink>
      <w:r>
        <w:rPr>
          <w:sz w:val="24"/>
        </w:rPr>
        <w:t xml:space="preserve"> в случае изменения в течение отчетного года содержащихся в ней сведений отчетность по </w:t>
      </w:r>
      <w:hyperlink w:history="0" w:anchor="P1001" w:tooltip="Отчетность по форме 0420151">
        <w:r>
          <w:rPr>
            <w:sz w:val="24"/>
            <w:color w:val="0000ff"/>
          </w:rPr>
          <w:t xml:space="preserve">форме 0420151</w:t>
        </w:r>
      </w:hyperlink>
      <w:r>
        <w:rPr>
          <w:sz w:val="24"/>
        </w:rPr>
        <w:t xml:space="preserve"> составляется по состоянию на дату внесения указанных изменений в единый государственный реестр юридических лиц (далее - ЕГРЮЛ) в соответствии со </w:t>
      </w:r>
      <w:hyperlink w:history="0" r:id="rId105"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статьей 18</w:t>
        </w:r>
      </w:hyperlink>
      <w:r>
        <w:rPr>
          <w:sz w:val="24"/>
        </w:rPr>
        <w:t xml:space="preserve"> Федерального закона от 8 августа 2001 года N 129-ФЗ "О государственной регистрации юридических лиц и индивидуальных предпринимателей", а в случае, если внесение изменений в ЕГРЮЛ не требуется, - по состоянию на дату изменения сведений.</w:t>
      </w:r>
    </w:p>
    <w:p>
      <w:pPr>
        <w:pStyle w:val="0"/>
        <w:spacing w:before="240" w:lineRule="auto"/>
        <w:ind w:firstLine="540"/>
        <w:jc w:val="both"/>
      </w:pPr>
      <w:r>
        <w:rPr>
          <w:sz w:val="24"/>
        </w:rPr>
        <w:t xml:space="preserve">1.2. Иностранная страховая организация составляет отчетность по </w:t>
      </w:r>
      <w:hyperlink w:history="0" w:anchor="P1001" w:tooltip="Отчетность по форме 0420151">
        <w:r>
          <w:rPr>
            <w:sz w:val="24"/>
            <w:color w:val="0000ff"/>
          </w:rPr>
          <w:t xml:space="preserve">форме 0420151</w:t>
        </w:r>
      </w:hyperlink>
      <w:r>
        <w:rPr>
          <w:sz w:val="24"/>
        </w:rPr>
        <w:t xml:space="preserve"> ежеквартально за I, II, III и IV кварталы (далее - отчетный квартал) по состоянию на последний календарный день отчетного квартала включительно.</w:t>
      </w:r>
    </w:p>
    <w:p>
      <w:pPr>
        <w:pStyle w:val="0"/>
        <w:spacing w:before="240" w:lineRule="auto"/>
        <w:ind w:firstLine="540"/>
        <w:jc w:val="both"/>
      </w:pPr>
      <w:r>
        <w:rPr>
          <w:sz w:val="24"/>
        </w:rPr>
        <w:t xml:space="preserve">2. Значения показателей отчетности по </w:t>
      </w:r>
      <w:hyperlink w:history="0" w:anchor="P1001" w:tooltip="Отчетность по форме 0420151">
        <w:r>
          <w:rPr>
            <w:sz w:val="24"/>
            <w:color w:val="0000ff"/>
          </w:rPr>
          <w:t xml:space="preserve">форме 0420151</w:t>
        </w:r>
      </w:hyperlink>
      <w:r>
        <w:rPr>
          <w:sz w:val="24"/>
        </w:rPr>
        <w:t xml:space="preserve"> указываются в разрезе обособленных подразделений страховщика (по группе аналитических признаков "Идентификатор обособленного подразделения").</w:t>
      </w:r>
    </w:p>
    <w:p>
      <w:pPr>
        <w:pStyle w:val="0"/>
        <w:spacing w:before="240" w:lineRule="auto"/>
        <w:ind w:firstLine="540"/>
        <w:jc w:val="both"/>
      </w:pPr>
      <w:r>
        <w:rPr>
          <w:sz w:val="24"/>
        </w:rPr>
        <w:t xml:space="preserve">2.1. Страховая организация и общество взаимного страхования указывают в отчетности по </w:t>
      </w:r>
      <w:hyperlink w:history="0" w:anchor="P1001" w:tooltip="Отчетность по форме 0420151">
        <w:r>
          <w:rPr>
            <w:sz w:val="24"/>
            <w:color w:val="0000ff"/>
          </w:rPr>
          <w:t xml:space="preserve">форме 0420151</w:t>
        </w:r>
      </w:hyperlink>
      <w:r>
        <w:rPr>
          <w:sz w:val="24"/>
        </w:rPr>
        <w:t xml:space="preserve"> сведения о своих филиалах, представительствах и иных обособленных подразделениях, в том числе определенных в соответствии с </w:t>
      </w:r>
      <w:hyperlink w:history="0" r:id="rId106"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абзацем двадцать пятым пункта 2 статьи 11</w:t>
        </w:r>
      </w:hyperlink>
      <w:r>
        <w:rPr>
          <w:sz w:val="24"/>
        </w:rPr>
        <w:t xml:space="preserve"> Налогового кодекса Российской Федерации (далее при совместном упоминании - обособленное подразделение).</w:t>
      </w:r>
    </w:p>
    <w:p>
      <w:pPr>
        <w:pStyle w:val="0"/>
        <w:spacing w:before="240" w:lineRule="auto"/>
        <w:ind w:firstLine="540"/>
        <w:jc w:val="both"/>
      </w:pPr>
      <w:r>
        <w:rPr>
          <w:sz w:val="24"/>
        </w:rPr>
        <w:t xml:space="preserve">В отчетность по </w:t>
      </w:r>
      <w:hyperlink w:history="0" w:anchor="P1001" w:tooltip="Отчетность по форме 0420151">
        <w:r>
          <w:rPr>
            <w:sz w:val="24"/>
            <w:color w:val="0000ff"/>
          </w:rPr>
          <w:t xml:space="preserve">форме 0420151</w:t>
        </w:r>
      </w:hyperlink>
      <w:r>
        <w:rPr>
          <w:sz w:val="24"/>
        </w:rPr>
        <w:t xml:space="preserve">, составленную страховой организацией, обществом взаимного страхования по состоянию на 31 декабря отчетного года включительно, включаются:</w:t>
      </w:r>
    </w:p>
    <w:p>
      <w:pPr>
        <w:pStyle w:val="0"/>
        <w:spacing w:before="240" w:lineRule="auto"/>
        <w:ind w:firstLine="540"/>
        <w:jc w:val="both"/>
      </w:pPr>
      <w:r>
        <w:rPr>
          <w:sz w:val="24"/>
        </w:rPr>
        <w:t xml:space="preserve">сведения об обособленных подразделениях, действовавших по состоянию на 31 декабря предыдущего отчетного года;</w:t>
      </w:r>
    </w:p>
    <w:p>
      <w:pPr>
        <w:pStyle w:val="0"/>
        <w:spacing w:before="240" w:lineRule="auto"/>
        <w:ind w:firstLine="540"/>
        <w:jc w:val="both"/>
      </w:pPr>
      <w:r>
        <w:rPr>
          <w:sz w:val="24"/>
        </w:rPr>
        <w:t xml:space="preserve">сведения об обособленных подразделениях, открытых и (или) закрытых в течение отчетного года.</w:t>
      </w:r>
    </w:p>
    <w:p>
      <w:pPr>
        <w:pStyle w:val="0"/>
        <w:spacing w:before="240" w:lineRule="auto"/>
        <w:ind w:firstLine="540"/>
        <w:jc w:val="both"/>
      </w:pPr>
      <w:r>
        <w:rPr>
          <w:sz w:val="24"/>
        </w:rPr>
        <w:t xml:space="preserve">В отчетность по </w:t>
      </w:r>
      <w:hyperlink w:history="0" w:anchor="P1001" w:tooltip="Отчетность по форме 0420151">
        <w:r>
          <w:rPr>
            <w:sz w:val="24"/>
            <w:color w:val="0000ff"/>
          </w:rPr>
          <w:t xml:space="preserve">форме 0420151</w:t>
        </w:r>
      </w:hyperlink>
      <w:r>
        <w:rPr>
          <w:sz w:val="24"/>
        </w:rPr>
        <w:t xml:space="preserve">, составленную страховой организацией, обществом взаимного страхования в случае изменения содержащихся в ней сведений, включаются сведения об обособленных подразделениях, действовавших на дату, предшествующую дате изменения сведений. В случае если отчетность по </w:t>
      </w:r>
      <w:hyperlink w:history="0" w:anchor="P1001" w:tooltip="Отчетность по форме 0420151">
        <w:r>
          <w:rPr>
            <w:sz w:val="24"/>
            <w:color w:val="0000ff"/>
          </w:rPr>
          <w:t xml:space="preserve">форме 0420151</w:t>
        </w:r>
      </w:hyperlink>
      <w:r>
        <w:rPr>
          <w:sz w:val="24"/>
        </w:rPr>
        <w:t xml:space="preserve"> составляется страховой организацией, обществом взаимного страхования по итогам нескольких изменений содержащихся в ней сведений, в отчетность по </w:t>
      </w:r>
      <w:hyperlink w:history="0" w:anchor="P1001" w:tooltip="Отчетность по форме 0420151">
        <w:r>
          <w:rPr>
            <w:sz w:val="24"/>
            <w:color w:val="0000ff"/>
          </w:rPr>
          <w:t xml:space="preserve">форме 0420151</w:t>
        </w:r>
      </w:hyperlink>
      <w:r>
        <w:rPr>
          <w:sz w:val="24"/>
        </w:rPr>
        <w:t xml:space="preserve"> включаются сведения об обособленных подразделениях, действовавших на дату, предшествующую наиболее ранней дате изменения сведений.</w:t>
      </w:r>
    </w:p>
    <w:p>
      <w:pPr>
        <w:pStyle w:val="0"/>
        <w:spacing w:before="240" w:lineRule="auto"/>
        <w:ind w:firstLine="540"/>
        <w:jc w:val="both"/>
      </w:pPr>
      <w:r>
        <w:rPr>
          <w:sz w:val="24"/>
        </w:rPr>
        <w:t xml:space="preserve">2.2. Иностранная страховая организация указывает в отчетности по </w:t>
      </w:r>
      <w:hyperlink w:history="0" w:anchor="P1001" w:tooltip="Отчетность по форме 0420151">
        <w:r>
          <w:rPr>
            <w:sz w:val="24"/>
            <w:color w:val="0000ff"/>
          </w:rPr>
          <w:t xml:space="preserve">форме 0420151</w:t>
        </w:r>
      </w:hyperlink>
      <w:r>
        <w:rPr>
          <w:sz w:val="24"/>
        </w:rPr>
        <w:t xml:space="preserve"> сведения только о филиалах, созданных на территории Российской Федерации, через которые иностранная страховая организация осуществляет страховую деятельность на территории Российской Федерации (далее - филиалы иностранной страховой организации).</w:t>
      </w:r>
    </w:p>
    <w:p>
      <w:pPr>
        <w:pStyle w:val="0"/>
        <w:spacing w:before="240" w:lineRule="auto"/>
        <w:ind w:firstLine="540"/>
        <w:jc w:val="both"/>
      </w:pPr>
      <w:r>
        <w:rPr>
          <w:sz w:val="24"/>
        </w:rPr>
        <w:t xml:space="preserve">В отчетность по </w:t>
      </w:r>
      <w:hyperlink w:history="0" w:anchor="P1001" w:tooltip="Отчетность по форме 0420151">
        <w:r>
          <w:rPr>
            <w:sz w:val="24"/>
            <w:color w:val="0000ff"/>
          </w:rPr>
          <w:t xml:space="preserve">форме 0420151</w:t>
        </w:r>
      </w:hyperlink>
      <w:r>
        <w:rPr>
          <w:sz w:val="24"/>
        </w:rPr>
        <w:t xml:space="preserve">, составленную иностранной страховой организацией за отчетный квартал, включаются:</w:t>
      </w:r>
    </w:p>
    <w:p>
      <w:pPr>
        <w:pStyle w:val="0"/>
        <w:spacing w:before="240" w:lineRule="auto"/>
        <w:ind w:firstLine="540"/>
        <w:jc w:val="both"/>
      </w:pPr>
      <w:r>
        <w:rPr>
          <w:sz w:val="24"/>
        </w:rPr>
        <w:t xml:space="preserve">сведения о филиалах иностранной страховой организации, действовавших по состоянию на последний календарный день квартала, предшествующего отчетному кварталу;</w:t>
      </w:r>
    </w:p>
    <w:p>
      <w:pPr>
        <w:pStyle w:val="0"/>
        <w:spacing w:before="240" w:lineRule="auto"/>
        <w:ind w:firstLine="540"/>
        <w:jc w:val="both"/>
      </w:pPr>
      <w:r>
        <w:rPr>
          <w:sz w:val="24"/>
        </w:rPr>
        <w:t xml:space="preserve">сведения о филиалах иностранной страховой организации, открытых и (или) закрытых в течение отчетного квартала.</w:t>
      </w:r>
    </w:p>
    <w:p>
      <w:pPr>
        <w:pStyle w:val="0"/>
        <w:spacing w:before="240" w:lineRule="auto"/>
        <w:ind w:firstLine="540"/>
        <w:jc w:val="both"/>
      </w:pPr>
      <w:r>
        <w:rPr>
          <w:sz w:val="24"/>
        </w:rPr>
        <w:t xml:space="preserve">2.3. По группе аналитических признаков "Идентификатор обособленного подразделения" указывается сформированный страховщиком (за исключением иностранной страховой организации) идентификатор его обособленного подразделения, позволяющий выделить одно обособленное подразделение страховщика (за исключением иностранной страховой организации) из других обособленных подразделений страховщика (за исключением иностранной страховой организации). Одному и тому же обособленному подразделению страховщика (за исключением иностранной страховой организации) должен соответствовать один идентификатор.</w:t>
      </w:r>
    </w:p>
    <w:p>
      <w:pPr>
        <w:pStyle w:val="0"/>
        <w:spacing w:before="240" w:lineRule="auto"/>
        <w:ind w:firstLine="540"/>
        <w:jc w:val="both"/>
      </w:pPr>
      <w:r>
        <w:rPr>
          <w:sz w:val="24"/>
        </w:rPr>
        <w:t xml:space="preserve">Иностранная страховая организация по группе аналитических признаков "Идентификатор обособленного подразделения" указывает идентификатор филиала иностранной страховой организации, позволяющий выделить один филиал иностранной страховой организации из других филиалов иностранной страховой организации. Одному и тому же филиалу иностранной страховой организации должен соответствовать один идентификатор.</w:t>
      </w:r>
    </w:p>
    <w:p>
      <w:pPr>
        <w:pStyle w:val="0"/>
        <w:spacing w:before="240" w:lineRule="auto"/>
        <w:ind w:firstLine="540"/>
        <w:jc w:val="both"/>
      </w:pPr>
      <w:r>
        <w:rPr>
          <w:sz w:val="24"/>
        </w:rPr>
        <w:t xml:space="preserve">2.4. По группе аналитических признаков "Идентификатор строки" указывается значение "НП", за исключением случая, когда в отчетность по </w:t>
      </w:r>
      <w:hyperlink w:history="0" w:anchor="P1001" w:tooltip="Отчетность по форме 0420151">
        <w:r>
          <w:rPr>
            <w:sz w:val="24"/>
            <w:color w:val="0000ff"/>
          </w:rPr>
          <w:t xml:space="preserve">форме 0420151</w:t>
        </w:r>
      </w:hyperlink>
      <w:r>
        <w:rPr>
          <w:sz w:val="24"/>
        </w:rPr>
        <w:t xml:space="preserve">, составленную страховщиком в случае изменения содержащихся в ней сведений, по обособленному подразделению страховщика, идентификатор которого указан по группе аналитических признаков "Идентификатор обособленного подразделения", включены сведения о нескольких руководителях указанного обособленного подразделения страховщика. В данном случае по группе аналитических признаков "Идентификатор строки" указывается сформированный страховщиком самостоятельно идентификатор руководителя обособленного подразделения страховщика.</w:t>
      </w:r>
    </w:p>
    <w:p>
      <w:pPr>
        <w:pStyle w:val="0"/>
        <w:spacing w:before="240" w:lineRule="auto"/>
        <w:ind w:firstLine="540"/>
        <w:jc w:val="both"/>
      </w:pPr>
      <w:r>
        <w:rPr>
          <w:sz w:val="24"/>
        </w:rPr>
        <w:t xml:space="preserve">3. В случае если обособленное подразделение страховщика (за исключением иностранной страховой организации) находится на территории Российской Федерации, по показателю "Код по Общероссийскому классификатору предприятий и организаций (ОКПО)" </w:t>
      </w:r>
      <w:hyperlink w:history="0" w:anchor="P1017" w:tooltip="1">
        <w:r>
          <w:rPr>
            <w:sz w:val="24"/>
            <w:color w:val="0000ff"/>
          </w:rPr>
          <w:t xml:space="preserve">(строка 1)</w:t>
        </w:r>
      </w:hyperlink>
      <w:r>
        <w:rPr>
          <w:sz w:val="24"/>
        </w:rPr>
        <w:t xml:space="preserve"> указывается цифровой код обособленного подразделения страховщика (за исключением иностранной страховой организации) согласно Общероссийскому классификатору предприятий и организаций (ОКПО) или идентификационный номер территориально обособленного структурного подразделения (ТОСП).</w:t>
      </w:r>
    </w:p>
    <w:p>
      <w:pPr>
        <w:pStyle w:val="0"/>
        <w:spacing w:before="240" w:lineRule="auto"/>
        <w:ind w:firstLine="540"/>
        <w:jc w:val="both"/>
      </w:pPr>
      <w:r>
        <w:rPr>
          <w:sz w:val="24"/>
        </w:rPr>
        <w:t xml:space="preserve">В случае если обособленное подразделение страховщика (за исключением иностранной страховой организации) находится за пределами территории Российской Федерации, показатель "Код по Общероссийскому классификатору предприятий и организаций (ОКПО)" </w:t>
      </w:r>
      <w:hyperlink w:history="0" w:anchor="P1017" w:tooltip="1">
        <w:r>
          <w:rPr>
            <w:sz w:val="24"/>
            <w:color w:val="0000ff"/>
          </w:rPr>
          <w:t xml:space="preserve">(строка 1)</w:t>
        </w:r>
      </w:hyperlink>
      <w:r>
        <w:rPr>
          <w:sz w:val="24"/>
        </w:rPr>
        <w:t xml:space="preserve"> не формируется.</w:t>
      </w:r>
    </w:p>
    <w:p>
      <w:pPr>
        <w:pStyle w:val="0"/>
        <w:spacing w:before="240" w:lineRule="auto"/>
        <w:ind w:firstLine="540"/>
        <w:jc w:val="both"/>
      </w:pPr>
      <w:r>
        <w:rPr>
          <w:sz w:val="24"/>
        </w:rPr>
        <w:t xml:space="preserve">Иностранная страховая организация по показателю "Код по Общероссийскому классификатору предприятий и организаций (ОКПО)" </w:t>
      </w:r>
      <w:hyperlink w:history="0" w:anchor="P1017" w:tooltip="1">
        <w:r>
          <w:rPr>
            <w:sz w:val="24"/>
            <w:color w:val="0000ff"/>
          </w:rPr>
          <w:t xml:space="preserve">(строка 1)</w:t>
        </w:r>
      </w:hyperlink>
      <w:r>
        <w:rPr>
          <w:sz w:val="24"/>
        </w:rPr>
        <w:t xml:space="preserve"> указывает цифровой код филиала иностранной страховой организации согласно Общероссийскому классификатору предприятий и организаций (ОКПО) или идентификационный номер территориально обособленного структурного подразделения (ТОСП).</w:t>
      </w:r>
    </w:p>
    <w:p>
      <w:pPr>
        <w:pStyle w:val="0"/>
        <w:spacing w:before="240" w:lineRule="auto"/>
        <w:ind w:firstLine="540"/>
        <w:jc w:val="both"/>
      </w:pPr>
      <w:r>
        <w:rPr>
          <w:sz w:val="24"/>
        </w:rPr>
        <w:t xml:space="preserve">4. По показателю "Полное наименование" </w:t>
      </w:r>
      <w:hyperlink w:history="0" w:anchor="P1025" w:tooltip="2">
        <w:r>
          <w:rPr>
            <w:sz w:val="24"/>
            <w:color w:val="0000ff"/>
          </w:rPr>
          <w:t xml:space="preserve">(строка 2)</w:t>
        </w:r>
      </w:hyperlink>
      <w:r>
        <w:rPr>
          <w:sz w:val="24"/>
        </w:rPr>
        <w:t xml:space="preserve"> указывается полное наименование обособленного подразделения страховщика в соответствии с уставом (учредительным документом) или внутренними документами страховщика.</w:t>
      </w:r>
    </w:p>
    <w:p>
      <w:pPr>
        <w:pStyle w:val="0"/>
        <w:spacing w:before="240" w:lineRule="auto"/>
        <w:ind w:firstLine="540"/>
        <w:jc w:val="both"/>
      </w:pPr>
      <w:r>
        <w:rPr>
          <w:sz w:val="24"/>
        </w:rPr>
        <w:t xml:space="preserve">В случае изменения полного наименования обособленного подразделения страховщика указывается его новое полное наименование в соответствии с уставом (учредительным документом) или внутренними документами страховщика, в скобках - предыдущее полное наименование.</w:t>
      </w:r>
    </w:p>
    <w:p>
      <w:pPr>
        <w:pStyle w:val="0"/>
        <w:spacing w:before="240" w:lineRule="auto"/>
        <w:ind w:firstLine="540"/>
        <w:jc w:val="both"/>
      </w:pPr>
      <w:r>
        <w:rPr>
          <w:sz w:val="24"/>
        </w:rPr>
        <w:t xml:space="preserve">5. По показателю "Государственный регистрационный номер в едином государственном реестре юридических лиц" </w:t>
      </w:r>
      <w:hyperlink w:history="0" w:anchor="P1033" w:tooltip="3">
        <w:r>
          <w:rPr>
            <w:sz w:val="24"/>
            <w:color w:val="0000ff"/>
          </w:rPr>
          <w:t xml:space="preserve">(строка 3)</w:t>
        </w:r>
      </w:hyperlink>
      <w:r>
        <w:rPr>
          <w:sz w:val="24"/>
        </w:rPr>
        <w:t xml:space="preserve"> указывается государственный регистрационный номер в ЕГРЮЛ филиала, представительства страховщика (за исключением иностранной страховой организации).</w:t>
      </w:r>
    </w:p>
    <w:p>
      <w:pPr>
        <w:pStyle w:val="0"/>
        <w:spacing w:before="240" w:lineRule="auto"/>
        <w:ind w:firstLine="540"/>
        <w:jc w:val="both"/>
      </w:pPr>
      <w:r>
        <w:rPr>
          <w:sz w:val="24"/>
        </w:rPr>
        <w:t xml:space="preserve">Для иного обособленного подразделения страховщика показатель "Государственный регистрационный номер в едином государственном реестре юридических лиц" </w:t>
      </w:r>
      <w:hyperlink w:history="0" w:anchor="P1033" w:tooltip="3">
        <w:r>
          <w:rPr>
            <w:sz w:val="24"/>
            <w:color w:val="0000ff"/>
          </w:rPr>
          <w:t xml:space="preserve">(строка 3)</w:t>
        </w:r>
      </w:hyperlink>
      <w:r>
        <w:rPr>
          <w:sz w:val="24"/>
        </w:rPr>
        <w:t xml:space="preserve"> не формируется.</w:t>
      </w:r>
    </w:p>
    <w:p>
      <w:pPr>
        <w:pStyle w:val="0"/>
        <w:spacing w:before="240" w:lineRule="auto"/>
        <w:ind w:firstLine="540"/>
        <w:jc w:val="both"/>
      </w:pPr>
      <w:r>
        <w:rPr>
          <w:sz w:val="24"/>
        </w:rPr>
        <w:t xml:space="preserve">Иностранная страховая организация показатель "Государственный регистрационный номер в едином государственном реестре юридических лиц" </w:t>
      </w:r>
      <w:hyperlink w:history="0" w:anchor="P1033" w:tooltip="3">
        <w:r>
          <w:rPr>
            <w:sz w:val="24"/>
            <w:color w:val="0000ff"/>
          </w:rPr>
          <w:t xml:space="preserve">(строка 3)</w:t>
        </w:r>
      </w:hyperlink>
      <w:r>
        <w:rPr>
          <w:sz w:val="24"/>
        </w:rPr>
        <w:t xml:space="preserve"> не формирует.</w:t>
      </w:r>
    </w:p>
    <w:p>
      <w:pPr>
        <w:pStyle w:val="0"/>
        <w:spacing w:before="240" w:lineRule="auto"/>
        <w:ind w:firstLine="540"/>
        <w:jc w:val="both"/>
      </w:pPr>
      <w:r>
        <w:rPr>
          <w:sz w:val="24"/>
        </w:rPr>
        <w:t xml:space="preserve">6. По показателю "Номер записи об аккредитации филиала иностранной страховой организации в государственном реестре аккредитованных филиалов, представительств иностранных юридических лиц" </w:t>
      </w:r>
      <w:hyperlink w:history="0" w:anchor="P1041" w:tooltip="4">
        <w:r>
          <w:rPr>
            <w:sz w:val="24"/>
            <w:color w:val="0000ff"/>
          </w:rPr>
          <w:t xml:space="preserve">(строка 4)</w:t>
        </w:r>
      </w:hyperlink>
      <w:r>
        <w:rPr>
          <w:sz w:val="24"/>
        </w:rPr>
        <w:t xml:space="preserve"> указывается номер записи об аккредитации филиала иностранной страховой организации в государственном реестре аккредитованных филиалов, представительств иностранных юридических лиц, который ведется уполномоченным федеральным органом исполнительной власти в соответствии с </w:t>
      </w:r>
      <w:hyperlink w:history="0" r:id="rId107" w:tooltip="Федеральный закон от 09.07.1999 N 160-ФЗ (ред. от 08.08.2024) &quot;Об иностранных инвестициях в Российской Федерации&quot; {КонсультантПлюс}">
        <w:r>
          <w:rPr>
            <w:sz w:val="24"/>
            <w:color w:val="0000ff"/>
          </w:rPr>
          <w:t xml:space="preserve">пунктом 11 статьи 21</w:t>
        </w:r>
      </w:hyperlink>
      <w:r>
        <w:rPr>
          <w:sz w:val="24"/>
        </w:rPr>
        <w:t xml:space="preserve"> Федерального закона от 9 июля 1999 года N 160-ФЗ "Об иностранных инвестициях в Российской Федерации" (далее - государственный реестр аккредитованных филиалов, представительств иностранных юридических лиц).</w:t>
      </w:r>
    </w:p>
    <w:p>
      <w:pPr>
        <w:pStyle w:val="0"/>
        <w:spacing w:before="240" w:lineRule="auto"/>
        <w:ind w:firstLine="540"/>
        <w:jc w:val="both"/>
      </w:pPr>
      <w:r>
        <w:rPr>
          <w:sz w:val="24"/>
        </w:rPr>
        <w:t xml:space="preserve">Страховая организация и общество взаимного страхования показатель "Номер записи об аккредитации филиала иностранной страховой организации в государственном реестре аккредитованных филиалов, представительств иностранных юридических лиц" </w:t>
      </w:r>
      <w:hyperlink w:history="0" w:anchor="P1041" w:tooltip="4">
        <w:r>
          <w:rPr>
            <w:sz w:val="24"/>
            <w:color w:val="0000ff"/>
          </w:rPr>
          <w:t xml:space="preserve">(строка 4)</w:t>
        </w:r>
      </w:hyperlink>
      <w:r>
        <w:rPr>
          <w:sz w:val="24"/>
        </w:rPr>
        <w:t xml:space="preserve"> не формируют.</w:t>
      </w:r>
    </w:p>
    <w:p>
      <w:pPr>
        <w:pStyle w:val="0"/>
        <w:spacing w:before="240" w:lineRule="auto"/>
        <w:ind w:firstLine="540"/>
        <w:jc w:val="both"/>
      </w:pPr>
      <w:r>
        <w:rPr>
          <w:sz w:val="24"/>
        </w:rPr>
        <w:t xml:space="preserve">7. По показателю "Дата открытия" </w:t>
      </w:r>
      <w:hyperlink w:history="0" w:anchor="P1049" w:tooltip="5">
        <w:r>
          <w:rPr>
            <w:sz w:val="24"/>
            <w:color w:val="0000ff"/>
          </w:rPr>
          <w:t xml:space="preserve">(строка 5)</w:t>
        </w:r>
      </w:hyperlink>
      <w:r>
        <w:rPr>
          <w:sz w:val="24"/>
        </w:rPr>
        <w:t xml:space="preserve"> для филиала, представительства страховщика (за исключением филиала иностранной страховой организации) указывается дата внесения записи об открытии филиала, представительства в ЕГРЮЛ, для филиала иностранной страховой организации - дата внесения записи об открытии филиала в государственный реестр аккредитованных филиалов, представительств иностранных юридических лиц, для иного обособленного подразделения страховщика (за исключением иностранной страховой организации) - дата его открытия в соответствии с принятым уполномоченным органом управления страховщика решением.</w:t>
      </w:r>
    </w:p>
    <w:p>
      <w:pPr>
        <w:pStyle w:val="0"/>
        <w:spacing w:before="240" w:lineRule="auto"/>
        <w:ind w:firstLine="540"/>
        <w:jc w:val="both"/>
      </w:pPr>
      <w:r>
        <w:rPr>
          <w:sz w:val="24"/>
        </w:rPr>
        <w:t xml:space="preserve">8. По показателю "Дата закрытия" </w:t>
      </w:r>
      <w:hyperlink w:history="0" w:anchor="P1057" w:tooltip="6">
        <w:r>
          <w:rPr>
            <w:sz w:val="24"/>
            <w:color w:val="0000ff"/>
          </w:rPr>
          <w:t xml:space="preserve">(строка 6)</w:t>
        </w:r>
      </w:hyperlink>
      <w:r>
        <w:rPr>
          <w:sz w:val="24"/>
        </w:rPr>
        <w:t xml:space="preserve"> для филиала, представительства страховщика (за исключением филиала иностранной страховой организации) указывается дата внесения записи о закрытии филиала, представительства в ЕГРЮЛ, для филиала иностранной страховой организации - дата внесения записи о закрытии филиала в государственный реестр аккредитованных филиалов, представительств иностранных юридических лиц, для иного обособленного подразделения страховщика (за исключением иностранной страховой организации) - дата его закрытия в соответствии с принятым уполномоченным органом управления страховщика решением.</w:t>
      </w:r>
    </w:p>
    <w:p>
      <w:pPr>
        <w:pStyle w:val="0"/>
        <w:spacing w:before="240" w:lineRule="auto"/>
        <w:ind w:firstLine="540"/>
        <w:jc w:val="both"/>
      </w:pPr>
      <w:r>
        <w:rPr>
          <w:sz w:val="24"/>
        </w:rPr>
        <w:t xml:space="preserve">9. По показателю "Вид обособленного подразделения" </w:t>
      </w:r>
      <w:hyperlink w:history="0" w:anchor="P1065" w:tooltip="7">
        <w:r>
          <w:rPr>
            <w:sz w:val="24"/>
            <w:color w:val="0000ff"/>
          </w:rPr>
          <w:t xml:space="preserve">(строка 7)</w:t>
        </w:r>
      </w:hyperlink>
      <w:r>
        <w:rPr>
          <w:sz w:val="24"/>
        </w:rPr>
        <w:t xml:space="preserve"> страховщик (за исключением иностранной страховой организации) указывает: "Филиал", "Представительство" или "Иное".</w:t>
      </w:r>
    </w:p>
    <w:p>
      <w:pPr>
        <w:pStyle w:val="0"/>
        <w:spacing w:before="240" w:lineRule="auto"/>
        <w:ind w:firstLine="540"/>
        <w:jc w:val="both"/>
      </w:pPr>
      <w:r>
        <w:rPr>
          <w:sz w:val="24"/>
        </w:rPr>
        <w:t xml:space="preserve">Иностранная страховая организация по показателю "Вид обособленного подразделения" </w:t>
      </w:r>
      <w:hyperlink w:history="0" w:anchor="P1065" w:tooltip="7">
        <w:r>
          <w:rPr>
            <w:sz w:val="24"/>
            <w:color w:val="0000ff"/>
          </w:rPr>
          <w:t xml:space="preserve">(строка 7)</w:t>
        </w:r>
      </w:hyperlink>
      <w:r>
        <w:rPr>
          <w:sz w:val="24"/>
        </w:rPr>
        <w:t xml:space="preserve"> указывает "Филиал".</w:t>
      </w:r>
    </w:p>
    <w:p>
      <w:pPr>
        <w:pStyle w:val="0"/>
        <w:spacing w:before="240" w:lineRule="auto"/>
        <w:ind w:firstLine="540"/>
        <w:jc w:val="both"/>
      </w:pPr>
      <w:r>
        <w:rPr>
          <w:sz w:val="24"/>
        </w:rPr>
        <w:t xml:space="preserve">10. По показателю "Код места нахождения в государственном адресном реестре федеральной информационной адресной системы (ФИАС)" </w:t>
      </w:r>
      <w:hyperlink w:history="0" w:anchor="P1073" w:tooltip="8">
        <w:r>
          <w:rPr>
            <w:sz w:val="24"/>
            <w:color w:val="0000ff"/>
          </w:rPr>
          <w:t xml:space="preserve">(строка 8)</w:t>
        </w:r>
      </w:hyperlink>
      <w:r>
        <w:rPr>
          <w:sz w:val="24"/>
        </w:rPr>
        <w:t xml:space="preserve"> указывается уникальный номер адреса объекта адресации согласно государственному адресному реестру федеральной информационной адресной системы, ведение которого осуществляется в соответствии с Федеральным </w:t>
      </w:r>
      <w:hyperlink w:history="0" r:id="rId108" w:tooltip="Федеральный закон от 28.12.2013 N 443-ФЗ (ред. от 23.07.2025) &quot;О федеральной информационной адресной системе и о внесении изменений в Федеральный закон &quot;Об общих принципах организации местного самоуправления в Российской Федерации&quot; {КонсультантПлюс}">
        <w:r>
          <w:rPr>
            <w:sz w:val="24"/>
            <w:color w:val="0000ff"/>
          </w:rPr>
          <w:t xml:space="preserve">законом</w:t>
        </w:r>
      </w:hyperlink>
      <w:r>
        <w:rPr>
          <w:sz w:val="24"/>
        </w:rPr>
        <w:t xml:space="preserve"> от 28 декабря 2013 года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ФИАС), длиной 36 символов, соответствующий адресу фактического нахождения обособленного подразделения страховщика на территории Российской Федерации, на территории города Байконура (Республика Казахстан).</w:t>
      </w:r>
    </w:p>
    <w:p>
      <w:pPr>
        <w:pStyle w:val="0"/>
        <w:spacing w:before="240" w:lineRule="auto"/>
        <w:ind w:firstLine="540"/>
        <w:jc w:val="both"/>
      </w:pPr>
      <w:r>
        <w:rPr>
          <w:sz w:val="24"/>
        </w:rPr>
        <w:t xml:space="preserve">В случае если уникальный номер адреса объекта адресации отсутствует в ФИАС при поиске такого номера для всех адресообразующих элементов, по показателю "Код места нахождения в государственном адресном реестре федеральной информационной адресной системы (ФИАС)" </w:t>
      </w:r>
      <w:hyperlink w:history="0" w:anchor="P1073" w:tooltip="8">
        <w:r>
          <w:rPr>
            <w:sz w:val="24"/>
            <w:color w:val="0000ff"/>
          </w:rPr>
          <w:t xml:space="preserve">(строка 8)</w:t>
        </w:r>
      </w:hyperlink>
      <w:r>
        <w:rPr>
          <w:sz w:val="24"/>
        </w:rPr>
        <w:t xml:space="preserve"> указывается уникальный номер адресообразующего элемента для последнего элемента улично-дорожной сети.</w:t>
      </w:r>
    </w:p>
    <w:p>
      <w:pPr>
        <w:pStyle w:val="0"/>
        <w:spacing w:before="240" w:lineRule="auto"/>
        <w:ind w:firstLine="540"/>
        <w:jc w:val="both"/>
      </w:pPr>
      <w:r>
        <w:rPr>
          <w:sz w:val="24"/>
        </w:rPr>
        <w:t xml:space="preserve">Указание значения 0 (ноль) или символа "-" (прочерк) по показателю "Код места нахождения в государственном адресном реестре федеральной информационной адресной системы (ФИАС)" </w:t>
      </w:r>
      <w:hyperlink w:history="0" w:anchor="P1073" w:tooltip="8">
        <w:r>
          <w:rPr>
            <w:sz w:val="24"/>
            <w:color w:val="0000ff"/>
          </w:rPr>
          <w:t xml:space="preserve">(строка 8)</w:t>
        </w:r>
      </w:hyperlink>
      <w:r>
        <w:rPr>
          <w:sz w:val="24"/>
        </w:rPr>
        <w:t xml:space="preserve"> не допускается.</w:t>
      </w:r>
    </w:p>
    <w:p>
      <w:pPr>
        <w:pStyle w:val="0"/>
        <w:spacing w:before="240" w:lineRule="auto"/>
        <w:ind w:firstLine="540"/>
        <w:jc w:val="both"/>
      </w:pPr>
      <w:r>
        <w:rPr>
          <w:sz w:val="24"/>
        </w:rPr>
        <w:t xml:space="preserve">Для обособленного подразделения страховщика, находящегося за пределами территории Российской Федерации (кроме территории города Байконура (Республика Казахстан), показатель "Код места нахождения в государственном адресном реестре федеральной информационной адресной системы (ФИАС)" </w:t>
      </w:r>
      <w:hyperlink w:history="0" w:anchor="P1073" w:tooltip="8">
        <w:r>
          <w:rPr>
            <w:sz w:val="24"/>
            <w:color w:val="0000ff"/>
          </w:rPr>
          <w:t xml:space="preserve">(строка 8)</w:t>
        </w:r>
      </w:hyperlink>
      <w:r>
        <w:rPr>
          <w:sz w:val="24"/>
        </w:rPr>
        <w:t xml:space="preserve"> не формируется.</w:t>
      </w:r>
    </w:p>
    <w:p>
      <w:pPr>
        <w:pStyle w:val="0"/>
        <w:spacing w:before="240" w:lineRule="auto"/>
        <w:ind w:firstLine="540"/>
        <w:jc w:val="both"/>
      </w:pPr>
      <w:r>
        <w:rPr>
          <w:sz w:val="24"/>
        </w:rPr>
        <w:t xml:space="preserve">11. По показателю "Код места нахождения по Общероссийскому </w:t>
      </w:r>
      <w:hyperlink w:history="0" r:id="rId10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 </w:t>
      </w:r>
      <w:hyperlink w:history="0" w:anchor="P1081" w:tooltip="9">
        <w:r>
          <w:rPr>
            <w:sz w:val="24"/>
            <w:color w:val="0000ff"/>
          </w:rPr>
          <w:t xml:space="preserve">(строка 9)</w:t>
        </w:r>
      </w:hyperlink>
      <w:r>
        <w:rPr>
          <w:sz w:val="24"/>
        </w:rPr>
        <w:t xml:space="preserve"> указывается одиннадцатизначный цифровой код места нахождения обособленного подразделения страховщика согласно </w:t>
      </w:r>
      <w:hyperlink w:history="0" r:id="rId11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второму разделу</w:t>
        </w:r>
      </w:hyperlink>
      <w:r>
        <w:rPr>
          <w:sz w:val="24"/>
        </w:rPr>
        <w:t xml:space="preserve"> Общероссийского классификатора территорий муниципальных образований (далее - ОКТМО), соответствующий адресу фактического нахождения обособленного подразделения страховщика на территории Российской Федерации.</w:t>
      </w:r>
    </w:p>
    <w:p>
      <w:pPr>
        <w:pStyle w:val="0"/>
        <w:spacing w:before="240" w:lineRule="auto"/>
        <w:ind w:firstLine="540"/>
        <w:jc w:val="both"/>
      </w:pPr>
      <w:r>
        <w:rPr>
          <w:sz w:val="24"/>
        </w:rPr>
        <w:t xml:space="preserve">Для городов федерального значения, кроме населенных пунктов, входящих в состав их муниципальных образований, указываются первые два знака кодового обозначения территории муниципального образования, соответствующие идентификации объекта классификации первой ступени классификации по </w:t>
      </w:r>
      <w:hyperlink w:history="0" r:id="rId11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ОКТМО</w:t>
        </w:r>
      </w:hyperlink>
      <w:r>
        <w:rPr>
          <w:sz w:val="24"/>
        </w:rPr>
        <w:t xml:space="preserve">: 45000000000 - город Москва; 40000000000 - город Санкт-Петербург; 67000000000 - город Севастополь. Для населенных пунктов, входящих в состав муниципальных образований городов федерального значения, указывается код населенного пункта согласно </w:t>
      </w:r>
      <w:hyperlink w:history="0" r:id="rId11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второму разделу</w:t>
        </w:r>
      </w:hyperlink>
      <w:r>
        <w:rPr>
          <w:sz w:val="24"/>
        </w:rPr>
        <w:t xml:space="preserve"> ОКТМО.</w:t>
      </w:r>
    </w:p>
    <w:p>
      <w:pPr>
        <w:pStyle w:val="0"/>
        <w:spacing w:before="240" w:lineRule="auto"/>
        <w:ind w:firstLine="540"/>
        <w:jc w:val="both"/>
      </w:pPr>
      <w:r>
        <w:rPr>
          <w:sz w:val="24"/>
        </w:rPr>
        <w:t xml:space="preserve">В случае если местом фактического нахождения обособленного подразделения страховщика является территория города Байконура (Республика Казахстан), по показателю "Код места нахождения по Общероссийскому </w:t>
      </w:r>
      <w:hyperlink w:history="0" r:id="rId11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 </w:t>
      </w:r>
      <w:hyperlink w:history="0" w:anchor="P1081" w:tooltip="9">
        <w:r>
          <w:rPr>
            <w:sz w:val="24"/>
            <w:color w:val="0000ff"/>
          </w:rPr>
          <w:t xml:space="preserve">(строка 9)</w:t>
        </w:r>
      </w:hyperlink>
      <w:r>
        <w:rPr>
          <w:sz w:val="24"/>
        </w:rPr>
        <w:t xml:space="preserve"> указывается код 55000000000.</w:t>
      </w:r>
    </w:p>
    <w:p>
      <w:pPr>
        <w:pStyle w:val="0"/>
        <w:spacing w:before="240" w:lineRule="auto"/>
        <w:ind w:firstLine="540"/>
        <w:jc w:val="both"/>
      </w:pPr>
      <w:r>
        <w:rPr>
          <w:sz w:val="24"/>
        </w:rPr>
        <w:t xml:space="preserve">Указание значения 0 (ноль) или символа "-" (прочерк) по показателю "Код места нахождения по Общероссийскому </w:t>
      </w:r>
      <w:hyperlink w:history="0" r:id="rId11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 </w:t>
      </w:r>
      <w:hyperlink w:history="0" w:anchor="P1081" w:tooltip="9">
        <w:r>
          <w:rPr>
            <w:sz w:val="24"/>
            <w:color w:val="0000ff"/>
          </w:rPr>
          <w:t xml:space="preserve">(строка 9)</w:t>
        </w:r>
      </w:hyperlink>
      <w:r>
        <w:rPr>
          <w:sz w:val="24"/>
        </w:rPr>
        <w:t xml:space="preserve"> не допускается.</w:t>
      </w:r>
    </w:p>
    <w:p>
      <w:pPr>
        <w:pStyle w:val="0"/>
        <w:spacing w:before="240" w:lineRule="auto"/>
        <w:ind w:firstLine="540"/>
        <w:jc w:val="both"/>
      </w:pPr>
      <w:r>
        <w:rPr>
          <w:sz w:val="24"/>
        </w:rPr>
        <w:t xml:space="preserve">Для обособленного подразделения страховщика, находящегося за пределами территории Российской Федерации (кроме территории города Байконура (Республика Казахстан), показатель "Код места нахождения по Общероссийскому </w:t>
      </w:r>
      <w:hyperlink w:history="0" r:id="rId11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2/2025) {КонсультантПлюс}">
        <w:r>
          <w:rPr>
            <w:sz w:val="24"/>
            <w:color w:val="0000ff"/>
          </w:rPr>
          <w:t xml:space="preserve">классификатору</w:t>
        </w:r>
      </w:hyperlink>
      <w:r>
        <w:rPr>
          <w:sz w:val="24"/>
        </w:rPr>
        <w:t xml:space="preserve"> территорий муниципальных образований (ОКТМО)" </w:t>
      </w:r>
      <w:hyperlink w:history="0" w:anchor="P1081" w:tooltip="9">
        <w:r>
          <w:rPr>
            <w:sz w:val="24"/>
            <w:color w:val="0000ff"/>
          </w:rPr>
          <w:t xml:space="preserve">(строка 9)</w:t>
        </w:r>
      </w:hyperlink>
      <w:r>
        <w:rPr>
          <w:sz w:val="24"/>
        </w:rPr>
        <w:t xml:space="preserve"> не формируется.</w:t>
      </w:r>
    </w:p>
    <w:p>
      <w:pPr>
        <w:pStyle w:val="0"/>
        <w:spacing w:before="240" w:lineRule="auto"/>
        <w:ind w:firstLine="540"/>
        <w:jc w:val="both"/>
      </w:pPr>
      <w:r>
        <w:rPr>
          <w:sz w:val="24"/>
        </w:rPr>
        <w:t xml:space="preserve">12. По показателю "Код страны" </w:t>
      </w:r>
      <w:hyperlink w:history="0" w:anchor="P1089" w:tooltip="10">
        <w:r>
          <w:rPr>
            <w:sz w:val="24"/>
            <w:color w:val="0000ff"/>
          </w:rPr>
          <w:t xml:space="preserve">(строка 10)</w:t>
        </w:r>
      </w:hyperlink>
      <w:r>
        <w:rPr>
          <w:sz w:val="24"/>
        </w:rPr>
        <w:t xml:space="preserve"> указывается трехзначный цифровой код страны (кроме Российской Федерации), на территории которой находится обособленное подразделение страховщика (за исключением иностранной страховой организации), в соответствии с Общероссийским </w:t>
      </w:r>
      <w:hyperlink w:history="0" r:id="rId116"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классификатором</w:t>
        </w:r>
      </w:hyperlink>
      <w:r>
        <w:rPr>
          <w:sz w:val="24"/>
        </w:rPr>
        <w:t xml:space="preserve"> стран мира (далее - ОКСМ), соответствующий адресу фактического нахождения обособленного подразделения страховщика (за исключением иностранной страховой организации) за пределами территории Российской Федерации.</w:t>
      </w:r>
    </w:p>
    <w:p>
      <w:pPr>
        <w:pStyle w:val="0"/>
        <w:spacing w:before="240" w:lineRule="auto"/>
        <w:ind w:firstLine="540"/>
        <w:jc w:val="both"/>
      </w:pPr>
      <w:r>
        <w:rPr>
          <w:sz w:val="24"/>
        </w:rPr>
        <w:t xml:space="preserve">Указание значения 0 (ноль) или символа "-" (прочерк) по показателю "Код страны" </w:t>
      </w:r>
      <w:hyperlink w:history="0" w:anchor="P1089" w:tooltip="10">
        <w:r>
          <w:rPr>
            <w:sz w:val="24"/>
            <w:color w:val="0000ff"/>
          </w:rPr>
          <w:t xml:space="preserve">(строка 10)</w:t>
        </w:r>
      </w:hyperlink>
      <w:r>
        <w:rPr>
          <w:sz w:val="24"/>
        </w:rPr>
        <w:t xml:space="preserve"> не допускается.</w:t>
      </w:r>
    </w:p>
    <w:p>
      <w:pPr>
        <w:pStyle w:val="0"/>
        <w:spacing w:before="240" w:lineRule="auto"/>
        <w:ind w:firstLine="540"/>
        <w:jc w:val="both"/>
      </w:pPr>
      <w:r>
        <w:rPr>
          <w:sz w:val="24"/>
        </w:rPr>
        <w:t xml:space="preserve">Для обособленного подразделения страховщика (за исключением иностранной страховой организации), находящегося на территории Российской Федерации, города Байконура (Республика Казахстан), показатель "Код страны" </w:t>
      </w:r>
      <w:hyperlink w:history="0" w:anchor="P1089" w:tooltip="10">
        <w:r>
          <w:rPr>
            <w:sz w:val="24"/>
            <w:color w:val="0000ff"/>
          </w:rPr>
          <w:t xml:space="preserve">(строка 10)</w:t>
        </w:r>
      </w:hyperlink>
      <w:r>
        <w:rPr>
          <w:sz w:val="24"/>
        </w:rPr>
        <w:t xml:space="preserve"> не формируется.</w:t>
      </w:r>
    </w:p>
    <w:p>
      <w:pPr>
        <w:pStyle w:val="0"/>
        <w:spacing w:before="240" w:lineRule="auto"/>
        <w:ind w:firstLine="540"/>
        <w:jc w:val="both"/>
      </w:pPr>
      <w:r>
        <w:rPr>
          <w:sz w:val="24"/>
        </w:rPr>
        <w:t xml:space="preserve">Иностранная страховая организация показатель "Код страны" </w:t>
      </w:r>
      <w:hyperlink w:history="0" w:anchor="P1089" w:tooltip="10">
        <w:r>
          <w:rPr>
            <w:sz w:val="24"/>
            <w:color w:val="0000ff"/>
          </w:rPr>
          <w:t xml:space="preserve">(строка 10)</w:t>
        </w:r>
      </w:hyperlink>
      <w:r>
        <w:rPr>
          <w:sz w:val="24"/>
        </w:rPr>
        <w:t xml:space="preserve"> не формирует.</w:t>
      </w:r>
    </w:p>
    <w:p>
      <w:pPr>
        <w:pStyle w:val="0"/>
        <w:spacing w:before="240" w:lineRule="auto"/>
        <w:ind w:firstLine="540"/>
        <w:jc w:val="both"/>
      </w:pPr>
      <w:r>
        <w:rPr>
          <w:sz w:val="24"/>
        </w:rPr>
        <w:t xml:space="preserve">13. По показателю "Фактический адрес" </w:t>
      </w:r>
      <w:hyperlink w:history="0" w:anchor="P1097" w:tooltip="11">
        <w:r>
          <w:rPr>
            <w:sz w:val="24"/>
            <w:color w:val="0000ff"/>
          </w:rPr>
          <w:t xml:space="preserve">(строка 11)</w:t>
        </w:r>
      </w:hyperlink>
      <w:r>
        <w:rPr>
          <w:sz w:val="24"/>
        </w:rPr>
        <w:t xml:space="preserve"> указывается адрес фактического нахождения обособленного подразделения страховщика (с указанием почтового индекса).</w:t>
      </w:r>
    </w:p>
    <w:p>
      <w:pPr>
        <w:pStyle w:val="0"/>
        <w:spacing w:before="240" w:lineRule="auto"/>
        <w:ind w:firstLine="540"/>
        <w:jc w:val="both"/>
      </w:pPr>
      <w:r>
        <w:rPr>
          <w:sz w:val="24"/>
        </w:rPr>
        <w:t xml:space="preserve">По показателю "Фактический адрес" </w:t>
      </w:r>
      <w:hyperlink w:history="0" w:anchor="P1097" w:tooltip="11">
        <w:r>
          <w:rPr>
            <w:sz w:val="24"/>
            <w:color w:val="0000ff"/>
          </w:rPr>
          <w:t xml:space="preserve">(строка 11)</w:t>
        </w:r>
      </w:hyperlink>
      <w:r>
        <w:rPr>
          <w:sz w:val="24"/>
        </w:rPr>
        <w:t xml:space="preserve"> сведения об адресе фактического нахождения обособленного подразделения страховщика, находящегося на территории Российской Федерации (субъект Российской Федерации, муниципальное образование (административно-территориальная единица), населенный пункт, элемент планировочной структуры, элемент улично-дорожной сети, идентификационные элементы объекта адресации в соответствии с </w:t>
      </w:r>
      <w:hyperlink w:history="0" r:id="rId117" w:tooltip="Приказ Минфина России от 05.11.2015 N 171н (ред. от 23.12.2021) &quot;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quot; (Зарегистрировано в Минюсте России 10.12.2015 N 40069) {КонсультантПлюс}">
        <w:r>
          <w:rPr>
            <w:sz w:val="24"/>
            <w:color w:val="0000ff"/>
          </w:rPr>
          <w:t xml:space="preserve">приказом</w:t>
        </w:r>
      </w:hyperlink>
      <w:r>
        <w:rPr>
          <w:sz w:val="24"/>
        </w:rPr>
        <w:t xml:space="preserve"> Министерства финансов Российской Федерации от 5 ноября 2015 года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&lt;1&gt;), указываются через символ "," (запятая) с отступом (пробелом).</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 Минюстом России 10 декабря 2015 года, регистрационный N 40069, с изменениями, внесенными приказами Минфина России от 16 октября 2018 года N 207н (зарегистрирован Минюстом России 8 ноября 2018 года, регистрационный N 52649), от 17 июня 2019 года N 97н (зарегистрирован Минюстом России 10 июля 2019 года, регистрационный N 55197), от 10 марта 2020 года N 38н (зарегистрирован Минюстом России 16 апреля 2020 года, регистрационный N 58121), от 23 декабря 2021 года N 220н (зарегистрирован Минюстом России 3 февраля 2022 года, регистрационный N 67143).</w:t>
      </w:r>
    </w:p>
    <w:p>
      <w:pPr>
        <w:pStyle w:val="0"/>
        <w:ind w:firstLine="540"/>
        <w:jc w:val="both"/>
      </w:pPr>
      <w:r>
        <w:rPr>
          <w:sz w:val="24"/>
        </w:rPr>
      </w:r>
    </w:p>
    <w:p>
      <w:pPr>
        <w:pStyle w:val="0"/>
        <w:ind w:firstLine="540"/>
        <w:jc w:val="both"/>
      </w:pPr>
      <w:r>
        <w:rPr>
          <w:sz w:val="24"/>
        </w:rPr>
        <w:t xml:space="preserve">Указание значения 0 (ноль) или символа "-" (прочерк) по показателю "Фактический адрес" </w:t>
      </w:r>
      <w:hyperlink w:history="0" w:anchor="P1097" w:tooltip="11">
        <w:r>
          <w:rPr>
            <w:sz w:val="24"/>
            <w:color w:val="0000ff"/>
          </w:rPr>
          <w:t xml:space="preserve">(строка 11)</w:t>
        </w:r>
      </w:hyperlink>
      <w:r>
        <w:rPr>
          <w:sz w:val="24"/>
        </w:rPr>
        <w:t xml:space="preserve"> не допускается.</w:t>
      </w:r>
    </w:p>
    <w:p>
      <w:pPr>
        <w:pStyle w:val="0"/>
        <w:spacing w:before="240" w:lineRule="auto"/>
        <w:ind w:firstLine="540"/>
        <w:jc w:val="both"/>
      </w:pPr>
      <w:r>
        <w:rPr>
          <w:sz w:val="24"/>
        </w:rPr>
        <w:t xml:space="preserve">14. По показателям "Предоставление страховых услуг физическим лицам по месту нахождения" </w:t>
      </w:r>
      <w:hyperlink w:history="0" w:anchor="P1105" w:tooltip="12">
        <w:r>
          <w:rPr>
            <w:sz w:val="24"/>
            <w:color w:val="0000ff"/>
          </w:rPr>
          <w:t xml:space="preserve">(строка 12)</w:t>
        </w:r>
      </w:hyperlink>
      <w:r>
        <w:rPr>
          <w:sz w:val="24"/>
        </w:rPr>
        <w:t xml:space="preserve"> и "Предоставление страховых услуг юридическим лицам по месту нахождения" </w:t>
      </w:r>
      <w:hyperlink w:history="0" w:anchor="P1113" w:tooltip="13">
        <w:r>
          <w:rPr>
            <w:sz w:val="24"/>
            <w:color w:val="0000ff"/>
          </w:rPr>
          <w:t xml:space="preserve">(строка 13)</w:t>
        </w:r>
      </w:hyperlink>
      <w:r>
        <w:rPr>
          <w:sz w:val="24"/>
        </w:rPr>
        <w:t xml:space="preserve"> указывается значение 1 в случае, если страховщик предоставляет страховые услуги по адресу, указанному по показателю "Фактический адрес" </w:t>
      </w:r>
      <w:hyperlink w:history="0" w:anchor="P1097" w:tooltip="11">
        <w:r>
          <w:rPr>
            <w:sz w:val="24"/>
            <w:color w:val="0000ff"/>
          </w:rPr>
          <w:t xml:space="preserve">(строка 11)</w:t>
        </w:r>
      </w:hyperlink>
      <w:r>
        <w:rPr>
          <w:sz w:val="24"/>
        </w:rPr>
        <w:t xml:space="preserve">, либо значение 0 (ноль) в случае, если страховщик не предоставляет страховые услуги по адресу, указанному по показателю "Фактический адрес" </w:t>
      </w:r>
      <w:hyperlink w:history="0" w:anchor="P1097" w:tooltip="11">
        <w:r>
          <w:rPr>
            <w:sz w:val="24"/>
            <w:color w:val="0000ff"/>
          </w:rPr>
          <w:t xml:space="preserve">(строка 11)</w:t>
        </w:r>
      </w:hyperlink>
      <w:r>
        <w:rPr>
          <w:sz w:val="24"/>
        </w:rPr>
        <w:t xml:space="preserve">.</w:t>
      </w:r>
    </w:p>
    <w:p>
      <w:pPr>
        <w:pStyle w:val="0"/>
        <w:spacing w:before="240" w:lineRule="auto"/>
        <w:ind w:firstLine="540"/>
        <w:jc w:val="both"/>
      </w:pPr>
      <w:r>
        <w:rPr>
          <w:sz w:val="24"/>
        </w:rPr>
        <w:t xml:space="preserve">15. По показателю "Номер телефона" </w:t>
      </w:r>
      <w:hyperlink w:history="0" w:anchor="P1121" w:tooltip="14">
        <w:r>
          <w:rPr>
            <w:sz w:val="24"/>
            <w:color w:val="0000ff"/>
          </w:rPr>
          <w:t xml:space="preserve">(строка 14)</w:t>
        </w:r>
      </w:hyperlink>
      <w:r>
        <w:rPr>
          <w:sz w:val="24"/>
        </w:rPr>
        <w:t xml:space="preserve"> указывается номер телефона филиала, представительства страховщика с кодом города.</w:t>
      </w:r>
    </w:p>
    <w:p>
      <w:pPr>
        <w:pStyle w:val="0"/>
        <w:spacing w:before="240" w:lineRule="auto"/>
        <w:ind w:firstLine="540"/>
        <w:jc w:val="both"/>
      </w:pPr>
      <w:r>
        <w:rPr>
          <w:sz w:val="24"/>
        </w:rPr>
        <w:t xml:space="preserve">Для иного обособленного подразделения страховщика значение показателя "Номер телефона" </w:t>
      </w:r>
      <w:hyperlink w:history="0" w:anchor="P1121" w:tooltip="14">
        <w:r>
          <w:rPr>
            <w:sz w:val="24"/>
            <w:color w:val="0000ff"/>
          </w:rPr>
          <w:t xml:space="preserve">(строка 14)</w:t>
        </w:r>
      </w:hyperlink>
      <w:r>
        <w:rPr>
          <w:sz w:val="24"/>
        </w:rPr>
        <w:t xml:space="preserve"> указывается при наличии.</w:t>
      </w:r>
    </w:p>
    <w:p>
      <w:pPr>
        <w:pStyle w:val="0"/>
        <w:spacing w:before="240" w:lineRule="auto"/>
        <w:ind w:firstLine="540"/>
        <w:jc w:val="both"/>
      </w:pPr>
      <w:r>
        <w:rPr>
          <w:sz w:val="24"/>
        </w:rPr>
        <w:t xml:space="preserve">При наличии нескольких номеров телефонов обособленного подразделения страховщика они указываются через символ ";" (точка с запятой) с отступом (пробелом).</w:t>
      </w:r>
    </w:p>
    <w:p>
      <w:pPr>
        <w:pStyle w:val="0"/>
        <w:spacing w:before="240" w:lineRule="auto"/>
        <w:ind w:firstLine="540"/>
        <w:jc w:val="both"/>
      </w:pPr>
      <w:r>
        <w:rPr>
          <w:sz w:val="24"/>
        </w:rPr>
        <w:t xml:space="preserve">16. По показателю "Номер факса" </w:t>
      </w:r>
      <w:hyperlink w:history="0" w:anchor="P1129" w:tooltip="15">
        <w:r>
          <w:rPr>
            <w:sz w:val="24"/>
            <w:color w:val="0000ff"/>
          </w:rPr>
          <w:t xml:space="preserve">(строка 15)</w:t>
        </w:r>
      </w:hyperlink>
      <w:r>
        <w:rPr>
          <w:sz w:val="24"/>
        </w:rPr>
        <w:t xml:space="preserve"> указывается номер факса (при наличии) обособленного подразделения страховщика с кодом города.</w:t>
      </w:r>
    </w:p>
    <w:p>
      <w:pPr>
        <w:pStyle w:val="0"/>
        <w:spacing w:before="240" w:lineRule="auto"/>
        <w:ind w:firstLine="540"/>
        <w:jc w:val="both"/>
      </w:pPr>
      <w:r>
        <w:rPr>
          <w:sz w:val="24"/>
        </w:rPr>
        <w:t xml:space="preserve">При наличии нескольких номеров факсов обособленного подразделения страховщика они указываются через символ ";" (точка с запятой) с отступом (пробелом).</w:t>
      </w:r>
    </w:p>
    <w:p>
      <w:pPr>
        <w:pStyle w:val="0"/>
        <w:spacing w:before="240" w:lineRule="auto"/>
        <w:ind w:firstLine="540"/>
        <w:jc w:val="both"/>
      </w:pPr>
      <w:r>
        <w:rPr>
          <w:sz w:val="24"/>
        </w:rPr>
        <w:t xml:space="preserve">17. По показателю "Адрес электронной почты" </w:t>
      </w:r>
      <w:hyperlink w:history="0" w:anchor="P1137" w:tooltip="16">
        <w:r>
          <w:rPr>
            <w:sz w:val="24"/>
            <w:color w:val="0000ff"/>
          </w:rPr>
          <w:t xml:space="preserve">(строка 16)</w:t>
        </w:r>
      </w:hyperlink>
      <w:r>
        <w:rPr>
          <w:sz w:val="24"/>
        </w:rPr>
        <w:t xml:space="preserve"> указывается адрес электронной почты (при наличии) обособленного подразделения страховщика.</w:t>
      </w:r>
    </w:p>
    <w:p>
      <w:pPr>
        <w:pStyle w:val="0"/>
        <w:spacing w:before="240" w:lineRule="auto"/>
        <w:ind w:firstLine="540"/>
        <w:jc w:val="both"/>
      </w:pPr>
      <w:r>
        <w:rPr>
          <w:sz w:val="24"/>
        </w:rPr>
        <w:t xml:space="preserve">18. При составлении страховщиком (за исключением иностранной страховой организации) отчетности по </w:t>
      </w:r>
      <w:hyperlink w:history="0" w:anchor="P1001" w:tooltip="Отчетность по форме 0420151">
        <w:r>
          <w:rPr>
            <w:sz w:val="24"/>
            <w:color w:val="0000ff"/>
          </w:rPr>
          <w:t xml:space="preserve">форме 0420151</w:t>
        </w:r>
      </w:hyperlink>
      <w:r>
        <w:rPr>
          <w:sz w:val="24"/>
        </w:rPr>
        <w:t xml:space="preserve"> в случае изменения в течение отчетного года содержащихся в ней сведений:</w:t>
      </w:r>
    </w:p>
    <w:p>
      <w:pPr>
        <w:pStyle w:val="0"/>
        <w:spacing w:before="240" w:lineRule="auto"/>
        <w:ind w:firstLine="540"/>
        <w:jc w:val="both"/>
      </w:pPr>
      <w:r>
        <w:rPr>
          <w:sz w:val="24"/>
        </w:rPr>
        <w:t xml:space="preserve">по показателю "Информация об изменениях" </w:t>
      </w:r>
      <w:hyperlink w:history="0" w:anchor="P1145" w:tooltip="17">
        <w:r>
          <w:rPr>
            <w:sz w:val="24"/>
            <w:color w:val="0000ff"/>
          </w:rPr>
          <w:t xml:space="preserve">(строка 17)</w:t>
        </w:r>
      </w:hyperlink>
      <w:r>
        <w:rPr>
          <w:sz w:val="24"/>
        </w:rPr>
        <w:t xml:space="preserve"> указывается значение "Да", по показателю "Описание изменений" </w:t>
      </w:r>
      <w:hyperlink w:history="0" w:anchor="P1153" w:tooltip="18">
        <w:r>
          <w:rPr>
            <w:sz w:val="24"/>
            <w:color w:val="0000ff"/>
          </w:rPr>
          <w:t xml:space="preserve">(строка 18)</w:t>
        </w:r>
      </w:hyperlink>
      <w:r>
        <w:rPr>
          <w:sz w:val="24"/>
        </w:rPr>
        <w:t xml:space="preserve"> приводится описание внесенных страховщиком изменений в сведения, содержащиеся в отчетности по </w:t>
      </w:r>
      <w:hyperlink w:history="0" w:anchor="P1001" w:tooltip="Отчетность по форме 0420151">
        <w:r>
          <w:rPr>
            <w:sz w:val="24"/>
            <w:color w:val="0000ff"/>
          </w:rPr>
          <w:t xml:space="preserve">форме 0420151</w:t>
        </w:r>
      </w:hyperlink>
      <w:r>
        <w:rPr>
          <w:sz w:val="24"/>
        </w:rPr>
        <w:t xml:space="preserve">, в случае, если по обособленному подразделению страховщика (за исключением иностранной страховой организации) изменены сведения, или в случае открытия обособленного подразделения страховщика (за исключением иностранной страховой организации);</w:t>
      </w:r>
    </w:p>
    <w:p>
      <w:pPr>
        <w:pStyle w:val="0"/>
        <w:spacing w:before="240" w:lineRule="auto"/>
        <w:ind w:firstLine="540"/>
        <w:jc w:val="both"/>
      </w:pPr>
      <w:r>
        <w:rPr>
          <w:sz w:val="24"/>
        </w:rPr>
        <w:t xml:space="preserve">по показателю "Информация об изменениях" </w:t>
      </w:r>
      <w:hyperlink w:history="0" w:anchor="P1145" w:tooltip="17">
        <w:r>
          <w:rPr>
            <w:sz w:val="24"/>
            <w:color w:val="0000ff"/>
          </w:rPr>
          <w:t xml:space="preserve">(строка 17)</w:t>
        </w:r>
      </w:hyperlink>
      <w:r>
        <w:rPr>
          <w:sz w:val="24"/>
        </w:rPr>
        <w:t xml:space="preserve"> указывается значение "Нет", показатель "Описание изменений" </w:t>
      </w:r>
      <w:hyperlink w:history="0" w:anchor="P1153" w:tooltip="18">
        <w:r>
          <w:rPr>
            <w:sz w:val="24"/>
            <w:color w:val="0000ff"/>
          </w:rPr>
          <w:t xml:space="preserve">(строка 18)</w:t>
        </w:r>
      </w:hyperlink>
      <w:r>
        <w:rPr>
          <w:sz w:val="24"/>
        </w:rPr>
        <w:t xml:space="preserve"> не формируется в случае, если по обособленному подразделению страховщика (за исключением иностранной страховой организации) не изменены сведения.</w:t>
      </w:r>
    </w:p>
    <w:p>
      <w:pPr>
        <w:pStyle w:val="0"/>
        <w:spacing w:before="240" w:lineRule="auto"/>
        <w:ind w:firstLine="540"/>
        <w:jc w:val="both"/>
      </w:pPr>
      <w:r>
        <w:rPr>
          <w:sz w:val="24"/>
        </w:rPr>
        <w:t xml:space="preserve">При составлении страховой организацией, обществом взаимного страхования отчетности по </w:t>
      </w:r>
      <w:hyperlink w:history="0" w:anchor="P1001" w:tooltip="Отчетность по форме 0420151">
        <w:r>
          <w:rPr>
            <w:sz w:val="24"/>
            <w:color w:val="0000ff"/>
          </w:rPr>
          <w:t xml:space="preserve">форме 0420151</w:t>
        </w:r>
      </w:hyperlink>
      <w:r>
        <w:rPr>
          <w:sz w:val="24"/>
        </w:rPr>
        <w:t xml:space="preserve"> по состоянию на 31 декабря отчетного года включительно и при составлении иностранной страховой организацией отчетности по </w:t>
      </w:r>
      <w:hyperlink w:history="0" w:anchor="P1001" w:tooltip="Отчетность по форме 0420151">
        <w:r>
          <w:rPr>
            <w:sz w:val="24"/>
            <w:color w:val="0000ff"/>
          </w:rPr>
          <w:t xml:space="preserve">форме 0420151</w:t>
        </w:r>
      </w:hyperlink>
      <w:r>
        <w:rPr>
          <w:sz w:val="24"/>
        </w:rPr>
        <w:t xml:space="preserve"> показатели "Информация об изменениях" </w:t>
      </w:r>
      <w:hyperlink w:history="0" w:anchor="P1145" w:tooltip="17">
        <w:r>
          <w:rPr>
            <w:sz w:val="24"/>
            <w:color w:val="0000ff"/>
          </w:rPr>
          <w:t xml:space="preserve">(строка 17)</w:t>
        </w:r>
      </w:hyperlink>
      <w:r>
        <w:rPr>
          <w:sz w:val="24"/>
        </w:rPr>
        <w:t xml:space="preserve"> и "Описание изменений" </w:t>
      </w:r>
      <w:hyperlink w:history="0" w:anchor="P1153" w:tooltip="18">
        <w:r>
          <w:rPr>
            <w:sz w:val="24"/>
            <w:color w:val="0000ff"/>
          </w:rPr>
          <w:t xml:space="preserve">(строка 18)</w:t>
        </w:r>
      </w:hyperlink>
      <w:r>
        <w:rPr>
          <w:sz w:val="24"/>
        </w:rPr>
        <w:t xml:space="preserve"> не формируются.</w:t>
      </w:r>
    </w:p>
    <w:p>
      <w:pPr>
        <w:pStyle w:val="0"/>
        <w:spacing w:before="240" w:lineRule="auto"/>
        <w:ind w:firstLine="540"/>
        <w:jc w:val="both"/>
      </w:pPr>
      <w:r>
        <w:rPr>
          <w:sz w:val="24"/>
        </w:rPr>
        <w:t xml:space="preserve">19. По показателю "Дата документа о назначении на должность" </w:t>
      </w:r>
      <w:hyperlink w:history="0" w:anchor="P1162" w:tooltip="19">
        <w:r>
          <w:rPr>
            <w:sz w:val="24"/>
            <w:color w:val="0000ff"/>
          </w:rPr>
          <w:t xml:space="preserve">(строка 19)</w:t>
        </w:r>
      </w:hyperlink>
      <w:r>
        <w:rPr>
          <w:sz w:val="24"/>
        </w:rPr>
        <w:t xml:space="preserve"> указывается дата приказа или иного распорядительного документа страховщика, подтверждающего назначение на должность руководителя обособленного подразделения страховщика.</w:t>
      </w:r>
    </w:p>
    <w:p>
      <w:pPr>
        <w:pStyle w:val="0"/>
        <w:spacing w:before="240" w:lineRule="auto"/>
        <w:ind w:firstLine="540"/>
        <w:jc w:val="both"/>
      </w:pPr>
      <w:r>
        <w:rPr>
          <w:sz w:val="24"/>
        </w:rPr>
        <w:t xml:space="preserve">В случае если руководитель обособленного подразделения страховщика не назначен, по показателю "Дата документа о назначении на должность" </w:t>
      </w:r>
      <w:hyperlink w:history="0" w:anchor="P1162" w:tooltip="19">
        <w:r>
          <w:rPr>
            <w:sz w:val="24"/>
            <w:color w:val="0000ff"/>
          </w:rPr>
          <w:t xml:space="preserve">(строка 19)</w:t>
        </w:r>
      </w:hyperlink>
      <w:r>
        <w:rPr>
          <w:sz w:val="24"/>
        </w:rPr>
        <w:t xml:space="preserve"> указывается значение 0001-01-01.</w:t>
      </w:r>
    </w:p>
    <w:p>
      <w:pPr>
        <w:pStyle w:val="0"/>
        <w:spacing w:before="240" w:lineRule="auto"/>
        <w:ind w:firstLine="540"/>
        <w:jc w:val="both"/>
      </w:pPr>
      <w:r>
        <w:rPr>
          <w:sz w:val="24"/>
        </w:rPr>
        <w:t xml:space="preserve">20. По показателю "Дата документа о прекращении полномочий" </w:t>
      </w:r>
      <w:hyperlink w:history="0" w:anchor="P1174" w:tooltip="20">
        <w:r>
          <w:rPr>
            <w:sz w:val="24"/>
            <w:color w:val="0000ff"/>
          </w:rPr>
          <w:t xml:space="preserve">(строка 20)</w:t>
        </w:r>
      </w:hyperlink>
      <w:r>
        <w:rPr>
          <w:sz w:val="24"/>
        </w:rPr>
        <w:t xml:space="preserve"> указывается дата (при наличии) приказа или иного распорядительного документа страховщика, подтверждающего освобождение от должности (прекращение полномочий) руководителя обособленного подразделения страховщика.</w:t>
      </w:r>
    </w:p>
    <w:p>
      <w:pPr>
        <w:pStyle w:val="0"/>
        <w:spacing w:before="240" w:lineRule="auto"/>
        <w:ind w:firstLine="540"/>
        <w:jc w:val="both"/>
      </w:pPr>
      <w:r>
        <w:rPr>
          <w:sz w:val="24"/>
        </w:rPr>
        <w:t xml:space="preserve">21. В случае если по показателю "Дата документа о назначении на должность" </w:t>
      </w:r>
      <w:hyperlink w:history="0" w:anchor="P1162" w:tooltip="19">
        <w:r>
          <w:rPr>
            <w:sz w:val="24"/>
            <w:color w:val="0000ff"/>
          </w:rPr>
          <w:t xml:space="preserve">(строка 19)</w:t>
        </w:r>
      </w:hyperlink>
      <w:r>
        <w:rPr>
          <w:sz w:val="24"/>
        </w:rPr>
        <w:t xml:space="preserve"> указана дата приказа или иного распорядительного документа страховщика, подтверждающего назначение на должность руководителя обособленного подразделения страховщика, сведения об указанном руководителе указываются по следующим показателям отчетности по </w:t>
      </w:r>
      <w:hyperlink w:history="0" w:anchor="P1001" w:tooltip="Отчетность по форме 0420151">
        <w:r>
          <w:rPr>
            <w:sz w:val="24"/>
            <w:color w:val="0000ff"/>
          </w:rPr>
          <w:t xml:space="preserve">форме 0420151</w:t>
        </w:r>
      </w:hyperlink>
      <w:r>
        <w:rPr>
          <w:sz w:val="24"/>
        </w:rPr>
        <w:t xml:space="preserve">:</w:t>
      </w:r>
    </w:p>
    <w:p>
      <w:pPr>
        <w:pStyle w:val="0"/>
        <w:spacing w:before="240" w:lineRule="auto"/>
        <w:ind w:firstLine="540"/>
        <w:jc w:val="both"/>
      </w:pPr>
      <w:r>
        <w:rPr>
          <w:sz w:val="24"/>
        </w:rPr>
        <w:t xml:space="preserve">21.1. По показателям "Фамилия" </w:t>
      </w:r>
      <w:hyperlink w:history="0" w:anchor="P1186" w:tooltip="21">
        <w:r>
          <w:rPr>
            <w:sz w:val="24"/>
            <w:color w:val="0000ff"/>
          </w:rPr>
          <w:t xml:space="preserve">(строка 21)</w:t>
        </w:r>
      </w:hyperlink>
      <w:r>
        <w:rPr>
          <w:sz w:val="24"/>
        </w:rPr>
        <w:t xml:space="preserve">, "Имя" </w:t>
      </w:r>
      <w:hyperlink w:history="0" w:anchor="P1198" w:tooltip="22">
        <w:r>
          <w:rPr>
            <w:sz w:val="24"/>
            <w:color w:val="0000ff"/>
          </w:rPr>
          <w:t xml:space="preserve">(строка 22)</w:t>
        </w:r>
      </w:hyperlink>
      <w:r>
        <w:rPr>
          <w:sz w:val="24"/>
        </w:rPr>
        <w:t xml:space="preserve"> и "Отчество (при наличии)" </w:t>
      </w:r>
      <w:hyperlink w:history="0" w:anchor="P1210" w:tooltip="23">
        <w:r>
          <w:rPr>
            <w:sz w:val="24"/>
            <w:color w:val="0000ff"/>
          </w:rPr>
          <w:t xml:space="preserve">(строка 23)</w:t>
        </w:r>
      </w:hyperlink>
      <w:r>
        <w:rPr>
          <w:sz w:val="24"/>
        </w:rPr>
        <w:t xml:space="preserve"> указываются соответственно фамилия, имя и отчество (при наличии) руководителя обособленного подразделения страховщика.</w:t>
      </w:r>
    </w:p>
    <w:p>
      <w:pPr>
        <w:pStyle w:val="0"/>
        <w:spacing w:before="240" w:lineRule="auto"/>
        <w:ind w:firstLine="540"/>
        <w:jc w:val="both"/>
      </w:pPr>
      <w:r>
        <w:rPr>
          <w:sz w:val="24"/>
        </w:rPr>
        <w:t xml:space="preserve">21.2. По показателю "Дата рождения" </w:t>
      </w:r>
      <w:hyperlink w:history="0" w:anchor="P1222" w:tooltip="24">
        <w:r>
          <w:rPr>
            <w:sz w:val="24"/>
            <w:color w:val="0000ff"/>
          </w:rPr>
          <w:t xml:space="preserve">(строка 24)</w:t>
        </w:r>
      </w:hyperlink>
      <w:r>
        <w:rPr>
          <w:sz w:val="24"/>
        </w:rPr>
        <w:t xml:space="preserve"> указывается дата рождения руководителя обособленного подразделения страховщика согласно документу, удостоверяющему его личность (далее - документ).</w:t>
      </w:r>
    </w:p>
    <w:p>
      <w:pPr>
        <w:pStyle w:val="0"/>
        <w:spacing w:before="240" w:lineRule="auto"/>
        <w:ind w:firstLine="540"/>
        <w:jc w:val="both"/>
      </w:pPr>
      <w:r>
        <w:rPr>
          <w:sz w:val="24"/>
        </w:rPr>
        <w:t xml:space="preserve">21.3. По показателю "Место рождения" </w:t>
      </w:r>
      <w:hyperlink w:history="0" w:anchor="P1234" w:tooltip="25">
        <w:r>
          <w:rPr>
            <w:sz w:val="24"/>
            <w:color w:val="0000ff"/>
          </w:rPr>
          <w:t xml:space="preserve">(строка 25)</w:t>
        </w:r>
      </w:hyperlink>
      <w:r>
        <w:rPr>
          <w:sz w:val="24"/>
        </w:rPr>
        <w:t xml:space="preserve"> указывается место рождения руководителя обособленного подразделения страховщика согласно документу.</w:t>
      </w:r>
    </w:p>
    <w:p>
      <w:pPr>
        <w:pStyle w:val="0"/>
        <w:spacing w:before="240" w:lineRule="auto"/>
        <w:ind w:firstLine="540"/>
        <w:jc w:val="both"/>
      </w:pPr>
      <w:r>
        <w:rPr>
          <w:sz w:val="24"/>
        </w:rPr>
        <w:t xml:space="preserve">21.4. По показателю "Гражданство (подданство)" </w:t>
      </w:r>
      <w:hyperlink w:history="0" w:anchor="P1246" w:tooltip="26">
        <w:r>
          <w:rPr>
            <w:sz w:val="24"/>
            <w:color w:val="0000ff"/>
          </w:rPr>
          <w:t xml:space="preserve">(строка 26)</w:t>
        </w:r>
      </w:hyperlink>
      <w:r>
        <w:rPr>
          <w:sz w:val="24"/>
        </w:rPr>
        <w:t xml:space="preserve"> указывается в соответствии с </w:t>
      </w:r>
      <w:hyperlink w:history="0" r:id="rId118"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трехзначный цифровой код страны, гражданином (подданным) которой является руководитель обособленного подразделения страховщика. В случае наличия у руководителя обособленного подразделения страховщика нескольких гражданств (подданств) коды стран по </w:t>
      </w:r>
      <w:hyperlink w:history="0" r:id="rId11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указываются через пробел. В случае отсутствия у него гражданства (подданства) указывается значение "Лицо без гражданства".</w:t>
      </w:r>
    </w:p>
    <w:p>
      <w:pPr>
        <w:pStyle w:val="0"/>
        <w:spacing w:before="240" w:lineRule="auto"/>
        <w:ind w:firstLine="540"/>
        <w:jc w:val="both"/>
      </w:pPr>
      <w:r>
        <w:rPr>
          <w:sz w:val="24"/>
        </w:rPr>
        <w:t xml:space="preserve">21.5. По показателям "Наименование документа, удостоверяющего личность" </w:t>
      </w:r>
      <w:hyperlink w:history="0" w:anchor="P1258" w:tooltip="27">
        <w:r>
          <w:rPr>
            <w:sz w:val="24"/>
            <w:color w:val="0000ff"/>
          </w:rPr>
          <w:t xml:space="preserve">(строка 27)</w:t>
        </w:r>
      </w:hyperlink>
      <w:r>
        <w:rPr>
          <w:sz w:val="24"/>
        </w:rPr>
        <w:t xml:space="preserve">, "Серия документа, удостоверяющего личность" </w:t>
      </w:r>
      <w:hyperlink w:history="0" w:anchor="P1270" w:tooltip="28">
        <w:r>
          <w:rPr>
            <w:sz w:val="24"/>
            <w:color w:val="0000ff"/>
          </w:rPr>
          <w:t xml:space="preserve">(строка 28)</w:t>
        </w:r>
      </w:hyperlink>
      <w:r>
        <w:rPr>
          <w:sz w:val="24"/>
        </w:rPr>
        <w:t xml:space="preserve">, "Номер документа, удостоверяющего личность" </w:t>
      </w:r>
      <w:hyperlink w:history="0" w:anchor="P1282" w:tooltip="29">
        <w:r>
          <w:rPr>
            <w:sz w:val="24"/>
            <w:color w:val="0000ff"/>
          </w:rPr>
          <w:t xml:space="preserve">(строка 29)</w:t>
        </w:r>
      </w:hyperlink>
      <w:r>
        <w:rPr>
          <w:sz w:val="24"/>
        </w:rPr>
        <w:t xml:space="preserve">, "Наименование органа, выдавшего документ, удостоверяющий личность" </w:t>
      </w:r>
      <w:hyperlink w:history="0" w:anchor="P1294" w:tooltip="30">
        <w:r>
          <w:rPr>
            <w:sz w:val="24"/>
            <w:color w:val="0000ff"/>
          </w:rPr>
          <w:t xml:space="preserve">(строка 30)</w:t>
        </w:r>
      </w:hyperlink>
      <w:r>
        <w:rPr>
          <w:sz w:val="24"/>
        </w:rPr>
        <w:t xml:space="preserve">, "Дата выдачи документа, удостоверяющего личность" </w:t>
      </w:r>
      <w:hyperlink w:history="0" w:anchor="P1306" w:tooltip="31">
        <w:r>
          <w:rPr>
            <w:sz w:val="24"/>
            <w:color w:val="0000ff"/>
          </w:rPr>
          <w:t xml:space="preserve">(строка 31)</w:t>
        </w:r>
      </w:hyperlink>
      <w:r>
        <w:rPr>
          <w:sz w:val="24"/>
        </w:rPr>
        <w:t xml:space="preserve">, "Дата окончания срока действия документа, удостоверяющего личность" </w:t>
      </w:r>
      <w:hyperlink w:history="0" w:anchor="P1318" w:tooltip="32">
        <w:r>
          <w:rPr>
            <w:sz w:val="24"/>
            <w:color w:val="0000ff"/>
          </w:rPr>
          <w:t xml:space="preserve">(строка 32)</w:t>
        </w:r>
      </w:hyperlink>
      <w:r>
        <w:rPr>
          <w:sz w:val="24"/>
        </w:rPr>
        <w:t xml:space="preserve"> указываются согласно документу следующие сведения: наименование документа, серия документа (при наличии), номер документа, наименование органа, выдавшего документ, дата выдачи документа, дата окончания срока действия документа (при наличии).</w:t>
      </w:r>
    </w:p>
    <w:p>
      <w:pPr>
        <w:pStyle w:val="0"/>
        <w:spacing w:before="240" w:lineRule="auto"/>
        <w:ind w:firstLine="540"/>
        <w:jc w:val="both"/>
      </w:pPr>
      <w:r>
        <w:rPr>
          <w:sz w:val="24"/>
        </w:rPr>
        <w:t xml:space="preserve">21.6. По показателю "Идентификационный номер налогоплательщика (ИНН)" </w:t>
      </w:r>
      <w:hyperlink w:history="0" w:anchor="P1330" w:tooltip="33">
        <w:r>
          <w:rPr>
            <w:sz w:val="24"/>
            <w:color w:val="0000ff"/>
          </w:rPr>
          <w:t xml:space="preserve">(строка 33)</w:t>
        </w:r>
      </w:hyperlink>
      <w:r>
        <w:rPr>
          <w:sz w:val="24"/>
        </w:rPr>
        <w:t xml:space="preserve"> указывается идентификационный номер налогоплательщика (при наличии) руководителя обособленного подразделения страховщика.</w:t>
      </w:r>
    </w:p>
    <w:p>
      <w:pPr>
        <w:pStyle w:val="0"/>
        <w:spacing w:before="240" w:lineRule="auto"/>
        <w:ind w:firstLine="540"/>
        <w:jc w:val="both"/>
      </w:pPr>
      <w:r>
        <w:rPr>
          <w:sz w:val="24"/>
        </w:rPr>
        <w:t xml:space="preserve">21.7. По показателю "Номер телефона" </w:t>
      </w:r>
      <w:hyperlink w:history="0" w:anchor="P1342" w:tooltip="34">
        <w:r>
          <w:rPr>
            <w:sz w:val="24"/>
            <w:color w:val="0000ff"/>
          </w:rPr>
          <w:t xml:space="preserve">(строка 34)</w:t>
        </w:r>
      </w:hyperlink>
      <w:r>
        <w:rPr>
          <w:sz w:val="24"/>
        </w:rPr>
        <w:t xml:space="preserve"> указывается номер телефона (при наличии) руководителя обособленного подразделения страховщика.</w:t>
      </w:r>
    </w:p>
    <w:p>
      <w:pPr>
        <w:pStyle w:val="0"/>
        <w:spacing w:before="240" w:lineRule="auto"/>
        <w:ind w:firstLine="540"/>
        <w:jc w:val="both"/>
      </w:pPr>
      <w:r>
        <w:rPr>
          <w:sz w:val="24"/>
        </w:rPr>
        <w:t xml:space="preserve">При наличии нескольких номеров телефонов руководителя обособленного подразделения страховщика они указываются через символ ";" (точка с запятой) с отступом (пробелом).</w:t>
      </w:r>
    </w:p>
    <w:p>
      <w:pPr>
        <w:pStyle w:val="0"/>
        <w:spacing w:before="240" w:lineRule="auto"/>
        <w:ind w:firstLine="540"/>
        <w:jc w:val="both"/>
      </w:pPr>
      <w:r>
        <w:rPr>
          <w:sz w:val="24"/>
        </w:rPr>
        <w:t xml:space="preserve">21.8. По показателям "Дата совершения доверенности" </w:t>
      </w:r>
      <w:hyperlink w:history="0" w:anchor="P1354" w:tooltip="35">
        <w:r>
          <w:rPr>
            <w:sz w:val="24"/>
            <w:color w:val="0000ff"/>
          </w:rPr>
          <w:t xml:space="preserve">(строка 35)</w:t>
        </w:r>
      </w:hyperlink>
      <w:r>
        <w:rPr>
          <w:sz w:val="24"/>
        </w:rPr>
        <w:t xml:space="preserve"> и "Номер доверенности" </w:t>
      </w:r>
      <w:hyperlink w:history="0" w:anchor="P1366" w:tooltip="36">
        <w:r>
          <w:rPr>
            <w:sz w:val="24"/>
            <w:color w:val="0000ff"/>
          </w:rPr>
          <w:t xml:space="preserve">(строка 36)</w:t>
        </w:r>
      </w:hyperlink>
      <w:r>
        <w:rPr>
          <w:sz w:val="24"/>
        </w:rPr>
        <w:t xml:space="preserve"> указываются соответственно дата и номер доверенности, на основании которой действует руководитель обособленного подразделения страховщика (при наличии).</w:t>
      </w:r>
    </w:p>
    <w:p>
      <w:pPr>
        <w:pStyle w:val="0"/>
        <w:spacing w:before="240" w:lineRule="auto"/>
        <w:ind w:firstLine="540"/>
        <w:jc w:val="both"/>
      </w:pPr>
      <w:r>
        <w:rPr>
          <w:sz w:val="24"/>
        </w:rPr>
        <w:t xml:space="preserve">В случае если у доверенности отсутствует номер, по показателю "Номер доверенности" </w:t>
      </w:r>
      <w:hyperlink w:history="0" w:anchor="P1366" w:tooltip="36">
        <w:r>
          <w:rPr>
            <w:sz w:val="24"/>
            <w:color w:val="0000ff"/>
          </w:rPr>
          <w:t xml:space="preserve">(строка 36)</w:t>
        </w:r>
      </w:hyperlink>
      <w:r>
        <w:rPr>
          <w:sz w:val="24"/>
        </w:rPr>
        <w:t xml:space="preserve"> указывается значение "б/н" (без номера).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1468" w:name="P1468"/>
    <w:bookmarkEnd w:id="1468"/>
    <w:p>
      <w:pPr>
        <w:pStyle w:val="0"/>
        <w:jc w:val="center"/>
      </w:pPr>
      <w:r>
        <w:rPr>
          <w:sz w:val="24"/>
        </w:rPr>
        <w:t xml:space="preserve">Отчетность по форме 0420152</w:t>
      </w:r>
    </w:p>
    <w:p>
      <w:pPr>
        <w:pStyle w:val="0"/>
        <w:jc w:val="center"/>
      </w:pPr>
      <w:r>
        <w:rPr>
          <w:sz w:val="24"/>
        </w:rPr>
        <w:t xml:space="preserve">"Отчет об акционерах (участниках) и сведения</w:t>
      </w:r>
    </w:p>
    <w:p>
      <w:pPr>
        <w:pStyle w:val="0"/>
        <w:jc w:val="center"/>
      </w:pPr>
      <w:r>
        <w:rPr>
          <w:sz w:val="24"/>
        </w:rPr>
        <w:t xml:space="preserve">об аффилированных лицах страховой организации"</w:t>
      </w:r>
    </w:p>
    <w:p>
      <w:pPr>
        <w:pStyle w:val="0"/>
        <w:ind w:firstLine="540"/>
        <w:jc w:val="both"/>
      </w:pPr>
      <w:r>
        <w:rPr>
          <w:sz w:val="24"/>
        </w:rPr>
      </w:r>
    </w:p>
    <w:p>
      <w:pPr>
        <w:pStyle w:val="0"/>
        <w:jc w:val="right"/>
      </w:pPr>
      <w:r>
        <w:rPr>
          <w:sz w:val="24"/>
        </w:rPr>
        <w:t xml:space="preserve">Код формы по </w:t>
      </w:r>
      <w:hyperlink w:history="0" r:id="rId12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1778" w:tooltip="&lt;1&gt; Общероссийский классификатор управленческой документации.">
        <w:r>
          <w:rPr>
            <w:sz w:val="24"/>
            <w:color w:val="0000ff"/>
          </w:rPr>
          <w:t xml:space="preserve">&lt;1&gt;</w:t>
        </w:r>
      </w:hyperlink>
      <w:r>
        <w:rPr>
          <w:sz w:val="24"/>
        </w:rPr>
        <w:t xml:space="preserve"> 0420152</w:t>
      </w:r>
    </w:p>
    <w:p>
      <w:pPr>
        <w:pStyle w:val="0"/>
        <w:ind w:firstLine="540"/>
        <w:jc w:val="both"/>
      </w:pPr>
      <w:r>
        <w:rPr>
          <w:sz w:val="24"/>
        </w:rPr>
      </w:r>
    </w:p>
    <w:p>
      <w:pPr>
        <w:pStyle w:val="0"/>
        <w:jc w:val="right"/>
      </w:pPr>
      <w:r>
        <w:rPr>
          <w:sz w:val="24"/>
        </w:rPr>
        <w:t xml:space="preserve">Квартальная, годовая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gridSpan w:val="4"/>
            <w:tcW w:w="9071" w:type="dxa"/>
          </w:tcPr>
          <w:p>
            <w:pPr>
              <w:pStyle w:val="0"/>
              <w:outlineLvl w:val="3"/>
              <w:jc w:val="center"/>
            </w:pPr>
            <w:r>
              <w:rPr>
                <w:sz w:val="24"/>
              </w:rPr>
              <w:t xml:space="preserve">Информация об иностранном инвесторе</w:t>
            </w:r>
          </w:p>
        </w:tc>
      </w:tr>
      <w:tr>
        <w:tc>
          <w:tcPr>
            <w:tcW w:w="907" w:type="dxa"/>
          </w:tcPr>
          <w:bookmarkStart w:id="1485" w:name="P1485"/>
          <w:bookmarkEnd w:id="1485"/>
          <w:p>
            <w:pPr>
              <w:pStyle w:val="0"/>
            </w:pPr>
            <w:r>
              <w:rPr>
                <w:sz w:val="24"/>
              </w:rPr>
              <w:t xml:space="preserve">1</w:t>
            </w:r>
          </w:p>
        </w:tc>
        <w:tc>
          <w:tcPr>
            <w:tcW w:w="2608" w:type="dxa"/>
          </w:tcPr>
          <w:p>
            <w:pPr>
              <w:pStyle w:val="0"/>
            </w:pPr>
            <w:r>
              <w:rPr>
                <w:sz w:val="24"/>
              </w:rPr>
              <w:t xml:space="preserve">Наименование иностранного инвестора (для страховой организации, являющейся дочерним обществом по отношению к иностранному инвестору)</w:t>
            </w:r>
          </w:p>
        </w:tc>
        <w:tc>
          <w:tcPr>
            <w:tcW w:w="2608" w:type="dxa"/>
          </w:tcPr>
          <w:p>
            <w:pPr>
              <w:pStyle w:val="0"/>
            </w:pPr>
            <w:r>
              <w:rPr>
                <w:sz w:val="24"/>
              </w:rPr>
            </w:r>
          </w:p>
        </w:tc>
        <w:tc>
          <w:tcPr>
            <w:tcW w:w="2948" w:type="dxa"/>
          </w:tcPr>
          <w:p>
            <w:pPr>
              <w:pStyle w:val="0"/>
            </w:pPr>
            <w:r>
              <w:rPr>
                <w:sz w:val="24"/>
              </w:rPr>
              <w:t xml:space="preserve">ins-dic:Naim_Inostr_Investora</w:t>
            </w:r>
          </w:p>
        </w:tc>
      </w:tr>
      <w:tr>
        <w:tc>
          <w:tcPr>
            <w:tcW w:w="907" w:type="dxa"/>
          </w:tcPr>
          <w:bookmarkStart w:id="1489" w:name="P1489"/>
          <w:bookmarkEnd w:id="1489"/>
          <w:p>
            <w:pPr>
              <w:pStyle w:val="0"/>
            </w:pPr>
            <w:r>
              <w:rPr>
                <w:sz w:val="24"/>
              </w:rPr>
              <w:t xml:space="preserve">2</w:t>
            </w:r>
          </w:p>
        </w:tc>
        <w:tc>
          <w:tcPr>
            <w:tcW w:w="2608" w:type="dxa"/>
          </w:tcPr>
          <w:p>
            <w:pPr>
              <w:pStyle w:val="0"/>
            </w:pPr>
            <w:r>
              <w:rPr>
                <w:sz w:val="24"/>
              </w:rPr>
              <w:t xml:space="preserve">Код страны</w:t>
            </w:r>
          </w:p>
        </w:tc>
        <w:tc>
          <w:tcPr>
            <w:tcW w:w="2608" w:type="dxa"/>
          </w:tcPr>
          <w:p>
            <w:pPr>
              <w:pStyle w:val="0"/>
            </w:pPr>
            <w:r>
              <w:rPr>
                <w:sz w:val="24"/>
              </w:rPr>
            </w:r>
          </w:p>
        </w:tc>
        <w:tc>
          <w:tcPr>
            <w:tcW w:w="2948" w:type="dxa"/>
          </w:tcPr>
          <w:p>
            <w:pPr>
              <w:pStyle w:val="0"/>
            </w:pPr>
            <w:r>
              <w:rPr>
                <w:sz w:val="24"/>
              </w:rPr>
              <w:t xml:space="preserve">nfo-dic:Kod_stranEnumerator</w:t>
            </w:r>
          </w:p>
        </w:tc>
      </w:tr>
      <w:tr>
        <w:tc>
          <w:tcPr>
            <w:gridSpan w:val="4"/>
            <w:tcW w:w="9071" w:type="dxa"/>
          </w:tcPr>
          <w:bookmarkStart w:id="1493" w:name="P1493"/>
          <w:bookmarkEnd w:id="1493"/>
          <w:p>
            <w:pPr>
              <w:pStyle w:val="0"/>
              <w:outlineLvl w:val="3"/>
            </w:pPr>
            <w:r>
              <w:rPr>
                <w:sz w:val="24"/>
              </w:rPr>
              <w:t xml:space="preserve">Раздел 1. Состав акционеров (участников)</w:t>
            </w:r>
          </w:p>
        </w:tc>
      </w:tr>
      <w:tr>
        <w:tc>
          <w:tcPr>
            <w:tcW w:w="907" w:type="dxa"/>
          </w:tcPr>
          <w:bookmarkStart w:id="1494" w:name="P1494"/>
          <w:bookmarkEnd w:id="1494"/>
          <w:p>
            <w:pPr>
              <w:pStyle w:val="0"/>
            </w:pPr>
            <w:r>
              <w:rPr>
                <w:sz w:val="24"/>
              </w:rPr>
              <w:t xml:space="preserve">3</w:t>
            </w:r>
          </w:p>
        </w:tc>
        <w:tc>
          <w:tcPr>
            <w:tcW w:w="2608" w:type="dxa"/>
          </w:tcPr>
          <w:p>
            <w:pPr>
              <w:pStyle w:val="0"/>
            </w:pPr>
            <w:r>
              <w:rPr>
                <w:sz w:val="24"/>
              </w:rPr>
              <w:t xml:space="preserve">Сумма</w:t>
            </w:r>
          </w:p>
        </w:tc>
        <w:tc>
          <w:tcPr>
            <w:tcW w:w="2608" w:type="dxa"/>
          </w:tcPr>
          <w:p>
            <w:pPr>
              <w:pStyle w:val="0"/>
            </w:pPr>
            <w:r>
              <w:rPr>
                <w:sz w:val="24"/>
              </w:rPr>
            </w:r>
          </w:p>
        </w:tc>
        <w:tc>
          <w:tcPr>
            <w:tcW w:w="2948" w:type="dxa"/>
          </w:tcPr>
          <w:p>
            <w:pPr>
              <w:pStyle w:val="0"/>
            </w:pPr>
            <w:r>
              <w:rPr>
                <w:sz w:val="24"/>
              </w:rPr>
              <w:t xml:space="preserve">ins-dic:Summa_Doli_Akczionerov_V_Uk</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Тип акционера</w:t>
            </w:r>
          </w:p>
        </w:tc>
        <w:tc>
          <w:tcPr>
            <w:tcW w:w="2948" w:type="dxa"/>
          </w:tcPr>
          <w:p>
            <w:pPr>
              <w:pStyle w:val="0"/>
            </w:pPr>
            <w:r>
              <w:rPr>
                <w:sz w:val="24"/>
              </w:rPr>
              <w:t xml:space="preserve">dim-int:Tip_Akczionerov_Axis</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Идентификатор акционера (участника)</w:t>
            </w:r>
          </w:p>
        </w:tc>
        <w:tc>
          <w:tcPr>
            <w:tcW w:w="2948" w:type="dxa"/>
          </w:tcPr>
          <w:p>
            <w:pPr>
              <w:pStyle w:val="0"/>
            </w:pPr>
            <w:r>
              <w:rPr>
                <w:sz w:val="24"/>
              </w:rPr>
              <w:t xml:space="preserve">dim-int:ID_akczioneraTaxis</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Тип контрагента</w:t>
            </w:r>
          </w:p>
        </w:tc>
        <w:tc>
          <w:tcPr>
            <w:tcW w:w="2948" w:type="dxa"/>
          </w:tcPr>
          <w:p>
            <w:pPr>
              <w:pStyle w:val="0"/>
            </w:pPr>
            <w:r>
              <w:rPr>
                <w:sz w:val="24"/>
              </w:rPr>
              <w:t xml:space="preserve">dim-int:Tip_KontragentaAxis</w:t>
            </w:r>
          </w:p>
        </w:tc>
      </w:tr>
      <w:tr>
        <w:tc>
          <w:tcPr>
            <w:tcW w:w="907" w:type="dxa"/>
          </w:tcPr>
          <w:bookmarkStart w:id="1510" w:name="P1510"/>
          <w:bookmarkEnd w:id="1510"/>
          <w:p>
            <w:pPr>
              <w:pStyle w:val="0"/>
            </w:pPr>
            <w:r>
              <w:rPr>
                <w:sz w:val="24"/>
              </w:rPr>
              <w:t xml:space="preserve">4</w:t>
            </w:r>
          </w:p>
        </w:tc>
        <w:tc>
          <w:tcPr>
            <w:tcW w:w="2608" w:type="dxa"/>
          </w:tcPr>
          <w:p>
            <w:pPr>
              <w:pStyle w:val="0"/>
            </w:pPr>
            <w:r>
              <w:rPr>
                <w:sz w:val="24"/>
              </w:rPr>
              <w:t xml:space="preserve">Доля, %</w:t>
            </w:r>
          </w:p>
        </w:tc>
        <w:tc>
          <w:tcPr>
            <w:tcW w:w="2608" w:type="dxa"/>
          </w:tcPr>
          <w:p>
            <w:pPr>
              <w:pStyle w:val="0"/>
            </w:pPr>
            <w:r>
              <w:rPr>
                <w:sz w:val="24"/>
              </w:rPr>
            </w:r>
          </w:p>
        </w:tc>
        <w:tc>
          <w:tcPr>
            <w:tcW w:w="2948" w:type="dxa"/>
          </w:tcPr>
          <w:p>
            <w:pPr>
              <w:pStyle w:val="0"/>
            </w:pPr>
            <w:r>
              <w:rPr>
                <w:sz w:val="24"/>
              </w:rPr>
              <w:t xml:space="preserve">ins-dic:Procent_Doli_Akczionerov_V_Uk</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Тип акционера</w:t>
            </w:r>
          </w:p>
        </w:tc>
        <w:tc>
          <w:tcPr>
            <w:tcW w:w="2948" w:type="dxa"/>
          </w:tcPr>
          <w:p>
            <w:pPr>
              <w:pStyle w:val="0"/>
            </w:pPr>
            <w:r>
              <w:rPr>
                <w:sz w:val="24"/>
              </w:rPr>
              <w:t xml:space="preserve">dim-int:Tip_Akczionerov_Axis</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Идентификатор акционера (участника)</w:t>
            </w:r>
          </w:p>
        </w:tc>
        <w:tc>
          <w:tcPr>
            <w:tcW w:w="2948" w:type="dxa"/>
          </w:tcPr>
          <w:p>
            <w:pPr>
              <w:pStyle w:val="0"/>
            </w:pPr>
            <w:r>
              <w:rPr>
                <w:sz w:val="24"/>
              </w:rPr>
              <w:t xml:space="preserve">dim-int:ID_akczioneraTaxis</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Тип контрагента</w:t>
            </w:r>
          </w:p>
        </w:tc>
        <w:tc>
          <w:tcPr>
            <w:tcW w:w="2948" w:type="dxa"/>
          </w:tcPr>
          <w:p>
            <w:pPr>
              <w:pStyle w:val="0"/>
            </w:pPr>
            <w:r>
              <w:rPr>
                <w:sz w:val="24"/>
              </w:rPr>
              <w:t xml:space="preserve">dim-int:Tip_KontragentaAxis</w:t>
            </w:r>
          </w:p>
        </w:tc>
      </w:tr>
      <w:tr>
        <w:tc>
          <w:tcPr>
            <w:tcW w:w="907" w:type="dxa"/>
          </w:tcPr>
          <w:bookmarkStart w:id="1526" w:name="P1526"/>
          <w:bookmarkEnd w:id="1526"/>
          <w:p>
            <w:pPr>
              <w:pStyle w:val="0"/>
            </w:pPr>
            <w:r>
              <w:rPr>
                <w:sz w:val="24"/>
              </w:rPr>
              <w:t xml:space="preserve">5</w:t>
            </w:r>
          </w:p>
        </w:tc>
        <w:tc>
          <w:tcPr>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Тип акционера</w:t>
            </w:r>
          </w:p>
        </w:tc>
        <w:tc>
          <w:tcPr>
            <w:tcW w:w="2948" w:type="dxa"/>
          </w:tcPr>
          <w:p>
            <w:pPr>
              <w:pStyle w:val="0"/>
            </w:pPr>
            <w:r>
              <w:rPr>
                <w:sz w:val="24"/>
              </w:rPr>
              <w:t xml:space="preserve">dim-int:Tip_Akczionerov_Axis</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Идентификатор акционера (участника)</w:t>
            </w:r>
          </w:p>
        </w:tc>
        <w:tc>
          <w:tcPr>
            <w:tcW w:w="2948" w:type="dxa"/>
          </w:tcPr>
          <w:p>
            <w:pPr>
              <w:pStyle w:val="0"/>
            </w:pPr>
            <w:r>
              <w:rPr>
                <w:sz w:val="24"/>
              </w:rPr>
              <w:t xml:space="preserve">dim-int:ID_akczioneraTaxis</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Тип контрагента</w:t>
            </w:r>
          </w:p>
        </w:tc>
        <w:tc>
          <w:tcPr>
            <w:tcW w:w="2948" w:type="dxa"/>
          </w:tcPr>
          <w:p>
            <w:pPr>
              <w:pStyle w:val="0"/>
            </w:pPr>
            <w:r>
              <w:rPr>
                <w:sz w:val="24"/>
              </w:rPr>
              <w:t xml:space="preserve">dim-int:Tip_KontragentaAxis</w:t>
            </w:r>
          </w:p>
        </w:tc>
      </w:tr>
      <w:tr>
        <w:tc>
          <w:tcPr>
            <w:gridSpan w:val="4"/>
            <w:tcW w:w="9071" w:type="dxa"/>
          </w:tcPr>
          <w:p>
            <w:pPr>
              <w:pStyle w:val="0"/>
              <w:outlineLvl w:val="3"/>
              <w:jc w:val="center"/>
            </w:pPr>
            <w:r>
              <w:rPr>
                <w:sz w:val="24"/>
              </w:rPr>
              <w:t xml:space="preserve">Справка об уставном капитале</w:t>
            </w:r>
          </w:p>
        </w:tc>
      </w:tr>
      <w:tr>
        <w:tc>
          <w:tcPr>
            <w:tcW w:w="907" w:type="dxa"/>
          </w:tcPr>
          <w:bookmarkStart w:id="1543" w:name="P1543"/>
          <w:bookmarkEnd w:id="1543"/>
          <w:p>
            <w:pPr>
              <w:pStyle w:val="0"/>
            </w:pPr>
            <w:r>
              <w:rPr>
                <w:sz w:val="24"/>
              </w:rPr>
              <w:t xml:space="preserve">6</w:t>
            </w:r>
          </w:p>
        </w:tc>
        <w:tc>
          <w:tcPr>
            <w:tcW w:w="2608" w:type="dxa"/>
          </w:tcPr>
          <w:p>
            <w:pPr>
              <w:pStyle w:val="0"/>
            </w:pPr>
            <w:r>
              <w:rPr>
                <w:sz w:val="24"/>
              </w:rPr>
              <w:t xml:space="preserve">Уставный капитал в соответствии с уставом</w:t>
            </w:r>
          </w:p>
        </w:tc>
        <w:tc>
          <w:tcPr>
            <w:tcW w:w="2608" w:type="dxa"/>
          </w:tcPr>
          <w:p>
            <w:pPr>
              <w:pStyle w:val="0"/>
            </w:pPr>
            <w:r>
              <w:rPr>
                <w:sz w:val="24"/>
              </w:rPr>
            </w:r>
          </w:p>
        </w:tc>
        <w:tc>
          <w:tcPr>
            <w:tcW w:w="2948" w:type="dxa"/>
          </w:tcPr>
          <w:p>
            <w:pPr>
              <w:pStyle w:val="0"/>
            </w:pPr>
            <w:r>
              <w:rPr>
                <w:sz w:val="24"/>
              </w:rPr>
              <w:t xml:space="preserve">ins-dic:Uk_Vsego</w:t>
            </w:r>
          </w:p>
        </w:tc>
      </w:tr>
      <w:tr>
        <w:tc>
          <w:tcPr>
            <w:tcW w:w="907" w:type="dxa"/>
          </w:tcPr>
          <w:bookmarkStart w:id="1547" w:name="P1547"/>
          <w:bookmarkEnd w:id="1547"/>
          <w:p>
            <w:pPr>
              <w:pStyle w:val="0"/>
            </w:pPr>
            <w:r>
              <w:rPr>
                <w:sz w:val="24"/>
              </w:rPr>
              <w:t xml:space="preserve">7</w:t>
            </w:r>
          </w:p>
        </w:tc>
        <w:tc>
          <w:tcPr>
            <w:tcW w:w="2608" w:type="dxa"/>
          </w:tcPr>
          <w:p>
            <w:pPr>
              <w:pStyle w:val="0"/>
            </w:pPr>
            <w:r>
              <w:rPr>
                <w:sz w:val="24"/>
              </w:rPr>
              <w:t xml:space="preserve">Собственные акции (доли), выкупленные у акционеров (участников), по номинальной стоимости</w:t>
            </w:r>
          </w:p>
        </w:tc>
        <w:tc>
          <w:tcPr>
            <w:tcW w:w="2608" w:type="dxa"/>
          </w:tcPr>
          <w:p>
            <w:pPr>
              <w:pStyle w:val="0"/>
            </w:pPr>
            <w:r>
              <w:rPr>
                <w:sz w:val="24"/>
              </w:rPr>
            </w:r>
          </w:p>
        </w:tc>
        <w:tc>
          <w:tcPr>
            <w:tcW w:w="2948" w:type="dxa"/>
          </w:tcPr>
          <w:p>
            <w:pPr>
              <w:pStyle w:val="0"/>
            </w:pPr>
            <w:r>
              <w:rPr>
                <w:sz w:val="24"/>
              </w:rPr>
              <w:t xml:space="preserve">ins-dic:Sobstvakcziivykupakczionerov_Nominstoim</w:t>
            </w:r>
          </w:p>
        </w:tc>
      </w:tr>
      <w:tr>
        <w:tc>
          <w:tcPr>
            <w:tcW w:w="907" w:type="dxa"/>
          </w:tcPr>
          <w:bookmarkStart w:id="1551" w:name="P1551"/>
          <w:bookmarkEnd w:id="1551"/>
          <w:p>
            <w:pPr>
              <w:pStyle w:val="0"/>
            </w:pPr>
            <w:r>
              <w:rPr>
                <w:sz w:val="24"/>
              </w:rPr>
              <w:t xml:space="preserve">8</w:t>
            </w:r>
          </w:p>
        </w:tc>
        <w:tc>
          <w:tcPr>
            <w:tcW w:w="2608" w:type="dxa"/>
          </w:tcPr>
          <w:p>
            <w:pPr>
              <w:pStyle w:val="0"/>
            </w:pPr>
            <w:r>
              <w:rPr>
                <w:sz w:val="24"/>
              </w:rPr>
              <w:t xml:space="preserve">Задолженность акционеров (участников) по взносам в уставный капитал</w:t>
            </w:r>
          </w:p>
        </w:tc>
        <w:tc>
          <w:tcPr>
            <w:tcW w:w="2608" w:type="dxa"/>
          </w:tcPr>
          <w:p>
            <w:pPr>
              <w:pStyle w:val="0"/>
            </w:pPr>
            <w:r>
              <w:rPr>
                <w:sz w:val="24"/>
              </w:rPr>
            </w:r>
          </w:p>
        </w:tc>
        <w:tc>
          <w:tcPr>
            <w:tcW w:w="2948" w:type="dxa"/>
          </w:tcPr>
          <w:p>
            <w:pPr>
              <w:pStyle w:val="0"/>
            </w:pPr>
            <w:r>
              <w:rPr>
                <w:sz w:val="24"/>
              </w:rPr>
              <w:t xml:space="preserve">ins-dic:Dz_Akczionerov_Po_Vznosam_V_Uk_Ostatok</w:t>
            </w:r>
          </w:p>
        </w:tc>
      </w:tr>
      <w:tr>
        <w:tc>
          <w:tcPr>
            <w:gridSpan w:val="4"/>
            <w:tcW w:w="9071" w:type="dxa"/>
          </w:tcPr>
          <w:bookmarkStart w:id="1555" w:name="P1555"/>
          <w:bookmarkEnd w:id="1555"/>
          <w:p>
            <w:pPr>
              <w:pStyle w:val="0"/>
              <w:outlineLvl w:val="3"/>
            </w:pPr>
            <w:r>
              <w:rPr>
                <w:sz w:val="24"/>
              </w:rPr>
              <w:t xml:space="preserve">Раздел 2. Сведения об аффилированных лицах</w:t>
            </w:r>
          </w:p>
        </w:tc>
      </w:tr>
      <w:tr>
        <w:tc>
          <w:tcPr>
            <w:tcW w:w="907" w:type="dxa"/>
          </w:tcPr>
          <w:bookmarkStart w:id="1556" w:name="P1556"/>
          <w:bookmarkEnd w:id="1556"/>
          <w:p>
            <w:pPr>
              <w:pStyle w:val="0"/>
            </w:pPr>
            <w:r>
              <w:rPr>
                <w:sz w:val="24"/>
              </w:rPr>
              <w:t xml:space="preserve">9</w:t>
            </w:r>
          </w:p>
        </w:tc>
        <w:tc>
          <w:tcPr>
            <w:tcW w:w="2608" w:type="dxa"/>
          </w:tcPr>
          <w:p>
            <w:pPr>
              <w:pStyle w:val="0"/>
            </w:pPr>
            <w:r>
              <w:rPr>
                <w:sz w:val="24"/>
              </w:rPr>
              <w:t xml:space="preserve">А1-1</w:t>
            </w:r>
          </w:p>
        </w:tc>
        <w:tc>
          <w:tcPr>
            <w:tcW w:w="2608" w:type="dxa"/>
          </w:tcPr>
          <w:p>
            <w:pPr>
              <w:pStyle w:val="0"/>
            </w:pPr>
            <w:r>
              <w:rPr>
                <w:sz w:val="24"/>
              </w:rPr>
            </w:r>
          </w:p>
        </w:tc>
        <w:tc>
          <w:tcPr>
            <w:tcW w:w="2948" w:type="dxa"/>
          </w:tcPr>
          <w:p>
            <w:pPr>
              <w:pStyle w:val="0"/>
            </w:pPr>
            <w:r>
              <w:rPr>
                <w:sz w:val="24"/>
              </w:rPr>
              <w:t xml:space="preserve">nfo-dic:Osnovanie_Aff_A1_1Enumerator</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568" w:name="P1568"/>
          <w:bookmarkEnd w:id="1568"/>
          <w:p>
            <w:pPr>
              <w:pStyle w:val="0"/>
            </w:pPr>
            <w:r>
              <w:rPr>
                <w:sz w:val="24"/>
              </w:rPr>
              <w:t xml:space="preserve">10</w:t>
            </w:r>
          </w:p>
        </w:tc>
        <w:tc>
          <w:tcPr>
            <w:tcW w:w="2608" w:type="dxa"/>
          </w:tcPr>
          <w:p>
            <w:pPr>
              <w:pStyle w:val="0"/>
            </w:pPr>
            <w:r>
              <w:rPr>
                <w:sz w:val="24"/>
              </w:rPr>
              <w:t xml:space="preserve">Дата наступления основания А1-1</w:t>
            </w:r>
          </w:p>
        </w:tc>
        <w:tc>
          <w:tcPr>
            <w:tcW w:w="2608" w:type="dxa"/>
          </w:tcPr>
          <w:p>
            <w:pPr>
              <w:pStyle w:val="0"/>
            </w:pPr>
            <w:r>
              <w:rPr>
                <w:sz w:val="24"/>
              </w:rPr>
            </w:r>
          </w:p>
        </w:tc>
        <w:tc>
          <w:tcPr>
            <w:tcW w:w="2948" w:type="dxa"/>
          </w:tcPr>
          <w:p>
            <w:pPr>
              <w:pStyle w:val="0"/>
            </w:pPr>
            <w:r>
              <w:rPr>
                <w:sz w:val="24"/>
              </w:rPr>
              <w:t xml:space="preserve">nfo-dic:Data_Nastupl_Osn_A1_1</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580" w:name="P1580"/>
          <w:bookmarkEnd w:id="1580"/>
          <w:p>
            <w:pPr>
              <w:pStyle w:val="0"/>
            </w:pPr>
            <w:r>
              <w:rPr>
                <w:sz w:val="24"/>
              </w:rPr>
              <w:t xml:space="preserve">11</w:t>
            </w:r>
          </w:p>
        </w:tc>
        <w:tc>
          <w:tcPr>
            <w:tcW w:w="2608" w:type="dxa"/>
          </w:tcPr>
          <w:p>
            <w:pPr>
              <w:pStyle w:val="0"/>
            </w:pPr>
            <w:r>
              <w:rPr>
                <w:sz w:val="24"/>
              </w:rPr>
              <w:t xml:space="preserve">А1-2</w:t>
            </w:r>
          </w:p>
        </w:tc>
        <w:tc>
          <w:tcPr>
            <w:tcW w:w="2608" w:type="dxa"/>
          </w:tcPr>
          <w:p>
            <w:pPr>
              <w:pStyle w:val="0"/>
            </w:pPr>
            <w:r>
              <w:rPr>
                <w:sz w:val="24"/>
              </w:rPr>
            </w:r>
          </w:p>
        </w:tc>
        <w:tc>
          <w:tcPr>
            <w:tcW w:w="2948" w:type="dxa"/>
          </w:tcPr>
          <w:p>
            <w:pPr>
              <w:pStyle w:val="0"/>
            </w:pPr>
            <w:r>
              <w:rPr>
                <w:sz w:val="24"/>
              </w:rPr>
              <w:t xml:space="preserve">nfo-dic:Osnovanie_Aff_A1_2Enumerator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dim-int:Vid_DeyalelnostiAxis</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592" w:name="P1592"/>
          <w:bookmarkEnd w:id="1592"/>
          <w:p>
            <w:pPr>
              <w:pStyle w:val="0"/>
            </w:pPr>
            <w:r>
              <w:rPr>
                <w:sz w:val="24"/>
              </w:rPr>
              <w:t xml:space="preserve">12</w:t>
            </w:r>
          </w:p>
        </w:tc>
        <w:tc>
          <w:tcPr>
            <w:tcW w:w="2608" w:type="dxa"/>
          </w:tcPr>
          <w:p>
            <w:pPr>
              <w:pStyle w:val="0"/>
            </w:pPr>
            <w:r>
              <w:rPr>
                <w:sz w:val="24"/>
              </w:rPr>
              <w:t xml:space="preserve">Дата наступления основания А1-2</w:t>
            </w:r>
          </w:p>
        </w:tc>
        <w:tc>
          <w:tcPr>
            <w:tcW w:w="2608" w:type="dxa"/>
          </w:tcPr>
          <w:p>
            <w:pPr>
              <w:pStyle w:val="0"/>
            </w:pPr>
            <w:r>
              <w:rPr>
                <w:sz w:val="24"/>
              </w:rPr>
            </w:r>
          </w:p>
        </w:tc>
        <w:tc>
          <w:tcPr>
            <w:tcW w:w="2948" w:type="dxa"/>
          </w:tcPr>
          <w:p>
            <w:pPr>
              <w:pStyle w:val="0"/>
            </w:pPr>
            <w:r>
              <w:rPr>
                <w:sz w:val="24"/>
              </w:rPr>
              <w:t xml:space="preserve">nfo-dic:Data_Nastupl_Osn_A1_2</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04" w:name="P1604"/>
          <w:bookmarkEnd w:id="1604"/>
          <w:p>
            <w:pPr>
              <w:pStyle w:val="0"/>
            </w:pPr>
            <w:r>
              <w:rPr>
                <w:sz w:val="24"/>
              </w:rPr>
              <w:t xml:space="preserve">13</w:t>
            </w:r>
          </w:p>
        </w:tc>
        <w:tc>
          <w:tcPr>
            <w:tcW w:w="2608" w:type="dxa"/>
          </w:tcPr>
          <w:p>
            <w:pPr>
              <w:pStyle w:val="0"/>
            </w:pPr>
            <w:r>
              <w:rPr>
                <w:sz w:val="24"/>
              </w:rPr>
              <w:t xml:space="preserve">А1-3</w:t>
            </w:r>
          </w:p>
        </w:tc>
        <w:tc>
          <w:tcPr>
            <w:tcW w:w="2608" w:type="dxa"/>
          </w:tcPr>
          <w:p>
            <w:pPr>
              <w:pStyle w:val="0"/>
            </w:pPr>
            <w:r>
              <w:rPr>
                <w:sz w:val="24"/>
              </w:rPr>
            </w:r>
          </w:p>
        </w:tc>
        <w:tc>
          <w:tcPr>
            <w:tcW w:w="2948" w:type="dxa"/>
          </w:tcPr>
          <w:p>
            <w:pPr>
              <w:pStyle w:val="0"/>
            </w:pPr>
            <w:r>
              <w:rPr>
                <w:sz w:val="24"/>
              </w:rPr>
              <w:t xml:space="preserve">nfo-dic:Osnovanie_Aff_A1_3Enumerator</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13.2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16" w:name="P1616"/>
          <w:bookmarkEnd w:id="1616"/>
          <w:p>
            <w:pPr>
              <w:pStyle w:val="0"/>
            </w:pPr>
            <w:r>
              <w:rPr>
                <w:sz w:val="24"/>
              </w:rPr>
              <w:t xml:space="preserve">14</w:t>
            </w:r>
          </w:p>
        </w:tc>
        <w:tc>
          <w:tcPr>
            <w:tcW w:w="2608" w:type="dxa"/>
          </w:tcPr>
          <w:p>
            <w:pPr>
              <w:pStyle w:val="0"/>
            </w:pPr>
            <w:r>
              <w:rPr>
                <w:sz w:val="24"/>
              </w:rPr>
              <w:t xml:space="preserve">Дата наступления основания А1-3</w:t>
            </w:r>
          </w:p>
        </w:tc>
        <w:tc>
          <w:tcPr>
            <w:tcW w:w="2608" w:type="dxa"/>
          </w:tcPr>
          <w:p>
            <w:pPr>
              <w:pStyle w:val="0"/>
            </w:pPr>
            <w:r>
              <w:rPr>
                <w:sz w:val="24"/>
              </w:rPr>
            </w:r>
          </w:p>
        </w:tc>
        <w:tc>
          <w:tcPr>
            <w:tcW w:w="2948" w:type="dxa"/>
          </w:tcPr>
          <w:p>
            <w:pPr>
              <w:pStyle w:val="0"/>
            </w:pPr>
            <w:r>
              <w:rPr>
                <w:sz w:val="24"/>
              </w:rPr>
              <w:t xml:space="preserve">nfo-dic:Data_Nastupl_Osn_A1_3</w:t>
            </w:r>
          </w:p>
        </w:tc>
      </w:tr>
      <w:tr>
        <w:tc>
          <w:tcPr>
            <w:tcW w:w="907" w:type="dxa"/>
          </w:tcPr>
          <w:p>
            <w:pPr>
              <w:pStyle w:val="0"/>
            </w:pPr>
            <w:r>
              <w:rPr>
                <w:sz w:val="24"/>
              </w:rPr>
              <w:t xml:space="preserve">14.1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14.2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28" w:name="P1628"/>
          <w:bookmarkEnd w:id="1628"/>
          <w:p>
            <w:pPr>
              <w:pStyle w:val="0"/>
            </w:pPr>
            <w:r>
              <w:rPr>
                <w:sz w:val="24"/>
              </w:rPr>
              <w:t xml:space="preserve">15</w:t>
            </w:r>
          </w:p>
        </w:tc>
        <w:tc>
          <w:tcPr>
            <w:tcW w:w="2608" w:type="dxa"/>
          </w:tcPr>
          <w:p>
            <w:pPr>
              <w:pStyle w:val="0"/>
            </w:pPr>
            <w:r>
              <w:rPr>
                <w:sz w:val="24"/>
              </w:rPr>
              <w:t xml:space="preserve">А2</w:t>
            </w:r>
          </w:p>
        </w:tc>
        <w:tc>
          <w:tcPr>
            <w:tcW w:w="2608" w:type="dxa"/>
          </w:tcPr>
          <w:p>
            <w:pPr>
              <w:pStyle w:val="0"/>
            </w:pPr>
            <w:r>
              <w:rPr>
                <w:sz w:val="24"/>
              </w:rPr>
            </w:r>
          </w:p>
        </w:tc>
        <w:tc>
          <w:tcPr>
            <w:tcW w:w="2948" w:type="dxa"/>
          </w:tcPr>
          <w:p>
            <w:pPr>
              <w:pStyle w:val="0"/>
            </w:pPr>
            <w:r>
              <w:rPr>
                <w:sz w:val="24"/>
              </w:rPr>
              <w:t xml:space="preserve">nfo-dic:Osnovanie_Aff_A2Enumerator</w:t>
            </w:r>
          </w:p>
        </w:tc>
      </w:tr>
      <w:tr>
        <w:tc>
          <w:tcPr>
            <w:tcW w:w="907" w:type="dxa"/>
          </w:tcPr>
          <w:p>
            <w:pPr>
              <w:pStyle w:val="0"/>
            </w:pPr>
            <w:r>
              <w:rPr>
                <w:sz w:val="24"/>
              </w:rPr>
              <w:t xml:space="preserve">15.1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15.2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40" w:name="P1640"/>
          <w:bookmarkEnd w:id="1640"/>
          <w:p>
            <w:pPr>
              <w:pStyle w:val="0"/>
            </w:pPr>
            <w:r>
              <w:rPr>
                <w:sz w:val="24"/>
              </w:rPr>
              <w:t xml:space="preserve">16</w:t>
            </w:r>
          </w:p>
        </w:tc>
        <w:tc>
          <w:tcPr>
            <w:tcW w:w="2608" w:type="dxa"/>
          </w:tcPr>
          <w:p>
            <w:pPr>
              <w:pStyle w:val="0"/>
            </w:pPr>
            <w:r>
              <w:rPr>
                <w:sz w:val="24"/>
              </w:rPr>
              <w:t xml:space="preserve">Дата наступления основания А2</w:t>
            </w:r>
          </w:p>
        </w:tc>
        <w:tc>
          <w:tcPr>
            <w:tcW w:w="2608" w:type="dxa"/>
          </w:tcPr>
          <w:p>
            <w:pPr>
              <w:pStyle w:val="0"/>
            </w:pPr>
            <w:r>
              <w:rPr>
                <w:sz w:val="24"/>
              </w:rPr>
            </w:r>
          </w:p>
        </w:tc>
        <w:tc>
          <w:tcPr>
            <w:tcW w:w="2948" w:type="dxa"/>
          </w:tcPr>
          <w:p>
            <w:pPr>
              <w:pStyle w:val="0"/>
            </w:pPr>
            <w:r>
              <w:rPr>
                <w:sz w:val="24"/>
              </w:rPr>
              <w:t xml:space="preserve">nfo-dic:Data_Nastupl_Osn_A2</w:t>
            </w:r>
          </w:p>
        </w:tc>
      </w:tr>
      <w:tr>
        <w:tc>
          <w:tcPr>
            <w:tcW w:w="907" w:type="dxa"/>
          </w:tcPr>
          <w:p>
            <w:pPr>
              <w:pStyle w:val="0"/>
            </w:pPr>
            <w:r>
              <w:rPr>
                <w:sz w:val="24"/>
              </w:rPr>
              <w:t xml:space="preserve">16.1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16.2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52" w:name="P1652"/>
          <w:bookmarkEnd w:id="1652"/>
          <w:p>
            <w:pPr>
              <w:pStyle w:val="0"/>
            </w:pPr>
            <w:r>
              <w:rPr>
                <w:sz w:val="24"/>
              </w:rPr>
              <w:t xml:space="preserve">17</w:t>
            </w:r>
          </w:p>
        </w:tc>
        <w:tc>
          <w:tcPr>
            <w:tcW w:w="2608" w:type="dxa"/>
          </w:tcPr>
          <w:p>
            <w:pPr>
              <w:pStyle w:val="0"/>
            </w:pPr>
            <w:r>
              <w:rPr>
                <w:sz w:val="24"/>
              </w:rPr>
              <w:t xml:space="preserve">Регистрационный номер кредитной организации, принадлежащей к группе лиц с отчитывающейся организацией</w:t>
            </w:r>
          </w:p>
        </w:tc>
        <w:tc>
          <w:tcPr>
            <w:tcW w:w="2608" w:type="dxa"/>
          </w:tcPr>
          <w:p>
            <w:pPr>
              <w:pStyle w:val="0"/>
            </w:pPr>
            <w:r>
              <w:rPr>
                <w:sz w:val="24"/>
              </w:rPr>
            </w:r>
          </w:p>
        </w:tc>
        <w:tc>
          <w:tcPr>
            <w:tcW w:w="2948" w:type="dxa"/>
          </w:tcPr>
          <w:p>
            <w:pPr>
              <w:pStyle w:val="0"/>
            </w:pPr>
            <w:r>
              <w:rPr>
                <w:sz w:val="24"/>
              </w:rPr>
              <w:t xml:space="preserve">nfo-dic:RegNomerKO</w:t>
            </w:r>
          </w:p>
        </w:tc>
      </w:tr>
      <w:tr>
        <w:tc>
          <w:tcPr>
            <w:tcW w:w="907" w:type="dxa"/>
          </w:tcPr>
          <w:p>
            <w:pPr>
              <w:pStyle w:val="0"/>
            </w:pPr>
            <w:r>
              <w:rPr>
                <w:sz w:val="24"/>
              </w:rPr>
              <w:t xml:space="preserve">17.1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17.2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64" w:name="P1664"/>
          <w:bookmarkEnd w:id="1664"/>
          <w:p>
            <w:pPr>
              <w:pStyle w:val="0"/>
            </w:pPr>
            <w:r>
              <w:rPr>
                <w:sz w:val="24"/>
              </w:rPr>
              <w:t xml:space="preserve">18</w:t>
            </w:r>
          </w:p>
        </w:tc>
        <w:tc>
          <w:tcPr>
            <w:tcW w:w="2608" w:type="dxa"/>
          </w:tcPr>
          <w:p>
            <w:pPr>
              <w:pStyle w:val="0"/>
            </w:pPr>
            <w:r>
              <w:rPr>
                <w:sz w:val="24"/>
              </w:rPr>
              <w:t xml:space="preserve">А3</w:t>
            </w:r>
          </w:p>
        </w:tc>
        <w:tc>
          <w:tcPr>
            <w:tcW w:w="2608" w:type="dxa"/>
          </w:tcPr>
          <w:p>
            <w:pPr>
              <w:pStyle w:val="0"/>
            </w:pPr>
            <w:r>
              <w:rPr>
                <w:sz w:val="24"/>
              </w:rPr>
            </w:r>
          </w:p>
        </w:tc>
        <w:tc>
          <w:tcPr>
            <w:tcW w:w="2948" w:type="dxa"/>
          </w:tcPr>
          <w:p>
            <w:pPr>
              <w:pStyle w:val="0"/>
            </w:pPr>
            <w:r>
              <w:rPr>
                <w:sz w:val="24"/>
              </w:rPr>
              <w:t xml:space="preserve">nfo-dic:Osnovanie_Aff_A3Enumerator</w:t>
            </w:r>
          </w:p>
        </w:tc>
      </w:tr>
      <w:tr>
        <w:tc>
          <w:tcPr>
            <w:tcW w:w="907" w:type="dxa"/>
          </w:tcPr>
          <w:p>
            <w:pPr>
              <w:pStyle w:val="0"/>
            </w:pPr>
            <w:r>
              <w:rPr>
                <w:sz w:val="24"/>
              </w:rPr>
              <w:t xml:space="preserve">18.1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dim-int:Vid_DeyatdnostiAxis</w:t>
            </w:r>
          </w:p>
        </w:tc>
      </w:tr>
      <w:tr>
        <w:tc>
          <w:tcPr>
            <w:tcW w:w="907" w:type="dxa"/>
          </w:tcPr>
          <w:p>
            <w:pPr>
              <w:pStyle w:val="0"/>
            </w:pPr>
            <w:r>
              <w:rPr>
                <w:sz w:val="24"/>
              </w:rPr>
              <w:t xml:space="preserve">18.2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76" w:name="P1676"/>
          <w:bookmarkEnd w:id="1676"/>
          <w:p>
            <w:pPr>
              <w:pStyle w:val="0"/>
            </w:pPr>
            <w:r>
              <w:rPr>
                <w:sz w:val="24"/>
              </w:rPr>
              <w:t xml:space="preserve">19</w:t>
            </w:r>
          </w:p>
        </w:tc>
        <w:tc>
          <w:tcPr>
            <w:tcW w:w="2608" w:type="dxa"/>
          </w:tcPr>
          <w:p>
            <w:pPr>
              <w:pStyle w:val="0"/>
            </w:pPr>
            <w:r>
              <w:rPr>
                <w:sz w:val="24"/>
              </w:rPr>
              <w:t xml:space="preserve">Дата наступления основания А3</w:t>
            </w:r>
          </w:p>
        </w:tc>
        <w:tc>
          <w:tcPr>
            <w:tcW w:w="2608" w:type="dxa"/>
          </w:tcPr>
          <w:p>
            <w:pPr>
              <w:pStyle w:val="0"/>
            </w:pPr>
            <w:r>
              <w:rPr>
                <w:sz w:val="24"/>
              </w:rPr>
            </w:r>
          </w:p>
        </w:tc>
        <w:tc>
          <w:tcPr>
            <w:tcW w:w="2948" w:type="dxa"/>
          </w:tcPr>
          <w:p>
            <w:pPr>
              <w:pStyle w:val="0"/>
            </w:pPr>
            <w:r>
              <w:rPr>
                <w:sz w:val="24"/>
              </w:rPr>
              <w:t xml:space="preserve">nfo-dic:Data_Nastnpl_Osn_A3</w:t>
            </w:r>
          </w:p>
        </w:tc>
      </w:tr>
      <w:tr>
        <w:tc>
          <w:tcPr>
            <w:tcW w:w="907" w:type="dxa"/>
          </w:tcPr>
          <w:p>
            <w:pPr>
              <w:pStyle w:val="0"/>
            </w:pPr>
            <w:r>
              <w:rPr>
                <w:sz w:val="24"/>
              </w:rPr>
              <w:t xml:space="preserve">19.1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19.2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688" w:name="P1688"/>
          <w:bookmarkEnd w:id="1688"/>
          <w:p>
            <w:pPr>
              <w:pStyle w:val="0"/>
            </w:pPr>
            <w:r>
              <w:rPr>
                <w:sz w:val="24"/>
              </w:rPr>
              <w:t xml:space="preserve">20</w:t>
            </w:r>
          </w:p>
        </w:tc>
        <w:tc>
          <w:tcPr>
            <w:tcW w:w="2608" w:type="dxa"/>
          </w:tcPr>
          <w:p>
            <w:pPr>
              <w:pStyle w:val="0"/>
            </w:pPr>
            <w:r>
              <w:rPr>
                <w:sz w:val="24"/>
              </w:rPr>
              <w:t xml:space="preserve">А4</w:t>
            </w:r>
          </w:p>
        </w:tc>
        <w:tc>
          <w:tcPr>
            <w:tcW w:w="2608" w:type="dxa"/>
          </w:tcPr>
          <w:p>
            <w:pPr>
              <w:pStyle w:val="0"/>
            </w:pPr>
            <w:r>
              <w:rPr>
                <w:sz w:val="24"/>
              </w:rPr>
            </w:r>
          </w:p>
        </w:tc>
        <w:tc>
          <w:tcPr>
            <w:tcW w:w="2948" w:type="dxa"/>
          </w:tcPr>
          <w:p>
            <w:pPr>
              <w:pStyle w:val="0"/>
            </w:pPr>
            <w:r>
              <w:rPr>
                <w:sz w:val="24"/>
              </w:rPr>
              <w:t xml:space="preserve">nfo-dic:Osnovanie_Aff_A4Enumerator</w:t>
            </w:r>
          </w:p>
        </w:tc>
      </w:tr>
      <w:tr>
        <w:tc>
          <w:tcPr>
            <w:tcW w:w="907" w:type="dxa"/>
          </w:tcPr>
          <w:p>
            <w:pPr>
              <w:pStyle w:val="0"/>
            </w:pPr>
            <w:r>
              <w:rPr>
                <w:sz w:val="24"/>
              </w:rPr>
              <w:t xml:space="preserve">20.1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20.2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700" w:name="P1700"/>
          <w:bookmarkEnd w:id="1700"/>
          <w:p>
            <w:pPr>
              <w:pStyle w:val="0"/>
            </w:pPr>
            <w:r>
              <w:rPr>
                <w:sz w:val="24"/>
              </w:rPr>
              <w:t xml:space="preserve">21</w:t>
            </w:r>
          </w:p>
        </w:tc>
        <w:tc>
          <w:tcPr>
            <w:tcW w:w="2608" w:type="dxa"/>
          </w:tcPr>
          <w:p>
            <w:pPr>
              <w:pStyle w:val="0"/>
            </w:pPr>
            <w:r>
              <w:rPr>
                <w:sz w:val="24"/>
              </w:rPr>
              <w:t xml:space="preserve">Дата наступления основания А4</w:t>
            </w:r>
          </w:p>
        </w:tc>
        <w:tc>
          <w:tcPr>
            <w:tcW w:w="2608" w:type="dxa"/>
          </w:tcPr>
          <w:p>
            <w:pPr>
              <w:pStyle w:val="0"/>
            </w:pPr>
            <w:r>
              <w:rPr>
                <w:sz w:val="24"/>
              </w:rPr>
            </w:r>
          </w:p>
        </w:tc>
        <w:tc>
          <w:tcPr>
            <w:tcW w:w="2948" w:type="dxa"/>
          </w:tcPr>
          <w:p>
            <w:pPr>
              <w:pStyle w:val="0"/>
            </w:pPr>
            <w:r>
              <w:rPr>
                <w:sz w:val="24"/>
              </w:rPr>
              <w:t xml:space="preserve">nfo-dic:Data_Nastupl_Osn_A4</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712" w:name="P1712"/>
          <w:bookmarkEnd w:id="1712"/>
          <w:p>
            <w:pPr>
              <w:pStyle w:val="0"/>
            </w:pPr>
            <w:r>
              <w:rPr>
                <w:sz w:val="24"/>
              </w:rPr>
              <w:t xml:space="preserve">22</w:t>
            </w:r>
          </w:p>
        </w:tc>
        <w:tc>
          <w:tcPr>
            <w:tcW w:w="2608" w:type="dxa"/>
          </w:tcPr>
          <w:p>
            <w:pPr>
              <w:pStyle w:val="0"/>
            </w:pPr>
            <w:r>
              <w:rPr>
                <w:sz w:val="24"/>
              </w:rPr>
              <w:t xml:space="preserve">Принадлежащие лицу акции (доли) отчитывающейся организации (процент голосов к общему количеству голосующих акций (долей) отчитывающейся организации)</w:t>
            </w:r>
          </w:p>
        </w:tc>
        <w:tc>
          <w:tcPr>
            <w:tcW w:w="2608" w:type="dxa"/>
          </w:tcPr>
          <w:p>
            <w:pPr>
              <w:pStyle w:val="0"/>
            </w:pPr>
            <w:r>
              <w:rPr>
                <w:sz w:val="24"/>
              </w:rPr>
            </w:r>
          </w:p>
        </w:tc>
        <w:tc>
          <w:tcPr>
            <w:tcW w:w="2948" w:type="dxa"/>
          </w:tcPr>
          <w:p>
            <w:pPr>
              <w:pStyle w:val="0"/>
            </w:pPr>
            <w:r>
              <w:rPr>
                <w:sz w:val="24"/>
              </w:rPr>
              <w:t xml:space="preserve">nfo-dic:Prinadl_liczu_Akczii_Proczent_Golosov</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dim-int:ID_AffilirovannogoLiczaTaxis</w:t>
            </w:r>
          </w:p>
        </w:tc>
      </w:tr>
      <w:tr>
        <w:tc>
          <w:tcPr>
            <w:tcW w:w="907" w:type="dxa"/>
          </w:tcPr>
          <w:bookmarkStart w:id="1724" w:name="P1724"/>
          <w:bookmarkEnd w:id="1724"/>
          <w:p>
            <w:pPr>
              <w:pStyle w:val="0"/>
            </w:pPr>
            <w:r>
              <w:rPr>
                <w:sz w:val="24"/>
              </w:rPr>
              <w:t xml:space="preserve">23</w:t>
            </w:r>
          </w:p>
        </w:tc>
        <w:tc>
          <w:tcPr>
            <w:tcW w:w="2608" w:type="dxa"/>
          </w:tcPr>
          <w:p>
            <w:pPr>
              <w:pStyle w:val="0"/>
            </w:pPr>
            <w:r>
              <w:rPr>
                <w:sz w:val="24"/>
              </w:rPr>
              <w:t xml:space="preserve">Принадлежащие отчитывающейся организации акции (доли) лица (процент голосов к общему количеству голосующих акций (долей) лица)</w:t>
            </w:r>
          </w:p>
        </w:tc>
        <w:tc>
          <w:tcPr>
            <w:tcW w:w="2608" w:type="dxa"/>
          </w:tcPr>
          <w:p>
            <w:pPr>
              <w:pStyle w:val="0"/>
            </w:pPr>
            <w:r>
              <w:rPr>
                <w:sz w:val="24"/>
              </w:rPr>
            </w:r>
          </w:p>
        </w:tc>
        <w:tc>
          <w:tcPr>
            <w:tcW w:w="2948" w:type="dxa"/>
          </w:tcPr>
          <w:p>
            <w:pPr>
              <w:pStyle w:val="0"/>
            </w:pPr>
            <w:r>
              <w:rPr>
                <w:sz w:val="24"/>
              </w:rPr>
              <w:t xml:space="preserve">nfo-dic:PrinadOtchOrgAkcziiAffLicza</w:t>
            </w:r>
          </w:p>
        </w:tc>
      </w:tr>
      <w:tr>
        <w:tc>
          <w:tcPr>
            <w:tcW w:w="907" w:type="dxa"/>
          </w:tcPr>
          <w:p>
            <w:pPr>
              <w:pStyle w:val="0"/>
            </w:pPr>
            <w:r>
              <w:rPr>
                <w:sz w:val="24"/>
              </w:rPr>
              <w:t xml:space="preserve">23.1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23.2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736" w:name="P1736"/>
          <w:bookmarkEnd w:id="1736"/>
          <w:p>
            <w:pPr>
              <w:pStyle w:val="0"/>
            </w:pPr>
            <w:r>
              <w:rPr>
                <w:sz w:val="24"/>
              </w:rPr>
              <w:t xml:space="preserve">24</w:t>
            </w:r>
          </w:p>
        </w:tc>
        <w:tc>
          <w:tcPr>
            <w:tcW w:w="2608" w:type="dxa"/>
          </w:tcPr>
          <w:p>
            <w:pPr>
              <w:pStyle w:val="0"/>
            </w:pPr>
            <w:r>
              <w:rPr>
                <w:sz w:val="24"/>
              </w:rPr>
              <w:t xml:space="preserve">Дата прекращения основания аффилированности</w:t>
            </w:r>
          </w:p>
        </w:tc>
        <w:tc>
          <w:tcPr>
            <w:tcW w:w="2608" w:type="dxa"/>
          </w:tcPr>
          <w:p>
            <w:pPr>
              <w:pStyle w:val="0"/>
            </w:pPr>
            <w:r>
              <w:rPr>
                <w:sz w:val="24"/>
              </w:rPr>
            </w:r>
          </w:p>
        </w:tc>
        <w:tc>
          <w:tcPr>
            <w:tcW w:w="2948" w:type="dxa"/>
          </w:tcPr>
          <w:p>
            <w:pPr>
              <w:pStyle w:val="0"/>
            </w:pPr>
            <w:r>
              <w:rPr>
                <w:sz w:val="24"/>
              </w:rPr>
              <w:t xml:space="preserve">nfo-dic:DatNPerAfl</w:t>
            </w:r>
          </w:p>
        </w:tc>
      </w:tr>
      <w:tr>
        <w:tc>
          <w:tcPr>
            <w:tcW w:w="907" w:type="dxa"/>
          </w:tcPr>
          <w:p>
            <w:pPr>
              <w:pStyle w:val="0"/>
            </w:pPr>
            <w:r>
              <w:rPr>
                <w:sz w:val="24"/>
              </w:rPr>
              <w:t xml:space="preserve">24.1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24.2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748" w:name="P1748"/>
          <w:bookmarkEnd w:id="1748"/>
          <w:p>
            <w:pPr>
              <w:pStyle w:val="0"/>
            </w:pPr>
            <w:r>
              <w:rPr>
                <w:sz w:val="24"/>
              </w:rPr>
              <w:t xml:space="preserve">25</w:t>
            </w:r>
          </w:p>
        </w:tc>
        <w:tc>
          <w:tcPr>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nfo-dic:Primechanie</w:t>
            </w:r>
          </w:p>
        </w:tc>
      </w:tr>
      <w:tr>
        <w:tc>
          <w:tcPr>
            <w:tcW w:w="907" w:type="dxa"/>
          </w:tcPr>
          <w:p>
            <w:pPr>
              <w:pStyle w:val="0"/>
            </w:pPr>
            <w:r>
              <w:rPr>
                <w:sz w:val="24"/>
              </w:rPr>
              <w:t xml:space="preserve">25.1</w:t>
            </w:r>
          </w:p>
        </w:tc>
        <w:tc>
          <w:tcPr>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25.2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w:t>
            </w:r>
          </w:p>
        </w:tc>
        <w:tc>
          <w:tcPr>
            <w:tcW w:w="2948" w:type="dxa"/>
          </w:tcPr>
          <w:p>
            <w:pPr>
              <w:pStyle w:val="0"/>
            </w:pPr>
            <w:r>
              <w:rPr>
                <w:sz w:val="24"/>
              </w:rPr>
              <w:t xml:space="preserve">dim-int:ID_Affilirovannogo_LiczaTaxis</w:t>
            </w:r>
          </w:p>
        </w:tc>
      </w:tr>
      <w:tr>
        <w:tc>
          <w:tcPr>
            <w:tcW w:w="907" w:type="dxa"/>
          </w:tcPr>
          <w:bookmarkStart w:id="1760" w:name="P1760"/>
          <w:bookmarkEnd w:id="1760"/>
          <w:p>
            <w:pPr>
              <w:pStyle w:val="0"/>
            </w:pPr>
            <w:r>
              <w:rPr>
                <w:sz w:val="24"/>
              </w:rPr>
              <w:t xml:space="preserve">26</w:t>
            </w:r>
          </w:p>
        </w:tc>
        <w:tc>
          <w:tcPr>
            <w:tcW w:w="2608" w:type="dxa"/>
          </w:tcPr>
          <w:p>
            <w:pPr>
              <w:pStyle w:val="0"/>
            </w:pPr>
            <w:r>
              <w:rPr>
                <w:sz w:val="24"/>
              </w:rPr>
              <w:t xml:space="preserve">Основание принадлежности лиц к группе лиц, к которой принадлежит отчитывающаяся организация</w:t>
            </w:r>
          </w:p>
        </w:tc>
        <w:tc>
          <w:tcPr>
            <w:tcW w:w="2608" w:type="dxa"/>
          </w:tcPr>
          <w:p>
            <w:pPr>
              <w:pStyle w:val="0"/>
            </w:pPr>
            <w:r>
              <w:rPr>
                <w:sz w:val="24"/>
              </w:rPr>
            </w:r>
          </w:p>
        </w:tc>
        <w:tc>
          <w:tcPr>
            <w:tcW w:w="2948" w:type="dxa"/>
          </w:tcPr>
          <w:p>
            <w:pPr>
              <w:pStyle w:val="0"/>
            </w:pPr>
            <w:r>
              <w:rPr>
                <w:sz w:val="24"/>
              </w:rPr>
              <w:t xml:space="preserve">nfo-dic:Kod_osnov_prinadl_k_gruppe_licz2Enumerator</w:t>
            </w:r>
          </w:p>
        </w:tc>
      </w:tr>
      <w:tr>
        <w:tc>
          <w:tcPr>
            <w:tcW w:w="907" w:type="dxa"/>
          </w:tcPr>
          <w:p>
            <w:pPr>
              <w:pStyle w:val="0"/>
            </w:pPr>
            <w:r>
              <w:rPr>
                <w:sz w:val="24"/>
              </w:rPr>
              <w:t xml:space="preserve">26.1</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 (лицо 1)</w:t>
            </w:r>
          </w:p>
        </w:tc>
        <w:tc>
          <w:tcPr>
            <w:tcW w:w="2948" w:type="dxa"/>
          </w:tcPr>
          <w:p>
            <w:pPr>
              <w:pStyle w:val="0"/>
            </w:pPr>
            <w:r>
              <w:rPr>
                <w:sz w:val="24"/>
              </w:rPr>
              <w:t xml:space="preserve">dim-int:Id_AffilirovannogoliczaTaxis</w:t>
            </w:r>
          </w:p>
        </w:tc>
      </w:tr>
      <w:tr>
        <w:tc>
          <w:tcPr>
            <w:tcW w:w="907" w:type="dxa"/>
          </w:tcPr>
          <w:p>
            <w:pPr>
              <w:pStyle w:val="0"/>
            </w:pPr>
            <w:r>
              <w:rPr>
                <w:sz w:val="24"/>
              </w:rPr>
              <w:t xml:space="preserve">26.2</w:t>
            </w:r>
          </w:p>
        </w:tc>
        <w:tc>
          <w:tcPr>
            <w:tcW w:w="2608" w:type="dxa"/>
          </w:tcPr>
          <w:p>
            <w:pPr>
              <w:pStyle w:val="0"/>
            </w:pPr>
            <w:r>
              <w:rPr>
                <w:sz w:val="24"/>
              </w:rPr>
            </w:r>
          </w:p>
        </w:tc>
        <w:tc>
          <w:tcPr>
            <w:tcW w:w="2608" w:type="dxa"/>
          </w:tcPr>
          <w:p>
            <w:pPr>
              <w:pStyle w:val="0"/>
            </w:pPr>
            <w:r>
              <w:rPr>
                <w:sz w:val="24"/>
              </w:rPr>
              <w:t xml:space="preserve">Идентификатор аффилированного лица (лицо 2)</w:t>
            </w:r>
          </w:p>
        </w:tc>
        <w:tc>
          <w:tcPr>
            <w:tcW w:w="2948" w:type="dxa"/>
          </w:tcPr>
          <w:p>
            <w:pPr>
              <w:pStyle w:val="0"/>
            </w:pPr>
            <w:r>
              <w:rPr>
                <w:sz w:val="24"/>
              </w:rPr>
              <w:t xml:space="preserve">dim-int:IDAFLVzGrLiczTaxis</w:t>
            </w:r>
          </w:p>
        </w:tc>
      </w:tr>
      <w:tr>
        <w:tc>
          <w:tcPr>
            <w:tcW w:w="907" w:type="dxa"/>
          </w:tcPr>
          <w:p>
            <w:pPr>
              <w:pStyle w:val="0"/>
            </w:pPr>
            <w:r>
              <w:rPr>
                <w:sz w:val="24"/>
              </w:rPr>
              <w:t xml:space="preserve">26.3</w:t>
            </w:r>
          </w:p>
        </w:tc>
        <w:tc>
          <w:tcPr>
            <w:tcW w:w="2608" w:type="dxa"/>
          </w:tcPr>
          <w:p>
            <w:pPr>
              <w:pStyle w:val="0"/>
            </w:pPr>
            <w:r>
              <w:rPr>
                <w:sz w:val="24"/>
              </w:rPr>
            </w:r>
          </w:p>
        </w:tc>
        <w:tc>
          <w:tcPr>
            <w:tcW w:w="2608" w:type="dxa"/>
          </w:tcPr>
          <w:p>
            <w:pPr>
              <w:pStyle w:val="0"/>
            </w:pPr>
            <w:r>
              <w:rPr>
                <w:sz w:val="24"/>
              </w:rPr>
              <w:t xml:space="preserve">Идентификатор взаимосвязи между аффилированными лицами</w:t>
            </w:r>
          </w:p>
        </w:tc>
        <w:tc>
          <w:tcPr>
            <w:tcW w:w="2948" w:type="dxa"/>
          </w:tcPr>
          <w:p>
            <w:pPr>
              <w:pStyle w:val="0"/>
            </w:pPr>
            <w:r>
              <w:rPr>
                <w:sz w:val="24"/>
              </w:rPr>
              <w:t xml:space="preserve">dim-int:ID_Osn_Aff_Taxis</w:t>
            </w:r>
          </w:p>
        </w:tc>
      </w:tr>
    </w:tbl>
    <w:p>
      <w:pPr>
        <w:pStyle w:val="0"/>
        <w:ind w:firstLine="540"/>
        <w:jc w:val="both"/>
      </w:pPr>
      <w:r>
        <w:rPr>
          <w:sz w:val="24"/>
        </w:rPr>
      </w:r>
    </w:p>
    <w:p>
      <w:pPr>
        <w:pStyle w:val="0"/>
        <w:ind w:firstLine="540"/>
        <w:jc w:val="both"/>
      </w:pPr>
      <w:r>
        <w:rPr>
          <w:sz w:val="24"/>
        </w:rPr>
        <w:t xml:space="preserve">--------------------------------</w:t>
      </w:r>
    </w:p>
    <w:bookmarkStart w:id="1778" w:name="P1778"/>
    <w:bookmarkEnd w:id="1778"/>
    <w:p>
      <w:pPr>
        <w:pStyle w:val="0"/>
        <w:spacing w:before="240" w:lineRule="auto"/>
        <w:ind w:firstLine="540"/>
        <w:jc w:val="both"/>
      </w:pPr>
      <w:r>
        <w:rPr>
          <w:sz w:val="24"/>
        </w:rPr>
        <w:t xml:space="preserve">&lt;1&gt; Общероссийский </w:t>
      </w:r>
      <w:hyperlink w:history="0" r:id="rId12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0420152 "Отчет об акционерах</w:t>
      </w:r>
    </w:p>
    <w:p>
      <w:pPr>
        <w:pStyle w:val="0"/>
        <w:jc w:val="center"/>
      </w:pPr>
      <w:r>
        <w:rPr>
          <w:sz w:val="24"/>
        </w:rPr>
        <w:t xml:space="preserve">(участниках) и сведения об аффилированных лицах</w:t>
      </w:r>
    </w:p>
    <w:p>
      <w:pPr>
        <w:pStyle w:val="0"/>
        <w:jc w:val="center"/>
      </w:pPr>
      <w:r>
        <w:rPr>
          <w:sz w:val="24"/>
        </w:rPr>
        <w:t xml:space="preserve">страховой организации"</w:t>
      </w:r>
    </w:p>
    <w:p>
      <w:pPr>
        <w:pStyle w:val="0"/>
        <w:ind w:firstLine="540"/>
        <w:jc w:val="both"/>
      </w:pPr>
      <w:r>
        <w:rPr>
          <w:sz w:val="24"/>
        </w:rPr>
      </w:r>
    </w:p>
    <w:p>
      <w:pPr>
        <w:pStyle w:val="0"/>
        <w:ind w:firstLine="540"/>
        <w:jc w:val="both"/>
      </w:pPr>
      <w:r>
        <w:rPr>
          <w:sz w:val="24"/>
        </w:rPr>
        <w:t xml:space="preserve">1. Отчетность по </w:t>
      </w:r>
      <w:hyperlink w:history="0" w:anchor="P1468" w:tooltip="Отчетность по форме 0420152">
        <w:r>
          <w:rPr>
            <w:sz w:val="24"/>
            <w:color w:val="0000ff"/>
          </w:rPr>
          <w:t xml:space="preserve">форме 0420152</w:t>
        </w:r>
      </w:hyperlink>
      <w:r>
        <w:rPr>
          <w:sz w:val="24"/>
        </w:rPr>
        <w:t xml:space="preserve"> "Отчет об акционерах (участниках) и сведения об аффилированных лицах страховой организации" (далее - отчетность по форме 0420152) составляется страховой организацией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 </w:t>
      </w:r>
      <w:hyperlink w:history="0" w:anchor="P54291" w:tooltip="5. Для резидентов указывается идентификационный номер налогоплательщика (далее - ИНН): десятизначный для юридических лиц и двенадцатизначный для физических лиц (в том числе индивидуальных предпринимателей).">
        <w:r>
          <w:rPr>
            <w:sz w:val="24"/>
            <w:color w:val="0000ff"/>
          </w:rPr>
          <w:t xml:space="preserve">5</w:t>
        </w:r>
      </w:hyperlink>
      <w:r>
        <w:rPr>
          <w:sz w:val="24"/>
        </w:rPr>
        <w:t xml:space="preserve">, </w:t>
      </w:r>
      <w:hyperlink w:history="0" w:anchor="P54296" w:tooltip="7. Код страны указывается в соответствии с Общероссийским классификатором стран мира (далее - ОКСМ):">
        <w:r>
          <w:rPr>
            <w:sz w:val="24"/>
            <w:color w:val="0000ff"/>
          </w:rPr>
          <w:t xml:space="preserve">7</w:t>
        </w:r>
      </w:hyperlink>
      <w:r>
        <w:rPr>
          <w:sz w:val="24"/>
        </w:rPr>
        <w:t xml:space="preserve">, </w:t>
      </w:r>
      <w:hyperlink w:history="0" w:anchor="P54302" w:tooltip="8. При указании адресов юридических лиц и физических лиц на территории Российской Федерации используется определенная последовательность написания адреса, соответствующая последовательности адресообразующих элементов в структуре адреса, предусмотренной пунктом 44 Правил присвоения, изменения и аннулирования адресов, утвержденных постановлением Правительства Российской Федерации от 19 ноября 2014 года N 1221. Адресообразующие элементы указываются через символ &quot;,&quot; (запятая) с отступом (пробелом).">
        <w:r>
          <w:rPr>
            <w:sz w:val="24"/>
            <w:color w:val="0000ff"/>
          </w:rPr>
          <w:t xml:space="preserve">8</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 в следующие сроки:</w:t>
      </w:r>
    </w:p>
    <w:p>
      <w:pPr>
        <w:pStyle w:val="0"/>
        <w:spacing w:before="240" w:lineRule="auto"/>
        <w:ind w:firstLine="540"/>
        <w:jc w:val="both"/>
      </w:pPr>
      <w:hyperlink w:history="0" w:anchor="P1493" w:tooltip="Раздел 1. Состав акционеров (участников)">
        <w:r>
          <w:rPr>
            <w:sz w:val="24"/>
            <w:color w:val="0000ff"/>
          </w:rPr>
          <w:t xml:space="preserve">раздел 1</w:t>
        </w:r>
      </w:hyperlink>
      <w:r>
        <w:rPr>
          <w:sz w:val="24"/>
        </w:rPr>
        <w:t xml:space="preserve"> - ежегодно за календарный год (далее - отчетный год) по состоянию на 31 декабря отчетного года включительно;</w:t>
      </w:r>
    </w:p>
    <w:p>
      <w:pPr>
        <w:pStyle w:val="0"/>
        <w:spacing w:before="240" w:lineRule="auto"/>
        <w:ind w:firstLine="540"/>
        <w:jc w:val="both"/>
      </w:pPr>
      <w:hyperlink w:history="0" w:anchor="P1555" w:tooltip="Раздел 2. Сведения об аффилированных лицах">
        <w:r>
          <w:rPr>
            <w:sz w:val="24"/>
            <w:color w:val="0000ff"/>
          </w:rPr>
          <w:t xml:space="preserve">раздел 2</w:t>
        </w:r>
      </w:hyperlink>
      <w:r>
        <w:rPr>
          <w:sz w:val="24"/>
        </w:rPr>
        <w:t xml:space="preserve"> - ежеквартально за I, II, III и IV кварталы (далее - отчетный квартал) по состоянию на последний календарный день отчетного квартала включительно.</w:t>
      </w:r>
    </w:p>
    <w:p>
      <w:pPr>
        <w:pStyle w:val="0"/>
        <w:spacing w:before="240" w:lineRule="auto"/>
        <w:ind w:firstLine="540"/>
        <w:jc w:val="both"/>
      </w:pPr>
      <w:r>
        <w:rPr>
          <w:sz w:val="24"/>
        </w:rPr>
        <w:t xml:space="preserve">2. В случае если страховая организация является дочерним обществом по отношению к иностранному инвестору, полное наименование и код страны регистрации акционера (участника) страховой организации - иностранного инвестора указываются соответственно по показателям "Наименование иностранного инвестора (для страховой организации, являющейся дочерним обществом по отношению к иностранному инвестору)" </w:t>
      </w:r>
      <w:hyperlink w:history="0" w:anchor="P1485" w:tooltip="1">
        <w:r>
          <w:rPr>
            <w:sz w:val="24"/>
            <w:color w:val="0000ff"/>
          </w:rPr>
          <w:t xml:space="preserve">(строка 1)</w:t>
        </w:r>
      </w:hyperlink>
      <w:r>
        <w:rPr>
          <w:sz w:val="24"/>
        </w:rPr>
        <w:t xml:space="preserve"> и "Код страны" </w:t>
      </w:r>
      <w:hyperlink w:history="0" w:anchor="P1489" w:tooltip="2">
        <w:r>
          <w:rPr>
            <w:sz w:val="24"/>
            <w:color w:val="0000ff"/>
          </w:rPr>
          <w:t xml:space="preserve">(строка 2)</w:t>
        </w:r>
      </w:hyperlink>
      <w:r>
        <w:rPr>
          <w:sz w:val="24"/>
        </w:rPr>
        <w:t xml:space="preserve">.</w:t>
      </w:r>
    </w:p>
    <w:p>
      <w:pPr>
        <w:pStyle w:val="0"/>
        <w:spacing w:before="240" w:lineRule="auto"/>
        <w:ind w:firstLine="540"/>
        <w:jc w:val="both"/>
      </w:pPr>
      <w:r>
        <w:rPr>
          <w:sz w:val="24"/>
        </w:rPr>
        <w:t xml:space="preserve">3. По показателям </w:t>
      </w:r>
      <w:hyperlink w:history="0" w:anchor="P1493" w:tooltip="Раздел 1. Состав акционеров (участников)">
        <w:r>
          <w:rPr>
            <w:sz w:val="24"/>
            <w:color w:val="0000ff"/>
          </w:rPr>
          <w:t xml:space="preserve">раздела 1</w:t>
        </w:r>
      </w:hyperlink>
      <w:r>
        <w:rPr>
          <w:sz w:val="24"/>
        </w:rPr>
        <w:t xml:space="preserve"> отчетности по форме 0420152 указываются сведения о составе акционеров (участников) страховой организации на начало и конец отчетного года.</w:t>
      </w:r>
    </w:p>
    <w:p>
      <w:pPr>
        <w:pStyle w:val="0"/>
        <w:spacing w:before="240" w:lineRule="auto"/>
        <w:ind w:firstLine="540"/>
        <w:jc w:val="both"/>
      </w:pPr>
      <w:r>
        <w:rPr>
          <w:sz w:val="24"/>
        </w:rPr>
        <w:t xml:space="preserve">Значения показателей </w:t>
      </w:r>
      <w:hyperlink w:history="0" w:anchor="P1493" w:tooltip="Раздел 1. Состав акционеров (участников)">
        <w:r>
          <w:rPr>
            <w:sz w:val="24"/>
            <w:color w:val="0000ff"/>
          </w:rPr>
          <w:t xml:space="preserve">раздела 1</w:t>
        </w:r>
      </w:hyperlink>
      <w:r>
        <w:rPr>
          <w:sz w:val="24"/>
        </w:rPr>
        <w:t xml:space="preserve"> отчетности по форме 0420152 указываются в разрезе акционеров (участников) страховой организации (по группе аналитических признаков "Идентификатор акционера (участника)", аналитическому признаку "Акционеры (участники), совокупная сумма долей которых в уставном капитале составляет менее 1%" группы аналитических признаков "Тип контрагента") с указанием типа акционера (участника) (по аналитическим признакам группы аналитических признаков "Тип акционера").</w:t>
      </w:r>
    </w:p>
    <w:p>
      <w:pPr>
        <w:pStyle w:val="0"/>
        <w:spacing w:before="240" w:lineRule="auto"/>
        <w:ind w:firstLine="540"/>
        <w:jc w:val="both"/>
      </w:pPr>
      <w:r>
        <w:rPr>
          <w:sz w:val="24"/>
        </w:rPr>
        <w:t xml:space="preserve">Значение идентификатора акционера (участника), указанное по группе аналитических признаков "Идентификатор акционера (участника)",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(далее - отчетность по форме 0420150) по этому акционеру (участнику).</w:t>
      </w:r>
    </w:p>
    <w:p>
      <w:pPr>
        <w:pStyle w:val="0"/>
        <w:spacing w:before="240" w:lineRule="auto"/>
        <w:ind w:firstLine="540"/>
        <w:jc w:val="both"/>
      </w:pPr>
      <w:r>
        <w:rPr>
          <w:sz w:val="24"/>
        </w:rPr>
        <w:t xml:space="preserve">По аналитическим признакам "Резиденты - физические лица" и "Нерезиденты - физические лица" группы аналитических признаков "Тип акционера" также указываются индивидуальные предприниматели.</w:t>
      </w:r>
    </w:p>
    <w:p>
      <w:pPr>
        <w:pStyle w:val="0"/>
        <w:spacing w:before="240" w:lineRule="auto"/>
        <w:ind w:firstLine="540"/>
        <w:jc w:val="both"/>
      </w:pPr>
      <w:r>
        <w:rPr>
          <w:sz w:val="24"/>
        </w:rPr>
        <w:t xml:space="preserve">3.1. По каждому акционеру (участнику) страховой организации данные по показателям "Сумма" </w:t>
      </w:r>
      <w:hyperlink w:history="0" w:anchor="P1494" w:tooltip="3">
        <w:r>
          <w:rPr>
            <w:sz w:val="24"/>
            <w:color w:val="0000ff"/>
          </w:rPr>
          <w:t xml:space="preserve">(строка 3)</w:t>
        </w:r>
      </w:hyperlink>
      <w:r>
        <w:rPr>
          <w:sz w:val="24"/>
        </w:rPr>
        <w:t xml:space="preserve"> и "Доля, %" </w:t>
      </w:r>
      <w:hyperlink w:history="0" w:anchor="P1510" w:tooltip="4">
        <w:r>
          <w:rPr>
            <w:sz w:val="24"/>
            <w:color w:val="0000ff"/>
          </w:rPr>
          <w:t xml:space="preserve">(строка 4)</w:t>
        </w:r>
      </w:hyperlink>
      <w:r>
        <w:rPr>
          <w:sz w:val="24"/>
        </w:rPr>
        <w:t xml:space="preserve"> указываются на начало и конец отчетного года.</w:t>
      </w:r>
    </w:p>
    <w:p>
      <w:pPr>
        <w:pStyle w:val="0"/>
        <w:spacing w:before="240" w:lineRule="auto"/>
        <w:ind w:firstLine="540"/>
        <w:jc w:val="both"/>
      </w:pPr>
      <w:r>
        <w:rPr>
          <w:sz w:val="24"/>
        </w:rPr>
        <w:t xml:space="preserve">Значение показателя "Сумма" </w:t>
      </w:r>
      <w:hyperlink w:history="0" w:anchor="P1494" w:tooltip="3">
        <w:r>
          <w:rPr>
            <w:sz w:val="24"/>
            <w:color w:val="0000ff"/>
          </w:rPr>
          <w:t xml:space="preserve">(строка 3)</w:t>
        </w:r>
      </w:hyperlink>
      <w:r>
        <w:rPr>
          <w:sz w:val="24"/>
        </w:rPr>
        <w:t xml:space="preserve"> на начало отчетного года отчетности по форме 0420152, составленной за отчетный год, должно соответствовать значению показателя "Сумма" </w:t>
      </w:r>
      <w:hyperlink w:history="0" w:anchor="P1494" w:tooltip="3">
        <w:r>
          <w:rPr>
            <w:sz w:val="24"/>
            <w:color w:val="0000ff"/>
          </w:rPr>
          <w:t xml:space="preserve">(строка 3)</w:t>
        </w:r>
      </w:hyperlink>
      <w:r>
        <w:rPr>
          <w:sz w:val="24"/>
        </w:rPr>
        <w:t xml:space="preserve"> на конец года отчетности по форме 0420152, составленной за год, предшествующий отчетному году (по каждому акционеру (участнику) страховой организации). В случае несоответствия значений указанных показателей страховая организация указывает в пояснительной записке, представляемой вместе с отчетностью по форме 0420152, причины указанного несоответствия.</w:t>
      </w:r>
    </w:p>
    <w:p>
      <w:pPr>
        <w:pStyle w:val="0"/>
        <w:spacing w:before="240" w:lineRule="auto"/>
        <w:ind w:firstLine="540"/>
        <w:jc w:val="both"/>
      </w:pPr>
      <w:r>
        <w:rPr>
          <w:sz w:val="24"/>
        </w:rPr>
        <w:t xml:space="preserve">3.2. По показателю "Сумма" </w:t>
      </w:r>
      <w:hyperlink w:history="0" w:anchor="P1494" w:tooltip="3">
        <w:r>
          <w:rPr>
            <w:sz w:val="24"/>
            <w:color w:val="0000ff"/>
          </w:rPr>
          <w:t xml:space="preserve">(строка 3)</w:t>
        </w:r>
      </w:hyperlink>
      <w:r>
        <w:rPr>
          <w:sz w:val="24"/>
        </w:rPr>
        <w:t xml:space="preserve"> указывается доля участия акционера (участника) в уставном капитале страховой организации в абсолютном выражении.</w:t>
      </w:r>
    </w:p>
    <w:p>
      <w:pPr>
        <w:pStyle w:val="0"/>
        <w:spacing w:before="240" w:lineRule="auto"/>
        <w:ind w:firstLine="540"/>
        <w:jc w:val="both"/>
      </w:pPr>
      <w:r>
        <w:rPr>
          <w:sz w:val="24"/>
        </w:rPr>
        <w:t xml:space="preserve">3.3. По показателю "Доля, %" </w:t>
      </w:r>
      <w:hyperlink w:history="0" w:anchor="P1510" w:tooltip="4">
        <w:r>
          <w:rPr>
            <w:sz w:val="24"/>
            <w:color w:val="0000ff"/>
          </w:rPr>
          <w:t xml:space="preserve">(строка 4)</w:t>
        </w:r>
      </w:hyperlink>
      <w:r>
        <w:rPr>
          <w:sz w:val="24"/>
        </w:rPr>
        <w:t xml:space="preserve"> указывается доля участия акционера (участника) в уставном капитале страховой организации в процентах. В целях формирования показателя "Доля, %" </w:t>
      </w:r>
      <w:hyperlink w:history="0" w:anchor="P1510" w:tooltip="4">
        <w:r>
          <w:rPr>
            <w:sz w:val="24"/>
            <w:color w:val="0000ff"/>
          </w:rPr>
          <w:t xml:space="preserve">(строка 4)</w:t>
        </w:r>
      </w:hyperlink>
      <w:r>
        <w:rPr>
          <w:sz w:val="24"/>
        </w:rPr>
        <w:t xml:space="preserve"> доля участия акционера (участника) в уставном капитале страховой организации рассчитывается как отношение доли участия этого акционера (участника), отраженной по показателю "Сумма" </w:t>
      </w:r>
      <w:hyperlink w:history="0" w:anchor="P1494" w:tooltip="3">
        <w:r>
          <w:rPr>
            <w:sz w:val="24"/>
            <w:color w:val="0000ff"/>
          </w:rPr>
          <w:t xml:space="preserve">(строка 3)</w:t>
        </w:r>
      </w:hyperlink>
      <w:r>
        <w:rPr>
          <w:sz w:val="24"/>
        </w:rPr>
        <w:t xml:space="preserve">, к размеру уставного капитала страховой организации, отраженному по показателю "Уставный капитал в соответствии с уставом" </w:t>
      </w:r>
      <w:hyperlink w:history="0" w:anchor="P1543" w:tooltip="6">
        <w:r>
          <w:rPr>
            <w:sz w:val="24"/>
            <w:color w:val="0000ff"/>
          </w:rPr>
          <w:t xml:space="preserve">(строка 6)</w:t>
        </w:r>
      </w:hyperlink>
      <w:r>
        <w:rPr>
          <w:sz w:val="24"/>
        </w:rPr>
        <w:t xml:space="preserve">, умноженное на 100 процентов.</w:t>
      </w:r>
    </w:p>
    <w:p>
      <w:pPr>
        <w:pStyle w:val="0"/>
        <w:spacing w:before="240" w:lineRule="auto"/>
        <w:ind w:firstLine="540"/>
        <w:jc w:val="both"/>
      </w:pPr>
      <w:r>
        <w:rPr>
          <w:sz w:val="24"/>
        </w:rPr>
        <w:t xml:space="preserve">3.4. Сведения об акционерах (участниках) страховой организации, совокупная сумма долей которых в ее уставном капитале составляет менее одного процента (отдельно по каждому типу акционеров (участников), по решению страховой организации могут быть отражены общими суммами по аналитическому признаку "Акционеры (участники), совокупная сумма долей которых в уставном капитале составляет менее 1%" группы аналитических признаков "Тип контрагента".</w:t>
      </w:r>
    </w:p>
    <w:p>
      <w:pPr>
        <w:pStyle w:val="0"/>
        <w:spacing w:before="240" w:lineRule="auto"/>
        <w:ind w:firstLine="540"/>
        <w:jc w:val="both"/>
      </w:pPr>
      <w:r>
        <w:rPr>
          <w:sz w:val="24"/>
        </w:rPr>
        <w:t xml:space="preserve">3.5. В случае если акции страховой организации, являющейся акционерным обществом, зарегистрированы в реестре акционеров страховой организации, ведение и хранение которого обязана обеспечить страховая организация в соответствии с </w:t>
      </w:r>
      <w:hyperlink w:history="0" r:id="rId122"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пунктом 1 статьи 44</w:t>
        </w:r>
      </w:hyperlink>
      <w:r>
        <w:rPr>
          <w:sz w:val="24"/>
        </w:rPr>
        <w:t xml:space="preserve"> Федерального закона от 26 декабря 1995 года N 208-ФЗ "Об акционерных обществах", на лицо, являющееся номинальным держателем акций такой страховой организации, и в случае, если страховая организация не располагает информацией о владельцах акций, по группе аналитических признаков "Идентификатор акционера (участника)" указывается идентификатор контрагента, присвоенный лицу, являющемуся номинальным держателем акций такой страховой организации. При этом по показателю "Примечание" </w:t>
      </w:r>
      <w:hyperlink w:history="0" w:anchor="P1526" w:tooltip="5">
        <w:r>
          <w:rPr>
            <w:sz w:val="24"/>
            <w:color w:val="0000ff"/>
          </w:rPr>
          <w:t xml:space="preserve">(строка 5)</w:t>
        </w:r>
      </w:hyperlink>
      <w:r>
        <w:rPr>
          <w:sz w:val="24"/>
        </w:rPr>
        <w:t xml:space="preserve"> указывается значение "Номинальный держатель".</w:t>
      </w:r>
    </w:p>
    <w:p>
      <w:pPr>
        <w:pStyle w:val="0"/>
        <w:spacing w:before="240" w:lineRule="auto"/>
        <w:ind w:firstLine="540"/>
        <w:jc w:val="both"/>
      </w:pPr>
      <w:r>
        <w:rPr>
          <w:sz w:val="24"/>
        </w:rPr>
        <w:t xml:space="preserve">В случае если страховая организация, являющаяся акционерным обществом, располагает информацией о владельцах своих акций, по показателям </w:t>
      </w:r>
      <w:hyperlink w:history="0" w:anchor="P1493" w:tooltip="Раздел 1. Состав акционеров (участников)">
        <w:r>
          <w:rPr>
            <w:sz w:val="24"/>
            <w:color w:val="0000ff"/>
          </w:rPr>
          <w:t xml:space="preserve">раздела 1</w:t>
        </w:r>
      </w:hyperlink>
      <w:r>
        <w:rPr>
          <w:sz w:val="24"/>
        </w:rPr>
        <w:t xml:space="preserve"> отчетности по форме 0420152 указываются сведения о них. При этом по показателю "Примечание" </w:t>
      </w:r>
      <w:hyperlink w:history="0" w:anchor="P1526" w:tooltip="5">
        <w:r>
          <w:rPr>
            <w:sz w:val="24"/>
            <w:color w:val="0000ff"/>
          </w:rPr>
          <w:t xml:space="preserve">(строка 5)</w:t>
        </w:r>
      </w:hyperlink>
      <w:r>
        <w:rPr>
          <w:sz w:val="24"/>
        </w:rPr>
        <w:t xml:space="preserve"> указываются сведения о номинальном держателе акций страховой организации (полное наименование, идентификационный номер налогоплательщика (для резидентов), идентификационный номер налогоплательщика в стране регистрации (Tax Identification Number) или его аналог (для нерезидентов), адрес номинального держателя в пределах места нахождения номинального держателя).</w:t>
      </w:r>
    </w:p>
    <w:p>
      <w:pPr>
        <w:pStyle w:val="0"/>
        <w:spacing w:before="240" w:lineRule="auto"/>
        <w:ind w:firstLine="540"/>
        <w:jc w:val="both"/>
      </w:pPr>
      <w:r>
        <w:rPr>
          <w:sz w:val="24"/>
        </w:rPr>
        <w:t xml:space="preserve">По показателю "Примечание" </w:t>
      </w:r>
      <w:hyperlink w:history="0" w:anchor="P1526" w:tooltip="5">
        <w:r>
          <w:rPr>
            <w:sz w:val="24"/>
            <w:color w:val="0000ff"/>
          </w:rPr>
          <w:t xml:space="preserve">(строка 5)</w:t>
        </w:r>
      </w:hyperlink>
      <w:r>
        <w:rPr>
          <w:sz w:val="24"/>
        </w:rPr>
        <w:t xml:space="preserve"> указывается также иная информация (при наличии), являющаяся по решению страховой организации существенной.</w:t>
      </w:r>
    </w:p>
    <w:p>
      <w:pPr>
        <w:pStyle w:val="0"/>
        <w:spacing w:before="240" w:lineRule="auto"/>
        <w:ind w:firstLine="540"/>
        <w:jc w:val="both"/>
      </w:pPr>
      <w:r>
        <w:rPr>
          <w:sz w:val="24"/>
        </w:rPr>
        <w:t xml:space="preserve">4. По показателям справки об уставном капитале отчетности по </w:t>
      </w:r>
      <w:hyperlink w:history="0" w:anchor="P1468" w:tooltip="Отчетность по форме 0420152">
        <w:r>
          <w:rPr>
            <w:sz w:val="24"/>
            <w:color w:val="0000ff"/>
          </w:rPr>
          <w:t xml:space="preserve">форме 0420152</w:t>
        </w:r>
      </w:hyperlink>
      <w:r>
        <w:rPr>
          <w:sz w:val="24"/>
        </w:rPr>
        <w:t xml:space="preserve"> (далее - справка об уставном капитале) данные указываются на начало и конец отчетного года.</w:t>
      </w:r>
    </w:p>
    <w:p>
      <w:pPr>
        <w:pStyle w:val="0"/>
        <w:spacing w:before="240" w:lineRule="auto"/>
        <w:ind w:firstLine="540"/>
        <w:jc w:val="both"/>
      </w:pPr>
      <w:r>
        <w:rPr>
          <w:sz w:val="24"/>
        </w:rPr>
        <w:t xml:space="preserve">Значения показателей справки об уставном капитале на начало отчетного года отчетности по </w:t>
      </w:r>
      <w:hyperlink w:history="0" w:anchor="P1468" w:tooltip="Отчетность по форме 0420152">
        <w:r>
          <w:rPr>
            <w:sz w:val="24"/>
            <w:color w:val="0000ff"/>
          </w:rPr>
          <w:t xml:space="preserve">форме 0420152</w:t>
        </w:r>
      </w:hyperlink>
      <w:r>
        <w:rPr>
          <w:sz w:val="24"/>
        </w:rPr>
        <w:t xml:space="preserve">, составленной за отчетный год, должны соответствовать значениям показателей справки об уставном капитале на конец года отчетности по </w:t>
      </w:r>
      <w:hyperlink w:history="0" w:anchor="P1468" w:tooltip="Отчетность по форме 0420152">
        <w:r>
          <w:rPr>
            <w:sz w:val="24"/>
            <w:color w:val="0000ff"/>
          </w:rPr>
          <w:t xml:space="preserve">форме 0420152</w:t>
        </w:r>
      </w:hyperlink>
      <w:r>
        <w:rPr>
          <w:sz w:val="24"/>
        </w:rPr>
        <w:t xml:space="preserve">, составленной за год, предшествующий отчетному году. В случае несоответствия значений указанных показателей страховая организация указывает в пояснительной записке, представляемой вместе с отчетностью по </w:t>
      </w:r>
      <w:hyperlink w:history="0" w:anchor="P1468" w:tooltip="Отчетность по форме 0420152">
        <w:r>
          <w:rPr>
            <w:sz w:val="24"/>
            <w:color w:val="0000ff"/>
          </w:rPr>
          <w:t xml:space="preserve">форме 0420152</w:t>
        </w:r>
      </w:hyperlink>
      <w:r>
        <w:rPr>
          <w:sz w:val="24"/>
        </w:rPr>
        <w:t xml:space="preserve">, причины указанного несоответствия.</w:t>
      </w:r>
    </w:p>
    <w:p>
      <w:pPr>
        <w:pStyle w:val="0"/>
        <w:spacing w:before="240" w:lineRule="auto"/>
        <w:ind w:firstLine="540"/>
        <w:jc w:val="both"/>
      </w:pPr>
      <w:r>
        <w:rPr>
          <w:sz w:val="24"/>
        </w:rPr>
        <w:t xml:space="preserve">Разность показателей "Уставный капитал в соответствии с уставом" </w:t>
      </w:r>
      <w:hyperlink w:history="0" w:anchor="P1543" w:tooltip="6">
        <w:r>
          <w:rPr>
            <w:sz w:val="24"/>
            <w:color w:val="0000ff"/>
          </w:rPr>
          <w:t xml:space="preserve">(строка 6)</w:t>
        </w:r>
      </w:hyperlink>
      <w:r>
        <w:rPr>
          <w:sz w:val="24"/>
        </w:rPr>
        <w:t xml:space="preserve"> и "Собственные акции (доли), выкупленные у акционеров (участников), по номинальной стоимости" </w:t>
      </w:r>
      <w:hyperlink w:history="0" w:anchor="P1547" w:tooltip="7">
        <w:r>
          <w:rPr>
            <w:sz w:val="24"/>
            <w:color w:val="0000ff"/>
          </w:rPr>
          <w:t xml:space="preserve">(строка 7)</w:t>
        </w:r>
      </w:hyperlink>
      <w:r>
        <w:rPr>
          <w:sz w:val="24"/>
        </w:rPr>
        <w:t xml:space="preserve"> должна равняться сумме данных по показателю "Сумма" </w:t>
      </w:r>
      <w:hyperlink w:history="0" w:anchor="P1494" w:tooltip="3">
        <w:r>
          <w:rPr>
            <w:sz w:val="24"/>
            <w:color w:val="0000ff"/>
          </w:rPr>
          <w:t xml:space="preserve">(строка 3)</w:t>
        </w:r>
      </w:hyperlink>
      <w:r>
        <w:rPr>
          <w:sz w:val="24"/>
        </w:rPr>
        <w:t xml:space="preserve"> (по всем акционерам (участникам) страховой организации).</w:t>
      </w:r>
    </w:p>
    <w:p>
      <w:pPr>
        <w:pStyle w:val="0"/>
        <w:spacing w:before="240" w:lineRule="auto"/>
        <w:ind w:firstLine="540"/>
        <w:jc w:val="both"/>
      </w:pPr>
      <w:r>
        <w:rPr>
          <w:sz w:val="24"/>
        </w:rPr>
        <w:t xml:space="preserve">4.1. По показателю "Уставный капитал в соответствии с уставом" </w:t>
      </w:r>
      <w:hyperlink w:history="0" w:anchor="P1543" w:tooltip="6">
        <w:r>
          <w:rPr>
            <w:sz w:val="24"/>
            <w:color w:val="0000ff"/>
          </w:rPr>
          <w:t xml:space="preserve">(строка 6)</w:t>
        </w:r>
      </w:hyperlink>
      <w:r>
        <w:rPr>
          <w:sz w:val="24"/>
        </w:rPr>
        <w:t xml:space="preserve"> указывается размер уставного капитала страховой организации, отраженный в едином государственном реестре юридических лиц.</w:t>
      </w:r>
    </w:p>
    <w:p>
      <w:pPr>
        <w:pStyle w:val="0"/>
        <w:spacing w:before="240" w:lineRule="auto"/>
        <w:ind w:firstLine="540"/>
        <w:jc w:val="both"/>
      </w:pPr>
      <w:r>
        <w:rPr>
          <w:sz w:val="24"/>
        </w:rPr>
        <w:t xml:space="preserve">4.2. По показателю "Собственные акции (доли), выкупленные у акционеров (участников), по номинальной стоимости" </w:t>
      </w:r>
      <w:hyperlink w:history="0" w:anchor="P1547" w:tooltip="7">
        <w:r>
          <w:rPr>
            <w:sz w:val="24"/>
            <w:color w:val="0000ff"/>
          </w:rPr>
          <w:t xml:space="preserve">(строка 7)</w:t>
        </w:r>
      </w:hyperlink>
      <w:r>
        <w:rPr>
          <w:sz w:val="24"/>
        </w:rPr>
        <w:t xml:space="preserve"> указывается номинальная стоимость собственных акций (долей), выкупленных страховой организацией у акционеров (участников).</w:t>
      </w:r>
    </w:p>
    <w:p>
      <w:pPr>
        <w:pStyle w:val="0"/>
        <w:spacing w:before="240" w:lineRule="auto"/>
        <w:ind w:firstLine="540"/>
        <w:jc w:val="both"/>
      </w:pPr>
      <w:r>
        <w:rPr>
          <w:sz w:val="24"/>
        </w:rPr>
        <w:t xml:space="preserve">4.3. По показателю "Задолженность акционеров (участников) по взносам в уставный капитал" </w:t>
      </w:r>
      <w:hyperlink w:history="0" w:anchor="P1551" w:tooltip="8">
        <w:r>
          <w:rPr>
            <w:sz w:val="24"/>
            <w:color w:val="0000ff"/>
          </w:rPr>
          <w:t xml:space="preserve">(строка 8)</w:t>
        </w:r>
      </w:hyperlink>
      <w:r>
        <w:rPr>
          <w:sz w:val="24"/>
        </w:rPr>
        <w:t xml:space="preserve"> указывается сумма задолженности акционеров (участников) страховой организации по взносам в уставный капитал страховой организации.</w:t>
      </w:r>
    </w:p>
    <w:p>
      <w:pPr>
        <w:pStyle w:val="0"/>
        <w:spacing w:before="240" w:lineRule="auto"/>
        <w:ind w:firstLine="540"/>
        <w:jc w:val="both"/>
      </w:pPr>
      <w:r>
        <w:rPr>
          <w:sz w:val="24"/>
        </w:rPr>
        <w:t xml:space="preserve">5. По показателям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указываются сведения обо всех физических лицах и (или) юридических лицах, являющихся аффилированными лицами страховой организации в соответствии с основанием (основаниями), указанными в </w:t>
      </w:r>
      <w:hyperlink w:history="0" r:id="rId123" w:tooltip="Закон РСФСР от 22.03.1991 N 948-1 (ред. от 31.07.2025) &quot;О конкуренции и ограничении монополистической деятельности на товарных рынках&quot; {КонсультантПлюс}">
        <w:r>
          <w:rPr>
            <w:sz w:val="24"/>
            <w:color w:val="0000ff"/>
          </w:rPr>
          <w:t xml:space="preserve">статье 4</w:t>
        </w:r>
      </w:hyperlink>
      <w:r>
        <w:rPr>
          <w:sz w:val="24"/>
        </w:rPr>
        <w:t xml:space="preserve"> Закона РСФСР от 22 марта 1991 года N 948-I "О конкуренции и ограничении монополистической деятельности на товарных рынках" (далее - основание аффилированности), на конец отчетного квартала, а также о лицах, которые в отчетном квартале перестали являться аффилированными лицами страховой организации (далее при совместном упоминании - аффилированные лица).</w:t>
      </w:r>
    </w:p>
    <w:p>
      <w:pPr>
        <w:pStyle w:val="0"/>
        <w:spacing w:before="240" w:lineRule="auto"/>
        <w:ind w:firstLine="540"/>
        <w:jc w:val="both"/>
      </w:pPr>
      <w:r>
        <w:rPr>
          <w:sz w:val="24"/>
        </w:rPr>
        <w:t xml:space="preserve">Значения показателей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за исключением показателя "Основание принадлежности лиц к группе лиц, к которой принадлежит отчитывающаяся организация" </w:t>
      </w:r>
      <w:hyperlink w:history="0" w:anchor="P1760" w:tooltip="26">
        <w:r>
          <w:rPr>
            <w:sz w:val="24"/>
            <w:color w:val="0000ff"/>
          </w:rPr>
          <w:t xml:space="preserve">(строка 26)</w:t>
        </w:r>
      </w:hyperlink>
      <w:r>
        <w:rPr>
          <w:sz w:val="24"/>
        </w:rPr>
        <w:t xml:space="preserve">, указываются в разрезе аффилированных лиц (по группе аналитических признаков "Идентификатор аффилированного лица"), а также в разрезе аналитического признака "Страховая организация" группы аналитических признаков "Вид деятельности".</w:t>
      </w:r>
    </w:p>
    <w:p>
      <w:pPr>
        <w:pStyle w:val="0"/>
        <w:spacing w:before="240" w:lineRule="auto"/>
        <w:ind w:firstLine="540"/>
        <w:jc w:val="both"/>
      </w:pPr>
      <w:r>
        <w:rPr>
          <w:sz w:val="24"/>
        </w:rPr>
        <w:t xml:space="preserve">Значение показателя "Основание принадлежности лиц к группе лиц, к которой принадлежит отчитывающаяся организация" </w:t>
      </w:r>
      <w:hyperlink w:history="0" w:anchor="P1760" w:tooltip="26">
        <w:r>
          <w:rPr>
            <w:sz w:val="24"/>
            <w:color w:val="0000ff"/>
          </w:rPr>
          <w:t xml:space="preserve">(строка 26)</w:t>
        </w:r>
      </w:hyperlink>
      <w:r>
        <w:rPr>
          <w:sz w:val="24"/>
        </w:rPr>
        <w:t xml:space="preserve"> указывается в разрезе аффилированных лиц, принадлежащих к группе лиц, определяемой на основании признаков, установленных </w:t>
      </w:r>
      <w:hyperlink w:history="0" r:id="rId12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частью 1 статьи 9</w:t>
        </w:r>
      </w:hyperlink>
      <w:r>
        <w:rPr>
          <w:sz w:val="24"/>
        </w:rPr>
        <w:t xml:space="preserve"> Федерального закона от 26 июля 2006 года N 135-ФЗ "О защите конкуренции" (далее соответственно - Федеральный закон N 135-ФЗ, группа лиц), к которой принадлежит страховая организация (по группам аналитических признаков "Идентификатор аффилированного лица (лицо 1)", "Идентификатор аффилированного лица (лицо 2)"), с указанием взаимосвязи в группе лиц, к которой принадлежит страховая организация (по группе аналитических признаков "Идентификатор взаимосвязи между аффилированными лицами").</w:t>
      </w:r>
    </w:p>
    <w:p>
      <w:pPr>
        <w:pStyle w:val="0"/>
        <w:spacing w:before="240" w:lineRule="auto"/>
        <w:ind w:firstLine="540"/>
        <w:jc w:val="both"/>
      </w:pPr>
      <w:r>
        <w:rPr>
          <w:sz w:val="24"/>
        </w:rPr>
        <w:t xml:space="preserve">По группам аналитических признаков "Идентификатор аффилированного лица", "Идентификатор аффилированного лица (лицо 1)", "Идентификатор аффилированного лица (лицо 2)" указывается самостоятельно присваиваемый страховой организацией индивидуальный код аффилированного лица страховой организации, значение которого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аффилированному лицу (далее - индивидуальный код аффилированного лица).</w:t>
      </w:r>
    </w:p>
    <w:p>
      <w:pPr>
        <w:pStyle w:val="0"/>
        <w:spacing w:before="240" w:lineRule="auto"/>
        <w:ind w:firstLine="540"/>
        <w:jc w:val="both"/>
      </w:pPr>
      <w:r>
        <w:rPr>
          <w:sz w:val="24"/>
        </w:rPr>
        <w:t xml:space="preserve">В случае если физическое или юридическое лицо перестало являться аффилированным лицом в отчетном квартале, индивидуальный код аффилированного лица не используется для отражения информации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по иному аффилированному лицу страховой организации.</w:t>
      </w:r>
    </w:p>
    <w:p>
      <w:pPr>
        <w:pStyle w:val="0"/>
        <w:spacing w:before="240" w:lineRule="auto"/>
        <w:ind w:firstLine="540"/>
        <w:jc w:val="both"/>
      </w:pPr>
      <w:r>
        <w:rPr>
          <w:sz w:val="24"/>
        </w:rPr>
        <w:t xml:space="preserve">5.1. В случае если физическое лицо является членом совета директоров (наблюдательного совета) страховой организации, по показателю "А1-1" </w:t>
      </w:r>
      <w:hyperlink w:history="0" w:anchor="P1556" w:tooltip="9">
        <w:r>
          <w:rPr>
            <w:sz w:val="24"/>
            <w:color w:val="0000ff"/>
          </w:rPr>
          <w:t xml:space="preserve">(строка 9)</w:t>
        </w:r>
      </w:hyperlink>
      <w:r>
        <w:rPr>
          <w:sz w:val="24"/>
        </w:rPr>
        <w:t xml:space="preserve"> указывается значение "Да", по показателю "Дата наступления основания А1-1" </w:t>
      </w:r>
      <w:hyperlink w:history="0" w:anchor="P1568" w:tooltip="10">
        <w:r>
          <w:rPr>
            <w:sz w:val="24"/>
            <w:color w:val="0000ff"/>
          </w:rPr>
          <w:t xml:space="preserve">(строка 10)</w:t>
        </w:r>
      </w:hyperlink>
      <w:r>
        <w:rPr>
          <w:sz w:val="24"/>
        </w:rPr>
        <w:t xml:space="preserve"> - дата наступления основания аффилированности, не превышающая дату окончания отчетного квартала.</w:t>
      </w:r>
    </w:p>
    <w:p>
      <w:pPr>
        <w:pStyle w:val="0"/>
        <w:spacing w:before="240" w:lineRule="auto"/>
        <w:ind w:firstLine="540"/>
        <w:jc w:val="both"/>
      </w:pPr>
      <w:r>
        <w:rPr>
          <w:sz w:val="24"/>
        </w:rPr>
        <w:t xml:space="preserve">5.2. В случае если физическое лицо является членом коллегиального исполнительного органа страховой организации, по показателю "А1-2" </w:t>
      </w:r>
      <w:hyperlink w:history="0" w:anchor="P1580" w:tooltip="11">
        <w:r>
          <w:rPr>
            <w:sz w:val="24"/>
            <w:color w:val="0000ff"/>
          </w:rPr>
          <w:t xml:space="preserve">(строка 11)</w:t>
        </w:r>
      </w:hyperlink>
      <w:r>
        <w:rPr>
          <w:sz w:val="24"/>
        </w:rPr>
        <w:t xml:space="preserve"> указывается значение "Да", по показателю "Дата наступления основания А1-2" </w:t>
      </w:r>
      <w:hyperlink w:history="0" w:anchor="P1592" w:tooltip="12">
        <w:r>
          <w:rPr>
            <w:sz w:val="24"/>
            <w:color w:val="0000ff"/>
          </w:rPr>
          <w:t xml:space="preserve">(строка 12)</w:t>
        </w:r>
      </w:hyperlink>
      <w:r>
        <w:rPr>
          <w:sz w:val="24"/>
        </w:rPr>
        <w:t xml:space="preserve"> - дата наступления основания аффилированности, не превышающая дату окончания отчетного квартала.</w:t>
      </w:r>
    </w:p>
    <w:p>
      <w:pPr>
        <w:pStyle w:val="0"/>
        <w:spacing w:before="240" w:lineRule="auto"/>
        <w:ind w:firstLine="540"/>
        <w:jc w:val="both"/>
      </w:pPr>
      <w:r>
        <w:rPr>
          <w:sz w:val="24"/>
        </w:rPr>
        <w:t xml:space="preserve">5.3. В случае если физическое лицо является лицом, осуществляющим полномочия единоличного исполнительного органа страховой организации, по показателю "А1-3" </w:t>
      </w:r>
      <w:hyperlink w:history="0" w:anchor="P1604" w:tooltip="13">
        <w:r>
          <w:rPr>
            <w:sz w:val="24"/>
            <w:color w:val="0000ff"/>
          </w:rPr>
          <w:t xml:space="preserve">(строка 13)</w:t>
        </w:r>
      </w:hyperlink>
      <w:r>
        <w:rPr>
          <w:sz w:val="24"/>
        </w:rPr>
        <w:t xml:space="preserve"> указывается значение "Да", по показателю "Дата наступления основания А1-3" </w:t>
      </w:r>
      <w:hyperlink w:history="0" w:anchor="P1616" w:tooltip="14">
        <w:r>
          <w:rPr>
            <w:sz w:val="24"/>
            <w:color w:val="0000ff"/>
          </w:rPr>
          <w:t xml:space="preserve">(строка 14)</w:t>
        </w:r>
      </w:hyperlink>
      <w:r>
        <w:rPr>
          <w:sz w:val="24"/>
        </w:rPr>
        <w:t xml:space="preserve"> - дата наступления основания аффилированности, не превышающая дату окончания отчетного квартала.</w:t>
      </w:r>
    </w:p>
    <w:p>
      <w:pPr>
        <w:pStyle w:val="0"/>
        <w:spacing w:before="240" w:lineRule="auto"/>
        <w:ind w:firstLine="540"/>
        <w:jc w:val="both"/>
      </w:pPr>
      <w:r>
        <w:rPr>
          <w:sz w:val="24"/>
        </w:rPr>
        <w:t xml:space="preserve">5.4. В случае если физическое лицо или юридическое лицо принадлежит к группе лиц, к которой принадлежит страховая организация, по показателю "А2" </w:t>
      </w:r>
      <w:hyperlink w:history="0" w:anchor="P1628" w:tooltip="15">
        <w:r>
          <w:rPr>
            <w:sz w:val="24"/>
            <w:color w:val="0000ff"/>
          </w:rPr>
          <w:t xml:space="preserve">(строка 15)</w:t>
        </w:r>
      </w:hyperlink>
      <w:r>
        <w:rPr>
          <w:sz w:val="24"/>
        </w:rPr>
        <w:t xml:space="preserve"> указывается значение "Да", по показателю "Дата наступления основания А2" </w:t>
      </w:r>
      <w:hyperlink w:history="0" w:anchor="P1640" w:tooltip="16">
        <w:r>
          <w:rPr>
            <w:sz w:val="24"/>
            <w:color w:val="0000ff"/>
          </w:rPr>
          <w:t xml:space="preserve">(строка 16)</w:t>
        </w:r>
      </w:hyperlink>
      <w:r>
        <w:rPr>
          <w:sz w:val="24"/>
        </w:rPr>
        <w:t xml:space="preserve"> - дата наступления основания аффилированности, не превышающая дату окончания отчетного квартала, по показателю "Основание принадлежности лиц к группе лиц, к которой принадлежит отчитывающаяся организация" </w:t>
      </w:r>
      <w:hyperlink w:history="0" w:anchor="P1760" w:tooltip="26">
        <w:r>
          <w:rPr>
            <w:sz w:val="24"/>
            <w:color w:val="0000ff"/>
          </w:rPr>
          <w:t xml:space="preserve">(строка 26)</w:t>
        </w:r>
      </w:hyperlink>
      <w:r>
        <w:rPr>
          <w:sz w:val="24"/>
        </w:rPr>
        <w:t xml:space="preserve"> - информация, предусмотренная </w:t>
      </w:r>
      <w:hyperlink w:history="0" w:anchor="P1829" w:tooltip="5.12. По показателю &quot;Основание принадлежности лиц к группе лиц, к которой принадлежит отчитывающаяся организация&quot; (строка 26) указываются следующие коды оснований принадлежности аффилированных лиц, индивидуальные коды которых указаны по группам аналитических признаков &quot;Идентификатор аффилированного лица (лицо 1)&quot; и &quot;Идентификатор аффилированного лица (лицо 2)&quot;, к группе лиц, к которой принадлежит страховая организация, соответствующих хотя бы одному признаку, указанному в части 1 статьи 9 Федерального за...">
        <w:r>
          <w:rPr>
            <w:sz w:val="24"/>
            <w:color w:val="0000ff"/>
          </w:rPr>
          <w:t xml:space="preserve">подпунктом 5.12</w:t>
        </w:r>
      </w:hyperlink>
      <w:r>
        <w:rPr>
          <w:sz w:val="24"/>
        </w:rPr>
        <w:t xml:space="preserve"> настоящего пункта.</w:t>
      </w:r>
    </w:p>
    <w:p>
      <w:pPr>
        <w:pStyle w:val="0"/>
        <w:spacing w:before="240" w:lineRule="auto"/>
        <w:ind w:firstLine="540"/>
        <w:jc w:val="both"/>
      </w:pPr>
      <w:r>
        <w:rPr>
          <w:sz w:val="24"/>
        </w:rPr>
        <w:t xml:space="preserve">По показателю "Регистрационный номер кредитной организации, принадлежащей к группе лиц с отчитывающейся организацией" </w:t>
      </w:r>
      <w:hyperlink w:history="0" w:anchor="P1652" w:tooltip="17">
        <w:r>
          <w:rPr>
            <w:sz w:val="24"/>
            <w:color w:val="0000ff"/>
          </w:rPr>
          <w:t xml:space="preserve">(строка 17)</w:t>
        </w:r>
      </w:hyperlink>
      <w:r>
        <w:rPr>
          <w:sz w:val="24"/>
        </w:rPr>
        <w:t xml:space="preserve"> указывается регистрационный номер кредитной организации в соответствии с Книгой государственной регистрации кредитных организаций, которая ведется Банком России в соответствии с </w:t>
      </w:r>
      <w:hyperlink w:history="0" r:id="rId125" w:tooltip="Федеральный закон от 02.12.1990 N 395-1 (ред. от 28.11.2025) &quot;О банках и банковской деятельности&quot; (с изм. и доп., вступ. в силу с 01.01.2026) {КонсультантПлюс}">
        <w:r>
          <w:rPr>
            <w:sz w:val="24"/>
            <w:color w:val="0000ff"/>
          </w:rPr>
          <w:t xml:space="preserve">частью третьей статьи 12</w:t>
        </w:r>
      </w:hyperlink>
      <w:r>
        <w:rPr>
          <w:sz w:val="24"/>
        </w:rPr>
        <w:t xml:space="preserve"> Федерального закона "О банках и банковской деятельности" (в редакции Федерального закона от 3 февраля 1996 года N 17-ФЗ), если аффилированное лицо является действующей на конец отчетного квартала кредитной организацией, которая относится к группе лиц, к которой принадлежит страховая организация. При этом страховая организация не отражает в </w:t>
      </w:r>
      <w:hyperlink w:history="0" w:anchor="P1555" w:tooltip="Раздел 2. Сведения об аффилированных лицах">
        <w:r>
          <w:rPr>
            <w:sz w:val="24"/>
            <w:color w:val="0000ff"/>
          </w:rPr>
          <w:t xml:space="preserve">разделе 2</w:t>
        </w:r>
      </w:hyperlink>
      <w:r>
        <w:rPr>
          <w:sz w:val="24"/>
        </w:rPr>
        <w:t xml:space="preserve"> отчетности по форме 0420152 сведения об иных аффилированных лицах, принадлежащих к группе лиц, к которой принадлежат страховая организация и указанная кредитная организация, включая сведения об основаниях принадлежности иных аффилированных лиц к группе лиц, к которой принадлежат страховая организация и указанная кредитная организация.</w:t>
      </w:r>
    </w:p>
    <w:p>
      <w:pPr>
        <w:pStyle w:val="0"/>
        <w:spacing w:before="240" w:lineRule="auto"/>
        <w:ind w:firstLine="540"/>
        <w:jc w:val="both"/>
      </w:pPr>
      <w:r>
        <w:rPr>
          <w:sz w:val="24"/>
        </w:rPr>
        <w:t xml:space="preserve">В случае если аффилированное лицо не является кредитной организацией и (или) не принадлежит к группе лиц, к которой принадлежит страховая организация, показатель "Регистрационный номер кредитной организации, принадлежащей к группе лиц с отчитывающейся организацией" </w:t>
      </w:r>
      <w:hyperlink w:history="0" w:anchor="P1652" w:tooltip="17">
        <w:r>
          <w:rPr>
            <w:sz w:val="24"/>
            <w:color w:val="0000ff"/>
          </w:rPr>
          <w:t xml:space="preserve">(строка 17)</w:t>
        </w:r>
      </w:hyperlink>
      <w:r>
        <w:rPr>
          <w:sz w:val="24"/>
        </w:rPr>
        <w:t xml:space="preserve"> не формируется.</w:t>
      </w:r>
    </w:p>
    <w:p>
      <w:pPr>
        <w:pStyle w:val="0"/>
        <w:spacing w:before="240" w:lineRule="auto"/>
        <w:ind w:firstLine="540"/>
        <w:jc w:val="both"/>
      </w:pPr>
      <w:r>
        <w:rPr>
          <w:sz w:val="24"/>
        </w:rPr>
        <w:t xml:space="preserve">5.5. В случае если физическое лицо или юридическое лицо имеет право распоряжаться более чем 20 процентами общего количества голосов, приходящихся на голосующие акции (доли), составляющие уставный капитал страховой организации, по показателю "А3" </w:t>
      </w:r>
      <w:hyperlink w:history="0" w:anchor="P1664" w:tooltip="18">
        <w:r>
          <w:rPr>
            <w:sz w:val="24"/>
            <w:color w:val="0000ff"/>
          </w:rPr>
          <w:t xml:space="preserve">(строка 18)</w:t>
        </w:r>
      </w:hyperlink>
      <w:r>
        <w:rPr>
          <w:sz w:val="24"/>
        </w:rPr>
        <w:t xml:space="preserve"> указывается значение "Да", по показателю "Дата наступления основания А3" </w:t>
      </w:r>
      <w:hyperlink w:history="0" w:anchor="P1676" w:tooltip="19">
        <w:r>
          <w:rPr>
            <w:sz w:val="24"/>
            <w:color w:val="0000ff"/>
          </w:rPr>
          <w:t xml:space="preserve">(строка 19)</w:t>
        </w:r>
      </w:hyperlink>
      <w:r>
        <w:rPr>
          <w:sz w:val="24"/>
        </w:rPr>
        <w:t xml:space="preserve"> - дата наступления основания аффилированности, не превышающая дату окончания отчетного квартала.</w:t>
      </w:r>
    </w:p>
    <w:p>
      <w:pPr>
        <w:pStyle w:val="0"/>
        <w:spacing w:before="240" w:lineRule="auto"/>
        <w:ind w:firstLine="540"/>
        <w:jc w:val="both"/>
      </w:pPr>
      <w:r>
        <w:rPr>
          <w:sz w:val="24"/>
        </w:rPr>
        <w:t xml:space="preserve">5.6. В случае если страховая организация имеет право распоряжаться более чем 20 процентами общего количества голосов, приходящихся на голосующие акции либо составляющие уставный (складочный) капитал вклады, доли юридического лица, по показателю "А4" </w:t>
      </w:r>
      <w:hyperlink w:history="0" w:anchor="P1688" w:tooltip="20">
        <w:r>
          <w:rPr>
            <w:sz w:val="24"/>
            <w:color w:val="0000ff"/>
          </w:rPr>
          <w:t xml:space="preserve">(строка 20)</w:t>
        </w:r>
      </w:hyperlink>
      <w:r>
        <w:rPr>
          <w:sz w:val="24"/>
        </w:rPr>
        <w:t xml:space="preserve"> указывается значение "Да", по показателю "Дата наступления основания А4" </w:t>
      </w:r>
      <w:hyperlink w:history="0" w:anchor="P1700" w:tooltip="21">
        <w:r>
          <w:rPr>
            <w:sz w:val="24"/>
            <w:color w:val="0000ff"/>
          </w:rPr>
          <w:t xml:space="preserve">(строка 21)</w:t>
        </w:r>
      </w:hyperlink>
      <w:r>
        <w:rPr>
          <w:sz w:val="24"/>
        </w:rPr>
        <w:t xml:space="preserve"> - дата наступления основания аффилированности, не превышающая дату окончания отчетного квартала.</w:t>
      </w:r>
    </w:p>
    <w:p>
      <w:pPr>
        <w:pStyle w:val="0"/>
        <w:spacing w:before="240" w:lineRule="auto"/>
        <w:ind w:firstLine="540"/>
        <w:jc w:val="both"/>
      </w:pPr>
      <w:r>
        <w:rPr>
          <w:sz w:val="24"/>
        </w:rPr>
        <w:t xml:space="preserve">5.7. При наличии двух и более оснований аффилированности информация указывается в отношении каждого основания аффилированности и каждой даты наступления основания аффилированности в разрезе аффилированного лица.</w:t>
      </w:r>
    </w:p>
    <w:p>
      <w:pPr>
        <w:pStyle w:val="0"/>
        <w:spacing w:before="240" w:lineRule="auto"/>
        <w:ind w:firstLine="540"/>
        <w:jc w:val="both"/>
      </w:pPr>
      <w:r>
        <w:rPr>
          <w:sz w:val="24"/>
        </w:rPr>
        <w:t xml:space="preserve">5.7.1. Каждому коду основания аффилированности, указанному по показателям "А1-1" </w:t>
      </w:r>
      <w:hyperlink w:history="0" w:anchor="P1556" w:tooltip="9">
        <w:r>
          <w:rPr>
            <w:sz w:val="24"/>
            <w:color w:val="0000ff"/>
          </w:rPr>
          <w:t xml:space="preserve">(строка 9)</w:t>
        </w:r>
      </w:hyperlink>
      <w:r>
        <w:rPr>
          <w:sz w:val="24"/>
        </w:rPr>
        <w:t xml:space="preserve">, "А1-2" </w:t>
      </w:r>
      <w:hyperlink w:history="0" w:anchor="P1580" w:tooltip="11">
        <w:r>
          <w:rPr>
            <w:sz w:val="24"/>
            <w:color w:val="0000ff"/>
          </w:rPr>
          <w:t xml:space="preserve">(строка 11)</w:t>
        </w:r>
      </w:hyperlink>
      <w:r>
        <w:rPr>
          <w:sz w:val="24"/>
        </w:rPr>
        <w:t xml:space="preserve">, "А1-3" </w:t>
      </w:r>
      <w:hyperlink w:history="0" w:anchor="P1604" w:tooltip="13">
        <w:r>
          <w:rPr>
            <w:sz w:val="24"/>
            <w:color w:val="0000ff"/>
          </w:rPr>
          <w:t xml:space="preserve">(строка 13)</w:t>
        </w:r>
      </w:hyperlink>
      <w:r>
        <w:rPr>
          <w:sz w:val="24"/>
        </w:rPr>
        <w:t xml:space="preserve">, "А2" </w:t>
      </w:r>
      <w:hyperlink w:history="0" w:anchor="P1628" w:tooltip="15">
        <w:r>
          <w:rPr>
            <w:sz w:val="24"/>
            <w:color w:val="0000ff"/>
          </w:rPr>
          <w:t xml:space="preserve">(строка 15)</w:t>
        </w:r>
      </w:hyperlink>
      <w:r>
        <w:rPr>
          <w:sz w:val="24"/>
        </w:rPr>
        <w:t xml:space="preserve">, "А3" </w:t>
      </w:r>
      <w:hyperlink w:history="0" w:anchor="P1664" w:tooltip="18">
        <w:r>
          <w:rPr>
            <w:sz w:val="24"/>
            <w:color w:val="0000ff"/>
          </w:rPr>
          <w:t xml:space="preserve">(строка 18)</w:t>
        </w:r>
      </w:hyperlink>
      <w:r>
        <w:rPr>
          <w:sz w:val="24"/>
        </w:rPr>
        <w:t xml:space="preserve">, "А4" </w:t>
      </w:r>
      <w:hyperlink w:history="0" w:anchor="P1688" w:tooltip="20">
        <w:r>
          <w:rPr>
            <w:sz w:val="24"/>
            <w:color w:val="0000ff"/>
          </w:rPr>
          <w:t xml:space="preserve">(строка 20)</w:t>
        </w:r>
      </w:hyperlink>
      <w:r>
        <w:rPr>
          <w:sz w:val="24"/>
        </w:rPr>
        <w:t xml:space="preserve">, должна соответствовать только одна дата наступления основания аффилированности.</w:t>
      </w:r>
    </w:p>
    <w:p>
      <w:pPr>
        <w:pStyle w:val="0"/>
        <w:spacing w:before="240" w:lineRule="auto"/>
        <w:ind w:firstLine="540"/>
        <w:jc w:val="both"/>
      </w:pPr>
      <w:r>
        <w:rPr>
          <w:sz w:val="24"/>
        </w:rPr>
        <w:t xml:space="preserve">В случае если дата наступления основания аффилированности, в том числе по основанию принадлежности к группе лиц, не подтверждена документально, по показателям "Дата наступления основания А1-1" </w:t>
      </w:r>
      <w:hyperlink w:history="0" w:anchor="P1568" w:tooltip="10">
        <w:r>
          <w:rPr>
            <w:sz w:val="24"/>
            <w:color w:val="0000ff"/>
          </w:rPr>
          <w:t xml:space="preserve">(строка 10)</w:t>
        </w:r>
      </w:hyperlink>
      <w:r>
        <w:rPr>
          <w:sz w:val="24"/>
        </w:rPr>
        <w:t xml:space="preserve">, "Дата наступления основания А1-2" </w:t>
      </w:r>
      <w:hyperlink w:history="0" w:anchor="P1592" w:tooltip="12">
        <w:r>
          <w:rPr>
            <w:sz w:val="24"/>
            <w:color w:val="0000ff"/>
          </w:rPr>
          <w:t xml:space="preserve">(строка 12)</w:t>
        </w:r>
      </w:hyperlink>
      <w:r>
        <w:rPr>
          <w:sz w:val="24"/>
        </w:rPr>
        <w:t xml:space="preserve">, "Дата наступления основания "А1-3" </w:t>
      </w:r>
      <w:hyperlink w:history="0" w:anchor="P1616" w:tooltip="14">
        <w:r>
          <w:rPr>
            <w:sz w:val="24"/>
            <w:color w:val="0000ff"/>
          </w:rPr>
          <w:t xml:space="preserve">(строка 14)</w:t>
        </w:r>
      </w:hyperlink>
      <w:r>
        <w:rPr>
          <w:sz w:val="24"/>
        </w:rPr>
        <w:t xml:space="preserve">, "Дата наступления основания А2" </w:t>
      </w:r>
      <w:hyperlink w:history="0" w:anchor="P1640" w:tooltip="16">
        <w:r>
          <w:rPr>
            <w:sz w:val="24"/>
            <w:color w:val="0000ff"/>
          </w:rPr>
          <w:t xml:space="preserve">(строка 16)</w:t>
        </w:r>
      </w:hyperlink>
      <w:r>
        <w:rPr>
          <w:sz w:val="24"/>
        </w:rPr>
        <w:t xml:space="preserve">, "Дата наступления основания А3" </w:t>
      </w:r>
      <w:hyperlink w:history="0" w:anchor="P1676" w:tooltip="19">
        <w:r>
          <w:rPr>
            <w:sz w:val="24"/>
            <w:color w:val="0000ff"/>
          </w:rPr>
          <w:t xml:space="preserve">(строка 19)</w:t>
        </w:r>
      </w:hyperlink>
      <w:r>
        <w:rPr>
          <w:sz w:val="24"/>
        </w:rPr>
        <w:t xml:space="preserve">, "Дата наступления основания А4" </w:t>
      </w:r>
      <w:hyperlink w:history="0" w:anchor="P1700" w:tooltip="21">
        <w:r>
          <w:rPr>
            <w:sz w:val="24"/>
            <w:color w:val="0000ff"/>
          </w:rPr>
          <w:t xml:space="preserve">(строка 21)</w:t>
        </w:r>
      </w:hyperlink>
      <w:r>
        <w:rPr>
          <w:sz w:val="24"/>
        </w:rPr>
        <w:t xml:space="preserve"> указывается дата наступления основания аффилированности, определяемая страховой организацией самостоятельно на основании имеющейся в ее распоряжении информации, позволяющей признать лицо аффилированным лицом.</w:t>
      </w:r>
    </w:p>
    <w:p>
      <w:pPr>
        <w:pStyle w:val="0"/>
        <w:spacing w:before="240" w:lineRule="auto"/>
        <w:ind w:firstLine="540"/>
        <w:jc w:val="both"/>
      </w:pPr>
      <w:r>
        <w:rPr>
          <w:sz w:val="24"/>
        </w:rPr>
        <w:t xml:space="preserve">5.7.2. В случае если лицо является аффилированным лицом на основании принадлежности к одной группе лиц по одному или нескольким признакам, указанным в </w:t>
      </w:r>
      <w:hyperlink w:history="0" r:id="rId126"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части 1 статьи 9</w:t>
        </w:r>
      </w:hyperlink>
      <w:r>
        <w:rPr>
          <w:sz w:val="24"/>
        </w:rPr>
        <w:t xml:space="preserve"> Федерального закона N 135-ФЗ, по показателю "Дата наступления основания А2" </w:t>
      </w:r>
      <w:hyperlink w:history="0" w:anchor="P1640" w:tooltip="16">
        <w:r>
          <w:rPr>
            <w:sz w:val="24"/>
            <w:color w:val="0000ff"/>
          </w:rPr>
          <w:t xml:space="preserve">(строка 16)</w:t>
        </w:r>
      </w:hyperlink>
      <w:r>
        <w:rPr>
          <w:sz w:val="24"/>
        </w:rPr>
        <w:t xml:space="preserve"> указывается дата наступления основания аффилированности, которая определяется страховой организацией исходя из наиболее ранней даты возникновения взаимосвязи между лицами, на основании которой лицо отнесено к группе лиц, к которой принадлежит страховая организация.</w:t>
      </w:r>
    </w:p>
    <w:p>
      <w:pPr>
        <w:pStyle w:val="0"/>
        <w:spacing w:before="240" w:lineRule="auto"/>
        <w:ind w:firstLine="540"/>
        <w:jc w:val="both"/>
      </w:pPr>
      <w:r>
        <w:rPr>
          <w:sz w:val="24"/>
        </w:rPr>
        <w:t xml:space="preserve">5.8. По показателю "Принадлежащие лицу акции (доли) отчитывающейся организации (процент голосов к общему количеству голосующих акций (долей) отчитывающейся организации)" </w:t>
      </w:r>
      <w:hyperlink w:history="0" w:anchor="P1712" w:tooltip="22">
        <w:r>
          <w:rPr>
            <w:sz w:val="24"/>
            <w:color w:val="0000ff"/>
          </w:rPr>
          <w:t xml:space="preserve">(строка 22)</w:t>
        </w:r>
      </w:hyperlink>
      <w:r>
        <w:rPr>
          <w:sz w:val="24"/>
        </w:rPr>
        <w:t xml:space="preserve"> указываются принадлежащие аффилированному лицу акции (доли) страховой организации (процент голосов к общему количеству голосующих акций (долей) страховой организации).</w:t>
      </w:r>
    </w:p>
    <w:p>
      <w:pPr>
        <w:pStyle w:val="0"/>
        <w:spacing w:before="240" w:lineRule="auto"/>
        <w:ind w:firstLine="540"/>
        <w:jc w:val="both"/>
      </w:pPr>
      <w:r>
        <w:rPr>
          <w:sz w:val="24"/>
        </w:rPr>
        <w:t xml:space="preserve">5.9. По показателю "Принадлежащие отчитывающейся организации акции (доли) лица (процент голосов к общему количеству голосующих акций (долей) лица)" </w:t>
      </w:r>
      <w:hyperlink w:history="0" w:anchor="P1724" w:tooltip="23">
        <w:r>
          <w:rPr>
            <w:sz w:val="24"/>
            <w:color w:val="0000ff"/>
          </w:rPr>
          <w:t xml:space="preserve">(строка 23)</w:t>
        </w:r>
      </w:hyperlink>
      <w:r>
        <w:rPr>
          <w:sz w:val="24"/>
        </w:rPr>
        <w:t xml:space="preserve"> указываются принадлежащие страховой организации акции (доли) аффилированного лица (процент голосов к общему количеству голосующих акций (долей) аффилированного лица).</w:t>
      </w:r>
    </w:p>
    <w:p>
      <w:pPr>
        <w:pStyle w:val="0"/>
        <w:spacing w:before="240" w:lineRule="auto"/>
        <w:ind w:firstLine="540"/>
        <w:jc w:val="both"/>
      </w:pPr>
      <w:r>
        <w:rPr>
          <w:sz w:val="24"/>
        </w:rPr>
        <w:t xml:space="preserve">5.10. По показателю "Дата прекращения основания аффилированности" </w:t>
      </w:r>
      <w:hyperlink w:history="0" w:anchor="P1736" w:tooltip="24">
        <w:r>
          <w:rPr>
            <w:sz w:val="24"/>
            <w:color w:val="0000ff"/>
          </w:rPr>
          <w:t xml:space="preserve">(строка 24)</w:t>
        </w:r>
      </w:hyperlink>
      <w:r>
        <w:rPr>
          <w:sz w:val="24"/>
        </w:rPr>
        <w:t xml:space="preserve"> указывается дата прекращения в отчетном квартале основания аффилированности.</w:t>
      </w:r>
    </w:p>
    <w:p>
      <w:pPr>
        <w:pStyle w:val="0"/>
        <w:spacing w:before="240" w:lineRule="auto"/>
        <w:ind w:firstLine="540"/>
        <w:jc w:val="both"/>
      </w:pPr>
      <w:r>
        <w:rPr>
          <w:sz w:val="24"/>
        </w:rPr>
        <w:t xml:space="preserve">При наличии двух и более оснований аффилированности значение показателя "Дата прекращения основания аффилированности" </w:t>
      </w:r>
      <w:hyperlink w:history="0" w:anchor="P1736" w:tooltip="24">
        <w:r>
          <w:rPr>
            <w:sz w:val="24"/>
            <w:color w:val="0000ff"/>
          </w:rPr>
          <w:t xml:space="preserve">(строка 24)</w:t>
        </w:r>
      </w:hyperlink>
      <w:r>
        <w:rPr>
          <w:sz w:val="24"/>
        </w:rPr>
        <w:t xml:space="preserve"> указывается только в случае прекращения всех имевшихся оснований аффилированности с указанием наиболее поздней из дат прекращения основания аффилированности в отчетном квартале.</w:t>
      </w:r>
    </w:p>
    <w:p>
      <w:pPr>
        <w:pStyle w:val="0"/>
        <w:spacing w:before="240" w:lineRule="auto"/>
        <w:ind w:firstLine="540"/>
        <w:jc w:val="both"/>
      </w:pPr>
      <w:r>
        <w:rPr>
          <w:sz w:val="24"/>
        </w:rPr>
        <w:t xml:space="preserve">5.11. По показателю "Примечание" </w:t>
      </w:r>
      <w:hyperlink w:history="0" w:anchor="P1748" w:tooltip="25">
        <w:r>
          <w:rPr>
            <w:sz w:val="24"/>
            <w:color w:val="0000ff"/>
          </w:rPr>
          <w:t xml:space="preserve">(строка 25)</w:t>
        </w:r>
      </w:hyperlink>
      <w:r>
        <w:rPr>
          <w:sz w:val="24"/>
        </w:rPr>
        <w:t xml:space="preserve"> указывается дополнительная информация об аффилированных лицах и их взаимосвязях, являющаяся по решению страховой организации существенной (при наличии).</w:t>
      </w:r>
    </w:p>
    <w:bookmarkStart w:id="1829" w:name="P1829"/>
    <w:bookmarkEnd w:id="1829"/>
    <w:p>
      <w:pPr>
        <w:pStyle w:val="0"/>
        <w:spacing w:before="240" w:lineRule="auto"/>
        <w:ind w:firstLine="540"/>
        <w:jc w:val="both"/>
      </w:pPr>
      <w:r>
        <w:rPr>
          <w:sz w:val="24"/>
        </w:rPr>
        <w:t xml:space="preserve">5.12. По показателю "Основание принадлежности лиц к группе лиц, к которой принадлежит отчитывающаяся организация" </w:t>
      </w:r>
      <w:hyperlink w:history="0" w:anchor="P1760" w:tooltip="26">
        <w:r>
          <w:rPr>
            <w:sz w:val="24"/>
            <w:color w:val="0000ff"/>
          </w:rPr>
          <w:t xml:space="preserve">(строка 26)</w:t>
        </w:r>
      </w:hyperlink>
      <w:r>
        <w:rPr>
          <w:sz w:val="24"/>
        </w:rPr>
        <w:t xml:space="preserve"> указываются следующие коды оснований принадлежности аффилированных лиц, индивидуальные коды которых указаны по группам аналитических признаков "Идентификатор аффилированного лица (лицо 1)" и "Идентификатор аффилированного лица (лицо 2)", к группе лиц, к которой принадлежит страховая организация, соответствующих хотя бы одному признаку, указанному в </w:t>
      </w:r>
      <w:hyperlink w:history="0" r:id="rId127"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части 1 статьи 9</w:t>
        </w:r>
      </w:hyperlink>
      <w:r>
        <w:rPr>
          <w:sz w:val="24"/>
        </w:rPr>
        <w:t xml:space="preserve"> Федерального закона N 135-ФЗ:</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5102"/>
        <w:gridCol w:w="2551"/>
      </w:tblGrid>
      <w:tr>
        <w:tc>
          <w:tcPr>
            <w:tcW w:w="1417" w:type="dxa"/>
          </w:tcPr>
          <w:p>
            <w:pPr>
              <w:pStyle w:val="0"/>
              <w:jc w:val="center"/>
            </w:pPr>
            <w:r>
              <w:rPr>
                <w:sz w:val="24"/>
              </w:rPr>
              <w:t xml:space="preserve">Номер пункта </w:t>
            </w:r>
            <w:hyperlink w:history="0" r:id="rId128"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части 1 статьи 9</w:t>
              </w:r>
            </w:hyperlink>
            <w:r>
              <w:rPr>
                <w:sz w:val="24"/>
              </w:rPr>
              <w:t xml:space="preserve"> Федерального закона N 135-ФЗ</w:t>
            </w:r>
          </w:p>
        </w:tc>
        <w:tc>
          <w:tcPr>
            <w:tcW w:w="5102" w:type="dxa"/>
          </w:tcPr>
          <w:p>
            <w:pPr>
              <w:pStyle w:val="0"/>
              <w:jc w:val="center"/>
            </w:pPr>
            <w:r>
              <w:rPr>
                <w:sz w:val="24"/>
              </w:rPr>
              <w:t xml:space="preserve">Расшифровка кода основания принадлежности аффилированного лица к группе лиц, к которой принадлежит страховая организация</w:t>
            </w:r>
          </w:p>
        </w:tc>
        <w:tc>
          <w:tcPr>
            <w:tcW w:w="2551" w:type="dxa"/>
          </w:tcPr>
          <w:p>
            <w:pPr>
              <w:pStyle w:val="0"/>
              <w:jc w:val="center"/>
            </w:pPr>
            <w:r>
              <w:rPr>
                <w:sz w:val="24"/>
              </w:rPr>
              <w:t xml:space="preserve">Код основания принадлежности аффилированного лица к группе лиц, к которой принадлежит страховая организация</w:t>
            </w:r>
          </w:p>
        </w:tc>
      </w:tr>
      <w:tr>
        <w:tc>
          <w:tcPr>
            <w:tcW w:w="1417" w:type="dxa"/>
          </w:tcPr>
          <w:p>
            <w:pPr>
              <w:pStyle w:val="0"/>
              <w:jc w:val="center"/>
            </w:pPr>
            <w:r>
              <w:rPr>
                <w:sz w:val="24"/>
              </w:rPr>
              <w:t xml:space="preserve">1</w:t>
            </w:r>
          </w:p>
        </w:tc>
        <w:tc>
          <w:tcPr>
            <w:tcW w:w="5102" w:type="dxa"/>
          </w:tcPr>
          <w:p>
            <w:pPr>
              <w:pStyle w:val="0"/>
              <w:jc w:val="center"/>
            </w:pPr>
            <w:r>
              <w:rPr>
                <w:sz w:val="24"/>
              </w:rPr>
              <w:t xml:space="preserve">2</w:t>
            </w:r>
          </w:p>
        </w:tc>
        <w:tc>
          <w:tcPr>
            <w:tcW w:w="2551" w:type="dxa"/>
          </w:tcPr>
          <w:p>
            <w:pPr>
              <w:pStyle w:val="0"/>
              <w:jc w:val="center"/>
            </w:pPr>
            <w:r>
              <w:rPr>
                <w:sz w:val="24"/>
              </w:rPr>
              <w:t xml:space="preserve">3</w:t>
            </w:r>
          </w:p>
        </w:tc>
      </w:tr>
      <w:tr>
        <w:tc>
          <w:tcPr>
            <w:tcW w:w="1417" w:type="dxa"/>
          </w:tcPr>
          <w:p>
            <w:pPr>
              <w:pStyle w:val="0"/>
            </w:pPr>
            <w:hyperlink w:history="0" r:id="rId129"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1</w:t>
              </w:r>
            </w:hyperlink>
          </w:p>
        </w:tc>
        <w:tc>
          <w:tcPr>
            <w:tcW w:w="5102" w:type="dxa"/>
          </w:tcPr>
          <w:p>
            <w:pPr>
              <w:pStyle w:val="0"/>
              <w:ind w:firstLine="283"/>
            </w:pPr>
            <w:r>
              <w:rPr>
                <w:sz w:val="24"/>
              </w:rPr>
              <w:t xml:space="preserve">Хозяйственное общество (товарищество, хозяйственное партнерство) и физическое лицо или юридическое лицо, если такое физическое лицо или такое юридическое лицо имеет в силу своего участия в этом хозяйственном обществе (товариществе, хозяйственном партнерстве) либо в соответствии с полномочиями, полученными, в том числе на основании письменного соглашения, от других лиц, более чем 50 процентов общего количества голосов, приходящихся на голосующие акции (доли) в уставном (складочном) капитале этого хозяйственного общества (товарищества, хозяйственного партнерства)</w:t>
            </w:r>
          </w:p>
        </w:tc>
        <w:tc>
          <w:tcPr>
            <w:tcW w:w="2551" w:type="dxa"/>
          </w:tcPr>
          <w:p>
            <w:pPr>
              <w:pStyle w:val="0"/>
              <w:ind w:firstLine="283"/>
            </w:pPr>
            <w:r>
              <w:rPr>
                <w:sz w:val="24"/>
              </w:rPr>
              <w:t xml:space="preserve">ГЛ1 - для отражения взаимосвязи, участником которой является страховая организация;</w:t>
            </w:r>
          </w:p>
          <w:p>
            <w:pPr>
              <w:pStyle w:val="0"/>
              <w:ind w:firstLine="283"/>
            </w:pPr>
            <w:r>
              <w:rPr>
                <w:sz w:val="24"/>
              </w:rPr>
              <w:t xml:space="preserve">ГЛ8-1 - для отражения взаимосвязей между иными участниками группы лиц</w:t>
            </w:r>
          </w:p>
        </w:tc>
      </w:tr>
      <w:tr>
        <w:tc>
          <w:tcPr>
            <w:tcW w:w="1417" w:type="dxa"/>
          </w:tcPr>
          <w:p>
            <w:pPr>
              <w:pStyle w:val="0"/>
            </w:pPr>
            <w:hyperlink w:history="0" r:id="rId130"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2</w:t>
              </w:r>
            </w:hyperlink>
          </w:p>
        </w:tc>
        <w:tc>
          <w:tcPr>
            <w:tcW w:w="5102" w:type="dxa"/>
          </w:tcPr>
          <w:p>
            <w:pPr>
              <w:pStyle w:val="0"/>
              <w:ind w:firstLine="283"/>
            </w:pPr>
            <w:r>
              <w:rPr>
                <w:sz w:val="24"/>
              </w:rPr>
              <w:t xml:space="preserve">Юридическое лицо и осуществляющее функции единоличного исполнительного органа этого юридического лица физическое лицо или юридическое лицо</w:t>
            </w:r>
          </w:p>
        </w:tc>
        <w:tc>
          <w:tcPr>
            <w:tcW w:w="2551" w:type="dxa"/>
          </w:tcPr>
          <w:p>
            <w:pPr>
              <w:pStyle w:val="0"/>
              <w:ind w:firstLine="283"/>
            </w:pPr>
            <w:r>
              <w:rPr>
                <w:sz w:val="24"/>
              </w:rPr>
              <w:t xml:space="preserve">ГЛ2 - для отражения взаимосвязи, участником которой является страховая организация;</w:t>
            </w:r>
          </w:p>
          <w:p>
            <w:pPr>
              <w:pStyle w:val="0"/>
              <w:ind w:firstLine="283"/>
            </w:pPr>
            <w:r>
              <w:rPr>
                <w:sz w:val="24"/>
              </w:rPr>
              <w:t xml:space="preserve">ГЛ8-2 - для отражения взаимосвязей между иными участниками группы лиц</w:t>
            </w:r>
          </w:p>
        </w:tc>
      </w:tr>
      <w:tr>
        <w:tc>
          <w:tcPr>
            <w:tcW w:w="1417" w:type="dxa"/>
          </w:tcPr>
          <w:p>
            <w:pPr>
              <w:pStyle w:val="0"/>
            </w:pPr>
            <w:hyperlink w:history="0" r:id="rId131"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3</w:t>
              </w:r>
            </w:hyperlink>
          </w:p>
        </w:tc>
        <w:tc>
          <w:tcPr>
            <w:tcW w:w="5102" w:type="dxa"/>
            <w:vAlign w:val="bottom"/>
          </w:tcPr>
          <w:p>
            <w:pPr>
              <w:pStyle w:val="0"/>
              <w:ind w:firstLine="283"/>
            </w:pPr>
            <w:r>
              <w:rPr>
                <w:sz w:val="24"/>
              </w:rPr>
              <w:t xml:space="preserve">Хозяйственное общество (товарищество, хозяйственное партнерство) и физическое лицо или юридическое лицо, если такое физическое лицо или такое юридическое лицо на основании учредительных документов этого хозяйственного общества (товарищества, хозяйственного партнерства) или заключенного с этим хозяйственным обществом (товариществом, хозяйственным партнерством) договора вправе давать этому хозяйственному обществу (товариществу, хозяйственному партнерству) обязательные для исполнения указания</w:t>
            </w:r>
          </w:p>
        </w:tc>
        <w:tc>
          <w:tcPr>
            <w:tcW w:w="2551" w:type="dxa"/>
          </w:tcPr>
          <w:p>
            <w:pPr>
              <w:pStyle w:val="0"/>
              <w:ind w:firstLine="283"/>
            </w:pPr>
            <w:r>
              <w:rPr>
                <w:sz w:val="24"/>
              </w:rPr>
              <w:t xml:space="preserve">ГЛ3 - для отражения взаимосвязи, участником которой является страховая организация;</w:t>
            </w:r>
          </w:p>
          <w:p>
            <w:pPr>
              <w:pStyle w:val="0"/>
              <w:ind w:firstLine="283"/>
            </w:pPr>
            <w:r>
              <w:rPr>
                <w:sz w:val="24"/>
              </w:rPr>
              <w:t xml:space="preserve">ГЛ8-3 - для отражения взаимосвязей между иными участниками группы лиц</w:t>
            </w:r>
          </w:p>
        </w:tc>
      </w:tr>
      <w:tr>
        <w:tc>
          <w:tcPr>
            <w:tcW w:w="1417" w:type="dxa"/>
          </w:tcPr>
          <w:p>
            <w:pPr>
              <w:pStyle w:val="0"/>
            </w:pPr>
            <w:hyperlink w:history="0" r:id="rId132"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4</w:t>
              </w:r>
            </w:hyperlink>
          </w:p>
        </w:tc>
        <w:tc>
          <w:tcPr>
            <w:tcW w:w="5102" w:type="dxa"/>
          </w:tcPr>
          <w:p>
            <w:pPr>
              <w:pStyle w:val="0"/>
              <w:ind w:firstLine="283"/>
            </w:pPr>
            <w:r>
              <w:rPr>
                <w:sz w:val="24"/>
              </w:rPr>
              <w:t xml:space="preserve">Юридические лица, в которых более чем 50 процентов количественного состава коллегиального исполнительного органа и (или) совета директоров (наблюдательного совета, совета отчитывающейся страховой организации) составляют одни и те же физические лица</w:t>
            </w:r>
          </w:p>
        </w:tc>
        <w:tc>
          <w:tcPr>
            <w:tcW w:w="2551" w:type="dxa"/>
            <w:vAlign w:val="bottom"/>
          </w:tcPr>
          <w:p>
            <w:pPr>
              <w:pStyle w:val="0"/>
              <w:ind w:firstLine="283"/>
            </w:pPr>
            <w:r>
              <w:rPr>
                <w:sz w:val="24"/>
              </w:rPr>
              <w:t xml:space="preserve">ГЛ6 - для отражения взаимосвязи, участником которой является страховая организация;</w:t>
            </w:r>
          </w:p>
          <w:p>
            <w:pPr>
              <w:pStyle w:val="0"/>
              <w:ind w:firstLine="283"/>
            </w:pPr>
            <w:r>
              <w:rPr>
                <w:sz w:val="24"/>
              </w:rPr>
              <w:t xml:space="preserve">ГЛ8-4 - для отражения взаимосвязей между иными участниками группы лиц</w:t>
            </w:r>
          </w:p>
        </w:tc>
      </w:tr>
      <w:tr>
        <w:tc>
          <w:tcPr>
            <w:tcW w:w="1417" w:type="dxa"/>
          </w:tcPr>
          <w:p>
            <w:pPr>
              <w:pStyle w:val="0"/>
            </w:pPr>
            <w:hyperlink w:history="0" r:id="rId133"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5</w:t>
              </w:r>
            </w:hyperlink>
          </w:p>
        </w:tc>
        <w:tc>
          <w:tcPr>
            <w:tcW w:w="5102" w:type="dxa"/>
          </w:tcPr>
          <w:p>
            <w:pPr>
              <w:pStyle w:val="0"/>
              <w:ind w:firstLine="283"/>
            </w:pPr>
            <w:r>
              <w:rPr>
                <w:sz w:val="24"/>
              </w:rPr>
              <w:t xml:space="preserve">Хозяйственное общество (хозяйственное партнерство) и физическое лицо или юридическое лицо, если по предложению такого физического лица или такого юридического лица назначен или избран единоличный исполнительный орган этого хозяйственного общества (хозяйственного партнерства)</w:t>
            </w:r>
          </w:p>
        </w:tc>
        <w:tc>
          <w:tcPr>
            <w:tcW w:w="2551" w:type="dxa"/>
            <w:vAlign w:val="bottom"/>
          </w:tcPr>
          <w:p>
            <w:pPr>
              <w:pStyle w:val="0"/>
              <w:ind w:firstLine="283"/>
            </w:pPr>
            <w:r>
              <w:rPr>
                <w:sz w:val="24"/>
              </w:rPr>
              <w:t xml:space="preserve">ГЛ4 - для отражения взаимосвязи, участником которой является страховая организация;</w:t>
            </w:r>
          </w:p>
          <w:p>
            <w:pPr>
              <w:pStyle w:val="0"/>
              <w:ind w:firstLine="283"/>
            </w:pPr>
            <w:r>
              <w:rPr>
                <w:sz w:val="24"/>
              </w:rPr>
              <w:t xml:space="preserve">ГЛ8-5 - для отражения взаимосвязей между иными участниками группы лиц</w:t>
            </w:r>
          </w:p>
        </w:tc>
      </w:tr>
      <w:tr>
        <w:tc>
          <w:tcPr>
            <w:tcW w:w="1417" w:type="dxa"/>
          </w:tcPr>
          <w:p>
            <w:pPr>
              <w:pStyle w:val="0"/>
            </w:pPr>
            <w:hyperlink w:history="0" r:id="rId13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6</w:t>
              </w:r>
            </w:hyperlink>
          </w:p>
        </w:tc>
        <w:tc>
          <w:tcPr>
            <w:tcW w:w="5102" w:type="dxa"/>
          </w:tcPr>
          <w:p>
            <w:pPr>
              <w:pStyle w:val="0"/>
              <w:ind w:firstLine="283"/>
            </w:pPr>
            <w:r>
              <w:rPr>
                <w:sz w:val="24"/>
              </w:rPr>
              <w:t xml:space="preserve">Хозяйственное общество и физическое лицо или юридическое лицо, если по предложению такого физического лица или такого юридического лица избрано более чем 50 процентов количественного состава коллегиального исполнительного органа либо совета директоров (наблюдательного совета) этого хозяйственного общества</w:t>
            </w:r>
          </w:p>
        </w:tc>
        <w:tc>
          <w:tcPr>
            <w:tcW w:w="2551" w:type="dxa"/>
            <w:vAlign w:val="bottom"/>
          </w:tcPr>
          <w:p>
            <w:pPr>
              <w:pStyle w:val="0"/>
              <w:ind w:firstLine="283"/>
            </w:pPr>
            <w:r>
              <w:rPr>
                <w:sz w:val="24"/>
              </w:rPr>
              <w:t xml:space="preserve">ГЛ5 - для отражения взаимосвязи, участником которой является страховая организация;</w:t>
            </w:r>
          </w:p>
          <w:p>
            <w:pPr>
              <w:pStyle w:val="0"/>
              <w:ind w:firstLine="283"/>
            </w:pPr>
            <w:r>
              <w:rPr>
                <w:sz w:val="24"/>
              </w:rPr>
              <w:t xml:space="preserve">ГЛ8-6 - для отражения взаимосвязей между иными участниками группы лиц</w:t>
            </w:r>
          </w:p>
        </w:tc>
      </w:tr>
      <w:tr>
        <w:tc>
          <w:tcPr>
            <w:tcW w:w="1417" w:type="dxa"/>
          </w:tcPr>
          <w:p>
            <w:pPr>
              <w:pStyle w:val="0"/>
            </w:pPr>
            <w:hyperlink w:history="0" r:id="rId135"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7</w:t>
              </w:r>
            </w:hyperlink>
          </w:p>
        </w:tc>
        <w:tc>
          <w:tcPr>
            <w:tcW w:w="5102" w:type="dxa"/>
          </w:tcPr>
          <w:p>
            <w:pPr>
              <w:pStyle w:val="0"/>
              <w:ind w:firstLine="283"/>
            </w:pPr>
            <w:r>
              <w:rPr>
                <w:sz w:val="24"/>
              </w:rPr>
              <w:t xml:space="preserve">Физическое лицо, его супруг, родители (в том числе усыновители), дети (в том числе усыновленные), полнородные и неполнородные братья и сестры</w:t>
            </w:r>
          </w:p>
        </w:tc>
        <w:tc>
          <w:tcPr>
            <w:tcW w:w="2551" w:type="dxa"/>
            <w:vAlign w:val="bottom"/>
          </w:tcPr>
          <w:p>
            <w:pPr>
              <w:pStyle w:val="0"/>
              <w:ind w:firstLine="283"/>
            </w:pPr>
            <w:r>
              <w:rPr>
                <w:sz w:val="24"/>
              </w:rPr>
              <w:t xml:space="preserve">ГЛ8-7 - для отражения взаимосвязей между иными (кроме отчитывающейся страховой организации) участниками группы лиц</w:t>
            </w:r>
          </w:p>
        </w:tc>
      </w:tr>
      <w:tr>
        <w:tc>
          <w:tcPr>
            <w:tcW w:w="1417" w:type="dxa"/>
          </w:tcPr>
          <w:p>
            <w:pPr>
              <w:pStyle w:val="0"/>
            </w:pPr>
            <w:hyperlink w:history="0" r:id="rId136"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9</w:t>
              </w:r>
            </w:hyperlink>
          </w:p>
        </w:tc>
        <w:tc>
          <w:tcPr>
            <w:tcW w:w="5102" w:type="dxa"/>
          </w:tcPr>
          <w:p>
            <w:pPr>
              <w:pStyle w:val="0"/>
              <w:ind w:firstLine="283"/>
            </w:pPr>
            <w:r>
              <w:rPr>
                <w:sz w:val="24"/>
              </w:rPr>
              <w:t xml:space="preserve">Хозяйственное общество (товарищество, хозяйственное партнерство), физические лица и (или) юридические лица, которые по какому-либо из указанных в </w:t>
            </w:r>
            <w:hyperlink w:history="0" r:id="rId137"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пунктах 1</w:t>
              </w:r>
            </w:hyperlink>
            <w:r>
              <w:rPr>
                <w:sz w:val="24"/>
              </w:rPr>
              <w:t xml:space="preserve"> - </w:t>
            </w:r>
            <w:hyperlink w:history="0" r:id="rId138"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8 части 1 статьи 9</w:t>
              </w:r>
            </w:hyperlink>
            <w:r>
              <w:rPr>
                <w:sz w:val="24"/>
              </w:rPr>
              <w:t xml:space="preserve"> Федерального закона N 135-ФЗ признаков входят в группу лиц, если такие лица в силу своего совместного участия в этом хозяйственном обществе (товариществе, хозяйственном партнерстве) или в соответствии с полномочиями, полученными от других лиц, имеют более чем 50 процентов общего количества голосов, приходящихся на голосующие акции (доли) в уставном (складочном) капитале этого хозяйственного общества (товарищества, хозяйственного партнерства)</w:t>
            </w:r>
          </w:p>
        </w:tc>
        <w:tc>
          <w:tcPr>
            <w:tcW w:w="2551" w:type="dxa"/>
          </w:tcPr>
          <w:p>
            <w:pPr>
              <w:pStyle w:val="0"/>
              <w:ind w:firstLine="283"/>
            </w:pPr>
            <w:r>
              <w:rPr>
                <w:sz w:val="24"/>
              </w:rPr>
              <w:t xml:space="preserve">ГЛ9 - для отражения взаимосвязи, участником которой является страховая организация;</w:t>
            </w:r>
          </w:p>
          <w:p>
            <w:pPr>
              <w:pStyle w:val="0"/>
              <w:ind w:firstLine="283"/>
            </w:pPr>
            <w:r>
              <w:rPr>
                <w:sz w:val="24"/>
              </w:rPr>
              <w:t xml:space="preserve">ГЛ8-9 - для отражения взаимосвязей между иными участниками группы лиц</w:t>
            </w:r>
          </w:p>
        </w:tc>
      </w:tr>
    </w:tbl>
    <w:p>
      <w:pPr>
        <w:pStyle w:val="0"/>
        <w:ind w:firstLine="540"/>
        <w:jc w:val="both"/>
      </w:pPr>
      <w:r>
        <w:rPr>
          <w:sz w:val="24"/>
        </w:rPr>
      </w:r>
    </w:p>
    <w:bookmarkStart w:id="1869" w:name="P1869"/>
    <w:bookmarkEnd w:id="1869"/>
    <w:p>
      <w:pPr>
        <w:pStyle w:val="0"/>
        <w:ind w:firstLine="540"/>
        <w:jc w:val="both"/>
      </w:pPr>
      <w:r>
        <w:rPr>
          <w:sz w:val="24"/>
        </w:rPr>
        <w:t xml:space="preserve">5.12.1. По группе аналитических признаков "Идентификатор аффилированного лица (лицо 1)" указывается индивидуальный код аффилированного лица в разрезе следующих взаимосвязей:</w:t>
      </w:r>
    </w:p>
    <w:p>
      <w:pPr>
        <w:pStyle w:val="0"/>
        <w:spacing w:before="240" w:lineRule="auto"/>
        <w:ind w:firstLine="540"/>
        <w:jc w:val="both"/>
      </w:pPr>
      <w:r>
        <w:rPr>
          <w:sz w:val="24"/>
        </w:rPr>
        <w:t xml:space="preserve">юридического лица, голосующие акции (доли) которого принадлежат аффилированному лицу, индивидуальный код аффилированного лица которого указан по группе аналитических признаков "Идентификатор аффилированного лица (лицо 2)";</w:t>
      </w:r>
    </w:p>
    <w:p>
      <w:pPr>
        <w:pStyle w:val="0"/>
        <w:spacing w:before="240" w:lineRule="auto"/>
        <w:ind w:firstLine="540"/>
        <w:jc w:val="both"/>
      </w:pPr>
      <w:r>
        <w:rPr>
          <w:sz w:val="24"/>
        </w:rPr>
        <w:t xml:space="preserve">юридического лица, функции единоличного исполнительного органа которого осуществляет аффилированное лицо, индивидуальный код аффилированного лица которого указан по группе аналитических признаков "Идентификатор аффилированного лица (лицо 2)";</w:t>
      </w:r>
    </w:p>
    <w:p>
      <w:pPr>
        <w:pStyle w:val="0"/>
        <w:spacing w:before="240" w:lineRule="auto"/>
        <w:ind w:firstLine="540"/>
        <w:jc w:val="both"/>
      </w:pPr>
      <w:r>
        <w:rPr>
          <w:sz w:val="24"/>
        </w:rPr>
        <w:t xml:space="preserve">юридического лица, которому лицо, индивидуальный код аффилированного лица которого указан по группе аналитических признаков "Идентификатор аффилированного лица (лицо 2)", вправе давать обязательные для исполнения указания на основании учредительных документов юридического лица или заключенного между ними договора;</w:t>
      </w:r>
    </w:p>
    <w:p>
      <w:pPr>
        <w:pStyle w:val="0"/>
        <w:spacing w:before="240" w:lineRule="auto"/>
        <w:ind w:firstLine="540"/>
        <w:jc w:val="both"/>
      </w:pPr>
      <w:r>
        <w:rPr>
          <w:sz w:val="24"/>
        </w:rPr>
        <w:t xml:space="preserve">юридического лица, единоличный исполнительный орган и (или) более чем 50 процентов количественного состава коллегиального исполнительного органа либо совета директоров (наблюдательного совета) которого избраны или назначены по предложению аффилированного лица, индивидуальный код аффилированного лица которого указан по группе аналитических признаков "Идентификатор аффилированного лица (лицо 2)";</w:t>
      </w:r>
    </w:p>
    <w:p>
      <w:pPr>
        <w:pStyle w:val="0"/>
        <w:spacing w:before="240" w:lineRule="auto"/>
        <w:ind w:firstLine="540"/>
        <w:jc w:val="both"/>
      </w:pPr>
      <w:r>
        <w:rPr>
          <w:sz w:val="24"/>
        </w:rPr>
        <w:t xml:space="preserve">физического или юридического лица, входящего в группу лиц с аффилированным лицом, индивидуальный код аффилированного лица которого указан по группе аналитических признаков "Идентификатор аффилированного лица (лицо 2)", по признакам, указанным в </w:t>
      </w:r>
      <w:hyperlink w:history="0" r:id="rId139"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пунктах 4</w:t>
        </w:r>
      </w:hyperlink>
      <w:r>
        <w:rPr>
          <w:sz w:val="24"/>
        </w:rPr>
        <w:t xml:space="preserve"> и </w:t>
      </w:r>
      <w:hyperlink w:history="0" r:id="rId140"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7 части 1 статьи 9</w:t>
        </w:r>
      </w:hyperlink>
      <w:r>
        <w:rPr>
          <w:sz w:val="24"/>
        </w:rPr>
        <w:t xml:space="preserve"> Федерального закона N 135-ФЗ.</w:t>
      </w:r>
    </w:p>
    <w:p>
      <w:pPr>
        <w:pStyle w:val="0"/>
        <w:spacing w:before="240" w:lineRule="auto"/>
        <w:ind w:firstLine="540"/>
        <w:jc w:val="both"/>
      </w:pPr>
      <w:r>
        <w:rPr>
          <w:sz w:val="24"/>
        </w:rPr>
        <w:t xml:space="preserve">5.12.2. По группе аналитических признаков "Идентификатор аффилированного лица (лицо 2)" указывается индивидуальный код аффилированного лица в соответствии с взаимосвязями, указанными в </w:t>
      </w:r>
      <w:hyperlink w:history="0" w:anchor="P1869" w:tooltip="5.12.1. По группе аналитических признаков &quot;Идентификатор аффилированного лица (лицо 1)&quot; указывается индивидуальный код аффилированного лица в разрезе следующих взаимосвязей:">
        <w:r>
          <w:rPr>
            <w:sz w:val="24"/>
            <w:color w:val="0000ff"/>
          </w:rPr>
          <w:t xml:space="preserve">подпункте 5.12.1</w:t>
        </w:r>
      </w:hyperlink>
      <w:r>
        <w:rPr>
          <w:sz w:val="24"/>
        </w:rPr>
        <w:t xml:space="preserve"> настоящего пункта.</w:t>
      </w:r>
    </w:p>
    <w:p>
      <w:pPr>
        <w:pStyle w:val="0"/>
        <w:spacing w:before="240" w:lineRule="auto"/>
        <w:ind w:firstLine="540"/>
        <w:jc w:val="both"/>
      </w:pPr>
      <w:r>
        <w:rPr>
          <w:sz w:val="24"/>
        </w:rPr>
        <w:t xml:space="preserve">5.12.3. В целях отражения информации о взаимосвязях между аффилированными лицами, принадлежащими к группе лиц, к которой принадлежит страховая организация, по группам аналитических признаков "Идентификатор аффилированного лица (лицо 1)" и "Идентификатор аффилированного лица (лицо 2)" в отношении данной страховой организации должен использоваться идентификатор страховой организации, сформированный ею в соответствии с </w:t>
      </w:r>
      <w:hyperlink w:history="0" w:anchor="P969" w:tooltip="8.27.1. Для контрагента-резидента, являющегося юридическим лицом, указываются следующие характеристики:">
        <w:r>
          <w:rPr>
            <w:sz w:val="24"/>
            <w:color w:val="0000ff"/>
          </w:rPr>
          <w:t xml:space="preserve">подпунктом 8.27.1 пункта 8</w:t>
        </w:r>
      </w:hyperlink>
      <w:r>
        <w:rPr>
          <w:sz w:val="24"/>
        </w:rPr>
        <w:t xml:space="preserve"> Порядка и сроков составления отчетности по форме 0420150 "Общие сведения о страховщике".</w:t>
      </w:r>
    </w:p>
    <w:p>
      <w:pPr>
        <w:pStyle w:val="0"/>
        <w:spacing w:before="240" w:lineRule="auto"/>
        <w:ind w:firstLine="540"/>
        <w:jc w:val="both"/>
      </w:pPr>
      <w:r>
        <w:rPr>
          <w:sz w:val="24"/>
        </w:rPr>
        <w:t xml:space="preserve">5.12.4. Информация о физическом лице, признаваемом на основании </w:t>
      </w:r>
      <w:hyperlink w:history="0" r:id="rId141"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пункта 7 части 1 статьи 9</w:t>
        </w:r>
      </w:hyperlink>
      <w:r>
        <w:rPr>
          <w:sz w:val="24"/>
        </w:rPr>
        <w:t xml:space="preserve"> Федерального закона N 135-ФЗ входящим в группу лиц с физическим лицом, принадлежащим к группе лиц, к которой принадлежит страховая организация, включается в </w:t>
      </w:r>
      <w:hyperlink w:history="0" w:anchor="P1555" w:tooltip="Раздел 2. Сведения об аффилированных лицах">
        <w:r>
          <w:rPr>
            <w:sz w:val="24"/>
            <w:color w:val="0000ff"/>
          </w:rPr>
          <w:t xml:space="preserve">раздел 2</w:t>
        </w:r>
      </w:hyperlink>
      <w:r>
        <w:rPr>
          <w:sz w:val="24"/>
        </w:rPr>
        <w:t xml:space="preserve"> отчетности по форме 0420152 только при условии, что данное физическое лицо или его супруг, родители (в том числе усыновители), дети (в том числе усыновленные), полнородные и неполнородные братья и сестры соответствуют хотя бы одному из признаков отнесения к группе лиц с юридическим лицом (в том числе с хозяйственным обществом (товариществом, хозяйственным партнерством), указанных в </w:t>
      </w:r>
      <w:hyperlink w:history="0" r:id="rId142"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пунктах 1</w:t>
        </w:r>
      </w:hyperlink>
      <w:r>
        <w:rPr>
          <w:sz w:val="24"/>
        </w:rPr>
        <w:t xml:space="preserve"> - </w:t>
      </w:r>
      <w:hyperlink w:history="0" r:id="rId143"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3</w:t>
        </w:r>
      </w:hyperlink>
      <w:r>
        <w:rPr>
          <w:sz w:val="24"/>
        </w:rPr>
        <w:t xml:space="preserve">, </w:t>
      </w:r>
      <w:hyperlink w:history="0" r:id="rId14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5</w:t>
        </w:r>
      </w:hyperlink>
      <w:r>
        <w:rPr>
          <w:sz w:val="24"/>
        </w:rPr>
        <w:t xml:space="preserve">, </w:t>
      </w:r>
      <w:hyperlink w:history="0" r:id="rId145"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6</w:t>
        </w:r>
      </w:hyperlink>
      <w:r>
        <w:rPr>
          <w:sz w:val="24"/>
        </w:rPr>
        <w:t xml:space="preserve">, </w:t>
      </w:r>
      <w:hyperlink w:history="0" r:id="rId146"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9 части 1 статьи 9</w:t>
        </w:r>
      </w:hyperlink>
      <w:r>
        <w:rPr>
          <w:sz w:val="24"/>
        </w:rPr>
        <w:t xml:space="preserve"> Федерального закона N 135-ФЗ.</w:t>
      </w:r>
    </w:p>
    <w:p>
      <w:pPr>
        <w:pStyle w:val="0"/>
        <w:spacing w:before="240" w:lineRule="auto"/>
        <w:ind w:firstLine="540"/>
        <w:jc w:val="both"/>
      </w:pPr>
      <w:r>
        <w:rPr>
          <w:sz w:val="24"/>
        </w:rPr>
        <w:t xml:space="preserve">5.12.5. В случае если юридическое или физическое лицо входит в группу лиц, к которой принадлежит страховая организация, по нескольким основаниям, соответствующим признакам, указанным в </w:t>
      </w:r>
      <w:hyperlink w:history="0" r:id="rId147"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части 1 статьи 9</w:t>
        </w:r>
      </w:hyperlink>
      <w:r>
        <w:rPr>
          <w:sz w:val="24"/>
        </w:rPr>
        <w:t xml:space="preserve"> Федерального закона N 135-ФЗ, информация о каждом основании, соответствующем таким признакам, по показателю "Основание принадлежности лиц к группе лиц, к которой принадлежит отчитывающаяся организация" </w:t>
      </w:r>
      <w:hyperlink w:history="0" w:anchor="P1760" w:tooltip="26">
        <w:r>
          <w:rPr>
            <w:sz w:val="24"/>
            <w:color w:val="0000ff"/>
          </w:rPr>
          <w:t xml:space="preserve">(строка 26)</w:t>
        </w:r>
      </w:hyperlink>
      <w:r>
        <w:rPr>
          <w:sz w:val="24"/>
        </w:rPr>
        <w:t xml:space="preserve"> в разрезе групп аналитических признаков "Идентификатор аффилированного лица (лицо 1)", "Идентификатор аффилированного лица (лицо 2)" указывается по каждому основанию отдельно с использованием группы аналитических признаков "Идентификатор взаимосвязи между аффилированными лицами".</w:t>
      </w:r>
    </w:p>
    <w:p>
      <w:pPr>
        <w:pStyle w:val="0"/>
        <w:spacing w:before="240" w:lineRule="auto"/>
        <w:ind w:firstLine="540"/>
        <w:jc w:val="both"/>
      </w:pPr>
      <w:r>
        <w:rPr>
          <w:sz w:val="24"/>
        </w:rPr>
        <w:t xml:space="preserve">Информация по показателю "Основание принадлежности лиц к группе лиц, к которой принадлежит отчитывающаяся организация" </w:t>
      </w:r>
      <w:hyperlink w:history="0" w:anchor="P1760" w:tooltip="26">
        <w:r>
          <w:rPr>
            <w:sz w:val="24"/>
            <w:color w:val="0000ff"/>
          </w:rPr>
          <w:t xml:space="preserve">(строка 26)</w:t>
        </w:r>
      </w:hyperlink>
      <w:r>
        <w:rPr>
          <w:sz w:val="24"/>
        </w:rPr>
        <w:t xml:space="preserve"> отражается по каждой отдельной взаимосвязи между аффилированными лицами, принадлежащими к группе лиц, к которой принадлежит страховая организация.</w:t>
      </w:r>
    </w:p>
    <w:p>
      <w:pPr>
        <w:pStyle w:val="0"/>
        <w:spacing w:before="240" w:lineRule="auto"/>
        <w:ind w:firstLine="540"/>
        <w:jc w:val="both"/>
      </w:pPr>
      <w:r>
        <w:rPr>
          <w:sz w:val="24"/>
        </w:rPr>
        <w:t xml:space="preserve">5.12.6. По группе аналитических признаков "Идентификатор взаимосвязи между аффилированными лицами" указывается порядковый номер, присвоенный страховой организацией самостоятельно каждой взаимосвязи, указанной в </w:t>
      </w:r>
      <w:hyperlink w:history="0" w:anchor="P1869" w:tooltip="5.12.1. По группе аналитических признаков &quot;Идентификатор аффилированного лица (лицо 1)&quot; указывается индивидуальный код аффилированного лица в разрезе следующих взаимосвязей:">
        <w:r>
          <w:rPr>
            <w:sz w:val="24"/>
            <w:color w:val="0000ff"/>
          </w:rPr>
          <w:t xml:space="preserve">подпункте 5.12.1</w:t>
        </w:r>
      </w:hyperlink>
      <w:r>
        <w:rPr>
          <w:sz w:val="24"/>
        </w:rPr>
        <w:t xml:space="preserve"> настоящего пункта, в группе лиц, к которой принадлежит страховая организация.</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1888" w:name="P1888"/>
    <w:bookmarkEnd w:id="1888"/>
    <w:p>
      <w:pPr>
        <w:pStyle w:val="0"/>
        <w:jc w:val="center"/>
      </w:pPr>
      <w:r>
        <w:rPr>
          <w:sz w:val="24"/>
        </w:rPr>
        <w:t xml:space="preserve">Отчетность по форме 0420153</w:t>
      </w:r>
    </w:p>
    <w:p>
      <w:pPr>
        <w:pStyle w:val="0"/>
        <w:jc w:val="center"/>
      </w:pPr>
      <w:r>
        <w:rPr>
          <w:sz w:val="24"/>
        </w:rPr>
        <w:t xml:space="preserve">"Сведения о размере гарантийного депозита филиала</w:t>
      </w:r>
    </w:p>
    <w:p>
      <w:pPr>
        <w:pStyle w:val="0"/>
        <w:jc w:val="center"/>
      </w:pPr>
      <w:r>
        <w:rPr>
          <w:sz w:val="24"/>
        </w:rPr>
        <w:t xml:space="preserve">иностранной страховой организации"</w:t>
      </w:r>
    </w:p>
    <w:p>
      <w:pPr>
        <w:pStyle w:val="0"/>
        <w:ind w:firstLine="540"/>
        <w:jc w:val="both"/>
      </w:pPr>
      <w:r>
        <w:rPr>
          <w:sz w:val="24"/>
        </w:rPr>
      </w:r>
    </w:p>
    <w:p>
      <w:pPr>
        <w:pStyle w:val="0"/>
        <w:jc w:val="right"/>
      </w:pPr>
      <w:r>
        <w:rPr>
          <w:sz w:val="24"/>
        </w:rPr>
        <w:t xml:space="preserve">Код формы по </w:t>
      </w:r>
      <w:hyperlink w:history="0" r:id="rId148"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2280" w:tooltip="&lt;1&gt; Общероссийский классификатор управленческой документации.">
        <w:r>
          <w:rPr>
            <w:sz w:val="24"/>
            <w:color w:val="0000ff"/>
          </w:rPr>
          <w:t xml:space="preserve">&lt;1&gt;</w:t>
        </w:r>
      </w:hyperlink>
      <w:r>
        <w:rPr>
          <w:sz w:val="24"/>
        </w:rPr>
        <w:t xml:space="preserve"> 0420153</w:t>
      </w:r>
    </w:p>
    <w:p>
      <w:pPr>
        <w:pStyle w:val="0"/>
        <w:ind w:firstLine="540"/>
        <w:jc w:val="both"/>
      </w:pPr>
      <w:r>
        <w:rPr>
          <w:sz w:val="24"/>
        </w:rPr>
      </w:r>
    </w:p>
    <w:p>
      <w:pPr>
        <w:pStyle w:val="0"/>
        <w:jc w:val="right"/>
      </w:pPr>
      <w:r>
        <w:rPr>
          <w:sz w:val="24"/>
        </w:rPr>
        <w:t xml:space="preserve">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464"/>
        <w:gridCol w:w="2144"/>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371" w:type="dxa"/>
            <w:tcBorders>
              <w:left w:val="single" w:sz="4"/>
            </w:tcBorders>
          </w:tcPr>
          <w:bookmarkStart w:id="1904" w:name="P1904"/>
          <w:bookmarkEnd w:id="1904"/>
          <w:p>
            <w:pPr>
              <w:pStyle w:val="0"/>
              <w:outlineLvl w:val="3"/>
            </w:pPr>
            <w:r>
              <w:rPr>
                <w:sz w:val="24"/>
              </w:rPr>
              <w:t xml:space="preserve">Раздел 1.</w:t>
            </w:r>
          </w:p>
        </w:tc>
        <w:tc>
          <w:tcPr>
            <w:gridSpan w:val="3"/>
            <w:tcW w:w="7700" w:type="dxa"/>
            <w:tcBorders>
              <w:right w:val="single" w:sz="4"/>
            </w:tcBorders>
          </w:tcPr>
          <w:p>
            <w:pPr>
              <w:pStyle w:val="0"/>
              <w:jc w:val="both"/>
            </w:pPr>
            <w:r>
              <w:rPr>
                <w:sz w:val="24"/>
              </w:rPr>
              <w:t xml:space="preserve">Размер гарантийного депозита</w:t>
            </w:r>
          </w:p>
        </w:tc>
      </w:tr>
      <w:tr>
        <w:tc>
          <w:tcPr>
            <w:tcW w:w="907" w:type="dxa"/>
          </w:tcPr>
          <w:bookmarkStart w:id="1906" w:name="P1906"/>
          <w:bookmarkEnd w:id="1906"/>
          <w:p>
            <w:pPr>
              <w:pStyle w:val="0"/>
            </w:pPr>
            <w:r>
              <w:rPr>
                <w:sz w:val="24"/>
              </w:rPr>
              <w:t xml:space="preserve">1</w:t>
            </w:r>
          </w:p>
        </w:tc>
        <w:tc>
          <w:tcPr>
            <w:gridSpan w:val="2"/>
            <w:tcW w:w="2608" w:type="dxa"/>
          </w:tcPr>
          <w:p>
            <w:pPr>
              <w:pStyle w:val="0"/>
            </w:pPr>
            <w:r>
              <w:rPr>
                <w:sz w:val="24"/>
              </w:rPr>
              <w:t xml:space="preserve">Минимальный размер гарантийного депозита</w:t>
            </w:r>
          </w:p>
        </w:tc>
        <w:tc>
          <w:tcPr>
            <w:tcW w:w="2608" w:type="dxa"/>
          </w:tcPr>
          <w:p>
            <w:pPr>
              <w:pStyle w:val="0"/>
            </w:pPr>
            <w:r>
              <w:rPr>
                <w:sz w:val="24"/>
              </w:rPr>
            </w:r>
          </w:p>
        </w:tc>
        <w:tc>
          <w:tcPr>
            <w:tcW w:w="2948" w:type="dxa"/>
          </w:tcPr>
          <w:p>
            <w:pPr>
              <w:pStyle w:val="0"/>
            </w:pPr>
            <w:r>
              <w:rPr>
                <w:sz w:val="24"/>
              </w:rPr>
              <w:t xml:space="preserve">ins-dic:Min_Razmer_GarantDepozita</w:t>
            </w:r>
          </w:p>
        </w:tc>
      </w:tr>
      <w:tr>
        <w:tc>
          <w:tcPr>
            <w:tcW w:w="907" w:type="dxa"/>
          </w:tcPr>
          <w:p>
            <w:pPr>
              <w:pStyle w:val="0"/>
            </w:pPr>
            <w:r>
              <w:rPr>
                <w:sz w:val="24"/>
              </w:rPr>
              <w:t xml:space="preserve">1.1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dim-int:ID_filiaITaxis</w:t>
            </w:r>
          </w:p>
        </w:tc>
      </w:tr>
      <w:tr>
        <w:tc>
          <w:tcPr>
            <w:tcW w:w="907" w:type="dxa"/>
          </w:tcPr>
          <w:p>
            <w:pPr>
              <w:pStyle w:val="0"/>
            </w:pPr>
            <w:r>
              <w:rPr>
                <w:sz w:val="24"/>
              </w:rPr>
              <w:t xml:space="preserve">1.2</w:t>
            </w:r>
          </w:p>
        </w:tc>
        <w:tc>
          <w:tcPr>
            <w:gridSpan w:val="2"/>
            <w:tcW w:w="2608" w:type="dxa"/>
          </w:tcPr>
          <w:p>
            <w:pPr>
              <w:pStyle w:val="0"/>
            </w:pPr>
            <w:r>
              <w:rPr>
                <w:sz w:val="24"/>
              </w:rPr>
            </w:r>
          </w:p>
        </w:tc>
        <w:tc>
          <w:tcPr>
            <w:tcW w:w="2608" w:type="dxa"/>
          </w:tcPr>
          <w:p>
            <w:pPr>
              <w:pStyle w:val="0"/>
            </w:pPr>
            <w:r>
              <w:rPr>
                <w:sz w:val="24"/>
              </w:rPr>
              <w:t xml:space="preserve">Идентификатор кредитной организации</w:t>
            </w:r>
          </w:p>
        </w:tc>
        <w:tc>
          <w:tcPr>
            <w:tcW w:w="2948" w:type="dxa"/>
          </w:tcPr>
          <w:p>
            <w:pPr>
              <w:pStyle w:val="0"/>
            </w:pPr>
            <w:r>
              <w:rPr>
                <w:sz w:val="24"/>
              </w:rPr>
              <w:t xml:space="preserve">dim-int:KreditnayaOrganizacziyaTaxis</w:t>
            </w:r>
          </w:p>
        </w:tc>
      </w:tr>
      <w:tr>
        <w:tc>
          <w:tcPr>
            <w:tcW w:w="907" w:type="dxa"/>
          </w:tcPr>
          <w:p>
            <w:pPr>
              <w:pStyle w:val="0"/>
            </w:pPr>
            <w:r>
              <w:rPr>
                <w:sz w:val="24"/>
              </w:rPr>
              <w:t xml:space="preserve">1.3</w:t>
            </w:r>
          </w:p>
        </w:tc>
        <w:tc>
          <w:tcPr>
            <w:gridSpan w:val="2"/>
            <w:tcW w:w="2608" w:type="dxa"/>
          </w:tcPr>
          <w:p>
            <w:pPr>
              <w:pStyle w:val="0"/>
            </w:pPr>
            <w:r>
              <w:rPr>
                <w:sz w:val="24"/>
              </w:rPr>
            </w:r>
          </w:p>
        </w:tc>
        <w:tc>
          <w:tcPr>
            <w:tcW w:w="2608" w:type="dxa"/>
          </w:tcPr>
          <w:p>
            <w:pPr>
              <w:pStyle w:val="0"/>
            </w:pPr>
            <w:r>
              <w:rPr>
                <w:sz w:val="24"/>
              </w:rPr>
              <w:t xml:space="preserve">Банковский счет</w:t>
            </w:r>
          </w:p>
        </w:tc>
        <w:tc>
          <w:tcPr>
            <w:tcW w:w="2948" w:type="dxa"/>
          </w:tcPr>
          <w:p>
            <w:pPr>
              <w:pStyle w:val="0"/>
            </w:pPr>
            <w:r>
              <w:rPr>
                <w:sz w:val="24"/>
              </w:rPr>
              <w:t xml:space="preserve">dim-int:BankovskijSchetTaxis</w:t>
            </w:r>
          </w:p>
        </w:tc>
      </w:tr>
      <w:tr>
        <w:tc>
          <w:tcPr>
            <w:tcW w:w="907" w:type="dxa"/>
          </w:tcPr>
          <w:bookmarkStart w:id="1922" w:name="P1922"/>
          <w:bookmarkEnd w:id="1922"/>
          <w:p>
            <w:pPr>
              <w:pStyle w:val="0"/>
            </w:pPr>
            <w:r>
              <w:rPr>
                <w:sz w:val="24"/>
              </w:rPr>
              <w:t xml:space="preserve">2</w:t>
            </w:r>
          </w:p>
        </w:tc>
        <w:tc>
          <w:tcPr>
            <w:gridSpan w:val="2"/>
            <w:tcW w:w="2608" w:type="dxa"/>
          </w:tcPr>
          <w:p>
            <w:pPr>
              <w:pStyle w:val="0"/>
            </w:pPr>
            <w:r>
              <w:rPr>
                <w:sz w:val="24"/>
              </w:rPr>
              <w:t xml:space="preserve">Расчетный размер гарантийного депозита</w:t>
            </w:r>
          </w:p>
        </w:tc>
        <w:tc>
          <w:tcPr>
            <w:tcW w:w="2608" w:type="dxa"/>
          </w:tcPr>
          <w:p>
            <w:pPr>
              <w:pStyle w:val="0"/>
            </w:pPr>
            <w:r>
              <w:rPr>
                <w:sz w:val="24"/>
              </w:rPr>
            </w:r>
          </w:p>
        </w:tc>
        <w:tc>
          <w:tcPr>
            <w:tcW w:w="2948" w:type="dxa"/>
          </w:tcPr>
          <w:p>
            <w:pPr>
              <w:pStyle w:val="0"/>
            </w:pPr>
            <w:r>
              <w:rPr>
                <w:sz w:val="24"/>
              </w:rPr>
              <w:t xml:space="preserve">ins-dic:Raschet_Razmer_GarantDepozita</w:t>
            </w:r>
          </w:p>
        </w:tc>
      </w:tr>
      <w:tr>
        <w:tc>
          <w:tcPr>
            <w:tcW w:w="907" w:type="dxa"/>
          </w:tcPr>
          <w:p>
            <w:pPr>
              <w:pStyle w:val="0"/>
            </w:pPr>
            <w:r>
              <w:rPr>
                <w:sz w:val="24"/>
              </w:rPr>
              <w:t xml:space="preserve">2.1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dim-int:ID_filiaITaxis</w:t>
            </w:r>
          </w:p>
        </w:tc>
      </w:tr>
      <w:tr>
        <w:tc>
          <w:tcPr>
            <w:tcW w:w="907" w:type="dxa"/>
          </w:tcPr>
          <w:p>
            <w:pPr>
              <w:pStyle w:val="0"/>
            </w:pPr>
            <w:r>
              <w:rPr>
                <w:sz w:val="24"/>
              </w:rPr>
              <w:t xml:space="preserve">2.2</w:t>
            </w:r>
          </w:p>
        </w:tc>
        <w:tc>
          <w:tcPr>
            <w:gridSpan w:val="2"/>
            <w:tcW w:w="2608" w:type="dxa"/>
          </w:tcPr>
          <w:p>
            <w:pPr>
              <w:pStyle w:val="0"/>
            </w:pPr>
            <w:r>
              <w:rPr>
                <w:sz w:val="24"/>
              </w:rPr>
            </w:r>
          </w:p>
        </w:tc>
        <w:tc>
          <w:tcPr>
            <w:tcW w:w="2608" w:type="dxa"/>
          </w:tcPr>
          <w:p>
            <w:pPr>
              <w:pStyle w:val="0"/>
            </w:pPr>
            <w:r>
              <w:rPr>
                <w:sz w:val="24"/>
              </w:rPr>
              <w:t xml:space="preserve">Идентификатор кредитной организации</w:t>
            </w:r>
          </w:p>
        </w:tc>
        <w:tc>
          <w:tcPr>
            <w:tcW w:w="2948" w:type="dxa"/>
          </w:tcPr>
          <w:p>
            <w:pPr>
              <w:pStyle w:val="0"/>
            </w:pPr>
            <w:r>
              <w:rPr>
                <w:sz w:val="24"/>
              </w:rPr>
              <w:t xml:space="preserve">dim-int:KreditnayaOrganizacziyaTaxis</w:t>
            </w:r>
          </w:p>
        </w:tc>
      </w:tr>
      <w:tr>
        <w:tc>
          <w:tcPr>
            <w:tcW w:w="907" w:type="dxa"/>
          </w:tcPr>
          <w:p>
            <w:pPr>
              <w:pStyle w:val="0"/>
            </w:pPr>
            <w:r>
              <w:rPr>
                <w:sz w:val="24"/>
              </w:rPr>
              <w:t xml:space="preserve">2.3</w:t>
            </w:r>
          </w:p>
        </w:tc>
        <w:tc>
          <w:tcPr>
            <w:gridSpan w:val="2"/>
            <w:tcW w:w="2608" w:type="dxa"/>
          </w:tcPr>
          <w:p>
            <w:pPr>
              <w:pStyle w:val="0"/>
            </w:pPr>
            <w:r>
              <w:rPr>
                <w:sz w:val="24"/>
              </w:rPr>
            </w:r>
          </w:p>
        </w:tc>
        <w:tc>
          <w:tcPr>
            <w:tcW w:w="2608" w:type="dxa"/>
          </w:tcPr>
          <w:p>
            <w:pPr>
              <w:pStyle w:val="0"/>
            </w:pPr>
            <w:r>
              <w:rPr>
                <w:sz w:val="24"/>
              </w:rPr>
              <w:t xml:space="preserve">Банковский счет</w:t>
            </w:r>
          </w:p>
        </w:tc>
        <w:tc>
          <w:tcPr>
            <w:tcW w:w="2948" w:type="dxa"/>
          </w:tcPr>
          <w:p>
            <w:pPr>
              <w:pStyle w:val="0"/>
            </w:pPr>
            <w:r>
              <w:rPr>
                <w:sz w:val="24"/>
              </w:rPr>
              <w:t xml:space="preserve">dim-int:BankovskijSchetTaxis</w:t>
            </w:r>
          </w:p>
        </w:tc>
      </w:tr>
      <w:tr>
        <w:tc>
          <w:tcPr>
            <w:tcW w:w="907" w:type="dxa"/>
          </w:tcPr>
          <w:bookmarkStart w:id="1938" w:name="P1938"/>
          <w:bookmarkEnd w:id="1938"/>
          <w:p>
            <w:pPr>
              <w:pStyle w:val="0"/>
            </w:pPr>
            <w:r>
              <w:rPr>
                <w:sz w:val="24"/>
              </w:rPr>
              <w:t xml:space="preserve">3</w:t>
            </w:r>
          </w:p>
        </w:tc>
        <w:tc>
          <w:tcPr>
            <w:gridSpan w:val="2"/>
            <w:tcW w:w="2608" w:type="dxa"/>
          </w:tcPr>
          <w:p>
            <w:pPr>
              <w:pStyle w:val="0"/>
            </w:pPr>
            <w:r>
              <w:rPr>
                <w:sz w:val="24"/>
              </w:rPr>
              <w:t xml:space="preserve">Общий размер гарантийного депозита</w:t>
            </w:r>
          </w:p>
        </w:tc>
        <w:tc>
          <w:tcPr>
            <w:tcW w:w="2608" w:type="dxa"/>
          </w:tcPr>
          <w:p>
            <w:pPr>
              <w:pStyle w:val="0"/>
            </w:pPr>
            <w:r>
              <w:rPr>
                <w:sz w:val="24"/>
              </w:rPr>
            </w:r>
          </w:p>
        </w:tc>
        <w:tc>
          <w:tcPr>
            <w:tcW w:w="2948" w:type="dxa"/>
          </w:tcPr>
          <w:p>
            <w:pPr>
              <w:pStyle w:val="0"/>
            </w:pPr>
            <w:r>
              <w:rPr>
                <w:sz w:val="24"/>
              </w:rPr>
              <w:t xml:space="preserve">ins-dic:Ob_Razmer_GarantDepozita</w:t>
            </w:r>
          </w:p>
        </w:tc>
      </w:tr>
      <w:tr>
        <w:tc>
          <w:tcPr>
            <w:tcW w:w="907" w:type="dxa"/>
          </w:tcPr>
          <w:p>
            <w:pPr>
              <w:pStyle w:val="0"/>
            </w:pPr>
            <w:r>
              <w:rPr>
                <w:sz w:val="24"/>
              </w:rPr>
              <w:t xml:space="preserve">3.1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3.2</w:t>
            </w:r>
          </w:p>
        </w:tc>
        <w:tc>
          <w:tcPr>
            <w:gridSpan w:val="2"/>
            <w:tcW w:w="2608" w:type="dxa"/>
          </w:tcPr>
          <w:p>
            <w:pPr>
              <w:pStyle w:val="0"/>
            </w:pPr>
            <w:r>
              <w:rPr>
                <w:sz w:val="24"/>
              </w:rPr>
            </w:r>
          </w:p>
        </w:tc>
        <w:tc>
          <w:tcPr>
            <w:tcW w:w="2608" w:type="dxa"/>
          </w:tcPr>
          <w:p>
            <w:pPr>
              <w:pStyle w:val="0"/>
            </w:pPr>
            <w:r>
              <w:rPr>
                <w:sz w:val="24"/>
              </w:rPr>
              <w:t xml:space="preserve">Идентификатор кредитной организации</w:t>
            </w:r>
          </w:p>
        </w:tc>
        <w:tc>
          <w:tcPr>
            <w:tcW w:w="2948" w:type="dxa"/>
          </w:tcPr>
          <w:p>
            <w:pPr>
              <w:pStyle w:val="0"/>
            </w:pPr>
            <w:r>
              <w:rPr>
                <w:sz w:val="24"/>
              </w:rPr>
              <w:t xml:space="preserve">dim-int:KreditnayaOrganizacziyaTaxis</w:t>
            </w:r>
          </w:p>
        </w:tc>
      </w:tr>
      <w:tr>
        <w:tc>
          <w:tcPr>
            <w:tcW w:w="907" w:type="dxa"/>
          </w:tcPr>
          <w:p>
            <w:pPr>
              <w:pStyle w:val="0"/>
            </w:pPr>
            <w:r>
              <w:rPr>
                <w:sz w:val="24"/>
              </w:rPr>
              <w:t xml:space="preserve">3.3</w:t>
            </w:r>
          </w:p>
        </w:tc>
        <w:tc>
          <w:tcPr>
            <w:gridSpan w:val="2"/>
            <w:tcW w:w="2608" w:type="dxa"/>
          </w:tcPr>
          <w:p>
            <w:pPr>
              <w:pStyle w:val="0"/>
            </w:pPr>
            <w:r>
              <w:rPr>
                <w:sz w:val="24"/>
              </w:rPr>
            </w:r>
          </w:p>
        </w:tc>
        <w:tc>
          <w:tcPr>
            <w:tcW w:w="2608" w:type="dxa"/>
          </w:tcPr>
          <w:p>
            <w:pPr>
              <w:pStyle w:val="0"/>
            </w:pPr>
            <w:r>
              <w:rPr>
                <w:sz w:val="24"/>
              </w:rPr>
              <w:t xml:space="preserve">Банковский счет</w:t>
            </w:r>
          </w:p>
        </w:tc>
        <w:tc>
          <w:tcPr>
            <w:tcW w:w="2948" w:type="dxa"/>
          </w:tcPr>
          <w:p>
            <w:pPr>
              <w:pStyle w:val="0"/>
            </w:pPr>
            <w:r>
              <w:rPr>
                <w:sz w:val="24"/>
              </w:rPr>
              <w:t xml:space="preserve">dim-int:BankovskijSchetTaxis</w:t>
            </w:r>
          </w:p>
        </w:tc>
      </w:tr>
      <w:tr>
        <w:tc>
          <w:tcPr>
            <w:tcW w:w="907" w:type="dxa"/>
          </w:tcPr>
          <w:bookmarkStart w:id="1954" w:name="P1954"/>
          <w:bookmarkEnd w:id="1954"/>
          <w:p>
            <w:pPr>
              <w:pStyle w:val="0"/>
            </w:pPr>
            <w:r>
              <w:rPr>
                <w:sz w:val="24"/>
              </w:rPr>
              <w:t xml:space="preserve">4</w:t>
            </w:r>
          </w:p>
        </w:tc>
        <w:tc>
          <w:tcPr>
            <w:gridSpan w:val="2"/>
            <w:tcW w:w="2608" w:type="dxa"/>
          </w:tcPr>
          <w:p>
            <w:pPr>
              <w:pStyle w:val="0"/>
            </w:pPr>
            <w:r>
              <w:rPr>
                <w:sz w:val="24"/>
              </w:rPr>
              <w:t xml:space="preserve">Стоимость денежных средств</w:t>
            </w:r>
          </w:p>
        </w:tc>
        <w:tc>
          <w:tcPr>
            <w:tcW w:w="2608" w:type="dxa"/>
          </w:tcPr>
          <w:p>
            <w:pPr>
              <w:pStyle w:val="0"/>
            </w:pPr>
            <w:r>
              <w:rPr>
                <w:sz w:val="24"/>
              </w:rPr>
            </w:r>
          </w:p>
        </w:tc>
        <w:tc>
          <w:tcPr>
            <w:tcW w:w="2948" w:type="dxa"/>
          </w:tcPr>
          <w:p>
            <w:pPr>
              <w:pStyle w:val="0"/>
            </w:pPr>
            <w:r>
              <w:rPr>
                <w:sz w:val="24"/>
              </w:rPr>
              <w:t xml:space="preserve">ins-dic:StoimostDenezhnyxSredstv</w:t>
            </w:r>
          </w:p>
        </w:tc>
      </w:tr>
      <w:tr>
        <w:tc>
          <w:tcPr>
            <w:tcW w:w="907" w:type="dxa"/>
          </w:tcPr>
          <w:p>
            <w:pPr>
              <w:pStyle w:val="0"/>
            </w:pPr>
            <w:r>
              <w:rPr>
                <w:sz w:val="24"/>
              </w:rPr>
              <w:t xml:space="preserve">4.1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4.2</w:t>
            </w:r>
          </w:p>
        </w:tc>
        <w:tc>
          <w:tcPr>
            <w:gridSpan w:val="2"/>
            <w:tcW w:w="2608" w:type="dxa"/>
          </w:tcPr>
          <w:p>
            <w:pPr>
              <w:pStyle w:val="0"/>
            </w:pPr>
            <w:r>
              <w:rPr>
                <w:sz w:val="24"/>
              </w:rPr>
            </w:r>
          </w:p>
        </w:tc>
        <w:tc>
          <w:tcPr>
            <w:tcW w:w="2608" w:type="dxa"/>
          </w:tcPr>
          <w:p>
            <w:pPr>
              <w:pStyle w:val="0"/>
            </w:pPr>
            <w:r>
              <w:rPr>
                <w:sz w:val="24"/>
              </w:rPr>
              <w:t xml:space="preserve">Идентификатор кредитной организации</w:t>
            </w:r>
          </w:p>
        </w:tc>
        <w:tc>
          <w:tcPr>
            <w:tcW w:w="2948" w:type="dxa"/>
          </w:tcPr>
          <w:p>
            <w:pPr>
              <w:pStyle w:val="0"/>
            </w:pPr>
            <w:r>
              <w:rPr>
                <w:sz w:val="24"/>
              </w:rPr>
              <w:t xml:space="preserve">dim-int:KreditnayaOrganizacziyaTaxis</w:t>
            </w:r>
          </w:p>
        </w:tc>
      </w:tr>
      <w:tr>
        <w:tc>
          <w:tcPr>
            <w:tcW w:w="907" w:type="dxa"/>
          </w:tcPr>
          <w:p>
            <w:pPr>
              <w:pStyle w:val="0"/>
            </w:pPr>
            <w:r>
              <w:rPr>
                <w:sz w:val="24"/>
              </w:rPr>
              <w:t xml:space="preserve">4.3</w:t>
            </w:r>
          </w:p>
        </w:tc>
        <w:tc>
          <w:tcPr>
            <w:gridSpan w:val="2"/>
            <w:tcW w:w="2608" w:type="dxa"/>
          </w:tcPr>
          <w:p>
            <w:pPr>
              <w:pStyle w:val="0"/>
            </w:pPr>
            <w:r>
              <w:rPr>
                <w:sz w:val="24"/>
              </w:rPr>
            </w:r>
          </w:p>
        </w:tc>
        <w:tc>
          <w:tcPr>
            <w:tcW w:w="2608" w:type="dxa"/>
          </w:tcPr>
          <w:p>
            <w:pPr>
              <w:pStyle w:val="0"/>
            </w:pPr>
            <w:r>
              <w:rPr>
                <w:sz w:val="24"/>
              </w:rPr>
              <w:t xml:space="preserve">Банковский счет</w:t>
            </w:r>
          </w:p>
        </w:tc>
        <w:tc>
          <w:tcPr>
            <w:tcW w:w="2948" w:type="dxa"/>
          </w:tcPr>
          <w:p>
            <w:pPr>
              <w:pStyle w:val="0"/>
            </w:pPr>
            <w:r>
              <w:rPr>
                <w:sz w:val="24"/>
              </w:rPr>
              <w:t xml:space="preserve">dim-int:BankovskijSchetTaxis</w:t>
            </w:r>
          </w:p>
        </w:tc>
      </w:tr>
      <w:tr>
        <w:tblPrEx>
          <w:tblBorders>
            <w:insideV w:val="nil"/>
          </w:tblBorders>
        </w:tblPrEx>
        <w:tc>
          <w:tcPr>
            <w:gridSpan w:val="2"/>
            <w:tcW w:w="1371" w:type="dxa"/>
            <w:tcBorders>
              <w:left w:val="single" w:sz="4"/>
            </w:tcBorders>
          </w:tcPr>
          <w:bookmarkStart w:id="1970" w:name="P1970"/>
          <w:bookmarkEnd w:id="1970"/>
          <w:p>
            <w:pPr>
              <w:pStyle w:val="0"/>
              <w:outlineLvl w:val="3"/>
            </w:pPr>
            <w:r>
              <w:rPr>
                <w:sz w:val="24"/>
              </w:rPr>
              <w:t xml:space="preserve">Раздел 2.</w:t>
            </w:r>
          </w:p>
        </w:tc>
        <w:tc>
          <w:tcPr>
            <w:gridSpan w:val="3"/>
            <w:tcW w:w="7700" w:type="dxa"/>
            <w:tcBorders>
              <w:right w:val="single" w:sz="4"/>
            </w:tcBorders>
          </w:tcPr>
          <w:p>
            <w:pPr>
              <w:pStyle w:val="0"/>
            </w:pPr>
            <w:r>
              <w:rPr>
                <w:sz w:val="24"/>
              </w:rPr>
              <w:t xml:space="preserve">Расчетный размер гарантийного депозита по договорам страхования жизни</w:t>
            </w:r>
          </w:p>
        </w:tc>
      </w:tr>
      <w:tr>
        <w:tc>
          <w:tcPr>
            <w:tcW w:w="907" w:type="dxa"/>
          </w:tcPr>
          <w:bookmarkStart w:id="1972" w:name="P1972"/>
          <w:bookmarkEnd w:id="1972"/>
          <w:p>
            <w:pPr>
              <w:pStyle w:val="0"/>
            </w:pPr>
            <w:r>
              <w:rPr>
                <w:sz w:val="24"/>
              </w:rPr>
              <w:t xml:space="preserve">5</w:t>
            </w:r>
          </w:p>
        </w:tc>
        <w:tc>
          <w:tcPr>
            <w:gridSpan w:val="2"/>
            <w:tcW w:w="2608" w:type="dxa"/>
          </w:tcPr>
          <w:p>
            <w:pPr>
              <w:pStyle w:val="0"/>
            </w:pPr>
            <w:r>
              <w:rPr>
                <w:sz w:val="24"/>
              </w:rPr>
              <w:t xml:space="preserve">Расчетный размер гарантийного депозита по договорам страхования жизни</w:t>
            </w:r>
          </w:p>
        </w:tc>
        <w:tc>
          <w:tcPr>
            <w:tcW w:w="2608" w:type="dxa"/>
          </w:tcPr>
          <w:p>
            <w:pPr>
              <w:pStyle w:val="0"/>
            </w:pPr>
            <w:r>
              <w:rPr>
                <w:sz w:val="24"/>
              </w:rPr>
            </w:r>
          </w:p>
        </w:tc>
        <w:tc>
          <w:tcPr>
            <w:tcW w:w="2948" w:type="dxa"/>
          </w:tcPr>
          <w:p>
            <w:pPr>
              <w:pStyle w:val="0"/>
            </w:pPr>
            <w:r>
              <w:rPr>
                <w:sz w:val="24"/>
              </w:rPr>
              <w:t xml:space="preserve">ins-dic:Raschet_Razmer_GarantDep_Po_Dog_Strax_ZHizni</w:t>
            </w:r>
          </w:p>
        </w:tc>
      </w:tr>
      <w:tr>
        <w:tc>
          <w:tcPr>
            <w:tcW w:w="907" w:type="dxa"/>
          </w:tcPr>
          <w:p>
            <w:pPr>
              <w:pStyle w:val="0"/>
            </w:pPr>
            <w:r>
              <w:rPr>
                <w:sz w:val="24"/>
              </w:rPr>
              <w:t xml:space="preserve">5.1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1980" w:name="P1980"/>
          <w:bookmarkEnd w:id="1980"/>
          <w:p>
            <w:pPr>
              <w:pStyle w:val="0"/>
            </w:pPr>
            <w:r>
              <w:rPr>
                <w:sz w:val="24"/>
              </w:rPr>
              <w:t xml:space="preserve">6</w:t>
            </w:r>
          </w:p>
        </w:tc>
        <w:tc>
          <w:tcPr>
            <w:gridSpan w:val="2"/>
            <w:tcW w:w="2608" w:type="dxa"/>
          </w:tcPr>
          <w:p>
            <w:pPr>
              <w:pStyle w:val="0"/>
            </w:pPr>
            <w:r>
              <w:rPr>
                <w:sz w:val="24"/>
              </w:rPr>
              <w:t xml:space="preserve">Математическая часть</w:t>
            </w:r>
          </w:p>
        </w:tc>
        <w:tc>
          <w:tcPr>
            <w:tcW w:w="2608" w:type="dxa"/>
          </w:tcPr>
          <w:p>
            <w:pPr>
              <w:pStyle w:val="0"/>
            </w:pPr>
            <w:r>
              <w:rPr>
                <w:sz w:val="24"/>
              </w:rPr>
            </w:r>
          </w:p>
        </w:tc>
        <w:tc>
          <w:tcPr>
            <w:tcW w:w="2948" w:type="dxa"/>
          </w:tcPr>
          <w:p>
            <w:pPr>
              <w:pStyle w:val="0"/>
            </w:pPr>
            <w:r>
              <w:rPr>
                <w:sz w:val="24"/>
              </w:rPr>
              <w:t xml:space="preserve">ins-dic:Matematicheskaya_CHast</w:t>
            </w:r>
          </w:p>
        </w:tc>
      </w:tr>
      <w:tr>
        <w:tc>
          <w:tcPr>
            <w:tcW w:w="907" w:type="dxa"/>
          </w:tcPr>
          <w:p>
            <w:pPr>
              <w:pStyle w:val="0"/>
            </w:pPr>
            <w:r>
              <w:rPr>
                <w:sz w:val="24"/>
              </w:rPr>
              <w:t xml:space="preserve">6.1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1988" w:name="P1988"/>
          <w:bookmarkEnd w:id="1988"/>
          <w:p>
            <w:pPr>
              <w:pStyle w:val="0"/>
            </w:pPr>
            <w:r>
              <w:rPr>
                <w:sz w:val="24"/>
              </w:rPr>
              <w:t xml:space="preserve">7</w:t>
            </w:r>
          </w:p>
        </w:tc>
        <w:tc>
          <w:tcPr>
            <w:gridSpan w:val="2"/>
            <w:tcW w:w="2608" w:type="dxa"/>
          </w:tcPr>
          <w:p>
            <w:pPr>
              <w:pStyle w:val="0"/>
            </w:pPr>
            <w:r>
              <w:rPr>
                <w:sz w:val="24"/>
              </w:rPr>
              <w:t xml:space="preserve">Часть расходов на обслуживание страховых обязательств</w:t>
            </w:r>
          </w:p>
        </w:tc>
        <w:tc>
          <w:tcPr>
            <w:tcW w:w="2608" w:type="dxa"/>
          </w:tcPr>
          <w:p>
            <w:pPr>
              <w:pStyle w:val="0"/>
            </w:pPr>
            <w:r>
              <w:rPr>
                <w:sz w:val="24"/>
              </w:rPr>
            </w:r>
          </w:p>
        </w:tc>
        <w:tc>
          <w:tcPr>
            <w:tcW w:w="2948" w:type="dxa"/>
          </w:tcPr>
          <w:p>
            <w:pPr>
              <w:pStyle w:val="0"/>
            </w:pPr>
            <w:r>
              <w:rPr>
                <w:sz w:val="24"/>
              </w:rPr>
              <w:t xml:space="preserve">ins-dic:Chast_Rasx_Na_Obsluzh_Strax_Obyazatelstv</w:t>
            </w:r>
          </w:p>
        </w:tc>
      </w:tr>
      <w:tr>
        <w:tc>
          <w:tcPr>
            <w:tcW w:w="907" w:type="dxa"/>
          </w:tcPr>
          <w:p>
            <w:pPr>
              <w:pStyle w:val="0"/>
            </w:pPr>
            <w:r>
              <w:rPr>
                <w:sz w:val="24"/>
              </w:rPr>
              <w:t xml:space="preserve">7.1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1996" w:name="P1996"/>
          <w:bookmarkEnd w:id="1996"/>
          <w:p>
            <w:pPr>
              <w:pStyle w:val="0"/>
            </w:pPr>
            <w:r>
              <w:rPr>
                <w:sz w:val="24"/>
              </w:rPr>
              <w:t xml:space="preserve">8</w:t>
            </w:r>
          </w:p>
        </w:tc>
        <w:tc>
          <w:tcPr>
            <w:gridSpan w:val="2"/>
            <w:tcW w:w="2608" w:type="dxa"/>
          </w:tcPr>
          <w:p>
            <w:pPr>
              <w:pStyle w:val="0"/>
            </w:pPr>
            <w:r>
              <w:rPr>
                <w:sz w:val="24"/>
              </w:rPr>
              <w:t xml:space="preserve">Часть выплат по заявленным, но не урегулированным страховым случаям</w:t>
            </w:r>
          </w:p>
        </w:tc>
        <w:tc>
          <w:tcPr>
            <w:tcW w:w="2608" w:type="dxa"/>
          </w:tcPr>
          <w:p>
            <w:pPr>
              <w:pStyle w:val="0"/>
            </w:pPr>
            <w:r>
              <w:rPr>
                <w:sz w:val="24"/>
              </w:rPr>
            </w:r>
          </w:p>
        </w:tc>
        <w:tc>
          <w:tcPr>
            <w:tcW w:w="2948" w:type="dxa"/>
          </w:tcPr>
          <w:p>
            <w:pPr>
              <w:pStyle w:val="0"/>
            </w:pPr>
            <w:r>
              <w:rPr>
                <w:sz w:val="24"/>
              </w:rPr>
              <w:t xml:space="preserve">ins-dic:Chast_Vyplat_Po_Zayavl_NoNeUreg_Strax_Sluch</w:t>
            </w:r>
          </w:p>
        </w:tc>
      </w:tr>
      <w:tr>
        <w:tc>
          <w:tcPr>
            <w:tcW w:w="907" w:type="dxa"/>
          </w:tcPr>
          <w:p>
            <w:pPr>
              <w:pStyle w:val="0"/>
            </w:pPr>
            <w:r>
              <w:rPr>
                <w:sz w:val="24"/>
              </w:rPr>
              <w:t xml:space="preserve">8.1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dim-int:ID_filiaITaxis</w:t>
            </w:r>
          </w:p>
        </w:tc>
      </w:tr>
      <w:tr>
        <w:tc>
          <w:tcPr>
            <w:tcW w:w="907" w:type="dxa"/>
          </w:tcPr>
          <w:bookmarkStart w:id="2004" w:name="P2004"/>
          <w:bookmarkEnd w:id="2004"/>
          <w:p>
            <w:pPr>
              <w:pStyle w:val="0"/>
            </w:pPr>
            <w:r>
              <w:rPr>
                <w:sz w:val="24"/>
              </w:rPr>
              <w:t xml:space="preserve">9</w:t>
            </w:r>
          </w:p>
        </w:tc>
        <w:tc>
          <w:tcPr>
            <w:gridSpan w:val="2"/>
            <w:tcW w:w="2608" w:type="dxa"/>
          </w:tcPr>
          <w:p>
            <w:pPr>
              <w:pStyle w:val="0"/>
            </w:pPr>
            <w:r>
              <w:rPr>
                <w:sz w:val="24"/>
              </w:rPr>
              <w:t xml:space="preserve">Часть выплат по произошедшим, но не заявленным страховым случаям</w:t>
            </w:r>
          </w:p>
        </w:tc>
        <w:tc>
          <w:tcPr>
            <w:tcW w:w="2608" w:type="dxa"/>
          </w:tcPr>
          <w:p>
            <w:pPr>
              <w:pStyle w:val="0"/>
            </w:pPr>
            <w:r>
              <w:rPr>
                <w:sz w:val="24"/>
              </w:rPr>
            </w:r>
          </w:p>
        </w:tc>
        <w:tc>
          <w:tcPr>
            <w:tcW w:w="2948" w:type="dxa"/>
          </w:tcPr>
          <w:p>
            <w:pPr>
              <w:pStyle w:val="0"/>
            </w:pPr>
            <w:r>
              <w:rPr>
                <w:sz w:val="24"/>
              </w:rPr>
              <w:t xml:space="preserve">ins-dic:CHastVyplat_Po_Proizosh_NoNeZayavl_Strax_Sluch</w:t>
            </w:r>
          </w:p>
        </w:tc>
      </w:tr>
      <w:tr>
        <w:tc>
          <w:tcPr>
            <w:tcW w:w="907" w:type="dxa"/>
          </w:tcPr>
          <w:p>
            <w:pPr>
              <w:pStyle w:val="0"/>
            </w:pPr>
            <w:r>
              <w:rPr>
                <w:sz w:val="24"/>
              </w:rPr>
              <w:t xml:space="preserve">9.1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012" w:name="P2012"/>
          <w:bookmarkEnd w:id="2012"/>
          <w:p>
            <w:pPr>
              <w:pStyle w:val="0"/>
            </w:pPr>
            <w:r>
              <w:rPr>
                <w:sz w:val="24"/>
              </w:rPr>
              <w:t xml:space="preserve">10</w:t>
            </w:r>
          </w:p>
        </w:tc>
        <w:tc>
          <w:tcPr>
            <w:gridSpan w:val="2"/>
            <w:tcW w:w="2608" w:type="dxa"/>
          </w:tcPr>
          <w:p>
            <w:pPr>
              <w:pStyle w:val="0"/>
            </w:pPr>
            <w:r>
              <w:rPr>
                <w:sz w:val="24"/>
              </w:rPr>
              <w:t xml:space="preserve">Часть дополнительных выплат (страховых бонусов)</w:t>
            </w:r>
          </w:p>
        </w:tc>
        <w:tc>
          <w:tcPr>
            <w:tcW w:w="2608" w:type="dxa"/>
          </w:tcPr>
          <w:p>
            <w:pPr>
              <w:pStyle w:val="0"/>
            </w:pPr>
            <w:r>
              <w:rPr>
                <w:sz w:val="24"/>
              </w:rPr>
            </w:r>
          </w:p>
        </w:tc>
        <w:tc>
          <w:tcPr>
            <w:tcW w:w="2948" w:type="dxa"/>
          </w:tcPr>
          <w:p>
            <w:pPr>
              <w:pStyle w:val="0"/>
            </w:pPr>
            <w:r>
              <w:rPr>
                <w:sz w:val="24"/>
              </w:rPr>
              <w:t xml:space="preserve">ins-dic:Chast_Dop_Vyplat_Strax_Bonusov</w:t>
            </w:r>
          </w:p>
        </w:tc>
      </w:tr>
      <w:tr>
        <w:tc>
          <w:tcPr>
            <w:tcW w:w="907" w:type="dxa"/>
          </w:tcPr>
          <w:p>
            <w:pPr>
              <w:pStyle w:val="0"/>
            </w:pPr>
            <w:r>
              <w:rPr>
                <w:sz w:val="24"/>
              </w:rPr>
              <w:t xml:space="preserve">10.1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020" w:name="P2020"/>
          <w:bookmarkEnd w:id="2020"/>
          <w:p>
            <w:pPr>
              <w:pStyle w:val="0"/>
            </w:pPr>
            <w:r>
              <w:rPr>
                <w:sz w:val="24"/>
              </w:rPr>
              <w:t xml:space="preserve">11</w:t>
            </w:r>
          </w:p>
        </w:tc>
        <w:tc>
          <w:tcPr>
            <w:gridSpan w:val="2"/>
            <w:tcW w:w="2608" w:type="dxa"/>
          </w:tcPr>
          <w:p>
            <w:pPr>
              <w:pStyle w:val="0"/>
            </w:pPr>
            <w:r>
              <w:rPr>
                <w:sz w:val="24"/>
              </w:rPr>
              <w:t xml:space="preserve">Выравнивающая часть</w:t>
            </w:r>
          </w:p>
        </w:tc>
        <w:tc>
          <w:tcPr>
            <w:tcW w:w="2608" w:type="dxa"/>
          </w:tcPr>
          <w:p>
            <w:pPr>
              <w:pStyle w:val="0"/>
            </w:pPr>
            <w:r>
              <w:rPr>
                <w:sz w:val="24"/>
              </w:rPr>
            </w:r>
          </w:p>
        </w:tc>
        <w:tc>
          <w:tcPr>
            <w:tcW w:w="2948" w:type="dxa"/>
          </w:tcPr>
          <w:p>
            <w:pPr>
              <w:pStyle w:val="0"/>
            </w:pPr>
            <w:r>
              <w:rPr>
                <w:sz w:val="24"/>
              </w:rPr>
              <w:t xml:space="preserve">ins-dic:Vyravnivayushhaya_CHast</w:t>
            </w:r>
          </w:p>
        </w:tc>
      </w:tr>
      <w:tr>
        <w:tc>
          <w:tcPr>
            <w:tcW w:w="907" w:type="dxa"/>
          </w:tcPr>
          <w:p>
            <w:pPr>
              <w:pStyle w:val="0"/>
            </w:pPr>
            <w:r>
              <w:rPr>
                <w:sz w:val="24"/>
              </w:rPr>
              <w:t xml:space="preserve">11.1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028" w:name="P2028"/>
          <w:bookmarkEnd w:id="2028"/>
          <w:p>
            <w:pPr>
              <w:pStyle w:val="0"/>
            </w:pPr>
            <w:r>
              <w:rPr>
                <w:sz w:val="24"/>
              </w:rPr>
              <w:t xml:space="preserve">12</w:t>
            </w:r>
          </w:p>
        </w:tc>
        <w:tc>
          <w:tcPr>
            <w:gridSpan w:val="2"/>
            <w:tcW w:w="2608" w:type="dxa"/>
          </w:tcPr>
          <w:p>
            <w:pPr>
              <w:pStyle w:val="0"/>
            </w:pPr>
            <w:r>
              <w:rPr>
                <w:sz w:val="24"/>
              </w:rPr>
              <w:t xml:space="preserve">Часть опций и гарантий</w:t>
            </w:r>
          </w:p>
        </w:tc>
        <w:tc>
          <w:tcPr>
            <w:tcW w:w="2608" w:type="dxa"/>
          </w:tcPr>
          <w:p>
            <w:pPr>
              <w:pStyle w:val="0"/>
            </w:pPr>
            <w:r>
              <w:rPr>
                <w:sz w:val="24"/>
              </w:rPr>
            </w:r>
          </w:p>
        </w:tc>
        <w:tc>
          <w:tcPr>
            <w:tcW w:w="2948" w:type="dxa"/>
          </w:tcPr>
          <w:p>
            <w:pPr>
              <w:pStyle w:val="0"/>
            </w:pPr>
            <w:r>
              <w:rPr>
                <w:sz w:val="24"/>
              </w:rPr>
              <w:t xml:space="preserve">ins-dic:Chast_Opczij_i_Garantij</w:t>
            </w:r>
          </w:p>
        </w:tc>
      </w:tr>
      <w:tr>
        <w:tc>
          <w:tcPr>
            <w:tcW w:w="907" w:type="dxa"/>
          </w:tcPr>
          <w:p>
            <w:pPr>
              <w:pStyle w:val="0"/>
            </w:pPr>
            <w:r>
              <w:rPr>
                <w:sz w:val="24"/>
              </w:rPr>
              <w:t xml:space="preserve">12.1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blPrEx>
          <w:tblBorders>
            <w:insideV w:val="nil"/>
          </w:tblBorders>
        </w:tblPrEx>
        <w:tc>
          <w:tcPr>
            <w:gridSpan w:val="2"/>
            <w:tcW w:w="1371" w:type="dxa"/>
            <w:tcBorders>
              <w:left w:val="single" w:sz="4"/>
            </w:tcBorders>
          </w:tcPr>
          <w:bookmarkStart w:id="2036" w:name="P2036"/>
          <w:bookmarkEnd w:id="2036"/>
          <w:p>
            <w:pPr>
              <w:pStyle w:val="0"/>
              <w:outlineLvl w:val="3"/>
            </w:pPr>
            <w:r>
              <w:rPr>
                <w:sz w:val="24"/>
              </w:rPr>
              <w:t xml:space="preserve">Раздел 3.</w:t>
            </w:r>
          </w:p>
        </w:tc>
        <w:tc>
          <w:tcPr>
            <w:gridSpan w:val="3"/>
            <w:tcW w:w="7700" w:type="dxa"/>
            <w:tcBorders>
              <w:right w:val="single" w:sz="4"/>
            </w:tcBorders>
          </w:tcPr>
          <w:p>
            <w:pPr>
              <w:pStyle w:val="0"/>
            </w:pPr>
            <w:r>
              <w:rPr>
                <w:sz w:val="24"/>
              </w:rPr>
              <w:t xml:space="preserve">Расчетный размер гарантийного депозита по договорам страхования иного, чем страхование жизни</w:t>
            </w:r>
          </w:p>
        </w:tc>
      </w:tr>
      <w:tr>
        <w:tc>
          <w:tcPr>
            <w:tcW w:w="907" w:type="dxa"/>
          </w:tcPr>
          <w:bookmarkStart w:id="2038" w:name="P2038"/>
          <w:bookmarkEnd w:id="2038"/>
          <w:p>
            <w:pPr>
              <w:pStyle w:val="0"/>
            </w:pPr>
            <w:r>
              <w:rPr>
                <w:sz w:val="24"/>
              </w:rPr>
              <w:t xml:space="preserve">13</w:t>
            </w:r>
          </w:p>
        </w:tc>
        <w:tc>
          <w:tcPr>
            <w:gridSpan w:val="2"/>
            <w:tcW w:w="2608" w:type="dxa"/>
          </w:tcPr>
          <w:p>
            <w:pPr>
              <w:pStyle w:val="0"/>
            </w:pPr>
            <w:r>
              <w:rPr>
                <w:sz w:val="24"/>
              </w:rPr>
              <w:t xml:space="preserve">Расчетный размер гарантийного депозита по договорам страхования иного, чем страхование жизни</w:t>
            </w:r>
          </w:p>
        </w:tc>
        <w:tc>
          <w:tcPr>
            <w:tcW w:w="2608" w:type="dxa"/>
          </w:tcPr>
          <w:p>
            <w:pPr>
              <w:pStyle w:val="0"/>
            </w:pPr>
            <w:r>
              <w:rPr>
                <w:sz w:val="24"/>
              </w:rPr>
            </w:r>
          </w:p>
        </w:tc>
        <w:tc>
          <w:tcPr>
            <w:tcW w:w="2948" w:type="dxa"/>
          </w:tcPr>
          <w:p>
            <w:pPr>
              <w:pStyle w:val="0"/>
            </w:pPr>
            <w:r>
              <w:rPr>
                <w:sz w:val="24"/>
              </w:rPr>
              <w:t xml:space="preserve">ins-dic:Raschet_Razmer_GarantDep_Po_Dog_Strax_Krome_ZHizni</w:t>
            </w:r>
          </w:p>
        </w:tc>
      </w:tr>
      <w:tr>
        <w:tc>
          <w:tcPr>
            <w:tcW w:w="907" w:type="dxa"/>
          </w:tcPr>
          <w:p>
            <w:pPr>
              <w:pStyle w:val="0"/>
            </w:pPr>
            <w:r>
              <w:rPr>
                <w:sz w:val="24"/>
              </w:rPr>
              <w:t xml:space="preserve">13.1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13.2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2050" w:name="P2050"/>
          <w:bookmarkEnd w:id="2050"/>
          <w:p>
            <w:pPr>
              <w:pStyle w:val="0"/>
            </w:pPr>
            <w:r>
              <w:rPr>
                <w:sz w:val="24"/>
              </w:rPr>
              <w:t xml:space="preserve">14</w:t>
            </w:r>
          </w:p>
        </w:tc>
        <w:tc>
          <w:tcPr>
            <w:gridSpan w:val="2"/>
            <w:tcW w:w="2608" w:type="dxa"/>
          </w:tcPr>
          <w:p>
            <w:pPr>
              <w:pStyle w:val="0"/>
            </w:pPr>
            <w:r>
              <w:rPr>
                <w:sz w:val="24"/>
              </w:rPr>
              <w:t xml:space="preserve">Часть незаработанной премии</w:t>
            </w:r>
          </w:p>
        </w:tc>
        <w:tc>
          <w:tcPr>
            <w:tcW w:w="2608" w:type="dxa"/>
          </w:tcPr>
          <w:p>
            <w:pPr>
              <w:pStyle w:val="0"/>
            </w:pPr>
            <w:r>
              <w:rPr>
                <w:sz w:val="24"/>
              </w:rPr>
            </w:r>
          </w:p>
        </w:tc>
        <w:tc>
          <w:tcPr>
            <w:tcW w:w="2948" w:type="dxa"/>
          </w:tcPr>
          <w:p>
            <w:pPr>
              <w:pStyle w:val="0"/>
            </w:pPr>
            <w:r>
              <w:rPr>
                <w:sz w:val="24"/>
              </w:rPr>
              <w:t xml:space="preserve">ins-dic:Chast_Nezarabotannoj_Premii</w:t>
            </w:r>
          </w:p>
        </w:tc>
      </w:tr>
      <w:tr>
        <w:tc>
          <w:tcPr>
            <w:tcW w:w="907" w:type="dxa"/>
          </w:tcPr>
          <w:p>
            <w:pPr>
              <w:pStyle w:val="0"/>
            </w:pPr>
            <w:r>
              <w:rPr>
                <w:sz w:val="24"/>
              </w:rPr>
              <w:t xml:space="preserve">14.1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14.2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2062" w:name="P2062"/>
          <w:bookmarkEnd w:id="2062"/>
          <w:p>
            <w:pPr>
              <w:pStyle w:val="0"/>
            </w:pPr>
            <w:r>
              <w:rPr>
                <w:sz w:val="24"/>
              </w:rPr>
              <w:t xml:space="preserve">15</w:t>
            </w:r>
          </w:p>
        </w:tc>
        <w:tc>
          <w:tcPr>
            <w:gridSpan w:val="2"/>
            <w:tcW w:w="2608" w:type="dxa"/>
          </w:tcPr>
          <w:p>
            <w:pPr>
              <w:pStyle w:val="0"/>
            </w:pPr>
            <w:r>
              <w:rPr>
                <w:sz w:val="24"/>
              </w:rPr>
              <w:t xml:space="preserve">Часть убытков</w:t>
            </w:r>
          </w:p>
        </w:tc>
        <w:tc>
          <w:tcPr>
            <w:tcW w:w="2608" w:type="dxa"/>
          </w:tcPr>
          <w:p>
            <w:pPr>
              <w:pStyle w:val="0"/>
            </w:pPr>
            <w:r>
              <w:rPr>
                <w:sz w:val="24"/>
              </w:rPr>
            </w:r>
          </w:p>
        </w:tc>
        <w:tc>
          <w:tcPr>
            <w:tcW w:w="2948" w:type="dxa"/>
          </w:tcPr>
          <w:p>
            <w:pPr>
              <w:pStyle w:val="0"/>
            </w:pPr>
            <w:r>
              <w:rPr>
                <w:sz w:val="24"/>
              </w:rPr>
              <w:t xml:space="preserve">ins-dic:Chast_Ubytkov</w:t>
            </w:r>
          </w:p>
        </w:tc>
      </w:tr>
      <w:tr>
        <w:tc>
          <w:tcPr>
            <w:tcW w:w="907" w:type="dxa"/>
          </w:tcPr>
          <w:p>
            <w:pPr>
              <w:pStyle w:val="0"/>
            </w:pPr>
            <w:r>
              <w:rPr>
                <w:sz w:val="24"/>
              </w:rPr>
              <w:t xml:space="preserve">15.1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15.2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2074" w:name="P2074"/>
          <w:bookmarkEnd w:id="2074"/>
          <w:p>
            <w:pPr>
              <w:pStyle w:val="0"/>
            </w:pPr>
            <w:r>
              <w:rPr>
                <w:sz w:val="24"/>
              </w:rPr>
              <w:t xml:space="preserve">16</w:t>
            </w:r>
          </w:p>
        </w:tc>
        <w:tc>
          <w:tcPr>
            <w:gridSpan w:val="2"/>
            <w:tcW w:w="2608" w:type="dxa"/>
          </w:tcPr>
          <w:p>
            <w:pPr>
              <w:pStyle w:val="0"/>
            </w:pPr>
            <w:r>
              <w:rPr>
                <w:sz w:val="24"/>
              </w:rPr>
              <w:t xml:space="preserve">Часть заявленных, но не урегулированных убытков</w:t>
            </w:r>
          </w:p>
        </w:tc>
        <w:tc>
          <w:tcPr>
            <w:tcW w:w="2608" w:type="dxa"/>
          </w:tcPr>
          <w:p>
            <w:pPr>
              <w:pStyle w:val="0"/>
            </w:pPr>
            <w:r>
              <w:rPr>
                <w:sz w:val="24"/>
              </w:rPr>
            </w:r>
          </w:p>
        </w:tc>
        <w:tc>
          <w:tcPr>
            <w:tcW w:w="2948" w:type="dxa"/>
          </w:tcPr>
          <w:p>
            <w:pPr>
              <w:pStyle w:val="0"/>
            </w:pPr>
            <w:r>
              <w:rPr>
                <w:sz w:val="24"/>
              </w:rPr>
              <w:t xml:space="preserve">ins-dic:Chast_Zayavl_NoNeUreg_Ubytkov</w:t>
            </w:r>
          </w:p>
        </w:tc>
      </w:tr>
      <w:tr>
        <w:tc>
          <w:tcPr>
            <w:tcW w:w="907" w:type="dxa"/>
          </w:tcPr>
          <w:p>
            <w:pPr>
              <w:pStyle w:val="0"/>
            </w:pPr>
            <w:r>
              <w:rPr>
                <w:sz w:val="24"/>
              </w:rPr>
              <w:t xml:space="preserve">16.1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16.2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2086" w:name="P2086"/>
          <w:bookmarkEnd w:id="2086"/>
          <w:p>
            <w:pPr>
              <w:pStyle w:val="0"/>
            </w:pPr>
            <w:r>
              <w:rPr>
                <w:sz w:val="24"/>
              </w:rPr>
              <w:t xml:space="preserve">17</w:t>
            </w:r>
          </w:p>
        </w:tc>
        <w:tc>
          <w:tcPr>
            <w:gridSpan w:val="2"/>
            <w:tcW w:w="2608" w:type="dxa"/>
          </w:tcPr>
          <w:p>
            <w:pPr>
              <w:pStyle w:val="0"/>
            </w:pPr>
            <w:r>
              <w:rPr>
                <w:sz w:val="24"/>
              </w:rPr>
              <w:t xml:space="preserve">Часть произошедших, но не заявленных убытков</w:t>
            </w:r>
          </w:p>
        </w:tc>
        <w:tc>
          <w:tcPr>
            <w:tcW w:w="2608" w:type="dxa"/>
          </w:tcPr>
          <w:p>
            <w:pPr>
              <w:pStyle w:val="0"/>
            </w:pPr>
            <w:r>
              <w:rPr>
                <w:sz w:val="24"/>
              </w:rPr>
            </w:r>
          </w:p>
        </w:tc>
        <w:tc>
          <w:tcPr>
            <w:tcW w:w="2948" w:type="dxa"/>
          </w:tcPr>
          <w:p>
            <w:pPr>
              <w:pStyle w:val="0"/>
            </w:pPr>
            <w:r>
              <w:rPr>
                <w:sz w:val="24"/>
              </w:rPr>
              <w:t xml:space="preserve">ins-dic:Chast_Proizosh_NoNeZayavl_Ubytkov</w:t>
            </w:r>
          </w:p>
        </w:tc>
      </w:tr>
      <w:tr>
        <w:tc>
          <w:tcPr>
            <w:tcW w:w="907" w:type="dxa"/>
          </w:tcPr>
          <w:p>
            <w:pPr>
              <w:pStyle w:val="0"/>
            </w:pPr>
            <w:r>
              <w:rPr>
                <w:sz w:val="24"/>
              </w:rPr>
              <w:t xml:space="preserve">17.1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17.2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2098" w:name="P2098"/>
          <w:bookmarkEnd w:id="2098"/>
          <w:p>
            <w:pPr>
              <w:pStyle w:val="0"/>
            </w:pPr>
            <w:r>
              <w:rPr>
                <w:sz w:val="24"/>
              </w:rPr>
              <w:t xml:space="preserve">18</w:t>
            </w:r>
          </w:p>
        </w:tc>
        <w:tc>
          <w:tcPr>
            <w:gridSpan w:val="2"/>
            <w:tcW w:w="2608" w:type="dxa"/>
          </w:tcPr>
          <w:p>
            <w:pPr>
              <w:pStyle w:val="0"/>
            </w:pPr>
            <w:r>
              <w:rPr>
                <w:sz w:val="24"/>
              </w:rPr>
              <w:t xml:space="preserve">Часть расходов на урегулирование убытков</w:t>
            </w:r>
          </w:p>
        </w:tc>
        <w:tc>
          <w:tcPr>
            <w:tcW w:w="2608" w:type="dxa"/>
          </w:tcPr>
          <w:p>
            <w:pPr>
              <w:pStyle w:val="0"/>
            </w:pPr>
            <w:r>
              <w:rPr>
                <w:sz w:val="24"/>
              </w:rPr>
            </w:r>
          </w:p>
        </w:tc>
        <w:tc>
          <w:tcPr>
            <w:tcW w:w="2948" w:type="dxa"/>
          </w:tcPr>
          <w:p>
            <w:pPr>
              <w:pStyle w:val="0"/>
            </w:pPr>
            <w:r>
              <w:rPr>
                <w:sz w:val="24"/>
              </w:rPr>
              <w:t xml:space="preserve">ins-dic:Chast_Rasxodov_na_Ureg_Ubytkov</w:t>
            </w:r>
          </w:p>
        </w:tc>
      </w:tr>
      <w:tr>
        <w:tc>
          <w:tcPr>
            <w:tcW w:w="907" w:type="dxa"/>
          </w:tcPr>
          <w:p>
            <w:pPr>
              <w:pStyle w:val="0"/>
            </w:pPr>
            <w:r>
              <w:rPr>
                <w:sz w:val="24"/>
              </w:rPr>
              <w:t xml:space="preserve">18.1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dim-int:ID_fiIialTaxis</w:t>
            </w:r>
          </w:p>
        </w:tc>
      </w:tr>
      <w:tr>
        <w:tc>
          <w:tcPr>
            <w:tcW w:w="907" w:type="dxa"/>
          </w:tcPr>
          <w:p>
            <w:pPr>
              <w:pStyle w:val="0"/>
            </w:pPr>
            <w:r>
              <w:rPr>
                <w:sz w:val="24"/>
              </w:rPr>
              <w:t xml:space="preserve">18.2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2110" w:name="P2110"/>
          <w:bookmarkEnd w:id="2110"/>
          <w:p>
            <w:pPr>
              <w:pStyle w:val="0"/>
            </w:pPr>
            <w:r>
              <w:rPr>
                <w:sz w:val="24"/>
              </w:rPr>
              <w:t xml:space="preserve">19</w:t>
            </w:r>
          </w:p>
        </w:tc>
        <w:tc>
          <w:tcPr>
            <w:gridSpan w:val="2"/>
            <w:tcW w:w="2608" w:type="dxa"/>
          </w:tcPr>
          <w:p>
            <w:pPr>
              <w:pStyle w:val="0"/>
            </w:pPr>
            <w:r>
              <w:rPr>
                <w:sz w:val="24"/>
              </w:rPr>
              <w:t xml:space="preserve">Часть для компенсации расходов по обязательному страхованию гражданской ответственности владельцев транспортных средств</w:t>
            </w:r>
          </w:p>
        </w:tc>
        <w:tc>
          <w:tcPr>
            <w:tcW w:w="2608" w:type="dxa"/>
          </w:tcPr>
          <w:p>
            <w:pPr>
              <w:pStyle w:val="0"/>
            </w:pPr>
            <w:r>
              <w:rPr>
                <w:sz w:val="24"/>
              </w:rPr>
            </w:r>
          </w:p>
        </w:tc>
        <w:tc>
          <w:tcPr>
            <w:tcW w:w="2948" w:type="dxa"/>
          </w:tcPr>
          <w:p>
            <w:pPr>
              <w:pStyle w:val="0"/>
            </w:pPr>
            <w:r>
              <w:rPr>
                <w:sz w:val="24"/>
              </w:rPr>
              <w:t xml:space="preserve">ins-dic:Chast_Dlya_Kompensaczii_Rasxodov_Po_OSAGO</w:t>
            </w:r>
          </w:p>
        </w:tc>
      </w:tr>
      <w:tr>
        <w:tc>
          <w:tcPr>
            <w:tcW w:w="907" w:type="dxa"/>
          </w:tcPr>
          <w:p>
            <w:pPr>
              <w:pStyle w:val="0"/>
            </w:pPr>
            <w:r>
              <w:rPr>
                <w:sz w:val="24"/>
              </w:rPr>
              <w:t xml:space="preserve">19.1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19.2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blPrEx>
          <w:tblBorders>
            <w:insideV w:val="nil"/>
          </w:tblBorders>
        </w:tblPrEx>
        <w:tc>
          <w:tcPr>
            <w:gridSpan w:val="2"/>
            <w:tcW w:w="1371" w:type="dxa"/>
            <w:tcBorders>
              <w:left w:val="single" w:sz="4"/>
            </w:tcBorders>
          </w:tcPr>
          <w:bookmarkStart w:id="2122" w:name="P2122"/>
          <w:bookmarkEnd w:id="2122"/>
          <w:p>
            <w:pPr>
              <w:pStyle w:val="0"/>
              <w:outlineLvl w:val="3"/>
            </w:pPr>
            <w:r>
              <w:rPr>
                <w:sz w:val="24"/>
              </w:rPr>
              <w:t xml:space="preserve">Раздел 4.</w:t>
            </w:r>
          </w:p>
        </w:tc>
        <w:tc>
          <w:tcPr>
            <w:gridSpan w:val="3"/>
            <w:tcW w:w="7700" w:type="dxa"/>
            <w:tcBorders>
              <w:right w:val="single" w:sz="4"/>
            </w:tcBorders>
          </w:tcPr>
          <w:p>
            <w:pPr>
              <w:pStyle w:val="0"/>
            </w:pPr>
            <w:r>
              <w:rPr>
                <w:sz w:val="24"/>
              </w:rPr>
              <w:t xml:space="preserve">Сведения об ответственном актуарии, осуществившем проведение актуарного оценивания расчетного размера гарантийного депозита</w:t>
            </w:r>
          </w:p>
        </w:tc>
      </w:tr>
      <w:tr>
        <w:tc>
          <w:tcPr>
            <w:tcW w:w="907" w:type="dxa"/>
          </w:tcPr>
          <w:bookmarkStart w:id="2124" w:name="P2124"/>
          <w:bookmarkEnd w:id="2124"/>
          <w:p>
            <w:pPr>
              <w:pStyle w:val="0"/>
            </w:pPr>
            <w:r>
              <w:rPr>
                <w:sz w:val="24"/>
              </w:rPr>
              <w:t xml:space="preserve">20</w:t>
            </w:r>
          </w:p>
        </w:tc>
        <w:tc>
          <w:tcPr>
            <w:gridSpan w:val="2"/>
            <w:tcW w:w="2608" w:type="dxa"/>
          </w:tcPr>
          <w:p>
            <w:pPr>
              <w:pStyle w:val="0"/>
            </w:pPr>
            <w:r>
              <w:rPr>
                <w:sz w:val="24"/>
              </w:rPr>
              <w:t xml:space="preserve">Фамилия ответственного актуария</w:t>
            </w:r>
          </w:p>
        </w:tc>
        <w:tc>
          <w:tcPr>
            <w:tcW w:w="2608" w:type="dxa"/>
          </w:tcPr>
          <w:p>
            <w:pPr>
              <w:pStyle w:val="0"/>
            </w:pPr>
            <w:r>
              <w:rPr>
                <w:sz w:val="24"/>
              </w:rPr>
            </w:r>
          </w:p>
        </w:tc>
        <w:tc>
          <w:tcPr>
            <w:tcW w:w="2948" w:type="dxa"/>
          </w:tcPr>
          <w:p>
            <w:pPr>
              <w:pStyle w:val="0"/>
            </w:pPr>
            <w:r>
              <w:rPr>
                <w:sz w:val="24"/>
              </w:rPr>
              <w:t xml:space="preserve">ins-dic:Surname_Otv_Aktuariya</w:t>
            </w:r>
          </w:p>
        </w:tc>
      </w:tr>
      <w:tr>
        <w:tc>
          <w:tcPr>
            <w:tcW w:w="907" w:type="dxa"/>
          </w:tcPr>
          <w:p>
            <w:pPr>
              <w:pStyle w:val="0"/>
            </w:pPr>
            <w:r>
              <w:rPr>
                <w:sz w:val="24"/>
              </w:rPr>
              <w:t xml:space="preserve">20.1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32" w:name="P2132"/>
          <w:bookmarkEnd w:id="2132"/>
          <w:p>
            <w:pPr>
              <w:pStyle w:val="0"/>
            </w:pPr>
            <w:r>
              <w:rPr>
                <w:sz w:val="24"/>
              </w:rPr>
              <w:t xml:space="preserve">21</w:t>
            </w:r>
          </w:p>
        </w:tc>
        <w:tc>
          <w:tcPr>
            <w:gridSpan w:val="2"/>
            <w:tcW w:w="2608" w:type="dxa"/>
          </w:tcPr>
          <w:p>
            <w:pPr>
              <w:pStyle w:val="0"/>
            </w:pPr>
            <w:r>
              <w:rPr>
                <w:sz w:val="24"/>
              </w:rPr>
              <w:t xml:space="preserve">Имя ответственного актуария</w:t>
            </w:r>
          </w:p>
        </w:tc>
        <w:tc>
          <w:tcPr>
            <w:tcW w:w="2608" w:type="dxa"/>
          </w:tcPr>
          <w:p>
            <w:pPr>
              <w:pStyle w:val="0"/>
            </w:pPr>
            <w:r>
              <w:rPr>
                <w:sz w:val="24"/>
              </w:rPr>
            </w:r>
          </w:p>
        </w:tc>
        <w:tc>
          <w:tcPr>
            <w:tcW w:w="2948" w:type="dxa"/>
          </w:tcPr>
          <w:p>
            <w:pPr>
              <w:pStyle w:val="0"/>
            </w:pPr>
            <w:r>
              <w:rPr>
                <w:sz w:val="24"/>
              </w:rPr>
              <w:t xml:space="preserve">ins-dic:Name_Otv_Aktuariya</w:t>
            </w:r>
          </w:p>
        </w:tc>
      </w:tr>
      <w:tr>
        <w:tc>
          <w:tcPr>
            <w:tcW w:w="907" w:type="dxa"/>
          </w:tcPr>
          <w:p>
            <w:pPr>
              <w:pStyle w:val="0"/>
            </w:pPr>
            <w:r>
              <w:rPr>
                <w:sz w:val="24"/>
              </w:rPr>
              <w:t xml:space="preserve">21.1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40" w:name="P2140"/>
          <w:bookmarkEnd w:id="2140"/>
          <w:p>
            <w:pPr>
              <w:pStyle w:val="0"/>
            </w:pPr>
            <w:r>
              <w:rPr>
                <w:sz w:val="24"/>
              </w:rPr>
              <w:t xml:space="preserve">22</w:t>
            </w:r>
          </w:p>
        </w:tc>
        <w:tc>
          <w:tcPr>
            <w:gridSpan w:val="2"/>
            <w:tcW w:w="2608" w:type="dxa"/>
          </w:tcPr>
          <w:p>
            <w:pPr>
              <w:pStyle w:val="0"/>
            </w:pPr>
            <w:r>
              <w:rPr>
                <w:sz w:val="24"/>
              </w:rPr>
              <w:t xml:space="preserve">Отчество (при наличии) ответственного актуария</w:t>
            </w:r>
          </w:p>
        </w:tc>
        <w:tc>
          <w:tcPr>
            <w:tcW w:w="2608" w:type="dxa"/>
          </w:tcPr>
          <w:p>
            <w:pPr>
              <w:pStyle w:val="0"/>
            </w:pPr>
            <w:r>
              <w:rPr>
                <w:sz w:val="24"/>
              </w:rPr>
            </w:r>
          </w:p>
        </w:tc>
        <w:tc>
          <w:tcPr>
            <w:tcW w:w="2948" w:type="dxa"/>
          </w:tcPr>
          <w:p>
            <w:pPr>
              <w:pStyle w:val="0"/>
            </w:pPr>
            <w:r>
              <w:rPr>
                <w:sz w:val="24"/>
              </w:rPr>
              <w:t xml:space="preserve">ins-dic:MiddleName_Otv_Aktuariya</w:t>
            </w:r>
          </w:p>
        </w:tc>
      </w:tr>
      <w:tr>
        <w:tc>
          <w:tcPr>
            <w:tcW w:w="907" w:type="dxa"/>
          </w:tcPr>
          <w:p>
            <w:pPr>
              <w:pStyle w:val="0"/>
            </w:pPr>
            <w:r>
              <w:rPr>
                <w:sz w:val="24"/>
              </w:rPr>
              <w:t xml:space="preserve">22.1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48" w:name="P2148"/>
          <w:bookmarkEnd w:id="2148"/>
          <w:p>
            <w:pPr>
              <w:pStyle w:val="0"/>
            </w:pPr>
            <w:r>
              <w:rPr>
                <w:sz w:val="24"/>
              </w:rPr>
              <w:t xml:space="preserve">23</w:t>
            </w:r>
          </w:p>
        </w:tc>
        <w:tc>
          <w:tcPr>
            <w:gridSpan w:val="2"/>
            <w:tcW w:w="2608" w:type="dxa"/>
          </w:tcPr>
          <w:p>
            <w:pPr>
              <w:pStyle w:val="0"/>
            </w:pPr>
            <w:r>
              <w:rPr>
                <w:sz w:val="24"/>
              </w:rPr>
              <w:t xml:space="preserve">Регистрационный номер, присвоенный ответственному актуарию в едином реестре ответственных актуариев</w:t>
            </w:r>
          </w:p>
        </w:tc>
        <w:tc>
          <w:tcPr>
            <w:tcW w:w="2608" w:type="dxa"/>
          </w:tcPr>
          <w:p>
            <w:pPr>
              <w:pStyle w:val="0"/>
            </w:pPr>
            <w:r>
              <w:rPr>
                <w:sz w:val="24"/>
              </w:rPr>
            </w:r>
          </w:p>
        </w:tc>
        <w:tc>
          <w:tcPr>
            <w:tcW w:w="2948" w:type="dxa"/>
          </w:tcPr>
          <w:p>
            <w:pPr>
              <w:pStyle w:val="0"/>
            </w:pPr>
            <w:r>
              <w:rPr>
                <w:sz w:val="24"/>
              </w:rPr>
              <w:t xml:space="preserve">ins-dic:Reg_Nomer_Otv_Aktuarij_Reestr</w:t>
            </w:r>
          </w:p>
        </w:tc>
      </w:tr>
      <w:tr>
        <w:tc>
          <w:tcPr>
            <w:tcW w:w="907" w:type="dxa"/>
          </w:tcPr>
          <w:p>
            <w:pPr>
              <w:pStyle w:val="0"/>
            </w:pPr>
            <w:r>
              <w:rPr>
                <w:sz w:val="24"/>
              </w:rPr>
              <w:t xml:space="preserve">23.1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56" w:name="P2156"/>
          <w:bookmarkEnd w:id="2156"/>
          <w:p>
            <w:pPr>
              <w:pStyle w:val="0"/>
            </w:pPr>
            <w:r>
              <w:rPr>
                <w:sz w:val="24"/>
              </w:rPr>
              <w:t xml:space="preserve">24</w:t>
            </w:r>
          </w:p>
        </w:tc>
        <w:tc>
          <w:tcPr>
            <w:gridSpan w:val="2"/>
            <w:tcW w:w="2608" w:type="dxa"/>
          </w:tcPr>
          <w:p>
            <w:pPr>
              <w:pStyle w:val="0"/>
            </w:pPr>
            <w:r>
              <w:rPr>
                <w:sz w:val="24"/>
              </w:rPr>
              <w:t xml:space="preserve">Полное наименование саморегулируемой организации актуариев, членом которой является ответственный актуарий</w:t>
            </w:r>
          </w:p>
        </w:tc>
        <w:tc>
          <w:tcPr>
            <w:tcW w:w="2608" w:type="dxa"/>
          </w:tcPr>
          <w:p>
            <w:pPr>
              <w:pStyle w:val="0"/>
            </w:pPr>
            <w:r>
              <w:rPr>
                <w:sz w:val="24"/>
              </w:rPr>
            </w:r>
          </w:p>
        </w:tc>
        <w:tc>
          <w:tcPr>
            <w:tcW w:w="2948" w:type="dxa"/>
          </w:tcPr>
          <w:p>
            <w:pPr>
              <w:pStyle w:val="0"/>
            </w:pPr>
            <w:r>
              <w:rPr>
                <w:sz w:val="24"/>
              </w:rPr>
              <w:t xml:space="preserve">ins-dic:Polnnaim_Sro_Aktuarij_Chlen</w:t>
            </w:r>
          </w:p>
        </w:tc>
      </w:tr>
      <w:tr>
        <w:tc>
          <w:tcPr>
            <w:tcW w:w="907" w:type="dxa"/>
          </w:tcPr>
          <w:p>
            <w:pPr>
              <w:pStyle w:val="0"/>
            </w:pPr>
            <w:r>
              <w:rPr>
                <w:sz w:val="24"/>
              </w:rPr>
              <w:t xml:space="preserve">24.1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64" w:name="P2164"/>
          <w:bookmarkEnd w:id="2164"/>
          <w:p>
            <w:pPr>
              <w:pStyle w:val="0"/>
            </w:pPr>
            <w:r>
              <w:rPr>
                <w:sz w:val="24"/>
              </w:rPr>
              <w:t xml:space="preserve">25</w:t>
            </w:r>
          </w:p>
        </w:tc>
        <w:tc>
          <w:tcPr>
            <w:gridSpan w:val="2"/>
            <w:tcW w:w="2608" w:type="dxa"/>
          </w:tcPr>
          <w:p>
            <w:pPr>
              <w:pStyle w:val="0"/>
            </w:pPr>
            <w:r>
              <w:rPr>
                <w:sz w:val="24"/>
              </w:rPr>
              <w:t xml:space="preserve">Идентификационный номер налогоплательщика (ИНН) саморегулируемой организации актуариев, членом которой является ответственный актуарий</w:t>
            </w:r>
          </w:p>
        </w:tc>
        <w:tc>
          <w:tcPr>
            <w:tcW w:w="2608" w:type="dxa"/>
          </w:tcPr>
          <w:p>
            <w:pPr>
              <w:pStyle w:val="0"/>
            </w:pPr>
            <w:r>
              <w:rPr>
                <w:sz w:val="24"/>
              </w:rPr>
            </w:r>
          </w:p>
        </w:tc>
        <w:tc>
          <w:tcPr>
            <w:tcW w:w="2948" w:type="dxa"/>
          </w:tcPr>
          <w:p>
            <w:pPr>
              <w:pStyle w:val="0"/>
            </w:pPr>
            <w:r>
              <w:rPr>
                <w:sz w:val="24"/>
              </w:rPr>
              <w:t xml:space="preserve">ins-dic:Inn_Sro_Aktuarij</w:t>
            </w:r>
          </w:p>
        </w:tc>
      </w:tr>
      <w:tr>
        <w:tc>
          <w:tcPr>
            <w:tcW w:w="907" w:type="dxa"/>
          </w:tcPr>
          <w:p>
            <w:pPr>
              <w:pStyle w:val="0"/>
            </w:pPr>
            <w:r>
              <w:rPr>
                <w:sz w:val="24"/>
              </w:rPr>
              <w:t xml:space="preserve">25.1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72" w:name="P2172"/>
          <w:bookmarkEnd w:id="2172"/>
          <w:p>
            <w:pPr>
              <w:pStyle w:val="0"/>
            </w:pPr>
            <w:r>
              <w:rPr>
                <w:sz w:val="24"/>
              </w:rPr>
              <w:t xml:space="preserve">26</w:t>
            </w:r>
          </w:p>
        </w:tc>
        <w:tc>
          <w:tcPr>
            <w:gridSpan w:val="2"/>
            <w:tcW w:w="2608" w:type="dxa"/>
          </w:tcPr>
          <w:p>
            <w:pPr>
              <w:pStyle w:val="0"/>
            </w:pPr>
            <w:r>
              <w:rPr>
                <w:sz w:val="24"/>
              </w:rPr>
              <w:t xml:space="preserve">Основной государственный регистрационный номер (ОГРН) саморегулируемой организации актуариев, членом которой является ответственный актуарий</w:t>
            </w:r>
          </w:p>
        </w:tc>
        <w:tc>
          <w:tcPr>
            <w:tcW w:w="2608" w:type="dxa"/>
          </w:tcPr>
          <w:p>
            <w:pPr>
              <w:pStyle w:val="0"/>
            </w:pPr>
            <w:r>
              <w:rPr>
                <w:sz w:val="24"/>
              </w:rPr>
            </w:r>
          </w:p>
        </w:tc>
        <w:tc>
          <w:tcPr>
            <w:tcW w:w="2948" w:type="dxa"/>
          </w:tcPr>
          <w:p>
            <w:pPr>
              <w:pStyle w:val="0"/>
            </w:pPr>
            <w:r>
              <w:rPr>
                <w:sz w:val="24"/>
              </w:rPr>
              <w:t xml:space="preserve">ins-dic:Ogrn_Sro_Aktuarij</w:t>
            </w:r>
          </w:p>
        </w:tc>
      </w:tr>
      <w:tr>
        <w:tc>
          <w:tcPr>
            <w:tcW w:w="907" w:type="dxa"/>
          </w:tcPr>
          <w:p>
            <w:pPr>
              <w:pStyle w:val="0"/>
            </w:pPr>
            <w:r>
              <w:rPr>
                <w:sz w:val="24"/>
              </w:rPr>
              <w:t xml:space="preserve">26.1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80" w:name="P2180"/>
          <w:bookmarkEnd w:id="2180"/>
          <w:p>
            <w:pPr>
              <w:pStyle w:val="0"/>
            </w:pPr>
            <w:r>
              <w:rPr>
                <w:sz w:val="24"/>
              </w:rPr>
              <w:t xml:space="preserve">27</w:t>
            </w:r>
          </w:p>
        </w:tc>
        <w:tc>
          <w:tcPr>
            <w:gridSpan w:val="2"/>
            <w:tcW w:w="2608" w:type="dxa"/>
          </w:tcPr>
          <w:p>
            <w:pPr>
              <w:pStyle w:val="0"/>
            </w:pPr>
            <w:r>
              <w:rPr>
                <w:sz w:val="24"/>
              </w:rPr>
              <w:t xml:space="preserve">Вид договора о проведении актуарного оценивания</w:t>
            </w:r>
          </w:p>
        </w:tc>
        <w:tc>
          <w:tcPr>
            <w:tcW w:w="2608" w:type="dxa"/>
          </w:tcPr>
          <w:p>
            <w:pPr>
              <w:pStyle w:val="0"/>
            </w:pPr>
            <w:r>
              <w:rPr>
                <w:sz w:val="24"/>
              </w:rPr>
            </w:r>
          </w:p>
        </w:tc>
        <w:tc>
          <w:tcPr>
            <w:tcW w:w="2948" w:type="dxa"/>
          </w:tcPr>
          <w:p>
            <w:pPr>
              <w:pStyle w:val="0"/>
            </w:pPr>
            <w:r>
              <w:rPr>
                <w:sz w:val="24"/>
              </w:rPr>
              <w:t xml:space="preserve">ins-dic:Vid_Dog_Na_Provedenie_Aktuarnogo_Oczenivaniya_Enumerator</w:t>
            </w:r>
          </w:p>
        </w:tc>
      </w:tr>
      <w:tr>
        <w:tc>
          <w:tcPr>
            <w:tcW w:w="907" w:type="dxa"/>
          </w:tcPr>
          <w:p>
            <w:pPr>
              <w:pStyle w:val="0"/>
            </w:pPr>
            <w:r>
              <w:rPr>
                <w:sz w:val="24"/>
              </w:rPr>
              <w:t xml:space="preserve">27.1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88" w:name="P2188"/>
          <w:bookmarkEnd w:id="2188"/>
          <w:p>
            <w:pPr>
              <w:pStyle w:val="0"/>
            </w:pPr>
            <w:r>
              <w:rPr>
                <w:sz w:val="24"/>
              </w:rPr>
              <w:t xml:space="preserve">28</w:t>
            </w:r>
          </w:p>
        </w:tc>
        <w:tc>
          <w:tcPr>
            <w:gridSpan w:val="2"/>
            <w:tcW w:w="2608" w:type="dxa"/>
          </w:tcPr>
          <w:p>
            <w:pPr>
              <w:pStyle w:val="0"/>
            </w:pPr>
            <w:r>
              <w:rPr>
                <w:sz w:val="24"/>
              </w:rPr>
              <w:t xml:space="preserve">Номер договора о проведении актуарного оценивания</w:t>
            </w:r>
          </w:p>
        </w:tc>
        <w:tc>
          <w:tcPr>
            <w:tcW w:w="2608" w:type="dxa"/>
          </w:tcPr>
          <w:p>
            <w:pPr>
              <w:pStyle w:val="0"/>
            </w:pPr>
            <w:r>
              <w:rPr>
                <w:sz w:val="24"/>
              </w:rPr>
            </w:r>
          </w:p>
        </w:tc>
        <w:tc>
          <w:tcPr>
            <w:tcW w:w="2948" w:type="dxa"/>
          </w:tcPr>
          <w:p>
            <w:pPr>
              <w:pStyle w:val="0"/>
            </w:pPr>
            <w:r>
              <w:rPr>
                <w:sz w:val="24"/>
              </w:rPr>
              <w:t xml:space="preserve">ins-dic:Nomer_Dogovora_Na_Provedenie_Aktuarnogo_Oczenivaniya</w:t>
            </w:r>
          </w:p>
        </w:tc>
      </w:tr>
      <w:tr>
        <w:tc>
          <w:tcPr>
            <w:tcW w:w="907" w:type="dxa"/>
          </w:tcPr>
          <w:p>
            <w:pPr>
              <w:pStyle w:val="0"/>
            </w:pPr>
            <w:r>
              <w:rPr>
                <w:sz w:val="24"/>
              </w:rPr>
              <w:t xml:space="preserve">28.1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bookmarkStart w:id="2196" w:name="P2196"/>
          <w:bookmarkEnd w:id="2196"/>
          <w:p>
            <w:pPr>
              <w:pStyle w:val="0"/>
            </w:pPr>
            <w:r>
              <w:rPr>
                <w:sz w:val="24"/>
              </w:rPr>
              <w:t xml:space="preserve">29</w:t>
            </w:r>
          </w:p>
        </w:tc>
        <w:tc>
          <w:tcPr>
            <w:gridSpan w:val="2"/>
            <w:tcW w:w="2608" w:type="dxa"/>
          </w:tcPr>
          <w:p>
            <w:pPr>
              <w:pStyle w:val="0"/>
            </w:pPr>
            <w:r>
              <w:rPr>
                <w:sz w:val="24"/>
              </w:rPr>
              <w:t xml:space="preserve">Дата заключения договора о проведении актуарного оценивания</w:t>
            </w:r>
          </w:p>
        </w:tc>
        <w:tc>
          <w:tcPr>
            <w:tcW w:w="2608" w:type="dxa"/>
          </w:tcPr>
          <w:p>
            <w:pPr>
              <w:pStyle w:val="0"/>
            </w:pPr>
            <w:r>
              <w:rPr>
                <w:sz w:val="24"/>
              </w:rPr>
            </w:r>
          </w:p>
        </w:tc>
        <w:tc>
          <w:tcPr>
            <w:tcW w:w="2948" w:type="dxa"/>
          </w:tcPr>
          <w:p>
            <w:pPr>
              <w:pStyle w:val="0"/>
            </w:pPr>
            <w:r>
              <w:rPr>
                <w:sz w:val="24"/>
              </w:rPr>
              <w:t xml:space="preserve">ins-dic:DataZaklyuchDogNaProvedenieAktuarnogoOczenivaniya</w:t>
            </w:r>
          </w:p>
        </w:tc>
      </w:tr>
      <w:tr>
        <w:tc>
          <w:tcPr>
            <w:tcW w:w="907" w:type="dxa"/>
          </w:tcPr>
          <w:p>
            <w:pPr>
              <w:pStyle w:val="0"/>
            </w:pPr>
            <w:r>
              <w:rPr>
                <w:sz w:val="24"/>
              </w:rPr>
              <w:t xml:space="preserve">29.1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blPrEx>
          <w:tblBorders>
            <w:insideV w:val="nil"/>
          </w:tblBorders>
        </w:tblPrEx>
        <w:tc>
          <w:tcPr>
            <w:gridSpan w:val="2"/>
            <w:tcW w:w="1371" w:type="dxa"/>
            <w:tcBorders>
              <w:left w:val="single" w:sz="4"/>
            </w:tcBorders>
          </w:tcPr>
          <w:bookmarkStart w:id="2204" w:name="P2204"/>
          <w:bookmarkEnd w:id="2204"/>
          <w:p>
            <w:pPr>
              <w:pStyle w:val="0"/>
              <w:outlineLvl w:val="3"/>
            </w:pPr>
            <w:r>
              <w:rPr>
                <w:sz w:val="24"/>
              </w:rPr>
              <w:t xml:space="preserve">Раздел 5.</w:t>
            </w:r>
          </w:p>
        </w:tc>
        <w:tc>
          <w:tcPr>
            <w:gridSpan w:val="3"/>
            <w:tcW w:w="7700" w:type="dxa"/>
            <w:tcBorders>
              <w:right w:val="single" w:sz="4"/>
            </w:tcBorders>
          </w:tcPr>
          <w:p>
            <w:pPr>
              <w:pStyle w:val="0"/>
            </w:pPr>
            <w:r>
              <w:rPr>
                <w:sz w:val="24"/>
              </w:rPr>
              <w:t xml:space="preserve">Сведения из документа, составленного по результатам аудита достоверности данных, использованных в расчете расчетного размера гарантийного депозита</w:t>
            </w:r>
          </w:p>
        </w:tc>
      </w:tr>
      <w:tr>
        <w:tc>
          <w:tcPr>
            <w:tcW w:w="907" w:type="dxa"/>
          </w:tcPr>
          <w:bookmarkStart w:id="2206" w:name="P2206"/>
          <w:bookmarkEnd w:id="2206"/>
          <w:p>
            <w:pPr>
              <w:pStyle w:val="0"/>
            </w:pPr>
            <w:r>
              <w:rPr>
                <w:sz w:val="24"/>
              </w:rPr>
              <w:t xml:space="preserve">30</w:t>
            </w:r>
          </w:p>
        </w:tc>
        <w:tc>
          <w:tcPr>
            <w:gridSpan w:val="2"/>
            <w:tcW w:w="2608" w:type="dxa"/>
          </w:tcPr>
          <w:p>
            <w:pPr>
              <w:pStyle w:val="0"/>
            </w:pPr>
            <w:r>
              <w:rPr>
                <w:sz w:val="24"/>
              </w:rPr>
              <w:t xml:space="preserve">Дата документа</w:t>
            </w:r>
          </w:p>
        </w:tc>
        <w:tc>
          <w:tcPr>
            <w:tcW w:w="2608" w:type="dxa"/>
          </w:tcPr>
          <w:p>
            <w:pPr>
              <w:pStyle w:val="0"/>
            </w:pPr>
            <w:r>
              <w:rPr>
                <w:sz w:val="24"/>
              </w:rPr>
            </w:r>
          </w:p>
        </w:tc>
        <w:tc>
          <w:tcPr>
            <w:tcW w:w="2948" w:type="dxa"/>
          </w:tcPr>
          <w:p>
            <w:pPr>
              <w:pStyle w:val="0"/>
            </w:pPr>
            <w:r>
              <w:rPr>
                <w:sz w:val="24"/>
              </w:rPr>
              <w:t xml:space="preserve">ins-dic:DataDokumenta</w:t>
            </w:r>
          </w:p>
        </w:tc>
      </w:tr>
      <w:tr>
        <w:tc>
          <w:tcPr>
            <w:tcW w:w="907" w:type="dxa"/>
          </w:tcPr>
          <w:p>
            <w:pPr>
              <w:pStyle w:val="0"/>
            </w:pPr>
            <w:r>
              <w:rPr>
                <w:sz w:val="24"/>
              </w:rPr>
              <w:t xml:space="preserve">30.1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30.2</w:t>
            </w:r>
          </w:p>
        </w:tc>
        <w:tc>
          <w:tcPr>
            <w:gridSpan w:val="2"/>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2218" w:name="P2218"/>
          <w:bookmarkEnd w:id="2218"/>
          <w:p>
            <w:pPr>
              <w:pStyle w:val="0"/>
            </w:pPr>
            <w:r>
              <w:rPr>
                <w:sz w:val="24"/>
              </w:rPr>
              <w:t xml:space="preserve">31</w:t>
            </w:r>
          </w:p>
        </w:tc>
        <w:tc>
          <w:tcPr>
            <w:gridSpan w:val="2"/>
            <w:tcW w:w="2608" w:type="dxa"/>
          </w:tcPr>
          <w:p>
            <w:pPr>
              <w:pStyle w:val="0"/>
            </w:pPr>
            <w:r>
              <w:rPr>
                <w:sz w:val="24"/>
              </w:rPr>
              <w:t xml:space="preserve">Мнение, выраженное в документе</w:t>
            </w:r>
          </w:p>
        </w:tc>
        <w:tc>
          <w:tcPr>
            <w:tcW w:w="2608" w:type="dxa"/>
          </w:tcPr>
          <w:p>
            <w:pPr>
              <w:pStyle w:val="0"/>
            </w:pPr>
            <w:r>
              <w:rPr>
                <w:sz w:val="24"/>
              </w:rPr>
            </w:r>
          </w:p>
        </w:tc>
        <w:tc>
          <w:tcPr>
            <w:tcW w:w="2948" w:type="dxa"/>
          </w:tcPr>
          <w:p>
            <w:pPr>
              <w:pStyle w:val="0"/>
            </w:pPr>
            <w:r>
              <w:rPr>
                <w:sz w:val="24"/>
              </w:rPr>
              <w:t xml:space="preserve">ins-dic:MnenieVyrazhennoeVDokumenteEnumerator</w:t>
            </w:r>
          </w:p>
        </w:tc>
      </w:tr>
      <w:tr>
        <w:tc>
          <w:tcPr>
            <w:tcW w:w="907" w:type="dxa"/>
          </w:tcPr>
          <w:p>
            <w:pPr>
              <w:pStyle w:val="0"/>
            </w:pPr>
            <w:r>
              <w:rPr>
                <w:sz w:val="24"/>
              </w:rPr>
              <w:t xml:space="preserve">31.1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31.2</w:t>
            </w:r>
          </w:p>
        </w:tc>
        <w:tc>
          <w:tcPr>
            <w:gridSpan w:val="2"/>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bookmarkStart w:id="2230" w:name="P2230"/>
          <w:bookmarkEnd w:id="2230"/>
          <w:p>
            <w:pPr>
              <w:pStyle w:val="0"/>
            </w:pPr>
            <w:r>
              <w:rPr>
                <w:sz w:val="24"/>
              </w:rPr>
              <w:t xml:space="preserve">32</w:t>
            </w:r>
          </w:p>
        </w:tc>
        <w:tc>
          <w:tcPr>
            <w:gridSpan w:val="2"/>
            <w:tcW w:w="2608" w:type="dxa"/>
          </w:tcPr>
          <w:p>
            <w:pPr>
              <w:pStyle w:val="0"/>
            </w:pPr>
            <w:r>
              <w:rPr>
                <w:sz w:val="24"/>
              </w:rPr>
              <w:t xml:space="preserve">Фамилия, имя, отчество (при наличии) лица, подписавшего документ</w:t>
            </w:r>
          </w:p>
        </w:tc>
        <w:tc>
          <w:tcPr>
            <w:tcW w:w="2608" w:type="dxa"/>
          </w:tcPr>
          <w:p>
            <w:pPr>
              <w:pStyle w:val="0"/>
            </w:pPr>
            <w:r>
              <w:rPr>
                <w:sz w:val="24"/>
              </w:rPr>
            </w:r>
          </w:p>
        </w:tc>
        <w:tc>
          <w:tcPr>
            <w:tcW w:w="2948" w:type="dxa"/>
          </w:tcPr>
          <w:p>
            <w:pPr>
              <w:pStyle w:val="0"/>
            </w:pPr>
            <w:r>
              <w:rPr>
                <w:sz w:val="24"/>
              </w:rPr>
              <w:t xml:space="preserve">ins-dic:FIOLiczaPodpisavshegoDokument</w:t>
            </w:r>
          </w:p>
        </w:tc>
      </w:tr>
      <w:tr>
        <w:tc>
          <w:tcPr>
            <w:tcW w:w="907" w:type="dxa"/>
          </w:tcPr>
          <w:p>
            <w:pPr>
              <w:pStyle w:val="0"/>
            </w:pPr>
            <w:r>
              <w:rPr>
                <w:sz w:val="24"/>
              </w:rPr>
              <w:t xml:space="preserve">32.1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32.2</w:t>
            </w:r>
          </w:p>
        </w:tc>
        <w:tc>
          <w:tcPr>
            <w:gridSpan w:val="2"/>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32.3</w:t>
            </w:r>
          </w:p>
        </w:tc>
        <w:tc>
          <w:tcPr>
            <w:gridSpan w:val="2"/>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2246" w:name="P2246"/>
          <w:bookmarkEnd w:id="2246"/>
          <w:p>
            <w:pPr>
              <w:pStyle w:val="0"/>
            </w:pPr>
            <w:r>
              <w:rPr>
                <w:sz w:val="24"/>
              </w:rPr>
              <w:t xml:space="preserve">33</w:t>
            </w:r>
          </w:p>
        </w:tc>
        <w:tc>
          <w:tcPr>
            <w:gridSpan w:val="2"/>
            <w:tcW w:w="2608" w:type="dxa"/>
          </w:tcPr>
          <w:p>
            <w:pPr>
              <w:pStyle w:val="0"/>
            </w:pPr>
            <w:r>
              <w:rPr>
                <w:sz w:val="24"/>
              </w:rPr>
              <w:t xml:space="preserve">Основной регистрационный номер записи (ОРНЗ) лица, подписавшего документ</w:t>
            </w:r>
          </w:p>
        </w:tc>
        <w:tc>
          <w:tcPr>
            <w:tcW w:w="2608" w:type="dxa"/>
          </w:tcPr>
          <w:p>
            <w:pPr>
              <w:pStyle w:val="0"/>
            </w:pPr>
            <w:r>
              <w:rPr>
                <w:sz w:val="24"/>
              </w:rPr>
            </w:r>
          </w:p>
        </w:tc>
        <w:tc>
          <w:tcPr>
            <w:tcW w:w="2948" w:type="dxa"/>
          </w:tcPr>
          <w:p>
            <w:pPr>
              <w:pStyle w:val="0"/>
            </w:pPr>
            <w:r>
              <w:rPr>
                <w:sz w:val="24"/>
              </w:rPr>
              <w:t xml:space="preserve">ins-dic:ORNZLiczaPodpisavshegoDokument</w:t>
            </w:r>
          </w:p>
        </w:tc>
      </w:tr>
      <w:tr>
        <w:tc>
          <w:tcPr>
            <w:tcW w:w="907" w:type="dxa"/>
          </w:tcPr>
          <w:p>
            <w:pPr>
              <w:pStyle w:val="0"/>
            </w:pPr>
            <w:r>
              <w:rPr>
                <w:sz w:val="24"/>
              </w:rPr>
              <w:t xml:space="preserve">33.1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33.2</w:t>
            </w:r>
          </w:p>
        </w:tc>
        <w:tc>
          <w:tcPr>
            <w:gridSpan w:val="2"/>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33.3</w:t>
            </w:r>
          </w:p>
        </w:tc>
        <w:tc>
          <w:tcPr>
            <w:gridSpan w:val="2"/>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2262" w:name="P2262"/>
          <w:bookmarkEnd w:id="2262"/>
          <w:p>
            <w:pPr>
              <w:pStyle w:val="0"/>
            </w:pPr>
            <w:r>
              <w:rPr>
                <w:sz w:val="24"/>
              </w:rPr>
              <w:t xml:space="preserve">34</w:t>
            </w:r>
          </w:p>
        </w:tc>
        <w:tc>
          <w:tcPr>
            <w:gridSpan w:val="2"/>
            <w:tcW w:w="2608" w:type="dxa"/>
          </w:tcPr>
          <w:p>
            <w:pPr>
              <w:pStyle w:val="0"/>
            </w:pPr>
            <w:r>
              <w:rPr>
                <w:sz w:val="24"/>
              </w:rPr>
              <w:t xml:space="preserve">Номер квалификационного аттестата аудитора, выданного лицу, подписавшему документ</w:t>
            </w:r>
          </w:p>
        </w:tc>
        <w:tc>
          <w:tcPr>
            <w:tcW w:w="2608" w:type="dxa"/>
          </w:tcPr>
          <w:p>
            <w:pPr>
              <w:pStyle w:val="0"/>
            </w:pPr>
            <w:r>
              <w:rPr>
                <w:sz w:val="24"/>
              </w:rPr>
            </w:r>
          </w:p>
        </w:tc>
        <w:tc>
          <w:tcPr>
            <w:tcW w:w="2948" w:type="dxa"/>
          </w:tcPr>
          <w:p>
            <w:pPr>
              <w:pStyle w:val="0"/>
            </w:pPr>
            <w:r>
              <w:rPr>
                <w:sz w:val="24"/>
              </w:rPr>
              <w:t xml:space="preserve">ins-dic:NomerKvAttestataAuditoraVydannLiczuPodpisavshemuDok</w:t>
            </w:r>
          </w:p>
        </w:tc>
      </w:tr>
      <w:tr>
        <w:tc>
          <w:tcPr>
            <w:tcW w:w="907" w:type="dxa"/>
          </w:tcPr>
          <w:p>
            <w:pPr>
              <w:pStyle w:val="0"/>
            </w:pPr>
            <w:r>
              <w:rPr>
                <w:sz w:val="24"/>
              </w:rPr>
              <w:t xml:space="preserve">34.1</w:t>
            </w:r>
          </w:p>
        </w:tc>
        <w:tc>
          <w:tcPr>
            <w:gridSpan w:val="2"/>
            <w:tcW w:w="2608" w:type="dxa"/>
          </w:tcPr>
          <w:p>
            <w:pPr>
              <w:pStyle w:val="0"/>
            </w:pPr>
            <w:r>
              <w:rPr>
                <w:sz w:val="24"/>
              </w:rPr>
            </w:r>
          </w:p>
        </w:tc>
        <w:tc>
          <w:tcPr>
            <w:tcW w:w="2608" w:type="dxa"/>
          </w:tcPr>
          <w:p>
            <w:pPr>
              <w:pStyle w:val="0"/>
            </w:pPr>
            <w:r>
              <w:rPr>
                <w:sz w:val="24"/>
              </w:rPr>
              <w:t xml:space="preserve">Идентификатор филиала</w:t>
            </w:r>
          </w:p>
        </w:tc>
        <w:tc>
          <w:tcPr>
            <w:tcW w:w="2948" w:type="dxa"/>
          </w:tcPr>
          <w:p>
            <w:pPr>
              <w:pStyle w:val="0"/>
            </w:pPr>
            <w:r>
              <w:rPr>
                <w:sz w:val="24"/>
              </w:rPr>
              <w:t xml:space="preserve">dim-int:ID_filialTaxis</w:t>
            </w:r>
          </w:p>
        </w:tc>
      </w:tr>
      <w:tr>
        <w:tc>
          <w:tcPr>
            <w:tcW w:w="907" w:type="dxa"/>
          </w:tcPr>
          <w:p>
            <w:pPr>
              <w:pStyle w:val="0"/>
            </w:pPr>
            <w:r>
              <w:rPr>
                <w:sz w:val="24"/>
              </w:rPr>
              <w:t xml:space="preserve">34.2</w:t>
            </w:r>
          </w:p>
        </w:tc>
        <w:tc>
          <w:tcPr>
            <w:gridSpan w:val="2"/>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34.3</w:t>
            </w:r>
          </w:p>
        </w:tc>
        <w:tc>
          <w:tcPr>
            <w:gridSpan w:val="2"/>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bl>
    <w:p>
      <w:pPr>
        <w:pStyle w:val="0"/>
        <w:ind w:firstLine="540"/>
        <w:jc w:val="both"/>
      </w:pPr>
      <w:r>
        <w:rPr>
          <w:sz w:val="24"/>
        </w:rPr>
      </w:r>
    </w:p>
    <w:p>
      <w:pPr>
        <w:pStyle w:val="0"/>
        <w:ind w:firstLine="540"/>
        <w:jc w:val="both"/>
      </w:pPr>
      <w:r>
        <w:rPr>
          <w:sz w:val="24"/>
        </w:rPr>
        <w:t xml:space="preserve">--------------------------------</w:t>
      </w:r>
    </w:p>
    <w:bookmarkStart w:id="2280" w:name="P2280"/>
    <w:bookmarkEnd w:id="2280"/>
    <w:p>
      <w:pPr>
        <w:pStyle w:val="0"/>
        <w:spacing w:before="240" w:lineRule="auto"/>
        <w:ind w:firstLine="540"/>
        <w:jc w:val="both"/>
      </w:pPr>
      <w:r>
        <w:rPr>
          <w:sz w:val="24"/>
        </w:rPr>
        <w:t xml:space="preserve">&lt;1&gt; Общероссийский </w:t>
      </w:r>
      <w:hyperlink w:history="0" r:id="rId14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0420153 "Сведения</w:t>
      </w:r>
    </w:p>
    <w:p>
      <w:pPr>
        <w:pStyle w:val="0"/>
        <w:jc w:val="center"/>
      </w:pPr>
      <w:r>
        <w:rPr>
          <w:sz w:val="24"/>
        </w:rPr>
        <w:t xml:space="preserve">о размере гарантийного депозита филиала иностранной</w:t>
      </w:r>
    </w:p>
    <w:p>
      <w:pPr>
        <w:pStyle w:val="0"/>
        <w:jc w:val="center"/>
      </w:pPr>
      <w:r>
        <w:rPr>
          <w:sz w:val="24"/>
        </w:rPr>
        <w:t xml:space="preserve">страховой организации"</w:t>
      </w:r>
    </w:p>
    <w:p>
      <w:pPr>
        <w:pStyle w:val="0"/>
        <w:ind w:firstLine="540"/>
        <w:jc w:val="both"/>
      </w:pPr>
      <w:r>
        <w:rPr>
          <w:sz w:val="24"/>
        </w:rPr>
      </w:r>
    </w:p>
    <w:p>
      <w:pPr>
        <w:pStyle w:val="0"/>
        <w:ind w:firstLine="540"/>
        <w:jc w:val="both"/>
      </w:pPr>
      <w:r>
        <w:rPr>
          <w:sz w:val="24"/>
        </w:rPr>
        <w:t xml:space="preserve">1. Отчетность по </w:t>
      </w:r>
      <w:hyperlink w:history="0" w:anchor="P1888" w:tooltip="Отчетность по форме 0420153">
        <w:r>
          <w:rPr>
            <w:sz w:val="24"/>
            <w:color w:val="0000ff"/>
          </w:rPr>
          <w:t xml:space="preserve">форме 0420153</w:t>
        </w:r>
      </w:hyperlink>
      <w:r>
        <w:rPr>
          <w:sz w:val="24"/>
        </w:rPr>
        <w:t xml:space="preserve"> "Сведения о размере гарантийного депозита филиала иностранной страховой организации" (далее - отчетность по форме 0420153), за исключением </w:t>
      </w:r>
      <w:hyperlink w:history="0" w:anchor="P2122" w:tooltip="Раздел 4.">
        <w:r>
          <w:rPr>
            <w:sz w:val="24"/>
            <w:color w:val="0000ff"/>
          </w:rPr>
          <w:t xml:space="preserve">разделов 4</w:t>
        </w:r>
      </w:hyperlink>
      <w:r>
        <w:rPr>
          <w:sz w:val="24"/>
        </w:rPr>
        <w:t xml:space="preserve"> и </w:t>
      </w:r>
      <w:hyperlink w:history="0" w:anchor="P2204" w:tooltip="Раздел 5.">
        <w:r>
          <w:rPr>
            <w:sz w:val="24"/>
            <w:color w:val="0000ff"/>
          </w:rPr>
          <w:t xml:space="preserve">5</w:t>
        </w:r>
      </w:hyperlink>
      <w:r>
        <w:rPr>
          <w:sz w:val="24"/>
        </w:rPr>
        <w:t xml:space="preserve"> отчетности по форме 0420153, составляется иностранной страховой организацией посредством формирования предусмотренных в ней показателей за I квартал, первое полугодие, 9 месяцев, год (далее - отчетный период) по состоянию на последний календарный день отчетного периода включительно.</w:t>
      </w:r>
    </w:p>
    <w:p>
      <w:pPr>
        <w:pStyle w:val="0"/>
        <w:spacing w:before="240" w:lineRule="auto"/>
        <w:ind w:firstLine="540"/>
        <w:jc w:val="both"/>
      </w:pPr>
      <w:hyperlink w:history="0" w:anchor="P2122" w:tooltip="Раздел 4.">
        <w:r>
          <w:rPr>
            <w:sz w:val="24"/>
            <w:color w:val="0000ff"/>
          </w:rPr>
          <w:t xml:space="preserve">Разделы 4</w:t>
        </w:r>
      </w:hyperlink>
      <w:r>
        <w:rPr>
          <w:sz w:val="24"/>
        </w:rPr>
        <w:t xml:space="preserve"> и </w:t>
      </w:r>
      <w:hyperlink w:history="0" w:anchor="P2204" w:tooltip="Раздел 5.">
        <w:r>
          <w:rPr>
            <w:sz w:val="24"/>
            <w:color w:val="0000ff"/>
          </w:rPr>
          <w:t xml:space="preserve">5</w:t>
        </w:r>
      </w:hyperlink>
      <w:r>
        <w:rPr>
          <w:sz w:val="24"/>
        </w:rPr>
        <w:t xml:space="preserve"> отчетности по форме 0420153 составляются иностранной страховой организацией посредством формирования предусмотренных в них показателей ежегодно за календарный год (далее - отчетный год) по состоянию на 31 декабря отчетного года включительно.</w:t>
      </w:r>
    </w:p>
    <w:p>
      <w:pPr>
        <w:pStyle w:val="0"/>
        <w:spacing w:before="240" w:lineRule="auto"/>
        <w:ind w:firstLine="540"/>
        <w:jc w:val="both"/>
      </w:pPr>
      <w:r>
        <w:rPr>
          <w:sz w:val="24"/>
        </w:rPr>
        <w:t xml:space="preserve">Отчетность по </w:t>
      </w:r>
      <w:hyperlink w:history="0" w:anchor="P1888" w:tooltip="Отчетность по форме 0420153">
        <w:r>
          <w:rPr>
            <w:sz w:val="24"/>
            <w:color w:val="0000ff"/>
          </w:rPr>
          <w:t xml:space="preserve">форме 0420153</w:t>
        </w:r>
      </w:hyperlink>
      <w:r>
        <w:rPr>
          <w:sz w:val="24"/>
        </w:rPr>
        <w:t xml:space="preserve"> составляется иностранной страховой организацией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 </w:t>
      </w: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2. Значения показателей отчетности по </w:t>
      </w:r>
      <w:hyperlink w:history="0" w:anchor="P1888" w:tooltip="Отчетность по форме 0420153">
        <w:r>
          <w:rPr>
            <w:sz w:val="24"/>
            <w:color w:val="0000ff"/>
          </w:rPr>
          <w:t xml:space="preserve">форме 0420153</w:t>
        </w:r>
      </w:hyperlink>
      <w:r>
        <w:rPr>
          <w:sz w:val="24"/>
        </w:rPr>
        <w:t xml:space="preserve"> указываются в разрезе филиалов иностранной страховой организации, созданных на территории Российской Федерации, через которые иностранная страховая организация осуществляет страховую деятельность на территории Российской Федерации (далее - филиалы иностранной страховой организации) (по группе аналитических признаков "Идентификатор филиала").</w:t>
      </w:r>
    </w:p>
    <w:p>
      <w:pPr>
        <w:pStyle w:val="0"/>
        <w:spacing w:before="240" w:lineRule="auto"/>
        <w:ind w:firstLine="540"/>
        <w:jc w:val="both"/>
      </w:pPr>
      <w:r>
        <w:rPr>
          <w:sz w:val="24"/>
        </w:rPr>
        <w:t xml:space="preserve">Данные, указанные по группе аналитических признаков "Идентификатор филиала", должны соответствовать данным, указанным по группе аналитических признаков "Идентификатор обособленного подразделения" отчетности по </w:t>
      </w:r>
      <w:hyperlink w:history="0" w:anchor="P1001" w:tooltip="Отчетность по форме 0420151">
        <w:r>
          <w:rPr>
            <w:sz w:val="24"/>
            <w:color w:val="0000ff"/>
          </w:rPr>
          <w:t xml:space="preserve">форме 0420151</w:t>
        </w:r>
      </w:hyperlink>
      <w:r>
        <w:rPr>
          <w:sz w:val="24"/>
        </w:rPr>
        <w:t xml:space="preserve"> "Сведения об обособленных подразделениях страховщика" по действующим на конец отчетного периода (отчетного года) филиалам иностранной страховой организации.</w:t>
      </w:r>
    </w:p>
    <w:p>
      <w:pPr>
        <w:pStyle w:val="0"/>
        <w:spacing w:before="240" w:lineRule="auto"/>
        <w:ind w:firstLine="540"/>
        <w:jc w:val="both"/>
      </w:pPr>
      <w:r>
        <w:rPr>
          <w:sz w:val="24"/>
        </w:rPr>
        <w:t xml:space="preserve">3. По показателям </w:t>
      </w:r>
      <w:hyperlink w:history="0" w:anchor="P1904" w:tooltip="Раздел 1.">
        <w:r>
          <w:rPr>
            <w:sz w:val="24"/>
            <w:color w:val="0000ff"/>
          </w:rPr>
          <w:t xml:space="preserve">раздела 1</w:t>
        </w:r>
      </w:hyperlink>
      <w:r>
        <w:rPr>
          <w:sz w:val="24"/>
        </w:rPr>
        <w:t xml:space="preserve"> отчетности по форме 0420153 для каждого филиала иностранной страховой организации указываются сведения о размере сформированного иностранной страховой организацией гарантийного депозита филиала иностранной страховой организации.</w:t>
      </w:r>
    </w:p>
    <w:p>
      <w:pPr>
        <w:pStyle w:val="0"/>
        <w:spacing w:before="240" w:lineRule="auto"/>
        <w:ind w:firstLine="540"/>
        <w:jc w:val="both"/>
      </w:pPr>
      <w:r>
        <w:rPr>
          <w:sz w:val="24"/>
        </w:rPr>
        <w:t xml:space="preserve">По группе аналитических признаков "Банковский счет" указывается номер специального банковского счета, открытого по распоряжению иностранной страховой организации государственной корпорацией "Агентство по страхованию вкладов" в кредитной организации, на котором размещены денежные средства гарантийного депозита филиала иностранной страховой организации, в соответствии с </w:t>
      </w:r>
      <w:hyperlink w:history="0" r:id="rId15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пунктами 1</w:t>
        </w:r>
      </w:hyperlink>
      <w:r>
        <w:rPr>
          <w:sz w:val="24"/>
        </w:rPr>
        <w:t xml:space="preserve"> и </w:t>
      </w:r>
      <w:hyperlink w:history="0" r:id="rId151"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2 статьи 33.3</w:t>
        </w:r>
      </w:hyperlink>
      <w:r>
        <w:rPr>
          <w:sz w:val="24"/>
        </w:rPr>
        <w:t xml:space="preserve"> Закона Российской Федерации от 27 ноября 1992 года N 4015-I "Об организации страхового дела в Российской Федерации" (далее соответственно - Закон Российской Федерации N 4015-I, специальный банковский счет), с указанием идентификатора указанной кредитной организации (по группе аналитических признаков "Идентификатор кредитной организации").</w:t>
      </w:r>
    </w:p>
    <w:p>
      <w:pPr>
        <w:pStyle w:val="0"/>
        <w:spacing w:before="240" w:lineRule="auto"/>
        <w:ind w:firstLine="540"/>
        <w:jc w:val="both"/>
      </w:pPr>
      <w:r>
        <w:rPr>
          <w:sz w:val="24"/>
        </w:rPr>
        <w:t xml:space="preserve">Значение идентификатора кредитной организации, указанное по группе аналитических признаков "Идентификатор кредитной организации",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(далее - отчетность по форме 0420150) по этой кредитной организации.</w:t>
      </w:r>
    </w:p>
    <w:p>
      <w:pPr>
        <w:pStyle w:val="0"/>
        <w:spacing w:before="240" w:lineRule="auto"/>
        <w:ind w:firstLine="540"/>
        <w:jc w:val="both"/>
      </w:pPr>
      <w:r>
        <w:rPr>
          <w:sz w:val="24"/>
        </w:rPr>
        <w:t xml:space="preserve">Сведения о кредитной организации и стоимости денежных средств на специальном банковском счете на конец отчетного периода должны соответствовать сведениям, указанным в выписке по специальному банковскому счету, подтверждающей соответствие размера находящихся на указанном специальном банковском счете денежных средств требованиям, установленным </w:t>
      </w:r>
      <w:hyperlink w:history="0" r:id="rId15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статьей 33.4</w:t>
        </w:r>
      </w:hyperlink>
      <w:r>
        <w:rPr>
          <w:sz w:val="24"/>
        </w:rPr>
        <w:t xml:space="preserve"> Закона Российской Федерации N 4015-I к общему размеру гарантийного депозита филиала иностранной страховой организации, представляемой иностранной страховой организацией в Банк России в соответствии с </w:t>
      </w:r>
      <w:hyperlink w:history="0" w:anchor="P59432" w:tooltip="5.10. Показатели отчетности по форме 0420153 представляются иностранной страховой организацией за I квартал, первое полугодие, 9 месяцев в течение 10 рабочих дней после дня окончания отчетного периода (кроме показателей разделов 4 и 5 отчетности по форме 0420153), за год указанные показатели представляются дважды - в течение 10 рабочих дней после дня окончания отчетного периода (кроме показателей разделов 4 и 5 по форме 0420153) и в течение 35 рабочих дней после дня окончания отчетного периода.">
        <w:r>
          <w:rPr>
            <w:sz w:val="24"/>
            <w:color w:val="0000ff"/>
          </w:rPr>
          <w:t xml:space="preserve">подпунктом 5.10 пункта 5</w:t>
        </w:r>
      </w:hyperlink>
      <w:r>
        <w:rPr>
          <w:sz w:val="24"/>
        </w:rPr>
        <w:t xml:space="preserve"> приложения 3 к настоящему Указанию.</w:t>
      </w:r>
    </w:p>
    <w:p>
      <w:pPr>
        <w:pStyle w:val="0"/>
        <w:spacing w:before="240" w:lineRule="auto"/>
        <w:ind w:firstLine="540"/>
        <w:jc w:val="both"/>
      </w:pPr>
      <w:r>
        <w:rPr>
          <w:sz w:val="24"/>
        </w:rPr>
        <w:t xml:space="preserve">3.1. По показателю "Минимальный размер гарантийного депозита" </w:t>
      </w:r>
      <w:hyperlink w:history="0" w:anchor="P1906" w:tooltip="1">
        <w:r>
          <w:rPr>
            <w:sz w:val="24"/>
            <w:color w:val="0000ff"/>
          </w:rPr>
          <w:t xml:space="preserve">(строка 1)</w:t>
        </w:r>
      </w:hyperlink>
      <w:r>
        <w:rPr>
          <w:sz w:val="24"/>
        </w:rPr>
        <w:t xml:space="preserve"> указывается минимальный размер гарантийного депозита филиала иностранной страховой организации в соответствии с </w:t>
      </w:r>
      <w:hyperlink w:history="0" r:id="rId153"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1 статьи 33.4</w:t>
        </w:r>
      </w:hyperlink>
      <w:r>
        <w:rPr>
          <w:sz w:val="24"/>
        </w:rPr>
        <w:t xml:space="preserve"> Закона Российской Федерации N 4015-I на конец отчетного периода.</w:t>
      </w:r>
    </w:p>
    <w:p>
      <w:pPr>
        <w:pStyle w:val="0"/>
        <w:spacing w:before="240" w:lineRule="auto"/>
        <w:ind w:firstLine="540"/>
        <w:jc w:val="both"/>
      </w:pPr>
      <w:r>
        <w:rPr>
          <w:sz w:val="24"/>
        </w:rPr>
        <w:t xml:space="preserve">3.2. По показателю "Расчетный размер гарантийного депозита" </w:t>
      </w:r>
      <w:hyperlink w:history="0" w:anchor="P1922" w:tooltip="2">
        <w:r>
          <w:rPr>
            <w:sz w:val="24"/>
            <w:color w:val="0000ff"/>
          </w:rPr>
          <w:t xml:space="preserve">(строка 2)</w:t>
        </w:r>
      </w:hyperlink>
      <w:r>
        <w:rPr>
          <w:sz w:val="24"/>
        </w:rPr>
        <w:t xml:space="preserve"> указывается расчетный размер гарантийного депозита филиала иностранной страховой организации, сформированный иностранной страховой организацией в соответствии с </w:t>
      </w:r>
      <w:hyperlink w:history="0" r:id="rId15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3 статьи 33.4</w:t>
        </w:r>
      </w:hyperlink>
      <w:r>
        <w:rPr>
          <w:sz w:val="24"/>
        </w:rPr>
        <w:t xml:space="preserve"> Закона Российской Федерации N 4015-I на конец отчетного периода.</w:t>
      </w:r>
    </w:p>
    <w:p>
      <w:pPr>
        <w:pStyle w:val="0"/>
        <w:spacing w:before="240" w:lineRule="auto"/>
        <w:ind w:firstLine="540"/>
        <w:jc w:val="both"/>
      </w:pPr>
      <w:r>
        <w:rPr>
          <w:sz w:val="24"/>
        </w:rPr>
        <w:t xml:space="preserve">Значение показателя "Расчетный размер гарантийного депозита" </w:t>
      </w:r>
      <w:hyperlink w:history="0" w:anchor="P1922" w:tooltip="2">
        <w:r>
          <w:rPr>
            <w:sz w:val="24"/>
            <w:color w:val="0000ff"/>
          </w:rPr>
          <w:t xml:space="preserve">(строка 2)</w:t>
        </w:r>
      </w:hyperlink>
      <w:r>
        <w:rPr>
          <w:sz w:val="24"/>
        </w:rPr>
        <w:t xml:space="preserve"> должно быть равно сумме значений показателей "Расчетный размер гарантийного депозита по договорам страхования жизни" </w:t>
      </w:r>
      <w:hyperlink w:history="0" w:anchor="P1972" w:tooltip="5">
        <w:r>
          <w:rPr>
            <w:sz w:val="24"/>
            <w:color w:val="0000ff"/>
          </w:rPr>
          <w:t xml:space="preserve">(строка 5)</w:t>
        </w:r>
      </w:hyperlink>
      <w:r>
        <w:rPr>
          <w:sz w:val="24"/>
        </w:rPr>
        <w:t xml:space="preserve"> и "Расчетный размер гарантийного депозита по договорам страхования иного, чем страхование жизни" </w:t>
      </w:r>
      <w:hyperlink w:history="0" w:anchor="P2038" w:tooltip="13">
        <w:r>
          <w:rPr>
            <w:sz w:val="24"/>
            <w:color w:val="0000ff"/>
          </w:rPr>
          <w:t xml:space="preserve">(строка 13)</w:t>
        </w:r>
      </w:hyperlink>
      <w:r>
        <w:rPr>
          <w:sz w:val="24"/>
        </w:rPr>
        <w:t xml:space="preserve"> (сумме по всем учетным группам, указанным по аналитическим признакам группы аналитических признаков "Перечень учетных групп").</w:t>
      </w:r>
    </w:p>
    <w:p>
      <w:pPr>
        <w:pStyle w:val="0"/>
        <w:spacing w:before="240" w:lineRule="auto"/>
        <w:ind w:firstLine="540"/>
        <w:jc w:val="both"/>
      </w:pPr>
      <w:r>
        <w:rPr>
          <w:sz w:val="24"/>
        </w:rPr>
        <w:t xml:space="preserve">3.3. По показателю "Общий размер гарантийного депозита" </w:t>
      </w:r>
      <w:hyperlink w:history="0" w:anchor="P1938" w:tooltip="3">
        <w:r>
          <w:rPr>
            <w:sz w:val="24"/>
            <w:color w:val="0000ff"/>
          </w:rPr>
          <w:t xml:space="preserve">(строка 3)</w:t>
        </w:r>
      </w:hyperlink>
      <w:r>
        <w:rPr>
          <w:sz w:val="24"/>
        </w:rPr>
        <w:t xml:space="preserve"> указывается общий размер гарантийного депозита филиала иностранной страховой организации, определенный в соответствии с </w:t>
      </w:r>
      <w:hyperlink w:history="0" r:id="rId15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2 статьи 33.4</w:t>
        </w:r>
      </w:hyperlink>
      <w:r>
        <w:rPr>
          <w:sz w:val="24"/>
        </w:rPr>
        <w:t xml:space="preserve"> Закона Российской Федерации N 4015-I на конец отчетного периода.</w:t>
      </w:r>
    </w:p>
    <w:p>
      <w:pPr>
        <w:pStyle w:val="0"/>
        <w:spacing w:before="240" w:lineRule="auto"/>
        <w:ind w:firstLine="540"/>
        <w:jc w:val="both"/>
      </w:pPr>
      <w:r>
        <w:rPr>
          <w:sz w:val="24"/>
        </w:rPr>
        <w:t xml:space="preserve">3.4. По показателю "Стоимость денежных средств" </w:t>
      </w:r>
      <w:hyperlink w:history="0" w:anchor="P1954" w:tooltip="4">
        <w:r>
          <w:rPr>
            <w:sz w:val="24"/>
            <w:color w:val="0000ff"/>
          </w:rPr>
          <w:t xml:space="preserve">(строка 4)</w:t>
        </w:r>
      </w:hyperlink>
      <w:r>
        <w:rPr>
          <w:sz w:val="24"/>
        </w:rPr>
        <w:t xml:space="preserve"> указывается сумма денежных средств на специальном банковском счете на конец отчетного периода.</w:t>
      </w:r>
    </w:p>
    <w:p>
      <w:pPr>
        <w:pStyle w:val="0"/>
        <w:spacing w:before="240" w:lineRule="auto"/>
        <w:ind w:firstLine="540"/>
        <w:jc w:val="both"/>
      </w:pPr>
      <w:r>
        <w:rPr>
          <w:sz w:val="24"/>
        </w:rPr>
        <w:t xml:space="preserve">4. По показателям </w:t>
      </w:r>
      <w:hyperlink w:history="0" w:anchor="P1970" w:tooltip="Раздел 2.">
        <w:r>
          <w:rPr>
            <w:sz w:val="24"/>
            <w:color w:val="0000ff"/>
          </w:rPr>
          <w:t xml:space="preserve">раздела 2</w:t>
        </w:r>
      </w:hyperlink>
      <w:r>
        <w:rPr>
          <w:sz w:val="24"/>
        </w:rPr>
        <w:t xml:space="preserve"> отчетности по форме 0420153 указываются сведения о сформированном иностранной страховой организацией на конец отчетного периода расчетном размере гарантийного депозита (его частей) каждого созданного ею филиала по договорам страхования жизни в соответствии с </w:t>
      </w:r>
      <w:hyperlink w:history="0" r:id="rId156" w:tooltip="Положение Банка России от 16.08.2021 N 769-П &quot;О расчетном размере гарантийного депозита филиала иностранной страховой организации&quot; (Зарегистрировано в Минюсте России 07.10.2021 N 65339) {КонсультантПлюс}">
        <w:r>
          <w:rPr>
            <w:sz w:val="24"/>
            <w:color w:val="0000ff"/>
          </w:rPr>
          <w:t xml:space="preserve">главой 2</w:t>
        </w:r>
      </w:hyperlink>
      <w:r>
        <w:rPr>
          <w:sz w:val="24"/>
        </w:rPr>
        <w:t xml:space="preserve"> Положения Банка России от 16 августа 2021 года N 769-П "О расчетном размере гарантийного депозита филиала иностранной страховой организации" &lt;1&gt; (далее - Положение Банка России N 769-П).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7 октября 2021 года, регистрационный N 65339.</w:t>
      </w:r>
    </w:p>
    <w:p>
      <w:pPr>
        <w:pStyle w:val="0"/>
        <w:ind w:firstLine="540"/>
        <w:jc w:val="both"/>
      </w:pPr>
      <w:r>
        <w:rPr>
          <w:sz w:val="24"/>
        </w:rPr>
      </w:r>
    </w:p>
    <w:p>
      <w:pPr>
        <w:pStyle w:val="0"/>
        <w:ind w:firstLine="540"/>
        <w:jc w:val="both"/>
      </w:pPr>
      <w:r>
        <w:rPr>
          <w:sz w:val="24"/>
        </w:rPr>
        <w:t xml:space="preserve">Значение показателя "Расчетный размер гарантийного депозита по договорам страхования жизни" </w:t>
      </w:r>
      <w:hyperlink w:history="0" w:anchor="P1972" w:tooltip="5">
        <w:r>
          <w:rPr>
            <w:sz w:val="24"/>
            <w:color w:val="0000ff"/>
          </w:rPr>
          <w:t xml:space="preserve">(строка 5)</w:t>
        </w:r>
      </w:hyperlink>
      <w:r>
        <w:rPr>
          <w:sz w:val="24"/>
        </w:rPr>
        <w:t xml:space="preserve"> должно быть равно сумме значений показателей "Математическая часть" </w:t>
      </w:r>
      <w:hyperlink w:history="0" w:anchor="P1980" w:tooltip="6">
        <w:r>
          <w:rPr>
            <w:sz w:val="24"/>
            <w:color w:val="0000ff"/>
          </w:rPr>
          <w:t xml:space="preserve">(строка 6)</w:t>
        </w:r>
      </w:hyperlink>
      <w:r>
        <w:rPr>
          <w:sz w:val="24"/>
        </w:rPr>
        <w:t xml:space="preserve">, "Часть расходов на обслуживание страховых обязательств" </w:t>
      </w:r>
      <w:hyperlink w:history="0" w:anchor="P1988" w:tooltip="7">
        <w:r>
          <w:rPr>
            <w:sz w:val="24"/>
            <w:color w:val="0000ff"/>
          </w:rPr>
          <w:t xml:space="preserve">(строка 7)</w:t>
        </w:r>
      </w:hyperlink>
      <w:r>
        <w:rPr>
          <w:sz w:val="24"/>
        </w:rPr>
        <w:t xml:space="preserve">, "Часть выплат по заявленным, но не урегулированным страховым случаям" </w:t>
      </w:r>
      <w:hyperlink w:history="0" w:anchor="P1996" w:tooltip="8">
        <w:r>
          <w:rPr>
            <w:sz w:val="24"/>
            <w:color w:val="0000ff"/>
          </w:rPr>
          <w:t xml:space="preserve">(строка 8)</w:t>
        </w:r>
      </w:hyperlink>
      <w:r>
        <w:rPr>
          <w:sz w:val="24"/>
        </w:rPr>
        <w:t xml:space="preserve">, "Часть выплат по произошедшим, но не заявленным страховым случаям" </w:t>
      </w:r>
      <w:hyperlink w:history="0" w:anchor="P2004" w:tooltip="9">
        <w:r>
          <w:rPr>
            <w:sz w:val="24"/>
            <w:color w:val="0000ff"/>
          </w:rPr>
          <w:t xml:space="preserve">(строка 9)</w:t>
        </w:r>
      </w:hyperlink>
      <w:r>
        <w:rPr>
          <w:sz w:val="24"/>
        </w:rPr>
        <w:t xml:space="preserve">, "Часть дополнительных выплат (страховых бонусов)" </w:t>
      </w:r>
      <w:hyperlink w:history="0" w:anchor="P2012" w:tooltip="10">
        <w:r>
          <w:rPr>
            <w:sz w:val="24"/>
            <w:color w:val="0000ff"/>
          </w:rPr>
          <w:t xml:space="preserve">(строка 10)</w:t>
        </w:r>
      </w:hyperlink>
      <w:r>
        <w:rPr>
          <w:sz w:val="24"/>
        </w:rPr>
        <w:t xml:space="preserve">, "Выравнивающая часть" </w:t>
      </w:r>
      <w:hyperlink w:history="0" w:anchor="P2020" w:tooltip="11">
        <w:r>
          <w:rPr>
            <w:sz w:val="24"/>
            <w:color w:val="0000ff"/>
          </w:rPr>
          <w:t xml:space="preserve">(строка 11)</w:t>
        </w:r>
      </w:hyperlink>
      <w:r>
        <w:rPr>
          <w:sz w:val="24"/>
        </w:rPr>
        <w:t xml:space="preserve"> и "Часть опций и гарантий" </w:t>
      </w:r>
      <w:hyperlink w:history="0" w:anchor="P2028" w:tooltip="12">
        <w:r>
          <w:rPr>
            <w:sz w:val="24"/>
            <w:color w:val="0000ff"/>
          </w:rPr>
          <w:t xml:space="preserve">(строка 12)</w:t>
        </w:r>
      </w:hyperlink>
      <w:r>
        <w:rPr>
          <w:sz w:val="24"/>
        </w:rPr>
        <w:t xml:space="preserve">.</w:t>
      </w:r>
    </w:p>
    <w:p>
      <w:pPr>
        <w:pStyle w:val="0"/>
        <w:spacing w:before="240" w:lineRule="auto"/>
        <w:ind w:firstLine="540"/>
        <w:jc w:val="both"/>
      </w:pPr>
      <w:r>
        <w:rPr>
          <w:sz w:val="24"/>
        </w:rPr>
        <w:t xml:space="preserve">5. По показателям </w:t>
      </w:r>
      <w:hyperlink w:history="0" w:anchor="P2036" w:tooltip="Раздел 3.">
        <w:r>
          <w:rPr>
            <w:sz w:val="24"/>
            <w:color w:val="0000ff"/>
          </w:rPr>
          <w:t xml:space="preserve">раздела 3</w:t>
        </w:r>
      </w:hyperlink>
      <w:r>
        <w:rPr>
          <w:sz w:val="24"/>
        </w:rPr>
        <w:t xml:space="preserve"> отчетности по форме 0420153 указываются сведения о сформированном иностранной страховой организацией на конец отчетного периода расчетном размере гарантийного депозита (его частей) каждого созданного ею филиала по договорам страхования, сострахования, перестрахования, относящимся к страхованию иному, чем страхование жизни (далее - договоры страхования иного, чем страхование жизни), в соответствии с </w:t>
      </w:r>
      <w:hyperlink w:history="0" r:id="rId157" w:tooltip="Положение Банка России от 16.08.2021 N 769-П &quot;О расчетном размере гарантийного депозита филиала иностранной страховой организации&quot; (Зарегистрировано в Минюсте России 07.10.2021 N 65339) {КонсультантПлюс}">
        <w:r>
          <w:rPr>
            <w:sz w:val="24"/>
            <w:color w:val="0000ff"/>
          </w:rPr>
          <w:t xml:space="preserve">главой 3</w:t>
        </w:r>
      </w:hyperlink>
      <w:r>
        <w:rPr>
          <w:sz w:val="24"/>
        </w:rPr>
        <w:t xml:space="preserve"> Положения Банка России N 769-П, с указанием по каждой учетной группе общей суммы расчетного размера гарантийного депозита по договорам страхования иного, чем страхование жизни, и сумм его частей.</w:t>
      </w:r>
    </w:p>
    <w:p>
      <w:pPr>
        <w:pStyle w:val="0"/>
        <w:spacing w:before="240" w:lineRule="auto"/>
        <w:ind w:firstLine="540"/>
        <w:jc w:val="both"/>
      </w:pPr>
      <w:r>
        <w:rPr>
          <w:sz w:val="24"/>
        </w:rPr>
        <w:t xml:space="preserve">По показателям </w:t>
      </w:r>
      <w:hyperlink w:history="0" w:anchor="P2036" w:tooltip="Раздел 3.">
        <w:r>
          <w:rPr>
            <w:sz w:val="24"/>
            <w:color w:val="0000ff"/>
          </w:rPr>
          <w:t xml:space="preserve">раздела 3</w:t>
        </w:r>
      </w:hyperlink>
      <w:r>
        <w:rPr>
          <w:sz w:val="24"/>
        </w:rPr>
        <w:t xml:space="preserve"> отчетности по форме 0420153 сведения указываются в разрезе учетных групп, предусмотренных </w:t>
      </w:r>
      <w:hyperlink w:history="0" r:id="rId158" w:tooltip="Положение Банка России от 16.08.2021 N 769-П &quot;О расчетном размере гарантийного депозита филиала иностранной страховой организации&quot; (Зарегистрировано в Минюсте России 07.10.2021 N 65339) {КонсультантПлюс}">
        <w:r>
          <w:rPr>
            <w:sz w:val="24"/>
            <w:color w:val="0000ff"/>
          </w:rPr>
          <w:t xml:space="preserve">пунктом 3.1</w:t>
        </w:r>
      </w:hyperlink>
      <w:r>
        <w:rPr>
          <w:sz w:val="24"/>
        </w:rPr>
        <w:t xml:space="preserve"> Положения Банка России N 769-П (по аналитическим признакам группы аналитических признаков "Перечень учетных групп").</w:t>
      </w:r>
    </w:p>
    <w:p>
      <w:pPr>
        <w:pStyle w:val="0"/>
        <w:spacing w:before="240" w:lineRule="auto"/>
        <w:ind w:firstLine="540"/>
        <w:jc w:val="both"/>
      </w:pPr>
      <w:r>
        <w:rPr>
          <w:sz w:val="24"/>
        </w:rPr>
        <w:t xml:space="preserve">По показателю "Часть для компенсации расходов по обязательному страхованию гражданской ответственности владельцев транспортных средств" </w:t>
      </w:r>
      <w:hyperlink w:history="0" w:anchor="P2110" w:tooltip="19">
        <w:r>
          <w:rPr>
            <w:sz w:val="24"/>
            <w:color w:val="0000ff"/>
          </w:rPr>
          <w:t xml:space="preserve">(строка 19)</w:t>
        </w:r>
      </w:hyperlink>
      <w:r>
        <w:rPr>
          <w:sz w:val="24"/>
        </w:rPr>
        <w:t xml:space="preserve"> указывается часть расчетного размера гарантийного депозита для компенсации расходов на осуществление страховых выплат и прямое возмещение убытков по обязательному страхованию гражданской ответственности владельцев транспортных средств в последующие периоды, формируемая иностранной страховой организацией для компенсации расходов на осуществление страховых выплат и прямое возмещение убытков в последующие периоды в соответствии со </w:t>
      </w:r>
      <w:hyperlink w:history="0" r:id="rId159"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статьей 26.1</w:t>
        </w:r>
      </w:hyperlink>
      <w:r>
        <w:rPr>
          <w:sz w:val="24"/>
        </w:rPr>
        <w:t xml:space="preserve"> Федерального закона от 25 апреля 2002 года N 40-ФЗ "Об обязательном страховании гражданской ответственности владельцев транспортных средств".</w:t>
      </w:r>
    </w:p>
    <w:p>
      <w:pPr>
        <w:pStyle w:val="0"/>
        <w:spacing w:before="240" w:lineRule="auto"/>
        <w:ind w:firstLine="540"/>
        <w:jc w:val="both"/>
      </w:pPr>
      <w:r>
        <w:rPr>
          <w:sz w:val="24"/>
        </w:rPr>
        <w:t xml:space="preserve">Значение показателя "Расчетный размер гарантийного депозита по договорам страхования иного, чем страхование жизни" </w:t>
      </w:r>
      <w:hyperlink w:history="0" w:anchor="P2038" w:tooltip="13">
        <w:r>
          <w:rPr>
            <w:sz w:val="24"/>
            <w:color w:val="0000ff"/>
          </w:rPr>
          <w:t xml:space="preserve">(строка 13)</w:t>
        </w:r>
      </w:hyperlink>
      <w:r>
        <w:rPr>
          <w:sz w:val="24"/>
        </w:rPr>
        <w:t xml:space="preserve"> должно быть равно сумме значений показателей "Часть незаработанной премии" </w:t>
      </w:r>
      <w:hyperlink w:history="0" w:anchor="P2050" w:tooltip="14">
        <w:r>
          <w:rPr>
            <w:sz w:val="24"/>
            <w:color w:val="0000ff"/>
          </w:rPr>
          <w:t xml:space="preserve">(строка 14)</w:t>
        </w:r>
      </w:hyperlink>
      <w:r>
        <w:rPr>
          <w:sz w:val="24"/>
        </w:rPr>
        <w:t xml:space="preserve">, "Часть убытков" </w:t>
      </w:r>
      <w:hyperlink w:history="0" w:anchor="P2062" w:tooltip="15">
        <w:r>
          <w:rPr>
            <w:sz w:val="24"/>
            <w:color w:val="0000ff"/>
          </w:rPr>
          <w:t xml:space="preserve">(строка 15)</w:t>
        </w:r>
      </w:hyperlink>
      <w:r>
        <w:rPr>
          <w:sz w:val="24"/>
        </w:rPr>
        <w:t xml:space="preserve"> и "Часть для компенсации расходов по обязательному страхованию гражданской ответственности владельцев транспортных средств" </w:t>
      </w:r>
      <w:hyperlink w:history="0" w:anchor="P2110" w:tooltip="19">
        <w:r>
          <w:rPr>
            <w:sz w:val="24"/>
            <w:color w:val="0000ff"/>
          </w:rPr>
          <w:t xml:space="preserve">(строка 19)</w:t>
        </w:r>
      </w:hyperlink>
      <w:r>
        <w:rPr>
          <w:sz w:val="24"/>
        </w:rPr>
        <w:t xml:space="preserve">.</w:t>
      </w:r>
    </w:p>
    <w:p>
      <w:pPr>
        <w:pStyle w:val="0"/>
        <w:spacing w:before="240" w:lineRule="auto"/>
        <w:ind w:firstLine="540"/>
        <w:jc w:val="both"/>
      </w:pPr>
      <w:r>
        <w:rPr>
          <w:sz w:val="24"/>
        </w:rPr>
        <w:t xml:space="preserve">Значение показателя "Часть убытков" </w:t>
      </w:r>
      <w:hyperlink w:history="0" w:anchor="P2062" w:tooltip="15">
        <w:r>
          <w:rPr>
            <w:sz w:val="24"/>
            <w:color w:val="0000ff"/>
          </w:rPr>
          <w:t xml:space="preserve">(строка 15)</w:t>
        </w:r>
      </w:hyperlink>
      <w:r>
        <w:rPr>
          <w:sz w:val="24"/>
        </w:rPr>
        <w:t xml:space="preserve"> должно быть равно сумме значений показателей "Часть заявленных, но не урегулированных убытков" </w:t>
      </w:r>
      <w:hyperlink w:history="0" w:anchor="P2074" w:tooltip="16">
        <w:r>
          <w:rPr>
            <w:sz w:val="24"/>
            <w:color w:val="0000ff"/>
          </w:rPr>
          <w:t xml:space="preserve">(строка 16)</w:t>
        </w:r>
      </w:hyperlink>
      <w:r>
        <w:rPr>
          <w:sz w:val="24"/>
        </w:rPr>
        <w:t xml:space="preserve">, "Часть произошедших, но не заявленных убытков" </w:t>
      </w:r>
      <w:hyperlink w:history="0" w:anchor="P2086" w:tooltip="17">
        <w:r>
          <w:rPr>
            <w:sz w:val="24"/>
            <w:color w:val="0000ff"/>
          </w:rPr>
          <w:t xml:space="preserve">(строка 17)</w:t>
        </w:r>
      </w:hyperlink>
      <w:r>
        <w:rPr>
          <w:sz w:val="24"/>
        </w:rPr>
        <w:t xml:space="preserve"> и "Часть расходов на урегулирование убытков" </w:t>
      </w:r>
      <w:hyperlink w:history="0" w:anchor="P2098" w:tooltip="18">
        <w:r>
          <w:rPr>
            <w:sz w:val="24"/>
            <w:color w:val="0000ff"/>
          </w:rPr>
          <w:t xml:space="preserve">(строка 18)</w:t>
        </w:r>
      </w:hyperlink>
      <w:r>
        <w:rPr>
          <w:sz w:val="24"/>
        </w:rPr>
        <w:t xml:space="preserve">.</w:t>
      </w:r>
    </w:p>
    <w:p>
      <w:pPr>
        <w:pStyle w:val="0"/>
        <w:spacing w:before="240" w:lineRule="auto"/>
        <w:ind w:firstLine="540"/>
        <w:jc w:val="both"/>
      </w:pPr>
      <w:r>
        <w:rPr>
          <w:sz w:val="24"/>
        </w:rPr>
        <w:t xml:space="preserve">6. По показателям </w:t>
      </w:r>
      <w:hyperlink w:history="0" w:anchor="P2122" w:tooltip="Раздел 4.">
        <w:r>
          <w:rPr>
            <w:sz w:val="24"/>
            <w:color w:val="0000ff"/>
          </w:rPr>
          <w:t xml:space="preserve">раздела 4</w:t>
        </w:r>
      </w:hyperlink>
      <w:r>
        <w:rPr>
          <w:sz w:val="24"/>
        </w:rPr>
        <w:t xml:space="preserve"> отчетности по форме 0420153 указываются для каждого филиала иностранной страховой организации сведения об ответственном актуарии, осуществившем проведение актуарного оценивания расчетного размера гарантийного депозита по итогам отчетного года в соответствии с </w:t>
      </w:r>
      <w:hyperlink w:history="0" r:id="rId16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абзацем третьим пункта 3 статьи 33.4</w:t>
        </w:r>
      </w:hyperlink>
      <w:r>
        <w:rPr>
          <w:sz w:val="24"/>
        </w:rPr>
        <w:t xml:space="preserve"> Закона Российской Федерации N 4015-I (далее - ответственный актуарий), и сведения о договоре, заключенном ответственным актуарием с иностранной страховой организацией.</w:t>
      </w:r>
    </w:p>
    <w:p>
      <w:pPr>
        <w:pStyle w:val="0"/>
        <w:spacing w:before="240" w:lineRule="auto"/>
        <w:ind w:firstLine="540"/>
        <w:jc w:val="both"/>
      </w:pPr>
      <w:r>
        <w:rPr>
          <w:sz w:val="24"/>
        </w:rPr>
        <w:t xml:space="preserve">Сведения об ответственном актуарии, указанные в </w:t>
      </w:r>
      <w:hyperlink w:history="0" w:anchor="P2122" w:tooltip="Раздел 4.">
        <w:r>
          <w:rPr>
            <w:sz w:val="24"/>
            <w:color w:val="0000ff"/>
          </w:rPr>
          <w:t xml:space="preserve">разделе 4</w:t>
        </w:r>
      </w:hyperlink>
      <w:r>
        <w:rPr>
          <w:sz w:val="24"/>
        </w:rPr>
        <w:t xml:space="preserve"> отчетности по форме 0420153, должны соответствовать сведениям, указанным в подготовленном по итогам актуарного оценивания расчетного размера гарантийного депозита актуарном заключении, представляемом иностранной страховой организацией в Банк России в соответствии с </w:t>
      </w:r>
      <w:hyperlink w:history="0" w:anchor="P59432" w:tooltip="5.10. Показатели отчетности по форме 0420153 представляются иностранной страховой организацией за I квартал, первое полугодие, 9 месяцев в течение 10 рабочих дней после дня окончания отчетного периода (кроме показателей разделов 4 и 5 отчетности по форме 0420153), за год указанные показатели представляются дважды - в течение 10 рабочих дней после дня окончания отчетного периода (кроме показателей разделов 4 и 5 по форме 0420153) и в течение 35 рабочих дней после дня окончания отчетного периода.">
        <w:r>
          <w:rPr>
            <w:sz w:val="24"/>
            <w:color w:val="0000ff"/>
          </w:rPr>
          <w:t xml:space="preserve">подпунктом 5.10 пункта 5</w:t>
        </w:r>
      </w:hyperlink>
      <w:r>
        <w:rPr>
          <w:sz w:val="24"/>
        </w:rPr>
        <w:t xml:space="preserve"> приложения 3 к настоящему Указанию.</w:t>
      </w:r>
    </w:p>
    <w:p>
      <w:pPr>
        <w:pStyle w:val="0"/>
        <w:spacing w:before="240" w:lineRule="auto"/>
        <w:ind w:firstLine="540"/>
        <w:jc w:val="both"/>
      </w:pPr>
      <w:r>
        <w:rPr>
          <w:sz w:val="24"/>
        </w:rPr>
        <w:t xml:space="preserve">6.1. По показателям "Фамилия ответственного актуария" </w:t>
      </w:r>
      <w:hyperlink w:history="0" w:anchor="P2124" w:tooltip="20">
        <w:r>
          <w:rPr>
            <w:sz w:val="24"/>
            <w:color w:val="0000ff"/>
          </w:rPr>
          <w:t xml:space="preserve">(строка 20)</w:t>
        </w:r>
      </w:hyperlink>
      <w:r>
        <w:rPr>
          <w:sz w:val="24"/>
        </w:rPr>
        <w:t xml:space="preserve">, "Имя ответственного актуария" </w:t>
      </w:r>
      <w:hyperlink w:history="0" w:anchor="P2132" w:tooltip="21">
        <w:r>
          <w:rPr>
            <w:sz w:val="24"/>
            <w:color w:val="0000ff"/>
          </w:rPr>
          <w:t xml:space="preserve">(строка 21)</w:t>
        </w:r>
      </w:hyperlink>
      <w:r>
        <w:rPr>
          <w:sz w:val="24"/>
        </w:rPr>
        <w:t xml:space="preserve">, "Отчество (при наличии) ответственного актуария" </w:t>
      </w:r>
      <w:hyperlink w:history="0" w:anchor="P2140" w:tooltip="22">
        <w:r>
          <w:rPr>
            <w:sz w:val="24"/>
            <w:color w:val="0000ff"/>
          </w:rPr>
          <w:t xml:space="preserve">(строка 22)</w:t>
        </w:r>
      </w:hyperlink>
      <w:r>
        <w:rPr>
          <w:sz w:val="24"/>
        </w:rPr>
        <w:t xml:space="preserve"> и "Регистрационный номер, присвоенный ответственному актуарию в едином реестре ответственных актуариев" </w:t>
      </w:r>
      <w:hyperlink w:history="0" w:anchor="P2148" w:tooltip="23">
        <w:r>
          <w:rPr>
            <w:sz w:val="24"/>
            <w:color w:val="0000ff"/>
          </w:rPr>
          <w:t xml:space="preserve">(строка 23)</w:t>
        </w:r>
      </w:hyperlink>
      <w:r>
        <w:rPr>
          <w:sz w:val="24"/>
        </w:rPr>
        <w:t xml:space="preserve"> указываются соответственно фамилия, имя и отчество (при наличии) ответственного актуария и регистрационный номер, присвоенный ему в едином реестре ответственных актуариев, который ведется Банком России в соответствии с </w:t>
      </w:r>
      <w:hyperlink w:history="0" r:id="rId161" w:tooltip="Федеральный закон от 02.11.2013 N 293-ФЗ (ред. от 10.07.2023) &quot;Об актуарной деятельности в Российской Федерации&quot; {КонсультантПлюс}">
        <w:r>
          <w:rPr>
            <w:sz w:val="24"/>
            <w:color w:val="0000ff"/>
          </w:rPr>
          <w:t xml:space="preserve">пунктом 8 части 2 статьи 8</w:t>
        </w:r>
      </w:hyperlink>
      <w:r>
        <w:rPr>
          <w:sz w:val="24"/>
        </w:rPr>
        <w:t xml:space="preserve"> Федерального закона от 2 ноября 2013 года N 293-ФЗ "Об актуарной деятельности в Российской Федерации".</w:t>
      </w:r>
    </w:p>
    <w:p>
      <w:pPr>
        <w:pStyle w:val="0"/>
        <w:spacing w:before="240" w:lineRule="auto"/>
        <w:ind w:firstLine="540"/>
        <w:jc w:val="both"/>
      </w:pPr>
      <w:r>
        <w:rPr>
          <w:sz w:val="24"/>
        </w:rPr>
        <w:t xml:space="preserve">6.2. По показателям "Полное наименование саморегулируемой организации актуариев, членом которой является ответственный актуарий" </w:t>
      </w:r>
      <w:hyperlink w:history="0" w:anchor="P2156" w:tooltip="24">
        <w:r>
          <w:rPr>
            <w:sz w:val="24"/>
            <w:color w:val="0000ff"/>
          </w:rPr>
          <w:t xml:space="preserve">(строка 24)</w:t>
        </w:r>
      </w:hyperlink>
      <w:r>
        <w:rPr>
          <w:sz w:val="24"/>
        </w:rPr>
        <w:t xml:space="preserve">, "Идентификационный номер налогоплательщика (ИНН) саморегулируемой организации актуариев, членом которой является ответственный актуарий" </w:t>
      </w:r>
      <w:hyperlink w:history="0" w:anchor="P2164" w:tooltip="25">
        <w:r>
          <w:rPr>
            <w:sz w:val="24"/>
            <w:color w:val="0000ff"/>
          </w:rPr>
          <w:t xml:space="preserve">(строка 25)</w:t>
        </w:r>
      </w:hyperlink>
      <w:r>
        <w:rPr>
          <w:sz w:val="24"/>
        </w:rPr>
        <w:t xml:space="preserve"> и "Основной государственный регистрационный номер (ОГРН) саморегулируемой организации актуариев, членом которой является ответственный актуарий" </w:t>
      </w:r>
      <w:hyperlink w:history="0" w:anchor="P2172" w:tooltip="26">
        <w:r>
          <w:rPr>
            <w:sz w:val="24"/>
            <w:color w:val="0000ff"/>
          </w:rPr>
          <w:t xml:space="preserve">(строка 26)</w:t>
        </w:r>
      </w:hyperlink>
      <w:r>
        <w:rPr>
          <w:sz w:val="24"/>
        </w:rPr>
        <w:t xml:space="preserve"> указываются соответственно полное наименование, идентификационный номер налогоплательщика и основной государственный регистрационный номер саморегулируемой организации актуариев, членом которой является ответственный актуарий.</w:t>
      </w:r>
    </w:p>
    <w:p>
      <w:pPr>
        <w:pStyle w:val="0"/>
        <w:spacing w:before="240" w:lineRule="auto"/>
        <w:ind w:firstLine="540"/>
        <w:jc w:val="both"/>
      </w:pPr>
      <w:r>
        <w:rPr>
          <w:sz w:val="24"/>
        </w:rPr>
        <w:t xml:space="preserve">6.3. По показателям "Вид договора о проведении актуарного оценивания" </w:t>
      </w:r>
      <w:hyperlink w:history="0" w:anchor="P2180" w:tooltip="27">
        <w:r>
          <w:rPr>
            <w:sz w:val="24"/>
            <w:color w:val="0000ff"/>
          </w:rPr>
          <w:t xml:space="preserve">(строка 27)</w:t>
        </w:r>
      </w:hyperlink>
      <w:r>
        <w:rPr>
          <w:sz w:val="24"/>
        </w:rPr>
        <w:t xml:space="preserve">, "Номер договора о проведении актуарного оценивания" </w:t>
      </w:r>
      <w:hyperlink w:history="0" w:anchor="P2188" w:tooltip="28">
        <w:r>
          <w:rPr>
            <w:sz w:val="24"/>
            <w:color w:val="0000ff"/>
          </w:rPr>
          <w:t xml:space="preserve">(строка 28)</w:t>
        </w:r>
      </w:hyperlink>
      <w:r>
        <w:rPr>
          <w:sz w:val="24"/>
        </w:rPr>
        <w:t xml:space="preserve"> и "Дата заключения договора о проведении актуарного оценивания" </w:t>
      </w:r>
      <w:hyperlink w:history="0" w:anchor="P2196" w:tooltip="29">
        <w:r>
          <w:rPr>
            <w:sz w:val="24"/>
            <w:color w:val="0000ff"/>
          </w:rPr>
          <w:t xml:space="preserve">(строка 29)</w:t>
        </w:r>
      </w:hyperlink>
      <w:r>
        <w:rPr>
          <w:sz w:val="24"/>
        </w:rPr>
        <w:t xml:space="preserve"> указываются соответственно вид договора, заключенного ответственным актуарием с иностранной страховой организацией (гражданско-правовой договор или трудовой договор), номер договора (в случае его отсутствия указывается значение "б/н" (без номера) и дата его заключения.</w:t>
      </w:r>
    </w:p>
    <w:p>
      <w:pPr>
        <w:pStyle w:val="0"/>
        <w:spacing w:before="240" w:lineRule="auto"/>
        <w:ind w:firstLine="540"/>
        <w:jc w:val="both"/>
      </w:pPr>
      <w:r>
        <w:rPr>
          <w:sz w:val="24"/>
        </w:rPr>
        <w:t xml:space="preserve">7. По показателям </w:t>
      </w:r>
      <w:hyperlink w:history="0" w:anchor="P2204" w:tooltip="Раздел 5.">
        <w:r>
          <w:rPr>
            <w:sz w:val="24"/>
            <w:color w:val="0000ff"/>
          </w:rPr>
          <w:t xml:space="preserve">раздела 5</w:t>
        </w:r>
      </w:hyperlink>
      <w:r>
        <w:rPr>
          <w:sz w:val="24"/>
        </w:rPr>
        <w:t xml:space="preserve"> отчетности по форме 0420153 указываются для каждого филиала иностранной страховой организации сведения из документа, составленного аудиторской организацией по результатам аудита достоверности данных, использованных ответственным актуарием в расчете расчетного размера гарантийного депозита по итогам отчетного года, в соответствии с </w:t>
      </w:r>
      <w:hyperlink w:history="0" r:id="rId16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абзацем третьим пункта 3 статьи 33.4</w:t>
        </w:r>
      </w:hyperlink>
      <w:r>
        <w:rPr>
          <w:sz w:val="24"/>
        </w:rPr>
        <w:t xml:space="preserve"> Закона Российской Федерации N 4015-I (далее - документ).</w:t>
      </w:r>
    </w:p>
    <w:p>
      <w:pPr>
        <w:pStyle w:val="0"/>
        <w:spacing w:before="240" w:lineRule="auto"/>
        <w:ind w:firstLine="540"/>
        <w:jc w:val="both"/>
      </w:pPr>
      <w:r>
        <w:rPr>
          <w:sz w:val="24"/>
        </w:rPr>
        <w:t xml:space="preserve">Данные по показателям </w:t>
      </w:r>
      <w:hyperlink w:history="0" w:anchor="P2204" w:tooltip="Раздел 5.">
        <w:r>
          <w:rPr>
            <w:sz w:val="24"/>
            <w:color w:val="0000ff"/>
          </w:rPr>
          <w:t xml:space="preserve">раздела 5</w:t>
        </w:r>
      </w:hyperlink>
      <w:r>
        <w:rPr>
          <w:sz w:val="24"/>
        </w:rPr>
        <w:t xml:space="preserve"> отчетности по форме 0420153 указываются в отношении аудиторской организации, выдавшей документ (по группе аналитических признаков "Идентификатор аудиторской организации").</w:t>
      </w:r>
    </w:p>
    <w:p>
      <w:pPr>
        <w:pStyle w:val="0"/>
        <w:spacing w:before="240" w:lineRule="auto"/>
        <w:ind w:firstLine="540"/>
        <w:jc w:val="both"/>
      </w:pPr>
      <w:r>
        <w:rPr>
          <w:sz w:val="24"/>
        </w:rPr>
        <w:t xml:space="preserve">Значение идентификатора аудиторской организации, выдавшей документ, указанное по группе аналитических признаков "Идентификатор аудиторской организации",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этой аудиторской организации.</w:t>
      </w:r>
    </w:p>
    <w:p>
      <w:pPr>
        <w:pStyle w:val="0"/>
        <w:spacing w:before="240" w:lineRule="auto"/>
        <w:ind w:firstLine="540"/>
        <w:jc w:val="both"/>
      </w:pPr>
      <w:r>
        <w:rPr>
          <w:sz w:val="24"/>
        </w:rPr>
        <w:t xml:space="preserve">Сведения из документа, указанные в </w:t>
      </w:r>
      <w:hyperlink w:history="0" w:anchor="P2204" w:tooltip="Раздел 5.">
        <w:r>
          <w:rPr>
            <w:sz w:val="24"/>
            <w:color w:val="0000ff"/>
          </w:rPr>
          <w:t xml:space="preserve">разделе 5</w:t>
        </w:r>
      </w:hyperlink>
      <w:r>
        <w:rPr>
          <w:sz w:val="24"/>
        </w:rPr>
        <w:t xml:space="preserve"> отчетности по форме 0420153, должны соответствовать сведениям, указанным в документе, представляемом иностранной страховой организацией в Банк России в соответствии с </w:t>
      </w:r>
      <w:hyperlink w:history="0" w:anchor="P59432" w:tooltip="5.10. Показатели отчетности по форме 0420153 представляются иностранной страховой организацией за I квартал, первое полугодие, 9 месяцев в течение 10 рабочих дней после дня окончания отчетного периода (кроме показателей разделов 4 и 5 отчетности по форме 0420153), за год указанные показатели представляются дважды - в течение 10 рабочих дней после дня окончания отчетного периода (кроме показателей разделов 4 и 5 по форме 0420153) и в течение 35 рабочих дней после дня окончания отчетного периода.">
        <w:r>
          <w:rPr>
            <w:sz w:val="24"/>
            <w:color w:val="0000ff"/>
          </w:rPr>
          <w:t xml:space="preserve">подпунктом 5.10 пункта 5</w:t>
        </w:r>
      </w:hyperlink>
      <w:r>
        <w:rPr>
          <w:sz w:val="24"/>
        </w:rPr>
        <w:t xml:space="preserve"> приложения 3 к настоящему Указанию.</w:t>
      </w:r>
    </w:p>
    <w:p>
      <w:pPr>
        <w:pStyle w:val="0"/>
        <w:spacing w:before="240" w:lineRule="auto"/>
        <w:ind w:firstLine="540"/>
        <w:jc w:val="both"/>
      </w:pPr>
      <w:r>
        <w:rPr>
          <w:sz w:val="24"/>
        </w:rPr>
        <w:t xml:space="preserve">7.1. По показателю "Дата документа" </w:t>
      </w:r>
      <w:hyperlink w:history="0" w:anchor="P2206" w:tooltip="30">
        <w:r>
          <w:rPr>
            <w:sz w:val="24"/>
            <w:color w:val="0000ff"/>
          </w:rPr>
          <w:t xml:space="preserve">(строка 30)</w:t>
        </w:r>
      </w:hyperlink>
      <w:r>
        <w:rPr>
          <w:sz w:val="24"/>
        </w:rPr>
        <w:t xml:space="preserve"> указывается дата составленного аудиторской организацией документа.</w:t>
      </w:r>
    </w:p>
    <w:p>
      <w:pPr>
        <w:pStyle w:val="0"/>
        <w:spacing w:before="240" w:lineRule="auto"/>
        <w:ind w:firstLine="540"/>
        <w:jc w:val="both"/>
      </w:pPr>
      <w:r>
        <w:rPr>
          <w:sz w:val="24"/>
        </w:rPr>
        <w:t xml:space="preserve">7.2. По показателю "Мнение, выраженное в документе" </w:t>
      </w:r>
      <w:hyperlink w:history="0" w:anchor="P2218" w:tooltip="31">
        <w:r>
          <w:rPr>
            <w:sz w:val="24"/>
            <w:color w:val="0000ff"/>
          </w:rPr>
          <w:t xml:space="preserve">(строка 31)</w:t>
        </w:r>
      </w:hyperlink>
      <w:r>
        <w:rPr>
          <w:sz w:val="24"/>
        </w:rPr>
        <w:t xml:space="preserve"> указывается мнение (вывод) аудиторской организации, выраженное в документе, в том числе "Немодифицированное мнение", "Мнение с оговоркой", "Отрицательное мнение" или "Отказ от выражения мнения".</w:t>
      </w:r>
    </w:p>
    <w:bookmarkStart w:id="2322" w:name="P2322"/>
    <w:bookmarkEnd w:id="2322"/>
    <w:p>
      <w:pPr>
        <w:pStyle w:val="0"/>
        <w:spacing w:before="240" w:lineRule="auto"/>
        <w:ind w:firstLine="540"/>
        <w:jc w:val="both"/>
      </w:pPr>
      <w:r>
        <w:rPr>
          <w:sz w:val="24"/>
        </w:rPr>
        <w:t xml:space="preserve">7.3. Сведения о лице, подписавшем документ, указываются по следующим показателям отчетности по </w:t>
      </w:r>
      <w:hyperlink w:history="0" w:anchor="P1888" w:tooltip="Отчетность по форме 0420153">
        <w:r>
          <w:rPr>
            <w:sz w:val="24"/>
            <w:color w:val="0000ff"/>
          </w:rPr>
          <w:t xml:space="preserve">форме 0420153</w:t>
        </w:r>
      </w:hyperlink>
      <w:r>
        <w:rPr>
          <w:sz w:val="24"/>
        </w:rPr>
        <w:t xml:space="preserve">:</w:t>
      </w:r>
    </w:p>
    <w:p>
      <w:pPr>
        <w:pStyle w:val="0"/>
        <w:spacing w:before="240" w:lineRule="auto"/>
        <w:ind w:firstLine="540"/>
        <w:jc w:val="both"/>
      </w:pPr>
      <w:r>
        <w:rPr>
          <w:sz w:val="24"/>
        </w:rPr>
        <w:t xml:space="preserve">по показателю "Фамилия, имя, отчество (при наличии) лица, подписавшего документ" </w:t>
      </w:r>
      <w:hyperlink w:history="0" w:anchor="P2230" w:tooltip="32">
        <w:r>
          <w:rPr>
            <w:sz w:val="24"/>
            <w:color w:val="0000ff"/>
          </w:rPr>
          <w:t xml:space="preserve">(строка 32)</w:t>
        </w:r>
      </w:hyperlink>
      <w:r>
        <w:rPr>
          <w:sz w:val="24"/>
        </w:rPr>
        <w:t xml:space="preserve"> указываются фамилия, имя, отчество (при наличии) лица, подписавшего документ;</w:t>
      </w:r>
    </w:p>
    <w:p>
      <w:pPr>
        <w:pStyle w:val="0"/>
        <w:spacing w:before="240" w:lineRule="auto"/>
        <w:ind w:firstLine="540"/>
        <w:jc w:val="both"/>
      </w:pPr>
      <w:r>
        <w:rPr>
          <w:sz w:val="24"/>
        </w:rPr>
        <w:t xml:space="preserve">по показателю "Основной регистрационный номер записи (ОРНЗ) лица, подписавшего документ" </w:t>
      </w:r>
      <w:hyperlink w:history="0" w:anchor="P2246" w:tooltip="33">
        <w:r>
          <w:rPr>
            <w:sz w:val="24"/>
            <w:color w:val="0000ff"/>
          </w:rPr>
          <w:t xml:space="preserve">(строка 33)</w:t>
        </w:r>
      </w:hyperlink>
      <w:r>
        <w:rPr>
          <w:sz w:val="24"/>
        </w:rPr>
        <w:t xml:space="preserve"> указывается основной регистрационный номер записи лица, подписавшего документ, в реестре аудиторов и аудиторских организаций саморегулируемой организации аудиторов, который в соответствии с </w:t>
      </w:r>
      <w:hyperlink w:history="0" r:id="rId163" w:tooltip="Федеральный закон от 30.12.2008 N 307-ФЗ (ред. от 26.12.2024) &quot;Об аудиторской деятельности&quot; {КонсультантПлюс}">
        <w:r>
          <w:rPr>
            <w:sz w:val="24"/>
            <w:color w:val="0000ff"/>
          </w:rPr>
          <w:t xml:space="preserve">частью 2 статьи 19</w:t>
        </w:r>
      </w:hyperlink>
      <w:r>
        <w:rPr>
          <w:sz w:val="24"/>
        </w:rPr>
        <w:t xml:space="preserve"> Федерального закона от 30 декабря 2008 года N 307-ФЗ "Об аудиторской деятельности" ведет саморегулируемая организация аудиторов;</w:t>
      </w:r>
    </w:p>
    <w:p>
      <w:pPr>
        <w:pStyle w:val="0"/>
        <w:spacing w:before="240" w:lineRule="auto"/>
        <w:ind w:firstLine="540"/>
        <w:jc w:val="both"/>
      </w:pPr>
      <w:r>
        <w:rPr>
          <w:sz w:val="24"/>
        </w:rPr>
        <w:t xml:space="preserve">по показателю "Номер квалификационного аттестата аудитора, выданного лицу, подписавшему документ" </w:t>
      </w:r>
      <w:hyperlink w:history="0" w:anchor="P2262" w:tooltip="34">
        <w:r>
          <w:rPr>
            <w:sz w:val="24"/>
            <w:color w:val="0000ff"/>
          </w:rPr>
          <w:t xml:space="preserve">(строка 34)</w:t>
        </w:r>
      </w:hyperlink>
      <w:r>
        <w:rPr>
          <w:sz w:val="24"/>
        </w:rPr>
        <w:t xml:space="preserve"> указывается номер квалификационного аттестата аудитора, выданного лицу, подписавшему документ.</w:t>
      </w:r>
    </w:p>
    <w:bookmarkStart w:id="2326" w:name="P2326"/>
    <w:bookmarkEnd w:id="2326"/>
    <w:p>
      <w:pPr>
        <w:pStyle w:val="0"/>
        <w:spacing w:before="240" w:lineRule="auto"/>
        <w:ind w:firstLine="540"/>
        <w:jc w:val="both"/>
      </w:pPr>
      <w:r>
        <w:rPr>
          <w:sz w:val="24"/>
        </w:rPr>
        <w:t xml:space="preserve">7.4. При наличии у лица, подписавшего документ, нескольких квалификационных аттестатов аудитора по показателю "Номер квалификационного аттестата аудитора, выданного лицу, подписавшему документ" </w:t>
      </w:r>
      <w:hyperlink w:history="0" w:anchor="P2262" w:tooltip="34">
        <w:r>
          <w:rPr>
            <w:sz w:val="24"/>
            <w:color w:val="0000ff"/>
          </w:rPr>
          <w:t xml:space="preserve">(строка 34)</w:t>
        </w:r>
      </w:hyperlink>
      <w:r>
        <w:rPr>
          <w:sz w:val="24"/>
        </w:rPr>
        <w:t xml:space="preserve"> указывается номер квалификационного аттестата аудитора, выданного лицу, подписавшему документ, состоящий из цифр, расположенных в следующей последовательности: XX-XXXXXX.</w:t>
      </w:r>
    </w:p>
    <w:p>
      <w:pPr>
        <w:pStyle w:val="0"/>
        <w:spacing w:before="240" w:lineRule="auto"/>
        <w:ind w:firstLine="540"/>
        <w:jc w:val="both"/>
      </w:pPr>
      <w:r>
        <w:rPr>
          <w:sz w:val="24"/>
        </w:rPr>
        <w:t xml:space="preserve">7.5. В случае если документ подписан несколькими лицами, значения показателей "Фамилия, имя, отчество (при наличии) лица, подписавшего документ" </w:t>
      </w:r>
      <w:hyperlink w:history="0" w:anchor="P2230" w:tooltip="32">
        <w:r>
          <w:rPr>
            <w:sz w:val="24"/>
            <w:color w:val="0000ff"/>
          </w:rPr>
          <w:t xml:space="preserve">(строка 32)</w:t>
        </w:r>
      </w:hyperlink>
      <w:r>
        <w:rPr>
          <w:sz w:val="24"/>
        </w:rPr>
        <w:t xml:space="preserve">, "Основной регистрационный номер записи (ОРНЗ) лица, подписавшего документ" </w:t>
      </w:r>
      <w:hyperlink w:history="0" w:anchor="P2246" w:tooltip="33">
        <w:r>
          <w:rPr>
            <w:sz w:val="24"/>
            <w:color w:val="0000ff"/>
          </w:rPr>
          <w:t xml:space="preserve">(строка 33)</w:t>
        </w:r>
      </w:hyperlink>
      <w:r>
        <w:rPr>
          <w:sz w:val="24"/>
        </w:rPr>
        <w:t xml:space="preserve"> и "Номер квалификационного аттестата аудитора, выданного лицу, подписавшему документ" </w:t>
      </w:r>
      <w:hyperlink w:history="0" w:anchor="P2262" w:tooltip="34">
        <w:r>
          <w:rPr>
            <w:sz w:val="24"/>
            <w:color w:val="0000ff"/>
          </w:rPr>
          <w:t xml:space="preserve">(строка 34)</w:t>
        </w:r>
      </w:hyperlink>
      <w:r>
        <w:rPr>
          <w:sz w:val="24"/>
        </w:rPr>
        <w:t xml:space="preserve"> указываются в отношении каждого лица, подписавшего документ, в соответствии с </w:t>
      </w:r>
      <w:hyperlink w:history="0" w:anchor="P2322" w:tooltip="7.3. Сведения о лице, подписавшем документ, указываются по следующим показателям отчетности по форме 0420153:">
        <w:r>
          <w:rPr>
            <w:sz w:val="24"/>
            <w:color w:val="0000ff"/>
          </w:rPr>
          <w:t xml:space="preserve">подпунктами 7.3</w:t>
        </w:r>
      </w:hyperlink>
      <w:r>
        <w:rPr>
          <w:sz w:val="24"/>
        </w:rPr>
        <w:t xml:space="preserve"> и </w:t>
      </w:r>
      <w:hyperlink w:history="0" w:anchor="P2326" w:tooltip="7.4. При наличии у лица, подписавшего документ, нескольких квалификационных аттестатов аудитора по показателю &quot;Номер квалификационного аттестата аудитора, выданного лицу, подписавшему документ&quot; (строка 34) указывается номер квалификационного аттестата аудитора, выданного лицу, подписавшему документ, состоящий из цифр, расположенных в следующей последовательности: XX-XXXXXX.">
        <w:r>
          <w:rPr>
            <w:sz w:val="24"/>
            <w:color w:val="0000ff"/>
          </w:rPr>
          <w:t xml:space="preserve">7.4</w:t>
        </w:r>
      </w:hyperlink>
      <w:r>
        <w:rPr>
          <w:sz w:val="24"/>
        </w:rPr>
        <w:t xml:space="preserve"> настоящего пункта, с указанием данных по группе аналитических признаков "Идентификатор строки".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2335" w:name="P2335"/>
    <w:bookmarkEnd w:id="2335"/>
    <w:p>
      <w:pPr>
        <w:pStyle w:val="0"/>
        <w:jc w:val="center"/>
      </w:pPr>
      <w:r>
        <w:rPr>
          <w:sz w:val="24"/>
        </w:rPr>
        <w:t xml:space="preserve">Отчетность по форме 0420154</w:t>
      </w:r>
    </w:p>
    <w:p>
      <w:pPr>
        <w:pStyle w:val="0"/>
        <w:jc w:val="center"/>
      </w:pPr>
      <w:r>
        <w:rPr>
          <w:sz w:val="24"/>
        </w:rPr>
        <w:t xml:space="preserve">"Отчет об активах и обязательствах страховщика"</w:t>
      </w:r>
    </w:p>
    <w:p>
      <w:pPr>
        <w:pStyle w:val="0"/>
        <w:ind w:firstLine="540"/>
        <w:jc w:val="both"/>
      </w:pPr>
      <w:r>
        <w:rPr>
          <w:sz w:val="24"/>
        </w:rPr>
      </w:r>
    </w:p>
    <w:p>
      <w:pPr>
        <w:pStyle w:val="0"/>
        <w:jc w:val="right"/>
      </w:pPr>
      <w:r>
        <w:rPr>
          <w:sz w:val="24"/>
        </w:rPr>
        <w:t xml:space="preserve">Код формы по </w:t>
      </w:r>
      <w:hyperlink w:history="0" r:id="rId164"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28586" w:tooltip="&lt;1&gt; Общероссийский классификатор управленческой документации.">
        <w:r>
          <w:rPr>
            <w:sz w:val="24"/>
            <w:color w:val="0000ff"/>
          </w:rPr>
          <w:t xml:space="preserve">&lt;1&gt;</w:t>
        </w:r>
      </w:hyperlink>
      <w:r>
        <w:rPr>
          <w:sz w:val="24"/>
        </w:rPr>
        <w:t xml:space="preserve"> 0420154</w:t>
      </w:r>
    </w:p>
    <w:p>
      <w:pPr>
        <w:pStyle w:val="0"/>
        <w:ind w:firstLine="540"/>
        <w:jc w:val="both"/>
      </w:pPr>
      <w:r>
        <w:rPr>
          <w:sz w:val="24"/>
        </w:rPr>
      </w:r>
    </w:p>
    <w:p>
      <w:pPr>
        <w:pStyle w:val="0"/>
        <w:jc w:val="right"/>
      </w:pPr>
      <w:r>
        <w:rPr>
          <w:sz w:val="24"/>
        </w:rPr>
        <w:t xml:space="preserve">Месячная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17"/>
        <w:gridCol w:w="262"/>
        <w:gridCol w:w="315"/>
        <w:gridCol w:w="134"/>
        <w:gridCol w:w="274"/>
        <w:gridCol w:w="193"/>
        <w:gridCol w:w="1213"/>
        <w:gridCol w:w="2608"/>
        <w:gridCol w:w="2948"/>
      </w:tblGrid>
      <w:tr>
        <w:tc>
          <w:tcPr>
            <w:tcW w:w="907" w:type="dxa"/>
          </w:tcPr>
          <w:p>
            <w:pPr>
              <w:pStyle w:val="0"/>
              <w:jc w:val="center"/>
            </w:pPr>
            <w:r>
              <w:rPr>
                <w:sz w:val="24"/>
              </w:rPr>
              <w:t xml:space="preserve">Номер строки</w:t>
            </w:r>
          </w:p>
        </w:tc>
        <w:tc>
          <w:tcPr>
            <w:gridSpan w:val="7"/>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7"/>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3"/>
            <w:tcW w:w="1386" w:type="dxa"/>
            <w:tcBorders>
              <w:left w:val="single" w:sz="4"/>
            </w:tcBorders>
          </w:tcPr>
          <w:bookmarkStart w:id="2350" w:name="P2350"/>
          <w:bookmarkEnd w:id="2350"/>
          <w:p>
            <w:pPr>
              <w:pStyle w:val="0"/>
              <w:outlineLvl w:val="3"/>
            </w:pPr>
            <w:r>
              <w:rPr>
                <w:sz w:val="24"/>
              </w:rPr>
              <w:t xml:space="preserve">Раздел 1.</w:t>
            </w:r>
          </w:p>
        </w:tc>
        <w:tc>
          <w:tcPr>
            <w:gridSpan w:val="7"/>
            <w:tcW w:w="7685" w:type="dxa"/>
            <w:tcBorders>
              <w:right w:val="single" w:sz="4"/>
            </w:tcBorders>
          </w:tcPr>
          <w:p>
            <w:pPr>
              <w:pStyle w:val="0"/>
            </w:pPr>
            <w:r>
              <w:rPr>
                <w:sz w:val="24"/>
              </w:rPr>
              <w:t xml:space="preserve">Активы, обязательства и капитал</w:t>
            </w:r>
          </w:p>
        </w:tc>
      </w:tr>
      <w:tr>
        <w:tc>
          <w:tcPr>
            <w:tcW w:w="907" w:type="dxa"/>
          </w:tcPr>
          <w:bookmarkStart w:id="2352" w:name="P2352"/>
          <w:bookmarkEnd w:id="2352"/>
          <w:p>
            <w:pPr>
              <w:pStyle w:val="0"/>
            </w:pPr>
            <w:r>
              <w:rPr>
                <w:sz w:val="24"/>
              </w:rPr>
              <w:t xml:space="preserve">1</w:t>
            </w:r>
          </w:p>
        </w:tc>
        <w:tc>
          <w:tcPr>
            <w:gridSpan w:val="7"/>
            <w:tcW w:w="2608" w:type="dxa"/>
          </w:tcPr>
          <w:p>
            <w:pPr>
              <w:pStyle w:val="0"/>
            </w:pPr>
            <w:r>
              <w:rPr>
                <w:sz w:val="24"/>
              </w:rPr>
              <w:t xml:space="preserve">Полная балансовая стоимость</w:t>
            </w:r>
          </w:p>
        </w:tc>
        <w:tc>
          <w:tcPr>
            <w:tcW w:w="2608" w:type="dxa"/>
          </w:tcPr>
          <w:p>
            <w:pPr>
              <w:pStyle w:val="0"/>
            </w:pPr>
            <w:r>
              <w:rPr>
                <w:sz w:val="24"/>
              </w:rPr>
            </w:r>
          </w:p>
        </w:tc>
        <w:tc>
          <w:tcPr>
            <w:tcW w:w="2948" w:type="dxa"/>
          </w:tcPr>
          <w:p>
            <w:pPr>
              <w:pStyle w:val="0"/>
            </w:pPr>
            <w:r>
              <w:rPr>
                <w:sz w:val="24"/>
              </w:rPr>
              <w:t xml:space="preserve">nfo-dic:PolnStoimDanBukhUch</w:t>
            </w:r>
          </w:p>
        </w:tc>
      </w:tr>
      <w:tr>
        <w:tc>
          <w:tcPr>
            <w:tcW w:w="907" w:type="dxa"/>
          </w:tcPr>
          <w:p>
            <w:pPr>
              <w:pStyle w:val="0"/>
            </w:pPr>
            <w:r>
              <w:rPr>
                <w:sz w:val="24"/>
              </w:rPr>
              <w:t xml:space="preserve">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bookmarkStart w:id="2364" w:name="P2364"/>
          <w:bookmarkEnd w:id="2364"/>
          <w:p>
            <w:pPr>
              <w:pStyle w:val="0"/>
            </w:pPr>
            <w:r>
              <w:rPr>
                <w:sz w:val="24"/>
              </w:rPr>
              <w:t xml:space="preserve">2</w:t>
            </w:r>
          </w:p>
        </w:tc>
        <w:tc>
          <w:tcPr>
            <w:gridSpan w:val="7"/>
            <w:tcW w:w="2608" w:type="dxa"/>
          </w:tcPr>
          <w:p>
            <w:pPr>
              <w:pStyle w:val="0"/>
            </w:pPr>
            <w:r>
              <w:rPr>
                <w:sz w:val="24"/>
              </w:rPr>
              <w:t xml:space="preserve">Резерв под обесценение</w:t>
            </w:r>
          </w:p>
        </w:tc>
        <w:tc>
          <w:tcPr>
            <w:tcW w:w="2608" w:type="dxa"/>
          </w:tcPr>
          <w:p>
            <w:pPr>
              <w:pStyle w:val="0"/>
            </w:pPr>
            <w:r>
              <w:rPr>
                <w:sz w:val="24"/>
              </w:rPr>
            </w:r>
          </w:p>
        </w:tc>
        <w:tc>
          <w:tcPr>
            <w:tcW w:w="2948" w:type="dxa"/>
          </w:tcPr>
          <w:p>
            <w:pPr>
              <w:pStyle w:val="0"/>
            </w:pPr>
            <w:r>
              <w:rPr>
                <w:sz w:val="24"/>
              </w:rPr>
              <w:t xml:space="preserve">nfo-dic:RezervPodObesczenenie</w:t>
            </w:r>
          </w:p>
        </w:tc>
      </w:tr>
      <w:tr>
        <w:tc>
          <w:tcPr>
            <w:tcW w:w="907" w:type="dxa"/>
          </w:tcPr>
          <w:p>
            <w:pPr>
              <w:pStyle w:val="0"/>
            </w:pPr>
            <w:r>
              <w:rPr>
                <w:sz w:val="24"/>
              </w:rPr>
              <w:t xml:space="preserve">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bookmarkStart w:id="2376" w:name="P2376"/>
          <w:bookmarkEnd w:id="2376"/>
          <w:p>
            <w:pPr>
              <w:pStyle w:val="0"/>
            </w:pPr>
            <w:r>
              <w:rPr>
                <w:sz w:val="24"/>
              </w:rPr>
              <w:t xml:space="preserve">3</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3.3</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bookmarkStart w:id="2392" w:name="P2392"/>
          <w:bookmarkEnd w:id="2392"/>
          <w:p>
            <w:pPr>
              <w:pStyle w:val="0"/>
            </w:pPr>
            <w:r>
              <w:rPr>
                <w:sz w:val="24"/>
              </w:rPr>
              <w:t xml:space="preserve">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4.3</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4.4</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bookmarkStart w:id="2412" w:name="P2412"/>
          <w:bookmarkEnd w:id="2412"/>
          <w:p>
            <w:pPr>
              <w:pStyle w:val="0"/>
            </w:pPr>
            <w:r>
              <w:rPr>
                <w:sz w:val="24"/>
              </w:rPr>
              <w:t xml:space="preserve">5</w:t>
            </w:r>
          </w:p>
        </w:tc>
        <w:tc>
          <w:tcPr>
            <w:gridSpan w:val="7"/>
            <w:tcW w:w="2608" w:type="dxa"/>
          </w:tcPr>
          <w:p>
            <w:pPr>
              <w:pStyle w:val="0"/>
            </w:pPr>
            <w:r>
              <w:rPr>
                <w:sz w:val="24"/>
              </w:rPr>
              <w:t xml:space="preserve">Собственные средства (капитал)</w:t>
            </w:r>
          </w:p>
        </w:tc>
        <w:tc>
          <w:tcPr>
            <w:tcW w:w="2608" w:type="dxa"/>
          </w:tcPr>
          <w:p>
            <w:pPr>
              <w:pStyle w:val="0"/>
            </w:pPr>
            <w:r>
              <w:rPr>
                <w:sz w:val="24"/>
              </w:rPr>
            </w:r>
          </w:p>
        </w:tc>
        <w:tc>
          <w:tcPr>
            <w:tcW w:w="2948" w:type="dxa"/>
          </w:tcPr>
          <w:p>
            <w:pPr>
              <w:pStyle w:val="0"/>
            </w:pPr>
            <w:r>
              <w:rPr>
                <w:sz w:val="24"/>
              </w:rPr>
              <w:t xml:space="preserve">ins-dic:Ss_Itogo</w:t>
            </w:r>
          </w:p>
        </w:tc>
      </w:tr>
      <w:tr>
        <w:tc>
          <w:tcPr>
            <w:tcW w:w="907" w:type="dxa"/>
          </w:tcPr>
          <w:bookmarkStart w:id="2416" w:name="P2416"/>
          <w:bookmarkEnd w:id="2416"/>
          <w:p>
            <w:pPr>
              <w:pStyle w:val="0"/>
            </w:pPr>
            <w:r>
              <w:rPr>
                <w:sz w:val="24"/>
              </w:rPr>
              <w:t xml:space="preserve">6</w:t>
            </w:r>
          </w:p>
        </w:tc>
        <w:tc>
          <w:tcPr>
            <w:gridSpan w:val="7"/>
            <w:tcW w:w="2608" w:type="dxa"/>
          </w:tcPr>
          <w:p>
            <w:pPr>
              <w:pStyle w:val="0"/>
            </w:pPr>
            <w:r>
              <w:rPr>
                <w:sz w:val="24"/>
              </w:rPr>
              <w:t xml:space="preserve">Собственные средства (капитал), балансовая стоимость</w:t>
            </w:r>
          </w:p>
        </w:tc>
        <w:tc>
          <w:tcPr>
            <w:tcW w:w="2608" w:type="dxa"/>
          </w:tcPr>
          <w:p>
            <w:pPr>
              <w:pStyle w:val="0"/>
            </w:pPr>
            <w:r>
              <w:rPr>
                <w:sz w:val="24"/>
              </w:rPr>
            </w:r>
          </w:p>
        </w:tc>
        <w:tc>
          <w:tcPr>
            <w:tcW w:w="2948" w:type="dxa"/>
          </w:tcPr>
          <w:p>
            <w:pPr>
              <w:pStyle w:val="0"/>
            </w:pPr>
            <w:r>
              <w:rPr>
                <w:sz w:val="24"/>
              </w:rPr>
              <w:t xml:space="preserve">ins-dic:SobstvennyeSredstvaKapitalBalansovayaStoimost</w:t>
            </w:r>
          </w:p>
        </w:tc>
      </w:tr>
      <w:tr>
        <w:tblPrEx>
          <w:tblBorders>
            <w:insideV w:val="nil"/>
          </w:tblBorders>
        </w:tblPrEx>
        <w:tc>
          <w:tcPr>
            <w:gridSpan w:val="3"/>
            <w:tcW w:w="1386" w:type="dxa"/>
            <w:tcBorders>
              <w:left w:val="single" w:sz="4"/>
            </w:tcBorders>
          </w:tcPr>
          <w:bookmarkStart w:id="2420" w:name="P2420"/>
          <w:bookmarkEnd w:id="2420"/>
          <w:p>
            <w:pPr>
              <w:pStyle w:val="0"/>
              <w:outlineLvl w:val="3"/>
            </w:pPr>
            <w:r>
              <w:rPr>
                <w:sz w:val="24"/>
              </w:rPr>
              <w:t xml:space="preserve">Раздел 2.</w:t>
            </w:r>
          </w:p>
        </w:tc>
        <w:tc>
          <w:tcPr>
            <w:gridSpan w:val="7"/>
            <w:tcW w:w="7685" w:type="dxa"/>
            <w:tcBorders>
              <w:right w:val="single" w:sz="4"/>
            </w:tcBorders>
          </w:tcPr>
          <w:p>
            <w:pPr>
              <w:pStyle w:val="0"/>
              <w:jc w:val="both"/>
            </w:pPr>
            <w:r>
              <w:rPr>
                <w:sz w:val="24"/>
              </w:rPr>
              <w:t xml:space="preserve">Отдельные виды активов</w:t>
            </w:r>
          </w:p>
        </w:tc>
      </w:tr>
      <w:tr>
        <w:tblPrEx>
          <w:tblBorders>
            <w:insideV w:val="nil"/>
          </w:tblBorders>
        </w:tblPrEx>
        <w:tc>
          <w:tcPr>
            <w:gridSpan w:val="5"/>
            <w:tcW w:w="1835" w:type="dxa"/>
            <w:tcBorders>
              <w:left w:val="single" w:sz="4"/>
            </w:tcBorders>
          </w:tcPr>
          <w:bookmarkStart w:id="2422" w:name="P2422"/>
          <w:bookmarkEnd w:id="2422"/>
          <w:p>
            <w:pPr>
              <w:pStyle w:val="0"/>
              <w:outlineLvl w:val="4"/>
            </w:pPr>
            <w:r>
              <w:rPr>
                <w:sz w:val="24"/>
              </w:rPr>
              <w:t xml:space="preserve">Подраздел 2.1.</w:t>
            </w:r>
          </w:p>
        </w:tc>
        <w:tc>
          <w:tcPr>
            <w:gridSpan w:val="5"/>
            <w:tcW w:w="7236" w:type="dxa"/>
            <w:tcBorders>
              <w:right w:val="single" w:sz="4"/>
            </w:tcBorders>
          </w:tcPr>
          <w:p>
            <w:pPr>
              <w:pStyle w:val="0"/>
            </w:pPr>
            <w:r>
              <w:rPr>
                <w:sz w:val="24"/>
              </w:rPr>
              <w:t xml:space="preserve">Наличные денежные средства в кассе, в пути</w:t>
            </w:r>
          </w:p>
        </w:tc>
      </w:tr>
      <w:tr>
        <w:tc>
          <w:tcPr>
            <w:tcW w:w="907" w:type="dxa"/>
          </w:tcPr>
          <w:p>
            <w:pPr>
              <w:pStyle w:val="0"/>
            </w:pPr>
            <w:r>
              <w:rPr>
                <w:sz w:val="24"/>
              </w:rPr>
              <w:t xml:space="preserve">7</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5"/>
            <w:tcW w:w="1835" w:type="dxa"/>
            <w:tcBorders>
              <w:left w:val="single" w:sz="4"/>
            </w:tcBorders>
          </w:tcPr>
          <w:bookmarkStart w:id="2436" w:name="P2436"/>
          <w:bookmarkEnd w:id="2436"/>
          <w:p>
            <w:pPr>
              <w:pStyle w:val="0"/>
              <w:outlineLvl w:val="4"/>
            </w:pPr>
            <w:r>
              <w:rPr>
                <w:sz w:val="24"/>
              </w:rPr>
              <w:t xml:space="preserve">Подраздел 2.2.</w:t>
            </w:r>
          </w:p>
        </w:tc>
        <w:tc>
          <w:tcPr>
            <w:gridSpan w:val="5"/>
            <w:tcW w:w="7236" w:type="dxa"/>
            <w:tcBorders>
              <w:right w:val="single" w:sz="4"/>
            </w:tcBorders>
          </w:tcPr>
          <w:p>
            <w:pPr>
              <w:pStyle w:val="0"/>
            </w:pPr>
            <w:r>
              <w:rPr>
                <w:sz w:val="24"/>
              </w:rPr>
              <w:t xml:space="preserve">Денежные средства, кроме наличных денежных средств в кассе, в пути</w:t>
            </w:r>
          </w:p>
        </w:tc>
      </w:tr>
      <w:tr>
        <w:tc>
          <w:tcPr>
            <w:tcW w:w="907" w:type="dxa"/>
          </w:tcPr>
          <w:p>
            <w:pPr>
              <w:pStyle w:val="0"/>
            </w:pPr>
            <w:r>
              <w:rPr>
                <w:sz w:val="24"/>
              </w:rPr>
              <w:t xml:space="preserve">8</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8.8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82" w:name="P2482"/>
          <w:bookmarkEnd w:id="2482"/>
          <w:p>
            <w:pPr>
              <w:pStyle w:val="0"/>
            </w:pPr>
            <w:r>
              <w:rPr>
                <w:sz w:val="24"/>
              </w:rPr>
              <w:t xml:space="preserve">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9.8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9.11</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530" w:name="P2530"/>
          <w:bookmarkEnd w:id="2530"/>
          <w:p>
            <w:pPr>
              <w:pStyle w:val="0"/>
            </w:pPr>
            <w:r>
              <w:rPr>
                <w:sz w:val="24"/>
              </w:rPr>
              <w:t xml:space="preserve">10</w:t>
            </w:r>
          </w:p>
        </w:tc>
        <w:tc>
          <w:tcPr>
            <w:gridSpan w:val="7"/>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ins-dic:RiskAktPeredStrlEnumerator</w:t>
            </w:r>
          </w:p>
        </w:tc>
      </w:tr>
      <w:tr>
        <w:tc>
          <w:tcPr>
            <w:tcW w:w="907" w:type="dxa"/>
          </w:tcPr>
          <w:p>
            <w:pPr>
              <w:pStyle w:val="0"/>
            </w:pPr>
            <w:r>
              <w:rPr>
                <w:sz w:val="24"/>
              </w:rPr>
              <w:t xml:space="preserve">10.1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10.8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574" w:name="P2574"/>
          <w:bookmarkEnd w:id="2574"/>
          <w:p>
            <w:pPr>
              <w:pStyle w:val="0"/>
            </w:pPr>
            <w:r>
              <w:rPr>
                <w:sz w:val="24"/>
              </w:rPr>
              <w:t xml:space="preserve">11</w:t>
            </w:r>
          </w:p>
        </w:tc>
        <w:tc>
          <w:tcPr>
            <w:gridSpan w:val="7"/>
            <w:tcW w:w="2608" w:type="dxa"/>
          </w:tcPr>
          <w:p>
            <w:pPr>
              <w:pStyle w:val="0"/>
            </w:pPr>
            <w:r>
              <w:rPr>
                <w:sz w:val="24"/>
              </w:rPr>
              <w:t xml:space="preserve">Стоимость зависит от изменения стоимости аффинированного золота</w:t>
            </w:r>
          </w:p>
        </w:tc>
        <w:tc>
          <w:tcPr>
            <w:tcW w:w="2608" w:type="dxa"/>
          </w:tcPr>
          <w:p>
            <w:pPr>
              <w:pStyle w:val="0"/>
            </w:pPr>
            <w:r>
              <w:rPr>
                <w:sz w:val="24"/>
              </w:rPr>
            </w:r>
          </w:p>
        </w:tc>
        <w:tc>
          <w:tcPr>
            <w:tcW w:w="2948" w:type="dxa"/>
          </w:tcPr>
          <w:p>
            <w:pPr>
              <w:pStyle w:val="0"/>
            </w:pPr>
            <w:r>
              <w:rPr>
                <w:sz w:val="24"/>
              </w:rPr>
              <w:t xml:space="preserve">ins-dic:StoimZavisOtIzmStoimAffZolotaEnumerator</w:t>
            </w:r>
          </w:p>
        </w:tc>
      </w:tr>
      <w:tr>
        <w:tc>
          <w:tcPr>
            <w:tcW w:w="907" w:type="dxa"/>
          </w:tcPr>
          <w:p>
            <w:pPr>
              <w:pStyle w:val="0"/>
            </w:pPr>
            <w:r>
              <w:rPr>
                <w:sz w:val="24"/>
              </w:rPr>
              <w:t xml:space="preserve">11.1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11.8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618" w:name="P2618"/>
          <w:bookmarkEnd w:id="2618"/>
          <w:p>
            <w:pPr>
              <w:pStyle w:val="0"/>
            </w:pPr>
            <w:r>
              <w:rPr>
                <w:sz w:val="24"/>
              </w:rPr>
              <w:t xml:space="preserve">12</w:t>
            </w:r>
          </w:p>
        </w:tc>
        <w:tc>
          <w:tcPr>
            <w:gridSpan w:val="7"/>
            <w:tcW w:w="2608" w:type="dxa"/>
          </w:tcPr>
          <w:p>
            <w:pPr>
              <w:pStyle w:val="0"/>
            </w:pPr>
            <w:r>
              <w:rPr>
                <w:sz w:val="24"/>
              </w:rPr>
              <w:t xml:space="preserve">Копии первичных документов переданы в специализированный депозитарий</w:t>
            </w:r>
          </w:p>
        </w:tc>
        <w:tc>
          <w:tcPr>
            <w:tcW w:w="2608" w:type="dxa"/>
          </w:tcPr>
          <w:p>
            <w:pPr>
              <w:pStyle w:val="0"/>
            </w:pPr>
            <w:r>
              <w:rPr>
                <w:sz w:val="24"/>
              </w:rPr>
            </w:r>
          </w:p>
        </w:tc>
        <w:tc>
          <w:tcPr>
            <w:tcW w:w="2948" w:type="dxa"/>
          </w:tcPr>
          <w:p>
            <w:pPr>
              <w:pStyle w:val="0"/>
            </w:pPr>
            <w:r>
              <w:rPr>
                <w:sz w:val="24"/>
              </w:rPr>
              <w:t xml:space="preserve">ins-dic:InfDsPerSpecDepPunkt3115Enumerator</w:t>
            </w:r>
          </w:p>
        </w:tc>
      </w:tr>
      <w:tr>
        <w:tc>
          <w:tcPr>
            <w:tcW w:w="907" w:type="dxa"/>
          </w:tcPr>
          <w:p>
            <w:pPr>
              <w:pStyle w:val="0"/>
            </w:pPr>
            <w:r>
              <w:rPr>
                <w:sz w:val="24"/>
              </w:rPr>
              <w:t xml:space="preserve">12.1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12.8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662" w:name="P2662"/>
          <w:bookmarkEnd w:id="2662"/>
          <w:p>
            <w:pPr>
              <w:pStyle w:val="0"/>
            </w:pPr>
            <w:r>
              <w:rPr>
                <w:sz w:val="24"/>
              </w:rPr>
              <w:t xml:space="preserve">13</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13.1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13.8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706" w:name="P2706"/>
          <w:bookmarkEnd w:id="2706"/>
          <w:p>
            <w:pPr>
              <w:pStyle w:val="0"/>
            </w:pPr>
            <w:r>
              <w:rPr>
                <w:sz w:val="24"/>
              </w:rPr>
              <w:t xml:space="preserve">14</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14.1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14.8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750" w:name="P2750"/>
          <w:bookmarkEnd w:id="2750"/>
          <w:p>
            <w:pPr>
              <w:pStyle w:val="0"/>
            </w:pPr>
            <w:r>
              <w:rPr>
                <w:sz w:val="24"/>
              </w:rPr>
              <w:t xml:space="preserve">15</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15.1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15.8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794" w:name="P2794"/>
          <w:bookmarkEnd w:id="2794"/>
          <w:p>
            <w:pPr>
              <w:pStyle w:val="0"/>
            </w:pPr>
            <w:r>
              <w:rPr>
                <w:sz w:val="24"/>
              </w:rPr>
              <w:t xml:space="preserve">16</w:t>
            </w:r>
          </w:p>
        </w:tc>
        <w:tc>
          <w:tcPr>
            <w:gridSpan w:val="7"/>
            <w:tcW w:w="2608" w:type="dxa"/>
          </w:tcPr>
          <w:p>
            <w:pPr>
              <w:pStyle w:val="0"/>
            </w:pPr>
            <w:r>
              <w:rPr>
                <w:sz w:val="24"/>
              </w:rPr>
              <w:t xml:space="preserve">Актив является цифровым рублем</w:t>
            </w:r>
          </w:p>
        </w:tc>
        <w:tc>
          <w:tcPr>
            <w:tcW w:w="2608" w:type="dxa"/>
          </w:tcPr>
          <w:p>
            <w:pPr>
              <w:pStyle w:val="0"/>
            </w:pPr>
            <w:r>
              <w:rPr>
                <w:sz w:val="24"/>
              </w:rPr>
            </w:r>
          </w:p>
        </w:tc>
        <w:tc>
          <w:tcPr>
            <w:tcW w:w="2948" w:type="dxa"/>
          </w:tcPr>
          <w:p>
            <w:pPr>
              <w:pStyle w:val="0"/>
            </w:pPr>
            <w:r>
              <w:rPr>
                <w:sz w:val="24"/>
              </w:rPr>
              <w:t xml:space="preserve">ins-dic:AktivYAvlCZifrovymRublEnumerator</w:t>
            </w:r>
          </w:p>
        </w:tc>
      </w:tr>
      <w:tr>
        <w:tc>
          <w:tcPr>
            <w:tcW w:w="907" w:type="dxa"/>
          </w:tcPr>
          <w:p>
            <w:pPr>
              <w:pStyle w:val="0"/>
            </w:pPr>
            <w:r>
              <w:rPr>
                <w:sz w:val="24"/>
              </w:rPr>
              <w:t xml:space="preserve">16.1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16.8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838" w:name="P2838"/>
          <w:bookmarkEnd w:id="2838"/>
          <w:p>
            <w:pPr>
              <w:pStyle w:val="0"/>
            </w:pPr>
            <w:r>
              <w:rPr>
                <w:sz w:val="24"/>
              </w:rPr>
              <w:t xml:space="preserve">17</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17.1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17.8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17.10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882" w:name="P2882"/>
          <w:bookmarkEnd w:id="2882"/>
          <w:p>
            <w:pPr>
              <w:pStyle w:val="0"/>
            </w:pPr>
            <w:r>
              <w:rPr>
                <w:sz w:val="24"/>
              </w:rPr>
              <w:t xml:space="preserve">18</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18.1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18.8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18.9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926" w:name="P2926"/>
          <w:bookmarkEnd w:id="2926"/>
          <w:p>
            <w:pPr>
              <w:pStyle w:val="0"/>
            </w:pPr>
            <w:r>
              <w:rPr>
                <w:sz w:val="24"/>
              </w:rPr>
              <w:t xml:space="preserve">19</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19.1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19.8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19.9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970" w:name="P2970"/>
          <w:bookmarkEnd w:id="2970"/>
          <w:p>
            <w:pPr>
              <w:pStyle w:val="0"/>
            </w:pPr>
            <w:r>
              <w:rPr>
                <w:sz w:val="24"/>
              </w:rPr>
              <w:t xml:space="preserve">20</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20.8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20.9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014" w:name="P3014"/>
          <w:bookmarkEnd w:id="3014"/>
          <w:p>
            <w:pPr>
              <w:pStyle w:val="0"/>
            </w:pPr>
            <w:r>
              <w:rPr>
                <w:sz w:val="24"/>
              </w:rPr>
              <w:t xml:space="preserve">21</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21.1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21.8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21.9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058" w:name="P3058"/>
          <w:bookmarkEnd w:id="3058"/>
          <w:p>
            <w:pPr>
              <w:pStyle w:val="0"/>
            </w:pPr>
            <w:r>
              <w:rPr>
                <w:sz w:val="24"/>
              </w:rPr>
              <w:t xml:space="preserve">22</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22.1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22.8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22.9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102" w:name="P3102"/>
          <w:bookmarkEnd w:id="3102"/>
          <w:p>
            <w:pPr>
              <w:pStyle w:val="0"/>
            </w:pPr>
            <w:r>
              <w:rPr>
                <w:sz w:val="24"/>
              </w:rPr>
              <w:t xml:space="preserve">23</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23.1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23.8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23.9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146" w:name="P3146"/>
          <w:bookmarkEnd w:id="3146"/>
          <w:p>
            <w:pPr>
              <w:pStyle w:val="0"/>
            </w:pPr>
            <w:r>
              <w:rPr>
                <w:sz w:val="24"/>
              </w:rPr>
              <w:t xml:space="preserve">24</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24.8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5"/>
            <w:tcW w:w="1835" w:type="dxa"/>
            <w:tcBorders>
              <w:left w:val="single" w:sz="4"/>
            </w:tcBorders>
          </w:tcPr>
          <w:bookmarkStart w:id="3190" w:name="P3190"/>
          <w:bookmarkEnd w:id="3190"/>
          <w:p>
            <w:pPr>
              <w:pStyle w:val="0"/>
              <w:outlineLvl w:val="4"/>
            </w:pPr>
            <w:r>
              <w:rPr>
                <w:sz w:val="24"/>
              </w:rPr>
              <w:t xml:space="preserve">Подраздел 2.3.</w:t>
            </w:r>
          </w:p>
        </w:tc>
        <w:tc>
          <w:tcPr>
            <w:gridSpan w:val="5"/>
            <w:tcW w:w="7236" w:type="dxa"/>
            <w:tcBorders>
              <w:right w:val="single" w:sz="4"/>
            </w:tcBorders>
          </w:tcPr>
          <w:p>
            <w:pPr>
              <w:pStyle w:val="0"/>
            </w:pPr>
            <w:r>
              <w:rPr>
                <w:sz w:val="24"/>
              </w:rPr>
              <w:t xml:space="preserve">Банковские вклады (депозиты)</w:t>
            </w:r>
          </w:p>
        </w:tc>
      </w:tr>
      <w:tr>
        <w:tc>
          <w:tcPr>
            <w:tcW w:w="907" w:type="dxa"/>
          </w:tcPr>
          <w:bookmarkStart w:id="3192" w:name="P3192"/>
          <w:bookmarkEnd w:id="3192"/>
          <w:p>
            <w:pPr>
              <w:pStyle w:val="0"/>
            </w:pPr>
            <w:r>
              <w:rPr>
                <w:sz w:val="24"/>
              </w:rPr>
              <w:t xml:space="preserve">25</w:t>
            </w:r>
          </w:p>
        </w:tc>
        <w:tc>
          <w:tcPr>
            <w:gridSpan w:val="7"/>
            <w:tcW w:w="2608" w:type="dxa"/>
          </w:tcPr>
          <w:p>
            <w:pPr>
              <w:pStyle w:val="0"/>
            </w:pPr>
            <w:r>
              <w:rPr>
                <w:sz w:val="24"/>
              </w:rPr>
              <w:t xml:space="preserve">Вид депозита</w:t>
            </w:r>
          </w:p>
        </w:tc>
        <w:tc>
          <w:tcPr>
            <w:tcW w:w="2608" w:type="dxa"/>
          </w:tcPr>
          <w:p>
            <w:pPr>
              <w:pStyle w:val="0"/>
            </w:pPr>
            <w:r>
              <w:rPr>
                <w:sz w:val="24"/>
              </w:rPr>
            </w:r>
          </w:p>
        </w:tc>
        <w:tc>
          <w:tcPr>
            <w:tcW w:w="2948" w:type="dxa"/>
          </w:tcPr>
          <w:p>
            <w:pPr>
              <w:pStyle w:val="0"/>
            </w:pPr>
            <w:r>
              <w:rPr>
                <w:sz w:val="24"/>
              </w:rPr>
              <w:t xml:space="preserve">ins-dic:VidDepozEnumerator</w:t>
            </w:r>
          </w:p>
        </w:tc>
      </w:tr>
      <w:tr>
        <w:tc>
          <w:tcPr>
            <w:tcW w:w="907" w:type="dxa"/>
          </w:tcPr>
          <w:p>
            <w:pPr>
              <w:pStyle w:val="0"/>
            </w:pPr>
            <w:r>
              <w:rPr>
                <w:sz w:val="24"/>
              </w:rPr>
              <w:t xml:space="preserve">25.1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232" w:name="P3232"/>
          <w:bookmarkEnd w:id="3232"/>
          <w:p>
            <w:pPr>
              <w:pStyle w:val="0"/>
            </w:pPr>
            <w:r>
              <w:rPr>
                <w:sz w:val="24"/>
              </w:rPr>
              <w:t xml:space="preserve">26</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27</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27.1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312" w:name="P3312"/>
          <w:bookmarkEnd w:id="3312"/>
          <w:p>
            <w:pPr>
              <w:pStyle w:val="0"/>
            </w:pPr>
            <w:r>
              <w:rPr>
                <w:sz w:val="24"/>
              </w:rPr>
              <w:t xml:space="preserve">28</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28.10</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3356" w:name="P3356"/>
          <w:bookmarkEnd w:id="3356"/>
          <w:p>
            <w:pPr>
              <w:pStyle w:val="0"/>
            </w:pPr>
            <w:r>
              <w:rPr>
                <w:sz w:val="24"/>
              </w:rPr>
              <w:t xml:space="preserve">29</w:t>
            </w:r>
          </w:p>
        </w:tc>
        <w:tc>
          <w:tcPr>
            <w:gridSpan w:val="7"/>
            <w:tcW w:w="2608" w:type="dxa"/>
          </w:tcPr>
          <w:p>
            <w:pPr>
              <w:pStyle w:val="0"/>
            </w:pPr>
            <w:r>
              <w:rPr>
                <w:sz w:val="24"/>
              </w:rPr>
              <w:t xml:space="preserve">Дата открытия депозита</w:t>
            </w:r>
          </w:p>
        </w:tc>
        <w:tc>
          <w:tcPr>
            <w:tcW w:w="2608" w:type="dxa"/>
          </w:tcPr>
          <w:p>
            <w:pPr>
              <w:pStyle w:val="0"/>
            </w:pPr>
            <w:r>
              <w:rPr>
                <w:sz w:val="24"/>
              </w:rPr>
            </w:r>
          </w:p>
        </w:tc>
        <w:tc>
          <w:tcPr>
            <w:tcW w:w="2948" w:type="dxa"/>
          </w:tcPr>
          <w:p>
            <w:pPr>
              <w:pStyle w:val="0"/>
            </w:pPr>
            <w:r>
              <w:rPr>
                <w:sz w:val="24"/>
              </w:rPr>
              <w:t xml:space="preserve">nfo-dic:DatOtkrDepoz</w:t>
            </w:r>
          </w:p>
        </w:tc>
      </w:tr>
      <w:tr>
        <w:tc>
          <w:tcPr>
            <w:tcW w:w="907" w:type="dxa"/>
          </w:tcPr>
          <w:p>
            <w:pPr>
              <w:pStyle w:val="0"/>
            </w:pPr>
            <w:r>
              <w:rPr>
                <w:sz w:val="24"/>
              </w:rPr>
              <w:t xml:space="preserve">29.1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29.7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29.8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396" w:name="P3396"/>
          <w:bookmarkEnd w:id="3396"/>
          <w:p>
            <w:pPr>
              <w:pStyle w:val="0"/>
            </w:pPr>
            <w:r>
              <w:rPr>
                <w:sz w:val="24"/>
              </w:rPr>
              <w:t xml:space="preserve">30</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30.1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30.7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436" w:name="P3436"/>
          <w:bookmarkEnd w:id="3436"/>
          <w:p>
            <w:pPr>
              <w:pStyle w:val="0"/>
            </w:pPr>
            <w:r>
              <w:rPr>
                <w:sz w:val="24"/>
              </w:rPr>
              <w:t xml:space="preserve">31</w:t>
            </w:r>
          </w:p>
        </w:tc>
        <w:tc>
          <w:tcPr>
            <w:gridSpan w:val="7"/>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ins-dic:RiskAktPeredStrlEnumerator</w:t>
            </w:r>
          </w:p>
        </w:tc>
      </w:tr>
      <w:tr>
        <w:tc>
          <w:tcPr>
            <w:tcW w:w="907" w:type="dxa"/>
          </w:tcPr>
          <w:p>
            <w:pPr>
              <w:pStyle w:val="0"/>
            </w:pPr>
            <w:r>
              <w:rPr>
                <w:sz w:val="24"/>
              </w:rPr>
              <w:t xml:space="preserve">31.1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31.7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476" w:name="P3476"/>
          <w:bookmarkEnd w:id="3476"/>
          <w:p>
            <w:pPr>
              <w:pStyle w:val="0"/>
            </w:pPr>
            <w:r>
              <w:rPr>
                <w:sz w:val="24"/>
              </w:rPr>
              <w:t xml:space="preserve">32</w:t>
            </w:r>
          </w:p>
        </w:tc>
        <w:tc>
          <w:tcPr>
            <w:gridSpan w:val="7"/>
            <w:tcW w:w="2608" w:type="dxa"/>
          </w:tcPr>
          <w:p>
            <w:pPr>
              <w:pStyle w:val="0"/>
            </w:pPr>
            <w:r>
              <w:rPr>
                <w:sz w:val="24"/>
              </w:rPr>
              <w:t xml:space="preserve">Стоимость зависит от изменения стоимости аффинированного золота</w:t>
            </w:r>
          </w:p>
        </w:tc>
        <w:tc>
          <w:tcPr>
            <w:tcW w:w="2608" w:type="dxa"/>
          </w:tcPr>
          <w:p>
            <w:pPr>
              <w:pStyle w:val="0"/>
            </w:pPr>
            <w:r>
              <w:rPr>
                <w:sz w:val="24"/>
              </w:rPr>
            </w:r>
          </w:p>
        </w:tc>
        <w:tc>
          <w:tcPr>
            <w:tcW w:w="2948" w:type="dxa"/>
          </w:tcPr>
          <w:p>
            <w:pPr>
              <w:pStyle w:val="0"/>
            </w:pPr>
            <w:r>
              <w:rPr>
                <w:sz w:val="24"/>
              </w:rPr>
              <w:t xml:space="preserve">ins-dic:StoimZavisOtIzmStoimAffZolotaEnumerator</w:t>
            </w:r>
          </w:p>
        </w:tc>
      </w:tr>
      <w:tr>
        <w:tc>
          <w:tcPr>
            <w:tcW w:w="907" w:type="dxa"/>
          </w:tcPr>
          <w:p>
            <w:pPr>
              <w:pStyle w:val="0"/>
            </w:pPr>
            <w:r>
              <w:rPr>
                <w:sz w:val="24"/>
              </w:rPr>
              <w:t xml:space="preserve">32.1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32.7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516" w:name="P3516"/>
          <w:bookmarkEnd w:id="3516"/>
          <w:p>
            <w:pPr>
              <w:pStyle w:val="0"/>
            </w:pPr>
            <w:r>
              <w:rPr>
                <w:sz w:val="24"/>
              </w:rPr>
              <w:t xml:space="preserve">33</w:t>
            </w:r>
          </w:p>
        </w:tc>
        <w:tc>
          <w:tcPr>
            <w:gridSpan w:val="7"/>
            <w:tcW w:w="2608" w:type="dxa"/>
          </w:tcPr>
          <w:p>
            <w:pPr>
              <w:pStyle w:val="0"/>
            </w:pPr>
            <w:r>
              <w:rPr>
                <w:sz w:val="24"/>
              </w:rPr>
              <w:t xml:space="preserve">Копии первичных документов переданы в специализированный депозитарий</w:t>
            </w:r>
          </w:p>
        </w:tc>
        <w:tc>
          <w:tcPr>
            <w:tcW w:w="2608" w:type="dxa"/>
          </w:tcPr>
          <w:p>
            <w:pPr>
              <w:pStyle w:val="0"/>
            </w:pPr>
            <w:r>
              <w:rPr>
                <w:sz w:val="24"/>
              </w:rPr>
            </w:r>
          </w:p>
        </w:tc>
        <w:tc>
          <w:tcPr>
            <w:tcW w:w="2948" w:type="dxa"/>
          </w:tcPr>
          <w:p>
            <w:pPr>
              <w:pStyle w:val="0"/>
            </w:pPr>
            <w:r>
              <w:rPr>
                <w:sz w:val="24"/>
              </w:rPr>
              <w:t xml:space="preserve">ins-dic:InfDsPerSpecDepPunkt3115Enumerator</w:t>
            </w:r>
          </w:p>
        </w:tc>
      </w:tr>
      <w:tr>
        <w:tc>
          <w:tcPr>
            <w:tcW w:w="907" w:type="dxa"/>
          </w:tcPr>
          <w:p>
            <w:pPr>
              <w:pStyle w:val="0"/>
            </w:pPr>
            <w:r>
              <w:rPr>
                <w:sz w:val="24"/>
              </w:rPr>
              <w:t xml:space="preserve">33.1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33.7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33.9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556" w:name="P3556"/>
          <w:bookmarkEnd w:id="3556"/>
          <w:p>
            <w:pPr>
              <w:pStyle w:val="0"/>
            </w:pPr>
            <w:r>
              <w:rPr>
                <w:sz w:val="24"/>
              </w:rPr>
              <w:t xml:space="preserve">34</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34.1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34.7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596" w:name="P3596"/>
          <w:bookmarkEnd w:id="3596"/>
          <w:p>
            <w:pPr>
              <w:pStyle w:val="0"/>
            </w:pPr>
            <w:r>
              <w:rPr>
                <w:sz w:val="24"/>
              </w:rPr>
              <w:t xml:space="preserve">35</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35.1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35.7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636" w:name="P3636"/>
          <w:bookmarkEnd w:id="3636"/>
          <w:p>
            <w:pPr>
              <w:pStyle w:val="0"/>
            </w:pPr>
            <w:r>
              <w:rPr>
                <w:sz w:val="24"/>
              </w:rPr>
              <w:t xml:space="preserve">36</w:t>
            </w:r>
          </w:p>
        </w:tc>
        <w:tc>
          <w:tcPr>
            <w:gridSpan w:val="7"/>
            <w:tcW w:w="2608" w:type="dxa"/>
          </w:tcPr>
          <w:p>
            <w:pPr>
              <w:pStyle w:val="0"/>
            </w:pPr>
            <w:r>
              <w:rPr>
                <w:sz w:val="24"/>
              </w:rPr>
              <w:t xml:space="preserve">Сумма депозита (без учета процентов)</w:t>
            </w:r>
          </w:p>
        </w:tc>
        <w:tc>
          <w:tcPr>
            <w:tcW w:w="2608" w:type="dxa"/>
          </w:tcPr>
          <w:p>
            <w:pPr>
              <w:pStyle w:val="0"/>
            </w:pPr>
            <w:r>
              <w:rPr>
                <w:sz w:val="24"/>
              </w:rPr>
            </w:r>
          </w:p>
        </w:tc>
        <w:tc>
          <w:tcPr>
            <w:tcW w:w="2948" w:type="dxa"/>
          </w:tcPr>
          <w:p>
            <w:pPr>
              <w:pStyle w:val="0"/>
            </w:pPr>
            <w:r>
              <w:rPr>
                <w:sz w:val="24"/>
              </w:rPr>
              <w:t xml:space="preserve">ins-dic:NepogashNomDepozDatRasch</w:t>
            </w:r>
          </w:p>
        </w:tc>
      </w:tr>
      <w:tr>
        <w:tc>
          <w:tcPr>
            <w:tcW w:w="907" w:type="dxa"/>
          </w:tcPr>
          <w:p>
            <w:pPr>
              <w:pStyle w:val="0"/>
            </w:pPr>
            <w:r>
              <w:rPr>
                <w:sz w:val="24"/>
              </w:rPr>
              <w:t xml:space="preserve">36.1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36.7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676" w:name="P3676"/>
          <w:bookmarkEnd w:id="3676"/>
          <w:p>
            <w:pPr>
              <w:pStyle w:val="0"/>
            </w:pPr>
            <w:r>
              <w:rPr>
                <w:sz w:val="24"/>
              </w:rPr>
              <w:t xml:space="preserve">37</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37.1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37.7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716" w:name="P3716"/>
          <w:bookmarkEnd w:id="3716"/>
          <w:p>
            <w:pPr>
              <w:pStyle w:val="0"/>
            </w:pPr>
            <w:r>
              <w:rPr>
                <w:sz w:val="24"/>
              </w:rPr>
              <w:t xml:space="preserve">38</w:t>
            </w:r>
          </w:p>
        </w:tc>
        <w:tc>
          <w:tcPr>
            <w:gridSpan w:val="7"/>
            <w:tcW w:w="2608" w:type="dxa"/>
          </w:tcPr>
          <w:p>
            <w:pPr>
              <w:pStyle w:val="0"/>
            </w:pPr>
            <w:r>
              <w:rPr>
                <w:sz w:val="24"/>
              </w:rPr>
              <w:t xml:space="preserve">Условия досрочного возврата депозита</w:t>
            </w:r>
          </w:p>
        </w:tc>
        <w:tc>
          <w:tcPr>
            <w:tcW w:w="2608" w:type="dxa"/>
          </w:tcPr>
          <w:p>
            <w:pPr>
              <w:pStyle w:val="0"/>
            </w:pPr>
            <w:r>
              <w:rPr>
                <w:sz w:val="24"/>
              </w:rPr>
            </w:r>
          </w:p>
        </w:tc>
        <w:tc>
          <w:tcPr>
            <w:tcW w:w="2948" w:type="dxa"/>
          </w:tcPr>
          <w:p>
            <w:pPr>
              <w:pStyle w:val="0"/>
            </w:pPr>
            <w:r>
              <w:rPr>
                <w:sz w:val="24"/>
              </w:rPr>
              <w:t xml:space="preserve">ins-dic:UslDosrVozvrDepozEnumerator</w:t>
            </w:r>
          </w:p>
        </w:tc>
      </w:tr>
      <w:tr>
        <w:tc>
          <w:tcPr>
            <w:tcW w:w="907" w:type="dxa"/>
          </w:tcPr>
          <w:p>
            <w:pPr>
              <w:pStyle w:val="0"/>
            </w:pPr>
            <w:r>
              <w:rPr>
                <w:sz w:val="24"/>
              </w:rPr>
              <w:t xml:space="preserve">38.1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38.7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756" w:name="P3756"/>
          <w:bookmarkEnd w:id="3756"/>
          <w:p>
            <w:pPr>
              <w:pStyle w:val="0"/>
            </w:pPr>
            <w:r>
              <w:rPr>
                <w:sz w:val="24"/>
              </w:rPr>
              <w:t xml:space="preserve">39</w:t>
            </w:r>
          </w:p>
        </w:tc>
        <w:tc>
          <w:tcPr>
            <w:gridSpan w:val="7"/>
            <w:tcW w:w="2608" w:type="dxa"/>
          </w:tcPr>
          <w:p>
            <w:pPr>
              <w:pStyle w:val="0"/>
            </w:pPr>
            <w:r>
              <w:rPr>
                <w:sz w:val="24"/>
              </w:rPr>
              <w:t xml:space="preserve">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nfo-dic:Procz_Stavka</w:t>
            </w:r>
          </w:p>
        </w:tc>
      </w:tr>
      <w:tr>
        <w:tc>
          <w:tcPr>
            <w:tcW w:w="907" w:type="dxa"/>
          </w:tcPr>
          <w:p>
            <w:pPr>
              <w:pStyle w:val="0"/>
            </w:pPr>
            <w:r>
              <w:rPr>
                <w:sz w:val="24"/>
              </w:rPr>
              <w:t xml:space="preserve">39.1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39.5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39.7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796" w:name="P3796"/>
          <w:bookmarkEnd w:id="3796"/>
          <w:p>
            <w:pPr>
              <w:pStyle w:val="0"/>
            </w:pPr>
            <w:r>
              <w:rPr>
                <w:sz w:val="24"/>
              </w:rPr>
              <w:t xml:space="preserve">40</w:t>
            </w:r>
          </w:p>
        </w:tc>
        <w:tc>
          <w:tcPr>
            <w:gridSpan w:val="7"/>
            <w:tcW w:w="2608" w:type="dxa"/>
          </w:tcPr>
          <w:p>
            <w:pPr>
              <w:pStyle w:val="0"/>
            </w:pPr>
            <w:r>
              <w:rPr>
                <w:sz w:val="24"/>
              </w:rPr>
              <w:t xml:space="preserve">Субординированный инструмент</w:t>
            </w:r>
          </w:p>
        </w:tc>
        <w:tc>
          <w:tcPr>
            <w:tcW w:w="2608" w:type="dxa"/>
          </w:tcPr>
          <w:p>
            <w:pPr>
              <w:pStyle w:val="0"/>
            </w:pPr>
            <w:r>
              <w:rPr>
                <w:sz w:val="24"/>
              </w:rPr>
            </w:r>
          </w:p>
        </w:tc>
        <w:tc>
          <w:tcPr>
            <w:tcW w:w="2948" w:type="dxa"/>
          </w:tcPr>
          <w:p>
            <w:pPr>
              <w:pStyle w:val="0"/>
            </w:pPr>
            <w:r>
              <w:rPr>
                <w:sz w:val="24"/>
              </w:rPr>
              <w:t xml:space="preserve">ins-dic:SubordInstrEnumerator</w:t>
            </w:r>
          </w:p>
        </w:tc>
      </w:tr>
      <w:tr>
        <w:tc>
          <w:tcPr>
            <w:tcW w:w="907" w:type="dxa"/>
          </w:tcPr>
          <w:p>
            <w:pPr>
              <w:pStyle w:val="0"/>
            </w:pPr>
            <w:r>
              <w:rPr>
                <w:sz w:val="24"/>
              </w:rPr>
              <w:t xml:space="preserve">40.1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40.7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836" w:name="P3836"/>
          <w:bookmarkEnd w:id="3836"/>
          <w:p>
            <w:pPr>
              <w:pStyle w:val="0"/>
            </w:pPr>
            <w:r>
              <w:rPr>
                <w:sz w:val="24"/>
              </w:rPr>
              <w:t xml:space="preserve">41</w:t>
            </w:r>
          </w:p>
        </w:tc>
        <w:tc>
          <w:tcPr>
            <w:gridSpan w:val="7"/>
            <w:tcW w:w="2608" w:type="dxa"/>
          </w:tcPr>
          <w:p>
            <w:pPr>
              <w:pStyle w:val="0"/>
            </w:pPr>
            <w:r>
              <w:rPr>
                <w:sz w:val="24"/>
              </w:rPr>
              <w:t xml:space="preserve">Величина кредитного спреда инструмента m</w:t>
            </w:r>
          </w:p>
        </w:tc>
        <w:tc>
          <w:tcPr>
            <w:tcW w:w="2608" w:type="dxa"/>
          </w:tcPr>
          <w:p>
            <w:pPr>
              <w:pStyle w:val="0"/>
            </w:pPr>
            <w:r>
              <w:rPr>
                <w:sz w:val="24"/>
              </w:rPr>
            </w:r>
          </w:p>
        </w:tc>
        <w:tc>
          <w:tcPr>
            <w:tcW w:w="2948" w:type="dxa"/>
          </w:tcPr>
          <w:p>
            <w:pPr>
              <w:pStyle w:val="0"/>
            </w:pPr>
            <w:r>
              <w:rPr>
                <w:sz w:val="24"/>
              </w:rPr>
              <w:t xml:space="preserve">ins-dic:VelichinaKreditnogoSpredaInstrumentaM</w:t>
            </w:r>
          </w:p>
        </w:tc>
      </w:tr>
      <w:tr>
        <w:tc>
          <w:tcPr>
            <w:tcW w:w="907" w:type="dxa"/>
          </w:tcPr>
          <w:p>
            <w:pPr>
              <w:pStyle w:val="0"/>
            </w:pPr>
            <w:r>
              <w:rPr>
                <w:sz w:val="24"/>
              </w:rPr>
              <w:t xml:space="preserve">41.1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41.7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876" w:name="P3876"/>
          <w:bookmarkEnd w:id="3876"/>
          <w:p>
            <w:pPr>
              <w:pStyle w:val="0"/>
            </w:pPr>
            <w:r>
              <w:rPr>
                <w:sz w:val="24"/>
              </w:rPr>
              <w:t xml:space="preserve">42</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42.1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42.7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916" w:name="P3916"/>
          <w:bookmarkEnd w:id="3916"/>
          <w:p>
            <w:pPr>
              <w:pStyle w:val="0"/>
            </w:pPr>
            <w:r>
              <w:rPr>
                <w:sz w:val="24"/>
              </w:rPr>
              <w:t xml:space="preserve">43</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43.1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43.7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956" w:name="P3956"/>
          <w:bookmarkEnd w:id="3956"/>
          <w:p>
            <w:pPr>
              <w:pStyle w:val="0"/>
            </w:pPr>
            <w:r>
              <w:rPr>
                <w:sz w:val="24"/>
              </w:rPr>
              <w:t xml:space="preserve">44</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44.1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44.7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3996" w:name="P3996"/>
          <w:bookmarkEnd w:id="3996"/>
          <w:p>
            <w:pPr>
              <w:pStyle w:val="0"/>
            </w:pPr>
            <w:r>
              <w:rPr>
                <w:sz w:val="24"/>
              </w:rPr>
              <w:t xml:space="preserve">45</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45.1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45.7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036" w:name="P4036"/>
          <w:bookmarkEnd w:id="4036"/>
          <w:p>
            <w:pPr>
              <w:pStyle w:val="0"/>
            </w:pPr>
            <w:r>
              <w:rPr>
                <w:sz w:val="24"/>
              </w:rPr>
              <w:t xml:space="preserve">46</w:t>
            </w:r>
          </w:p>
        </w:tc>
        <w:tc>
          <w:tcPr>
            <w:gridSpan w:val="7"/>
            <w:tcW w:w="2608" w:type="dxa"/>
          </w:tcPr>
          <w:p>
            <w:pPr>
              <w:pStyle w:val="0"/>
            </w:pPr>
            <w:r>
              <w:rPr>
                <w:sz w:val="24"/>
              </w:rPr>
              <w:t xml:space="preserve">Влияние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ins-dic:VlRiskIzmKredSpred</w:t>
            </w:r>
          </w:p>
        </w:tc>
      </w:tr>
      <w:tr>
        <w:tc>
          <w:tcPr>
            <w:tcW w:w="907" w:type="dxa"/>
          </w:tcPr>
          <w:p>
            <w:pPr>
              <w:pStyle w:val="0"/>
            </w:pPr>
            <w:r>
              <w:rPr>
                <w:sz w:val="24"/>
              </w:rPr>
              <w:t xml:space="preserve">46.1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46.7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076" w:name="P4076"/>
          <w:bookmarkEnd w:id="4076"/>
          <w:p>
            <w:pPr>
              <w:pStyle w:val="0"/>
            </w:pPr>
            <w:r>
              <w:rPr>
                <w:sz w:val="24"/>
              </w:rPr>
              <w:t xml:space="preserve">47</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47.1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47.7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116" w:name="P4116"/>
          <w:bookmarkEnd w:id="4116"/>
          <w:p>
            <w:pPr>
              <w:pStyle w:val="0"/>
            </w:pPr>
            <w:r>
              <w:rPr>
                <w:sz w:val="24"/>
              </w:rPr>
              <w:t xml:space="preserve">48</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48.1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48.7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156" w:name="P4156"/>
          <w:bookmarkEnd w:id="4156"/>
          <w:p>
            <w:pPr>
              <w:pStyle w:val="0"/>
            </w:pPr>
            <w:r>
              <w:rPr>
                <w:sz w:val="24"/>
              </w:rPr>
              <w:t xml:space="preserve">49</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49.1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49.7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196" w:name="P4196"/>
          <w:bookmarkEnd w:id="4196"/>
          <w:p>
            <w:pPr>
              <w:pStyle w:val="0"/>
            </w:pPr>
            <w:r>
              <w:rPr>
                <w:sz w:val="24"/>
              </w:rPr>
              <w:t xml:space="preserve">50</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50.1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236" w:name="P4236"/>
          <w:bookmarkEnd w:id="4236"/>
          <w:p>
            <w:pPr>
              <w:pStyle w:val="0"/>
            </w:pPr>
            <w:r>
              <w:rPr>
                <w:sz w:val="24"/>
              </w:rPr>
              <w:t xml:space="preserve">51</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51.1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276" w:name="P4276"/>
          <w:bookmarkEnd w:id="4276"/>
          <w:p>
            <w:pPr>
              <w:pStyle w:val="0"/>
            </w:pPr>
            <w:r>
              <w:rPr>
                <w:sz w:val="24"/>
              </w:rPr>
              <w:t xml:space="preserve">52</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52.7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4316" w:name="P4316"/>
          <w:bookmarkEnd w:id="4316"/>
          <w:p>
            <w:pPr>
              <w:pStyle w:val="0"/>
              <w:outlineLvl w:val="4"/>
              <w:jc w:val="both"/>
            </w:pPr>
            <w:r>
              <w:rPr>
                <w:sz w:val="24"/>
              </w:rPr>
              <w:t xml:space="preserve">Подраздел 2.4.</w:t>
            </w:r>
          </w:p>
        </w:tc>
        <w:tc>
          <w:tcPr>
            <w:gridSpan w:val="6"/>
            <w:tcW w:w="7370" w:type="dxa"/>
            <w:tcBorders>
              <w:right w:val="single" w:sz="4"/>
            </w:tcBorders>
          </w:tcPr>
          <w:p>
            <w:pPr>
              <w:pStyle w:val="0"/>
            </w:pPr>
            <w:r>
              <w:rPr>
                <w:sz w:val="24"/>
              </w:rPr>
              <w:t xml:space="preserve">Акции, подпадающие под исключение, предусмотренное требованиями к финансовой устойчивости и платежеспособности страховщиков, кроме ценных бумаг иностранных инвестиционных фондов</w:t>
            </w:r>
          </w:p>
        </w:tc>
      </w:tr>
      <w:tr>
        <w:tc>
          <w:tcPr>
            <w:tcW w:w="907" w:type="dxa"/>
          </w:tcPr>
          <w:bookmarkStart w:id="4318" w:name="P4318"/>
          <w:bookmarkEnd w:id="4318"/>
          <w:p>
            <w:pPr>
              <w:pStyle w:val="0"/>
            </w:pPr>
            <w:r>
              <w:rPr>
                <w:sz w:val="24"/>
              </w:rPr>
              <w:t xml:space="preserve">53</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53.1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53.6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53.7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374" w:name="P4374"/>
          <w:bookmarkEnd w:id="4374"/>
          <w:p>
            <w:pPr>
              <w:pStyle w:val="0"/>
            </w:pPr>
            <w:r>
              <w:rPr>
                <w:sz w:val="24"/>
              </w:rPr>
              <w:t xml:space="preserve">54</w:t>
            </w:r>
          </w:p>
        </w:tc>
        <w:tc>
          <w:tcPr>
            <w:gridSpan w:val="7"/>
            <w:tcW w:w="2608" w:type="dxa"/>
          </w:tcPr>
          <w:p>
            <w:pPr>
              <w:pStyle w:val="0"/>
            </w:pPr>
            <w:r>
              <w:rPr>
                <w:sz w:val="24"/>
              </w:rPr>
              <w:t xml:space="preserve">Код классификации финансовых инструментов (CFI)</w:t>
            </w:r>
          </w:p>
        </w:tc>
        <w:tc>
          <w:tcPr>
            <w:tcW w:w="2608" w:type="dxa"/>
          </w:tcPr>
          <w:p>
            <w:pPr>
              <w:pStyle w:val="0"/>
            </w:pPr>
            <w:r>
              <w:rPr>
                <w:sz w:val="24"/>
              </w:rPr>
            </w:r>
          </w:p>
        </w:tc>
        <w:tc>
          <w:tcPr>
            <w:tcW w:w="2948" w:type="dxa"/>
          </w:tcPr>
          <w:p>
            <w:pPr>
              <w:pStyle w:val="0"/>
            </w:pPr>
            <w:r>
              <w:rPr>
                <w:sz w:val="24"/>
              </w:rPr>
              <w:t xml:space="preserve">ins-dic:Kod_Klass_Fininst</w:t>
            </w:r>
          </w:p>
        </w:tc>
      </w:tr>
      <w:tr>
        <w:tc>
          <w:tcPr>
            <w:tcW w:w="907" w:type="dxa"/>
          </w:tcPr>
          <w:p>
            <w:pPr>
              <w:pStyle w:val="0"/>
            </w:pPr>
            <w:r>
              <w:rPr>
                <w:sz w:val="24"/>
              </w:rPr>
              <w:t xml:space="preserve">54.1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54.6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54.7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430" w:name="P4430"/>
          <w:bookmarkEnd w:id="4430"/>
          <w:p>
            <w:pPr>
              <w:pStyle w:val="0"/>
            </w:pPr>
            <w:r>
              <w:rPr>
                <w:sz w:val="24"/>
              </w:rPr>
              <w:t xml:space="preserve">55</w:t>
            </w:r>
          </w:p>
        </w:tc>
        <w:tc>
          <w:tcPr>
            <w:gridSpan w:val="7"/>
            <w:tcW w:w="2608" w:type="dxa"/>
          </w:tcPr>
          <w:p>
            <w:pPr>
              <w:pStyle w:val="0"/>
            </w:pPr>
            <w:r>
              <w:rPr>
                <w:sz w:val="24"/>
              </w:rPr>
              <w:t xml:space="preserve">Категория долевых ценных бумаг</w:t>
            </w:r>
          </w:p>
        </w:tc>
        <w:tc>
          <w:tcPr>
            <w:tcW w:w="2608" w:type="dxa"/>
          </w:tcPr>
          <w:p>
            <w:pPr>
              <w:pStyle w:val="0"/>
            </w:pPr>
            <w:r>
              <w:rPr>
                <w:sz w:val="24"/>
              </w:rPr>
            </w:r>
          </w:p>
        </w:tc>
        <w:tc>
          <w:tcPr>
            <w:tcW w:w="2948" w:type="dxa"/>
          </w:tcPr>
          <w:p>
            <w:pPr>
              <w:pStyle w:val="0"/>
            </w:pPr>
            <w:r>
              <w:rPr>
                <w:sz w:val="24"/>
              </w:rPr>
              <w:t xml:space="preserve">ins-dic:KatDolCzBumEnumerator</w:t>
            </w:r>
          </w:p>
        </w:tc>
      </w:tr>
      <w:tr>
        <w:tc>
          <w:tcPr>
            <w:tcW w:w="907" w:type="dxa"/>
          </w:tcPr>
          <w:p>
            <w:pPr>
              <w:pStyle w:val="0"/>
            </w:pPr>
            <w:r>
              <w:rPr>
                <w:sz w:val="24"/>
              </w:rPr>
              <w:t xml:space="preserve">55.1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55.6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55.7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486" w:name="P4486"/>
          <w:bookmarkEnd w:id="4486"/>
          <w:p>
            <w:pPr>
              <w:pStyle w:val="0"/>
            </w:pPr>
            <w:r>
              <w:rPr>
                <w:sz w:val="24"/>
              </w:rPr>
              <w:t xml:space="preserve">56</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56.1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56.6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56.7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542" w:name="P4542"/>
          <w:bookmarkEnd w:id="4542"/>
          <w:p>
            <w:pPr>
              <w:pStyle w:val="0"/>
            </w:pPr>
            <w:r>
              <w:rPr>
                <w:sz w:val="24"/>
              </w:rPr>
              <w:t xml:space="preserve">57</w:t>
            </w:r>
          </w:p>
        </w:tc>
        <w:tc>
          <w:tcPr>
            <w:gridSpan w:val="7"/>
            <w:tcW w:w="2608" w:type="dxa"/>
          </w:tcPr>
          <w:p>
            <w:pPr>
              <w:pStyle w:val="0"/>
            </w:pPr>
            <w:r>
              <w:rPr>
                <w:sz w:val="24"/>
              </w:rPr>
              <w:t xml:space="preserve">Количество единиц актива</w:t>
            </w:r>
          </w:p>
        </w:tc>
        <w:tc>
          <w:tcPr>
            <w:tcW w:w="2608" w:type="dxa"/>
          </w:tcPr>
          <w:p>
            <w:pPr>
              <w:pStyle w:val="0"/>
            </w:pPr>
            <w:r>
              <w:rPr>
                <w:sz w:val="24"/>
              </w:rPr>
            </w:r>
          </w:p>
        </w:tc>
        <w:tc>
          <w:tcPr>
            <w:tcW w:w="2948" w:type="dxa"/>
          </w:tcPr>
          <w:p>
            <w:pPr>
              <w:pStyle w:val="0"/>
            </w:pPr>
            <w:r>
              <w:rPr>
                <w:sz w:val="24"/>
              </w:rPr>
              <w:t xml:space="preserve">nfo-dic:KolEdinitsAktiva</w:t>
            </w:r>
          </w:p>
        </w:tc>
      </w:tr>
      <w:tr>
        <w:tc>
          <w:tcPr>
            <w:tcW w:w="907" w:type="dxa"/>
          </w:tcPr>
          <w:p>
            <w:pPr>
              <w:pStyle w:val="0"/>
            </w:pPr>
            <w:r>
              <w:rPr>
                <w:sz w:val="24"/>
              </w:rPr>
              <w:t xml:space="preserve">57.1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57.6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57.7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58</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58.6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58.7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654" w:name="P4654"/>
          <w:bookmarkEnd w:id="4654"/>
          <w:p>
            <w:pPr>
              <w:pStyle w:val="0"/>
            </w:pPr>
            <w:r>
              <w:rPr>
                <w:sz w:val="24"/>
              </w:rPr>
              <w:t xml:space="preserve">59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59.6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59.7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59.14</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4714" w:name="P4714"/>
          <w:bookmarkEnd w:id="4714"/>
          <w:p>
            <w:pPr>
              <w:pStyle w:val="0"/>
            </w:pPr>
            <w:r>
              <w:rPr>
                <w:sz w:val="24"/>
              </w:rPr>
              <w:t xml:space="preserve">60</w:t>
            </w:r>
          </w:p>
        </w:tc>
        <w:tc>
          <w:tcPr>
            <w:gridSpan w:val="7"/>
            <w:tcW w:w="2608" w:type="dxa"/>
          </w:tcPr>
          <w:p>
            <w:pPr>
              <w:pStyle w:val="0"/>
            </w:pPr>
            <w:r>
              <w:rPr>
                <w:sz w:val="24"/>
              </w:rPr>
              <w:t xml:space="preserve">Номинальная стоимость одной ценной бумаги, в единицах валюты номинала</w:t>
            </w:r>
          </w:p>
        </w:tc>
        <w:tc>
          <w:tcPr>
            <w:tcW w:w="2608" w:type="dxa"/>
          </w:tcPr>
          <w:p>
            <w:pPr>
              <w:pStyle w:val="0"/>
            </w:pPr>
            <w:r>
              <w:rPr>
                <w:sz w:val="24"/>
              </w:rPr>
            </w:r>
          </w:p>
        </w:tc>
        <w:tc>
          <w:tcPr>
            <w:tcW w:w="2948" w:type="dxa"/>
          </w:tcPr>
          <w:p>
            <w:pPr>
              <w:pStyle w:val="0"/>
            </w:pPr>
            <w:r>
              <w:rPr>
                <w:sz w:val="24"/>
              </w:rPr>
              <w:t xml:space="preserve">nfo-dic:NomStOdnCzb</w:t>
            </w:r>
          </w:p>
        </w:tc>
      </w:tr>
      <w:tr>
        <w:tc>
          <w:tcPr>
            <w:tcW w:w="907" w:type="dxa"/>
          </w:tcPr>
          <w:p>
            <w:pPr>
              <w:pStyle w:val="0"/>
            </w:pPr>
            <w:r>
              <w:rPr>
                <w:sz w:val="24"/>
              </w:rPr>
              <w:t xml:space="preserve">60.1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770" w:name="P4770"/>
          <w:bookmarkEnd w:id="4770"/>
          <w:p>
            <w:pPr>
              <w:pStyle w:val="0"/>
            </w:pPr>
            <w:r>
              <w:rPr>
                <w:sz w:val="24"/>
              </w:rPr>
              <w:t xml:space="preserve">61</w:t>
            </w:r>
          </w:p>
        </w:tc>
        <w:tc>
          <w:tcPr>
            <w:gridSpan w:val="7"/>
            <w:tcW w:w="2608" w:type="dxa"/>
          </w:tcPr>
          <w:p>
            <w:pPr>
              <w:pStyle w:val="0"/>
            </w:pPr>
            <w:r>
              <w:rPr>
                <w:sz w:val="24"/>
              </w:rPr>
              <w:t xml:space="preserve">Котировальный список</w:t>
            </w:r>
          </w:p>
        </w:tc>
        <w:tc>
          <w:tcPr>
            <w:tcW w:w="2608" w:type="dxa"/>
          </w:tcPr>
          <w:p>
            <w:pPr>
              <w:pStyle w:val="0"/>
            </w:pPr>
            <w:r>
              <w:rPr>
                <w:sz w:val="24"/>
              </w:rPr>
            </w:r>
          </w:p>
        </w:tc>
        <w:tc>
          <w:tcPr>
            <w:tcW w:w="2948" w:type="dxa"/>
          </w:tcPr>
          <w:p>
            <w:pPr>
              <w:pStyle w:val="0"/>
            </w:pPr>
            <w:r>
              <w:rPr>
                <w:sz w:val="24"/>
              </w:rPr>
              <w:t xml:space="preserve">nfo-dic:KotSpisok</w:t>
            </w:r>
          </w:p>
        </w:tc>
      </w:tr>
      <w:tr>
        <w:tc>
          <w:tcPr>
            <w:tcW w:w="907" w:type="dxa"/>
          </w:tcPr>
          <w:p>
            <w:pPr>
              <w:pStyle w:val="0"/>
            </w:pPr>
            <w:r>
              <w:rPr>
                <w:sz w:val="24"/>
              </w:rPr>
              <w:t xml:space="preserve">61.1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826" w:name="P4826"/>
          <w:bookmarkEnd w:id="4826"/>
          <w:p>
            <w:pPr>
              <w:pStyle w:val="0"/>
            </w:pPr>
            <w:r>
              <w:rPr>
                <w:sz w:val="24"/>
              </w:rPr>
              <w:t xml:space="preserve">62</w:t>
            </w:r>
          </w:p>
        </w:tc>
        <w:tc>
          <w:tcPr>
            <w:gridSpan w:val="7"/>
            <w:tcW w:w="2608" w:type="dxa"/>
          </w:tcPr>
          <w:p>
            <w:pPr>
              <w:pStyle w:val="0"/>
            </w:pPr>
            <w:r>
              <w:rPr>
                <w:sz w:val="24"/>
              </w:rPr>
              <w:t xml:space="preserve">Наименование организатора торговли на рынке ценных бумаг, в котировальный список которого включена ценная бумага</w:t>
            </w:r>
          </w:p>
        </w:tc>
        <w:tc>
          <w:tcPr>
            <w:tcW w:w="2608" w:type="dxa"/>
          </w:tcPr>
          <w:p>
            <w:pPr>
              <w:pStyle w:val="0"/>
            </w:pPr>
            <w:r>
              <w:rPr>
                <w:sz w:val="24"/>
              </w:rPr>
            </w:r>
          </w:p>
        </w:tc>
        <w:tc>
          <w:tcPr>
            <w:tcW w:w="2948" w:type="dxa"/>
          </w:tcPr>
          <w:p>
            <w:pPr>
              <w:pStyle w:val="0"/>
            </w:pPr>
            <w:r>
              <w:rPr>
                <w:sz w:val="24"/>
              </w:rPr>
              <w:t xml:space="preserve">nfo-dic:NaimOrgTorgCzbKotSpisok</w:t>
            </w:r>
          </w:p>
        </w:tc>
      </w:tr>
      <w:tr>
        <w:tc>
          <w:tcPr>
            <w:tcW w:w="907" w:type="dxa"/>
          </w:tcPr>
          <w:p>
            <w:pPr>
              <w:pStyle w:val="0"/>
            </w:pPr>
            <w:r>
              <w:rPr>
                <w:sz w:val="24"/>
              </w:rPr>
              <w:t xml:space="preserve">62.1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882" w:name="P4882"/>
          <w:bookmarkEnd w:id="4882"/>
          <w:p>
            <w:pPr>
              <w:pStyle w:val="0"/>
            </w:pPr>
            <w:r>
              <w:rPr>
                <w:sz w:val="24"/>
              </w:rPr>
              <w:t xml:space="preserve">63</w:t>
            </w:r>
          </w:p>
        </w:tc>
        <w:tc>
          <w:tcPr>
            <w:gridSpan w:val="7"/>
            <w:tcW w:w="2608" w:type="dxa"/>
          </w:tcPr>
          <w:p>
            <w:pPr>
              <w:pStyle w:val="0"/>
            </w:pPr>
            <w:r>
              <w:rPr>
                <w:sz w:val="24"/>
              </w:rPr>
              <w:t xml:space="preserve">Доля участия в уставном капитале</w:t>
            </w:r>
          </w:p>
        </w:tc>
        <w:tc>
          <w:tcPr>
            <w:tcW w:w="2608" w:type="dxa"/>
          </w:tcPr>
          <w:p>
            <w:pPr>
              <w:pStyle w:val="0"/>
            </w:pPr>
            <w:r>
              <w:rPr>
                <w:sz w:val="24"/>
              </w:rPr>
            </w:r>
          </w:p>
        </w:tc>
        <w:tc>
          <w:tcPr>
            <w:tcW w:w="2948" w:type="dxa"/>
          </w:tcPr>
          <w:p>
            <w:pPr>
              <w:pStyle w:val="0"/>
            </w:pPr>
            <w:r>
              <w:rPr>
                <w:sz w:val="24"/>
              </w:rPr>
              <w:t xml:space="preserve">nfo-dic:Dolya_Uchast_V_UstavnKapital</w:t>
            </w:r>
          </w:p>
        </w:tc>
      </w:tr>
      <w:tr>
        <w:tc>
          <w:tcPr>
            <w:tcW w:w="907" w:type="dxa"/>
          </w:tcPr>
          <w:p>
            <w:pPr>
              <w:pStyle w:val="0"/>
            </w:pPr>
            <w:r>
              <w:rPr>
                <w:sz w:val="24"/>
              </w:rPr>
              <w:t xml:space="preserve">63.1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938" w:name="P4938"/>
          <w:bookmarkEnd w:id="4938"/>
          <w:p>
            <w:pPr>
              <w:pStyle w:val="0"/>
            </w:pPr>
            <w:r>
              <w:rPr>
                <w:sz w:val="24"/>
              </w:rPr>
              <w:t xml:space="preserve">64</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64.1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4994" w:name="P4994"/>
          <w:bookmarkEnd w:id="4994"/>
          <w:p>
            <w:pPr>
              <w:pStyle w:val="0"/>
            </w:pPr>
            <w:r>
              <w:rPr>
                <w:sz w:val="24"/>
              </w:rPr>
              <w:t xml:space="preserve">65</w:t>
            </w:r>
          </w:p>
        </w:tc>
        <w:tc>
          <w:tcPr>
            <w:gridSpan w:val="7"/>
            <w:tcW w:w="2608" w:type="dxa"/>
          </w:tcPr>
          <w:p>
            <w:pPr>
              <w:pStyle w:val="0"/>
            </w:pPr>
            <w:r>
              <w:rPr>
                <w:sz w:val="24"/>
              </w:rPr>
              <w:t xml:space="preserve">Акции соответствуют условиям для включения в состав активов вместо долей участия в уставном капитале</w:t>
            </w:r>
          </w:p>
        </w:tc>
        <w:tc>
          <w:tcPr>
            <w:tcW w:w="2608" w:type="dxa"/>
          </w:tcPr>
          <w:p>
            <w:pPr>
              <w:pStyle w:val="0"/>
            </w:pPr>
            <w:r>
              <w:rPr>
                <w:sz w:val="24"/>
              </w:rPr>
            </w:r>
          </w:p>
        </w:tc>
        <w:tc>
          <w:tcPr>
            <w:tcW w:w="2948" w:type="dxa"/>
          </w:tcPr>
          <w:p>
            <w:pPr>
              <w:pStyle w:val="0"/>
            </w:pPr>
            <w:r>
              <w:rPr>
                <w:sz w:val="24"/>
              </w:rPr>
              <w:t xml:space="preserve">ins-dic:AkcziiSootUslUkAbShDesPp3.1.2P3.1PolN781Enumerator</w:t>
            </w:r>
          </w:p>
        </w:tc>
      </w:tr>
      <w:tr>
        <w:tc>
          <w:tcPr>
            <w:tcW w:w="907" w:type="dxa"/>
          </w:tcPr>
          <w:p>
            <w:pPr>
              <w:pStyle w:val="0"/>
            </w:pPr>
            <w:r>
              <w:rPr>
                <w:sz w:val="24"/>
              </w:rPr>
              <w:t xml:space="preserve">65.1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050" w:name="P5050"/>
          <w:bookmarkEnd w:id="5050"/>
          <w:p>
            <w:pPr>
              <w:pStyle w:val="0"/>
            </w:pPr>
            <w:r>
              <w:rPr>
                <w:sz w:val="24"/>
              </w:rPr>
              <w:t xml:space="preserve">66</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66.1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dim-int:IdDKontragentaPoDogNaProvedOczenkiTaxis</w:t>
            </w:r>
          </w:p>
        </w:tc>
      </w:tr>
      <w:tr>
        <w:tc>
          <w:tcPr>
            <w:tcW w:w="907" w:type="dxa"/>
          </w:tcPr>
          <w:p>
            <w:pPr>
              <w:pStyle w:val="0"/>
            </w:pPr>
            <w:r>
              <w:rPr>
                <w:sz w:val="24"/>
              </w:rPr>
              <w:t xml:space="preserve">66.12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106" w:name="P5106"/>
          <w:bookmarkEnd w:id="5106"/>
          <w:p>
            <w:pPr>
              <w:pStyle w:val="0"/>
            </w:pPr>
            <w:r>
              <w:rPr>
                <w:sz w:val="24"/>
              </w:rPr>
              <w:t xml:space="preserve">67</w:t>
            </w:r>
          </w:p>
        </w:tc>
        <w:tc>
          <w:tcPr>
            <w:gridSpan w:val="7"/>
            <w:tcW w:w="2608" w:type="dxa"/>
          </w:tcPr>
          <w:p>
            <w:pPr>
              <w:pStyle w:val="0"/>
            </w:pPr>
            <w:r>
              <w:rPr>
                <w:sz w:val="24"/>
              </w:rPr>
              <w:t xml:space="preserve">Иностранный финансовый инструмент квалифицирован в качестве ценной бумаги</w:t>
            </w:r>
          </w:p>
        </w:tc>
        <w:tc>
          <w:tcPr>
            <w:tcW w:w="2608" w:type="dxa"/>
          </w:tcPr>
          <w:p>
            <w:pPr>
              <w:pStyle w:val="0"/>
            </w:pPr>
            <w:r>
              <w:rPr>
                <w:sz w:val="24"/>
              </w:rPr>
            </w:r>
          </w:p>
        </w:tc>
        <w:tc>
          <w:tcPr>
            <w:tcW w:w="2948" w:type="dxa"/>
          </w:tcPr>
          <w:p>
            <w:pPr>
              <w:pStyle w:val="0"/>
            </w:pPr>
            <w:r>
              <w:rPr>
                <w:sz w:val="24"/>
              </w:rPr>
              <w:t xml:space="preserve">ins-dic:InFinInstrKvalCzBumEnumerator</w:t>
            </w:r>
          </w:p>
        </w:tc>
      </w:tr>
      <w:tr>
        <w:tc>
          <w:tcPr>
            <w:tcW w:w="907" w:type="dxa"/>
          </w:tcPr>
          <w:p>
            <w:pPr>
              <w:pStyle w:val="0"/>
            </w:pPr>
            <w:r>
              <w:rPr>
                <w:sz w:val="24"/>
              </w:rPr>
              <w:t xml:space="preserve">67.1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right w:val="nil"/>
          </w:tblBorders>
        </w:tblPrEx>
        <w:tc>
          <w:tcPr>
            <w:tcW w:w="907" w:type="dxa"/>
          </w:tcPr>
          <w:bookmarkStart w:id="5162" w:name="P5162"/>
          <w:bookmarkEnd w:id="5162"/>
          <w:p>
            <w:pPr>
              <w:pStyle w:val="0"/>
            </w:pPr>
            <w:r>
              <w:rPr>
                <w:sz w:val="24"/>
              </w:rPr>
              <w:t xml:space="preserve">68</w:t>
            </w:r>
          </w:p>
        </w:tc>
        <w:tc>
          <w:tcPr>
            <w:gridSpan w:val="7"/>
            <w:tcW w:w="2608" w:type="dxa"/>
          </w:tcPr>
          <w:p>
            <w:pPr>
              <w:pStyle w:val="0"/>
            </w:pPr>
            <w:r>
              <w:rPr>
                <w:sz w:val="24"/>
              </w:rPr>
              <w:t xml:space="preserve">Дата определения стоимости актива</w:t>
            </w:r>
          </w:p>
        </w:tc>
        <w:tc>
          <w:tcPr>
            <w:tcW w:w="2608" w:type="dxa"/>
          </w:tcPr>
          <w:p>
            <w:pPr>
              <w:pStyle w:val="0"/>
            </w:pPr>
            <w:r>
              <w:rPr>
                <w:sz w:val="24"/>
              </w:rPr>
            </w:r>
          </w:p>
        </w:tc>
        <w:tc>
          <w:tcPr>
            <w:tcW w:w="2948" w:type="dxa"/>
            <w:tcBorders>
              <w:right w:val="nil"/>
            </w:tcBorders>
          </w:tcPr>
          <w:p>
            <w:pPr>
              <w:pStyle w:val="0"/>
            </w:pPr>
            <w:r>
              <w:rPr>
                <w:sz w:val="24"/>
              </w:rPr>
              <w:t xml:space="preserve">ins-dic:DataOpredeleniyaStoimostiAktiva</w:t>
            </w:r>
          </w:p>
        </w:tc>
      </w:tr>
      <w:tr>
        <w:tc>
          <w:tcPr>
            <w:tcW w:w="907" w:type="dxa"/>
          </w:tcPr>
          <w:p>
            <w:pPr>
              <w:pStyle w:val="0"/>
            </w:pPr>
            <w:r>
              <w:rPr>
                <w:sz w:val="24"/>
              </w:rPr>
              <w:t xml:space="preserve">68.1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218" w:name="P5218"/>
          <w:bookmarkEnd w:id="5218"/>
          <w:p>
            <w:pPr>
              <w:pStyle w:val="0"/>
            </w:pPr>
            <w:r>
              <w:rPr>
                <w:sz w:val="24"/>
              </w:rPr>
              <w:t xml:space="preserve">69</w:t>
            </w:r>
          </w:p>
        </w:tc>
        <w:tc>
          <w:tcPr>
            <w:gridSpan w:val="7"/>
            <w:tcW w:w="2608" w:type="dxa"/>
          </w:tcPr>
          <w:p>
            <w:pPr>
              <w:pStyle w:val="0"/>
            </w:pPr>
            <w:r>
              <w:rPr>
                <w:sz w:val="24"/>
              </w:rPr>
              <w:t xml:space="preserve">Ценные бумаги, переданные без прекращения признания</w:t>
            </w:r>
          </w:p>
        </w:tc>
        <w:tc>
          <w:tcPr>
            <w:tcW w:w="2608" w:type="dxa"/>
          </w:tcPr>
          <w:p>
            <w:pPr>
              <w:pStyle w:val="0"/>
            </w:pPr>
            <w:r>
              <w:rPr>
                <w:sz w:val="24"/>
              </w:rPr>
            </w:r>
          </w:p>
        </w:tc>
        <w:tc>
          <w:tcPr>
            <w:tcW w:w="2948" w:type="dxa"/>
          </w:tcPr>
          <w:p>
            <w:pPr>
              <w:pStyle w:val="0"/>
            </w:pPr>
            <w:r>
              <w:rPr>
                <w:sz w:val="24"/>
              </w:rPr>
              <w:t xml:space="preserve">ins-dic:Czb_Per_Bez_Prekr_Prizn_Enumerator</w:t>
            </w:r>
          </w:p>
        </w:tc>
      </w:tr>
      <w:tr>
        <w:tc>
          <w:tcPr>
            <w:tcW w:w="907" w:type="dxa"/>
          </w:tcPr>
          <w:p>
            <w:pPr>
              <w:pStyle w:val="0"/>
            </w:pPr>
            <w:r>
              <w:rPr>
                <w:sz w:val="24"/>
              </w:rPr>
              <w:t xml:space="preserve">69.1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69.5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69.6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69.7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69.9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69.10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69.13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274" w:name="P5274"/>
          <w:bookmarkEnd w:id="5274"/>
          <w:p>
            <w:pPr>
              <w:pStyle w:val="0"/>
            </w:pPr>
            <w:r>
              <w:rPr>
                <w:sz w:val="24"/>
              </w:rPr>
              <w:t xml:space="preserve">70</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70.1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330" w:name="P5330"/>
          <w:bookmarkEnd w:id="5330"/>
          <w:p>
            <w:pPr>
              <w:pStyle w:val="0"/>
            </w:pPr>
            <w:r>
              <w:rPr>
                <w:sz w:val="24"/>
              </w:rPr>
              <w:t xml:space="preserve">71</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ins-dic:CzenVozniDefolt</w:t>
            </w:r>
          </w:p>
        </w:tc>
      </w:tr>
      <w:tr>
        <w:tc>
          <w:tcPr>
            <w:tcW w:w="907" w:type="dxa"/>
          </w:tcPr>
          <w:p>
            <w:pPr>
              <w:pStyle w:val="0"/>
            </w:pPr>
            <w:r>
              <w:rPr>
                <w:sz w:val="24"/>
              </w:rPr>
              <w:t xml:space="preserve">71.1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386" w:name="P5386"/>
          <w:bookmarkEnd w:id="5386"/>
          <w:p>
            <w:pPr>
              <w:pStyle w:val="0"/>
            </w:pPr>
            <w:r>
              <w:rPr>
                <w:sz w:val="24"/>
              </w:rPr>
              <w:t xml:space="preserve">72</w:t>
            </w:r>
          </w:p>
        </w:tc>
        <w:tc>
          <w:tcPr>
            <w:gridSpan w:val="7"/>
            <w:tcW w:w="2608" w:type="dxa"/>
          </w:tcPr>
          <w:p>
            <w:pPr>
              <w:pStyle w:val="0"/>
            </w:pPr>
            <w:r>
              <w:rPr>
                <w:sz w:val="24"/>
              </w:rPr>
              <w:t xml:space="preserve">Влияние риска изменения стоимости акций (увеличение стоимости)</w:t>
            </w:r>
          </w:p>
        </w:tc>
        <w:tc>
          <w:tcPr>
            <w:tcW w:w="2608" w:type="dxa"/>
          </w:tcPr>
          <w:p>
            <w:pPr>
              <w:pStyle w:val="0"/>
            </w:pPr>
            <w:r>
              <w:rPr>
                <w:sz w:val="24"/>
              </w:rPr>
            </w:r>
          </w:p>
        </w:tc>
        <w:tc>
          <w:tcPr>
            <w:tcW w:w="2948" w:type="dxa"/>
          </w:tcPr>
          <w:p>
            <w:pPr>
              <w:pStyle w:val="0"/>
            </w:pPr>
            <w:r>
              <w:rPr>
                <w:sz w:val="24"/>
              </w:rPr>
              <w:t xml:space="preserve">ins-dic:VlRiskIzmStoimAkczUvelichStoim</w:t>
            </w:r>
          </w:p>
        </w:tc>
      </w:tr>
      <w:tr>
        <w:tc>
          <w:tcPr>
            <w:tcW w:w="907" w:type="dxa"/>
          </w:tcPr>
          <w:p>
            <w:pPr>
              <w:pStyle w:val="0"/>
            </w:pPr>
            <w:r>
              <w:rPr>
                <w:sz w:val="24"/>
              </w:rPr>
              <w:t xml:space="preserve">72.1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dim-int:IdOrgOsushVchetCzenBumTaxis</w:t>
            </w:r>
          </w:p>
        </w:tc>
      </w:tr>
      <w:tr>
        <w:tc>
          <w:tcPr>
            <w:tcW w:w="907" w:type="dxa"/>
          </w:tcPr>
          <w:p>
            <w:pPr>
              <w:pStyle w:val="0"/>
            </w:pPr>
            <w:r>
              <w:rPr>
                <w:sz w:val="24"/>
              </w:rPr>
              <w:t xml:space="preserve">72.7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442" w:name="P5442"/>
          <w:bookmarkEnd w:id="5442"/>
          <w:p>
            <w:pPr>
              <w:pStyle w:val="0"/>
            </w:pPr>
            <w:r>
              <w:rPr>
                <w:sz w:val="24"/>
              </w:rPr>
              <w:t xml:space="preserve">73</w:t>
            </w:r>
          </w:p>
        </w:tc>
        <w:tc>
          <w:tcPr>
            <w:gridSpan w:val="7"/>
            <w:tcW w:w="2608" w:type="dxa"/>
          </w:tcPr>
          <w:p>
            <w:pPr>
              <w:pStyle w:val="0"/>
            </w:pPr>
            <w:r>
              <w:rPr>
                <w:sz w:val="24"/>
              </w:rPr>
              <w:t xml:space="preserve">Влияние риска изменения стоимости акций (снижение стоимости)</w:t>
            </w:r>
          </w:p>
        </w:tc>
        <w:tc>
          <w:tcPr>
            <w:tcW w:w="2608" w:type="dxa"/>
          </w:tcPr>
          <w:p>
            <w:pPr>
              <w:pStyle w:val="0"/>
            </w:pPr>
            <w:r>
              <w:rPr>
                <w:sz w:val="24"/>
              </w:rPr>
            </w:r>
          </w:p>
        </w:tc>
        <w:tc>
          <w:tcPr>
            <w:tcW w:w="2948" w:type="dxa"/>
          </w:tcPr>
          <w:p>
            <w:pPr>
              <w:pStyle w:val="0"/>
            </w:pPr>
            <w:r>
              <w:rPr>
                <w:sz w:val="24"/>
              </w:rPr>
              <w:t xml:space="preserve">ins-dic:VlRiskIzmStoimAkczSnizhStoim</w:t>
            </w:r>
          </w:p>
        </w:tc>
      </w:tr>
      <w:tr>
        <w:tc>
          <w:tcPr>
            <w:tcW w:w="907" w:type="dxa"/>
          </w:tcPr>
          <w:p>
            <w:pPr>
              <w:pStyle w:val="0"/>
            </w:pPr>
            <w:r>
              <w:rPr>
                <w:sz w:val="24"/>
              </w:rPr>
              <w:t xml:space="preserve">73.1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498" w:name="P5498"/>
          <w:bookmarkEnd w:id="5498"/>
          <w:p>
            <w:pPr>
              <w:pStyle w:val="0"/>
            </w:pPr>
            <w:r>
              <w:rPr>
                <w:sz w:val="24"/>
              </w:rPr>
              <w:t xml:space="preserve">74</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74.1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554" w:name="P5554"/>
          <w:bookmarkEnd w:id="5554"/>
          <w:p>
            <w:pPr>
              <w:pStyle w:val="0"/>
            </w:pPr>
            <w:r>
              <w:rPr>
                <w:sz w:val="24"/>
              </w:rPr>
              <w:t xml:space="preserve">75</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75.1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610" w:name="P5610"/>
          <w:bookmarkEnd w:id="5610"/>
          <w:p>
            <w:pPr>
              <w:pStyle w:val="0"/>
            </w:pPr>
            <w:r>
              <w:rPr>
                <w:sz w:val="24"/>
              </w:rPr>
              <w:t xml:space="preserve">76</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76.1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5666" w:name="P5666"/>
          <w:bookmarkEnd w:id="5666"/>
          <w:p>
            <w:pPr>
              <w:pStyle w:val="0"/>
            </w:pPr>
            <w:r>
              <w:rPr>
                <w:sz w:val="24"/>
              </w:rPr>
              <w:t xml:space="preserve">77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77.1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77.8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77.13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5722" w:name="P5722"/>
          <w:bookmarkEnd w:id="5722"/>
          <w:p>
            <w:pPr>
              <w:pStyle w:val="0"/>
              <w:outlineLvl w:val="4"/>
            </w:pPr>
            <w:r>
              <w:rPr>
                <w:sz w:val="24"/>
              </w:rPr>
              <w:t xml:space="preserve">Подраздел 2.5.</w:t>
            </w:r>
          </w:p>
        </w:tc>
        <w:tc>
          <w:tcPr>
            <w:gridSpan w:val="6"/>
            <w:tcW w:w="7370" w:type="dxa"/>
            <w:tcBorders>
              <w:right w:val="single" w:sz="4"/>
            </w:tcBorders>
          </w:tcPr>
          <w:p>
            <w:pPr>
              <w:pStyle w:val="0"/>
            </w:pPr>
            <w:r>
              <w:rPr>
                <w:sz w:val="24"/>
              </w:rPr>
              <w:t xml:space="preserve">Акции, не подпадающие под исключение, предусмотренное требованиями к финансовой устойчивости и платежеспособности страховщиков, кроме ценных бумаг иностранных инвестиционных фондов</w:t>
            </w:r>
          </w:p>
        </w:tc>
      </w:tr>
      <w:tr>
        <w:tc>
          <w:tcPr>
            <w:tcW w:w="907" w:type="dxa"/>
          </w:tcPr>
          <w:bookmarkStart w:id="5724" w:name="P5724"/>
          <w:bookmarkEnd w:id="5724"/>
          <w:p>
            <w:pPr>
              <w:pStyle w:val="0"/>
            </w:pPr>
            <w:r>
              <w:rPr>
                <w:sz w:val="24"/>
              </w:rPr>
              <w:t xml:space="preserve">78</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78.1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78.7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78.8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78.9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78.10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78.11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5772" w:name="P5772"/>
          <w:bookmarkEnd w:id="5772"/>
          <w:p>
            <w:pPr>
              <w:pStyle w:val="0"/>
            </w:pPr>
            <w:r>
              <w:rPr>
                <w:sz w:val="24"/>
              </w:rPr>
              <w:t xml:space="preserve">79</w:t>
            </w:r>
          </w:p>
        </w:tc>
        <w:tc>
          <w:tcPr>
            <w:gridSpan w:val="7"/>
            <w:tcW w:w="2608" w:type="dxa"/>
          </w:tcPr>
          <w:p>
            <w:pPr>
              <w:pStyle w:val="0"/>
            </w:pPr>
            <w:r>
              <w:rPr>
                <w:sz w:val="24"/>
              </w:rPr>
              <w:t xml:space="preserve">Категория долевых ценных бумаг</w:t>
            </w:r>
          </w:p>
        </w:tc>
        <w:tc>
          <w:tcPr>
            <w:tcW w:w="2608" w:type="dxa"/>
          </w:tcPr>
          <w:p>
            <w:pPr>
              <w:pStyle w:val="0"/>
            </w:pPr>
            <w:r>
              <w:rPr>
                <w:sz w:val="24"/>
              </w:rPr>
            </w:r>
          </w:p>
        </w:tc>
        <w:tc>
          <w:tcPr>
            <w:tcW w:w="2948" w:type="dxa"/>
          </w:tcPr>
          <w:p>
            <w:pPr>
              <w:pStyle w:val="0"/>
            </w:pPr>
            <w:r>
              <w:rPr>
                <w:sz w:val="24"/>
              </w:rPr>
              <w:t xml:space="preserve">ins-dic:KatDolCzBumEnumerator</w:t>
            </w:r>
          </w:p>
        </w:tc>
      </w:tr>
      <w:tr>
        <w:tc>
          <w:tcPr>
            <w:tcW w:w="907" w:type="dxa"/>
          </w:tcPr>
          <w:p>
            <w:pPr>
              <w:pStyle w:val="0"/>
            </w:pPr>
            <w:r>
              <w:rPr>
                <w:sz w:val="24"/>
              </w:rPr>
              <w:t xml:space="preserve">79.1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79.2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79.3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79.4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79.5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79.6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79.7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79.8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79.9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79.10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79.11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5820" w:name="P5820"/>
          <w:bookmarkEnd w:id="5820"/>
          <w:p>
            <w:pPr>
              <w:pStyle w:val="0"/>
            </w:pPr>
            <w:r>
              <w:rPr>
                <w:sz w:val="24"/>
              </w:rPr>
              <w:t xml:space="preserve">80</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80.1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80.7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80.8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80.9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80.10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80.11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5868" w:name="P5868"/>
          <w:bookmarkEnd w:id="5868"/>
          <w:p>
            <w:pPr>
              <w:pStyle w:val="0"/>
            </w:pPr>
            <w:r>
              <w:rPr>
                <w:sz w:val="24"/>
              </w:rPr>
              <w:t xml:space="preserve">81</w:t>
            </w:r>
          </w:p>
        </w:tc>
        <w:tc>
          <w:tcPr>
            <w:gridSpan w:val="7"/>
            <w:tcW w:w="2608" w:type="dxa"/>
          </w:tcPr>
          <w:p>
            <w:pPr>
              <w:pStyle w:val="0"/>
            </w:pPr>
            <w:r>
              <w:rPr>
                <w:sz w:val="24"/>
              </w:rPr>
              <w:t xml:space="preserve">Количество единиц актива</w:t>
            </w:r>
          </w:p>
        </w:tc>
        <w:tc>
          <w:tcPr>
            <w:tcW w:w="2608" w:type="dxa"/>
          </w:tcPr>
          <w:p>
            <w:pPr>
              <w:pStyle w:val="0"/>
            </w:pPr>
            <w:r>
              <w:rPr>
                <w:sz w:val="24"/>
              </w:rPr>
            </w:r>
          </w:p>
        </w:tc>
        <w:tc>
          <w:tcPr>
            <w:tcW w:w="2948" w:type="dxa"/>
          </w:tcPr>
          <w:p>
            <w:pPr>
              <w:pStyle w:val="0"/>
            </w:pPr>
            <w:r>
              <w:rPr>
                <w:sz w:val="24"/>
              </w:rPr>
              <w:t xml:space="preserve">nfo-dic:KolEdinitsAktiva</w:t>
            </w:r>
          </w:p>
        </w:tc>
      </w:tr>
      <w:tr>
        <w:tc>
          <w:tcPr>
            <w:tcW w:w="907" w:type="dxa"/>
          </w:tcPr>
          <w:p>
            <w:pPr>
              <w:pStyle w:val="0"/>
            </w:pPr>
            <w:r>
              <w:rPr>
                <w:sz w:val="24"/>
              </w:rPr>
              <w:t xml:space="preserve">81.1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81.7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81.8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81.9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81.10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81.11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82</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82.1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82.7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82.8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82.9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82.10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82.11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5964" w:name="P5964"/>
          <w:bookmarkEnd w:id="5964"/>
          <w:p>
            <w:pPr>
              <w:pStyle w:val="0"/>
            </w:pPr>
            <w:r>
              <w:rPr>
                <w:sz w:val="24"/>
              </w:rPr>
              <w:t xml:space="preserve">83</w:t>
            </w:r>
          </w:p>
        </w:tc>
        <w:tc>
          <w:tcPr>
            <w:gridSpan w:val="7"/>
            <w:tcW w:w="2608" w:type="dxa"/>
          </w:tcPr>
          <w:p>
            <w:pPr>
              <w:pStyle w:val="0"/>
            </w:pPr>
            <w:r>
              <w:rPr>
                <w:sz w:val="24"/>
              </w:rPr>
              <w:t xml:space="preserve">Номинальная стоимость одной ценной бумаги, в единицах валюты номинала</w:t>
            </w:r>
          </w:p>
        </w:tc>
        <w:tc>
          <w:tcPr>
            <w:tcW w:w="2608" w:type="dxa"/>
          </w:tcPr>
          <w:p>
            <w:pPr>
              <w:pStyle w:val="0"/>
            </w:pPr>
            <w:r>
              <w:rPr>
                <w:sz w:val="24"/>
              </w:rPr>
            </w:r>
          </w:p>
        </w:tc>
        <w:tc>
          <w:tcPr>
            <w:tcW w:w="2948" w:type="dxa"/>
          </w:tcPr>
          <w:p>
            <w:pPr>
              <w:pStyle w:val="0"/>
            </w:pPr>
            <w:r>
              <w:rPr>
                <w:sz w:val="24"/>
              </w:rPr>
              <w:t xml:space="preserve">nfo-dic:NomStOdnCzb</w:t>
            </w:r>
          </w:p>
        </w:tc>
      </w:tr>
      <w:tr>
        <w:tc>
          <w:tcPr>
            <w:tcW w:w="907" w:type="dxa"/>
          </w:tcPr>
          <w:p>
            <w:pPr>
              <w:pStyle w:val="0"/>
            </w:pPr>
            <w:r>
              <w:rPr>
                <w:sz w:val="24"/>
              </w:rPr>
              <w:t xml:space="preserve">83.1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83.7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83.8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83.9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83.10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83.11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012" w:name="P6012"/>
          <w:bookmarkEnd w:id="6012"/>
          <w:p>
            <w:pPr>
              <w:pStyle w:val="0"/>
            </w:pPr>
            <w:r>
              <w:rPr>
                <w:sz w:val="24"/>
              </w:rPr>
              <w:t xml:space="preserve">84</w:t>
            </w:r>
          </w:p>
        </w:tc>
        <w:tc>
          <w:tcPr>
            <w:gridSpan w:val="7"/>
            <w:tcW w:w="2608" w:type="dxa"/>
          </w:tcPr>
          <w:p>
            <w:pPr>
              <w:pStyle w:val="0"/>
            </w:pPr>
            <w:r>
              <w:rPr>
                <w:sz w:val="24"/>
              </w:rPr>
              <w:t xml:space="preserve">Доля участия в уставном капитале</w:t>
            </w:r>
          </w:p>
        </w:tc>
        <w:tc>
          <w:tcPr>
            <w:tcW w:w="2608" w:type="dxa"/>
          </w:tcPr>
          <w:p>
            <w:pPr>
              <w:pStyle w:val="0"/>
            </w:pPr>
            <w:r>
              <w:rPr>
                <w:sz w:val="24"/>
              </w:rPr>
            </w:r>
          </w:p>
        </w:tc>
        <w:tc>
          <w:tcPr>
            <w:tcW w:w="2948" w:type="dxa"/>
          </w:tcPr>
          <w:p>
            <w:pPr>
              <w:pStyle w:val="0"/>
            </w:pPr>
            <w:r>
              <w:rPr>
                <w:sz w:val="24"/>
              </w:rPr>
              <w:t xml:space="preserve">nfo-dic:Dolya_Uchast_V_UstavnKapital</w:t>
            </w:r>
          </w:p>
        </w:tc>
      </w:tr>
      <w:tr>
        <w:tc>
          <w:tcPr>
            <w:tcW w:w="907" w:type="dxa"/>
          </w:tcPr>
          <w:p>
            <w:pPr>
              <w:pStyle w:val="0"/>
            </w:pPr>
            <w:r>
              <w:rPr>
                <w:sz w:val="24"/>
              </w:rPr>
              <w:t xml:space="preserve">84.1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84.7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84.8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84.9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84.10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84.11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060" w:name="P6060"/>
          <w:bookmarkEnd w:id="6060"/>
          <w:p>
            <w:pPr>
              <w:pStyle w:val="0"/>
            </w:pPr>
            <w:r>
              <w:rPr>
                <w:sz w:val="24"/>
              </w:rPr>
              <w:t xml:space="preserve">85</w:t>
            </w:r>
          </w:p>
        </w:tc>
        <w:tc>
          <w:tcPr>
            <w:gridSpan w:val="7"/>
            <w:tcW w:w="2608" w:type="dxa"/>
          </w:tcPr>
          <w:p>
            <w:pPr>
              <w:pStyle w:val="0"/>
            </w:pPr>
            <w:r>
              <w:rPr>
                <w:sz w:val="24"/>
              </w:rPr>
              <w:t xml:space="preserve">Дата определения стоимости актива</w:t>
            </w:r>
          </w:p>
        </w:tc>
        <w:tc>
          <w:tcPr>
            <w:tcW w:w="2608" w:type="dxa"/>
          </w:tcPr>
          <w:p>
            <w:pPr>
              <w:pStyle w:val="0"/>
            </w:pPr>
            <w:r>
              <w:rPr>
                <w:sz w:val="24"/>
              </w:rPr>
            </w:r>
          </w:p>
        </w:tc>
        <w:tc>
          <w:tcPr>
            <w:tcW w:w="2948" w:type="dxa"/>
          </w:tcPr>
          <w:p>
            <w:pPr>
              <w:pStyle w:val="0"/>
            </w:pPr>
            <w:r>
              <w:rPr>
                <w:sz w:val="24"/>
              </w:rPr>
              <w:t xml:space="preserve">ins-dic:DataOpredeleniyaStoimostiAktiva</w:t>
            </w:r>
          </w:p>
        </w:tc>
      </w:tr>
      <w:tr>
        <w:tc>
          <w:tcPr>
            <w:tcW w:w="907" w:type="dxa"/>
          </w:tcPr>
          <w:p>
            <w:pPr>
              <w:pStyle w:val="0"/>
            </w:pPr>
            <w:r>
              <w:rPr>
                <w:sz w:val="24"/>
              </w:rPr>
              <w:t xml:space="preserve">85.1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85.7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85.8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85.9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85.10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85.11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108" w:name="P6108"/>
          <w:bookmarkEnd w:id="6108"/>
          <w:p>
            <w:pPr>
              <w:pStyle w:val="0"/>
            </w:pPr>
            <w:r>
              <w:rPr>
                <w:sz w:val="24"/>
              </w:rPr>
              <w:t xml:space="preserve">86</w:t>
            </w:r>
          </w:p>
        </w:tc>
        <w:tc>
          <w:tcPr>
            <w:gridSpan w:val="7"/>
            <w:tcW w:w="2608" w:type="dxa"/>
          </w:tcPr>
          <w:p>
            <w:pPr>
              <w:pStyle w:val="0"/>
            </w:pPr>
            <w:r>
              <w:rPr>
                <w:sz w:val="24"/>
              </w:rPr>
              <w:t xml:space="preserve">Ценные бумаги, переданные без прекращения признания</w:t>
            </w:r>
          </w:p>
        </w:tc>
        <w:tc>
          <w:tcPr>
            <w:tcW w:w="2608" w:type="dxa"/>
          </w:tcPr>
          <w:p>
            <w:pPr>
              <w:pStyle w:val="0"/>
            </w:pPr>
            <w:r>
              <w:rPr>
                <w:sz w:val="24"/>
              </w:rPr>
            </w:r>
          </w:p>
        </w:tc>
        <w:tc>
          <w:tcPr>
            <w:tcW w:w="2948" w:type="dxa"/>
          </w:tcPr>
          <w:p>
            <w:pPr>
              <w:pStyle w:val="0"/>
            </w:pPr>
            <w:r>
              <w:rPr>
                <w:sz w:val="24"/>
              </w:rPr>
              <w:t xml:space="preserve">ins-dic:Czb_Per_Bez_Prekr_Prizn_Enumerator</w:t>
            </w:r>
          </w:p>
        </w:tc>
      </w:tr>
      <w:tr>
        <w:tc>
          <w:tcPr>
            <w:tcW w:w="907" w:type="dxa"/>
          </w:tcPr>
          <w:p>
            <w:pPr>
              <w:pStyle w:val="0"/>
            </w:pPr>
            <w:r>
              <w:rPr>
                <w:sz w:val="24"/>
              </w:rPr>
              <w:t xml:space="preserve">86.1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86.7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86.8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86.9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86.10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86.11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156" w:name="P6156"/>
          <w:bookmarkEnd w:id="6156"/>
          <w:p>
            <w:pPr>
              <w:pStyle w:val="0"/>
            </w:pPr>
            <w:r>
              <w:rPr>
                <w:sz w:val="24"/>
              </w:rPr>
              <w:t xml:space="preserve">87</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87.1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87.7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87.8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87.9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87.10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87.11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204" w:name="P6204"/>
          <w:bookmarkEnd w:id="6204"/>
          <w:p>
            <w:pPr>
              <w:pStyle w:val="0"/>
            </w:pPr>
            <w:r>
              <w:rPr>
                <w:sz w:val="24"/>
              </w:rPr>
              <w:t xml:space="preserve">88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88.1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88.4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88.6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88.7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88.8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88.9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88.10</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88.11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blPrEx>
          <w:tblBorders>
            <w:insideV w:val="nil"/>
          </w:tblBorders>
        </w:tblPrEx>
        <w:tc>
          <w:tcPr>
            <w:gridSpan w:val="4"/>
            <w:tcW w:w="1701" w:type="dxa"/>
            <w:tcBorders>
              <w:left w:val="single" w:sz="4"/>
            </w:tcBorders>
          </w:tcPr>
          <w:bookmarkStart w:id="6252" w:name="P6252"/>
          <w:bookmarkEnd w:id="6252"/>
          <w:p>
            <w:pPr>
              <w:pStyle w:val="0"/>
              <w:outlineLvl w:val="4"/>
            </w:pPr>
            <w:r>
              <w:rPr>
                <w:sz w:val="24"/>
              </w:rPr>
              <w:t xml:space="preserve">Подраздел 2.6.</w:t>
            </w:r>
          </w:p>
        </w:tc>
        <w:tc>
          <w:tcPr>
            <w:gridSpan w:val="6"/>
            <w:tcW w:w="7370" w:type="dxa"/>
            <w:tcBorders>
              <w:right w:val="single" w:sz="4"/>
            </w:tcBorders>
          </w:tcPr>
          <w:p>
            <w:pPr>
              <w:pStyle w:val="0"/>
            </w:pPr>
            <w:r>
              <w:rPr>
                <w:sz w:val="24"/>
              </w:rPr>
              <w:t xml:space="preserve">Доли, иное участие в уставных капиталах юридических лиц, не являющихся акционерными обществами, вклады в имущество юридических лиц, не увеличивающие их уставные (складочные) капиталы</w:t>
            </w:r>
          </w:p>
        </w:tc>
      </w:tr>
      <w:tr>
        <w:tc>
          <w:tcPr>
            <w:tcW w:w="907" w:type="dxa"/>
          </w:tcPr>
          <w:p>
            <w:pPr>
              <w:pStyle w:val="0"/>
            </w:pPr>
            <w:r>
              <w:rPr>
                <w:sz w:val="24"/>
              </w:rPr>
              <w:t xml:space="preserve">89</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89.1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89.2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89.3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89.4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89.5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89.6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89.7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286" w:name="P6286"/>
          <w:bookmarkEnd w:id="6286"/>
          <w:p>
            <w:pPr>
              <w:pStyle w:val="0"/>
            </w:pPr>
            <w:r>
              <w:rPr>
                <w:sz w:val="24"/>
              </w:rPr>
              <w:t xml:space="preserve">90</w:t>
            </w:r>
          </w:p>
        </w:tc>
        <w:tc>
          <w:tcPr>
            <w:gridSpan w:val="7"/>
            <w:tcW w:w="2608" w:type="dxa"/>
          </w:tcPr>
          <w:p>
            <w:pPr>
              <w:pStyle w:val="0"/>
            </w:pPr>
            <w:r>
              <w:rPr>
                <w:sz w:val="24"/>
              </w:rPr>
              <w:t xml:space="preserve">Размер вклада в уставный (складочный) капитал других организаций, %</w:t>
            </w:r>
          </w:p>
        </w:tc>
        <w:tc>
          <w:tcPr>
            <w:tcW w:w="2608" w:type="dxa"/>
          </w:tcPr>
          <w:p>
            <w:pPr>
              <w:pStyle w:val="0"/>
            </w:pPr>
            <w:r>
              <w:rPr>
                <w:sz w:val="24"/>
              </w:rPr>
            </w:r>
          </w:p>
        </w:tc>
        <w:tc>
          <w:tcPr>
            <w:tcW w:w="2948" w:type="dxa"/>
          </w:tcPr>
          <w:p>
            <w:pPr>
              <w:pStyle w:val="0"/>
            </w:pPr>
            <w:r>
              <w:rPr>
                <w:sz w:val="24"/>
              </w:rPr>
              <w:t xml:space="preserve">nfo-dic:VkladvukDrOrg</w:t>
            </w:r>
          </w:p>
        </w:tc>
      </w:tr>
      <w:tr>
        <w:tc>
          <w:tcPr>
            <w:tcW w:w="907" w:type="dxa"/>
          </w:tcPr>
          <w:p>
            <w:pPr>
              <w:pStyle w:val="0"/>
            </w:pPr>
            <w:r>
              <w:rPr>
                <w:sz w:val="24"/>
              </w:rPr>
              <w:t xml:space="preserve">90.1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dim-int:KiassAktAxis</w:t>
            </w:r>
          </w:p>
        </w:tc>
      </w:tr>
      <w:tr>
        <w:tc>
          <w:tcPr>
            <w:tcW w:w="907" w:type="dxa"/>
          </w:tcPr>
          <w:p>
            <w:pPr>
              <w:pStyle w:val="0"/>
            </w:pPr>
            <w:r>
              <w:rPr>
                <w:sz w:val="24"/>
              </w:rPr>
              <w:t xml:space="preserve">90.2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90.3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90.4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90.5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90.6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90.7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318" w:name="P6318"/>
          <w:bookmarkEnd w:id="6318"/>
          <w:p>
            <w:pPr>
              <w:pStyle w:val="0"/>
            </w:pPr>
            <w:r>
              <w:rPr>
                <w:sz w:val="24"/>
              </w:rPr>
              <w:t xml:space="preserve">91</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91.1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91.3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91.4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91.5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dim-int:KodValyutyAxis</w:t>
            </w:r>
          </w:p>
        </w:tc>
      </w:tr>
      <w:tr>
        <w:tc>
          <w:tcPr>
            <w:tcW w:w="907" w:type="dxa"/>
          </w:tcPr>
          <w:p>
            <w:pPr>
              <w:pStyle w:val="0"/>
            </w:pPr>
            <w:r>
              <w:rPr>
                <w:sz w:val="24"/>
              </w:rPr>
              <w:t xml:space="preserve">91.6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91.7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6350" w:name="P6350"/>
          <w:bookmarkEnd w:id="6350"/>
          <w:p>
            <w:pPr>
              <w:pStyle w:val="0"/>
            </w:pPr>
            <w:r>
              <w:rPr>
                <w:sz w:val="24"/>
              </w:rPr>
              <w:t xml:space="preserve">92</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92.1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92.3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92.4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92.5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92.6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92.7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blPrEx>
          <w:tblBorders>
            <w:insideV w:val="nil"/>
          </w:tblBorders>
        </w:tblPrEx>
        <w:tc>
          <w:tcPr>
            <w:gridSpan w:val="4"/>
            <w:tcW w:w="1701" w:type="dxa"/>
            <w:tcBorders>
              <w:left w:val="single" w:sz="4"/>
            </w:tcBorders>
          </w:tcPr>
          <w:bookmarkStart w:id="6382" w:name="P6382"/>
          <w:bookmarkEnd w:id="6382"/>
          <w:p>
            <w:pPr>
              <w:pStyle w:val="0"/>
              <w:outlineLvl w:val="4"/>
            </w:pPr>
            <w:r>
              <w:rPr>
                <w:sz w:val="24"/>
              </w:rPr>
              <w:t xml:space="preserve">Подраздел 2.7.</w:t>
            </w:r>
          </w:p>
        </w:tc>
        <w:tc>
          <w:tcPr>
            <w:gridSpan w:val="6"/>
            <w:tcW w:w="7370" w:type="dxa"/>
            <w:tcBorders>
              <w:right w:val="single" w:sz="4"/>
            </w:tcBorders>
          </w:tcPr>
          <w:p>
            <w:pPr>
              <w:pStyle w:val="0"/>
            </w:pPr>
            <w:r>
              <w:rPr>
                <w:sz w:val="24"/>
              </w:rPr>
              <w:t xml:space="preserve">Акции и паи иностранных инвестиционных фондов</w:t>
            </w:r>
          </w:p>
        </w:tc>
      </w:tr>
      <w:tr>
        <w:tc>
          <w:tcPr>
            <w:tcW w:w="907" w:type="dxa"/>
          </w:tcPr>
          <w:bookmarkStart w:id="6384" w:name="P6384"/>
          <w:bookmarkEnd w:id="6384"/>
          <w:p>
            <w:pPr>
              <w:pStyle w:val="0"/>
            </w:pPr>
            <w:r>
              <w:rPr>
                <w:sz w:val="24"/>
              </w:rPr>
              <w:t xml:space="preserve">93</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93.1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93.6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93.7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93.12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6440" w:name="P6440"/>
          <w:bookmarkEnd w:id="6440"/>
          <w:p>
            <w:pPr>
              <w:pStyle w:val="0"/>
            </w:pPr>
            <w:r>
              <w:rPr>
                <w:sz w:val="24"/>
              </w:rPr>
              <w:t xml:space="preserve">94</w:t>
            </w:r>
          </w:p>
        </w:tc>
        <w:tc>
          <w:tcPr>
            <w:gridSpan w:val="7"/>
            <w:tcW w:w="2608" w:type="dxa"/>
          </w:tcPr>
          <w:p>
            <w:pPr>
              <w:pStyle w:val="0"/>
            </w:pPr>
            <w:r>
              <w:rPr>
                <w:sz w:val="24"/>
              </w:rPr>
              <w:t xml:space="preserve">Код классификации финансовых инструментов (CFI)</w:t>
            </w:r>
          </w:p>
        </w:tc>
        <w:tc>
          <w:tcPr>
            <w:tcW w:w="2608" w:type="dxa"/>
          </w:tcPr>
          <w:p>
            <w:pPr>
              <w:pStyle w:val="0"/>
            </w:pPr>
            <w:r>
              <w:rPr>
                <w:sz w:val="24"/>
              </w:rPr>
            </w:r>
          </w:p>
        </w:tc>
        <w:tc>
          <w:tcPr>
            <w:tcW w:w="2948" w:type="dxa"/>
          </w:tcPr>
          <w:p>
            <w:pPr>
              <w:pStyle w:val="0"/>
            </w:pPr>
            <w:r>
              <w:rPr>
                <w:sz w:val="24"/>
              </w:rPr>
              <w:t xml:space="preserve">ins-dic:Kod_Klass_Fininst</w:t>
            </w:r>
          </w:p>
        </w:tc>
      </w:tr>
      <w:tr>
        <w:tc>
          <w:tcPr>
            <w:tcW w:w="907" w:type="dxa"/>
          </w:tcPr>
          <w:p>
            <w:pPr>
              <w:pStyle w:val="0"/>
            </w:pPr>
            <w:r>
              <w:rPr>
                <w:sz w:val="24"/>
              </w:rPr>
              <w:t xml:space="preserve">94.1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94.6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94.7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94.12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95</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95.1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95.6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95.7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95.12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6552" w:name="P6552"/>
          <w:bookmarkEnd w:id="6552"/>
          <w:p>
            <w:pPr>
              <w:pStyle w:val="0"/>
            </w:pPr>
            <w:r>
              <w:rPr>
                <w:sz w:val="24"/>
              </w:rPr>
              <w:t xml:space="preserve">96</w:t>
            </w:r>
          </w:p>
        </w:tc>
        <w:tc>
          <w:tcPr>
            <w:gridSpan w:val="7"/>
            <w:tcW w:w="2608" w:type="dxa"/>
          </w:tcPr>
          <w:p>
            <w:pPr>
              <w:pStyle w:val="0"/>
            </w:pPr>
            <w:r>
              <w:rPr>
                <w:sz w:val="24"/>
              </w:rPr>
              <w:t xml:space="preserve">Количество единиц актива</w:t>
            </w:r>
          </w:p>
        </w:tc>
        <w:tc>
          <w:tcPr>
            <w:tcW w:w="2608" w:type="dxa"/>
          </w:tcPr>
          <w:p>
            <w:pPr>
              <w:pStyle w:val="0"/>
            </w:pPr>
            <w:r>
              <w:rPr>
                <w:sz w:val="24"/>
              </w:rPr>
            </w:r>
          </w:p>
        </w:tc>
        <w:tc>
          <w:tcPr>
            <w:tcW w:w="2948" w:type="dxa"/>
          </w:tcPr>
          <w:p>
            <w:pPr>
              <w:pStyle w:val="0"/>
            </w:pPr>
            <w:r>
              <w:rPr>
                <w:sz w:val="24"/>
              </w:rPr>
              <w:t xml:space="preserve">nfo-dic:KolEdinitsAktiva</w:t>
            </w:r>
          </w:p>
        </w:tc>
      </w:tr>
      <w:tr>
        <w:tc>
          <w:tcPr>
            <w:tcW w:w="907" w:type="dxa"/>
          </w:tcPr>
          <w:p>
            <w:pPr>
              <w:pStyle w:val="0"/>
            </w:pPr>
            <w:r>
              <w:rPr>
                <w:sz w:val="24"/>
              </w:rPr>
              <w:t xml:space="preserve">96.1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96.6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96.7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96.12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97</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97.1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97.6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97.7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97.12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6664" w:name="P6664"/>
          <w:bookmarkEnd w:id="6664"/>
          <w:p>
            <w:pPr>
              <w:pStyle w:val="0"/>
            </w:pPr>
            <w:r>
              <w:rPr>
                <w:sz w:val="24"/>
              </w:rPr>
              <w:t xml:space="preserve">98</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98.1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98.6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98.7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98.12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98.14</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6724" w:name="P6724"/>
          <w:bookmarkEnd w:id="6724"/>
          <w:p>
            <w:pPr>
              <w:pStyle w:val="0"/>
            </w:pPr>
            <w:r>
              <w:rPr>
                <w:sz w:val="24"/>
              </w:rPr>
              <w:t xml:space="preserve">99</w:t>
            </w:r>
          </w:p>
        </w:tc>
        <w:tc>
          <w:tcPr>
            <w:gridSpan w:val="7"/>
            <w:tcW w:w="2608" w:type="dxa"/>
          </w:tcPr>
          <w:p>
            <w:pPr>
              <w:pStyle w:val="0"/>
            </w:pPr>
            <w:r>
              <w:rPr>
                <w:sz w:val="24"/>
              </w:rPr>
              <w:t xml:space="preserve">Котировальный список</w:t>
            </w:r>
          </w:p>
        </w:tc>
        <w:tc>
          <w:tcPr>
            <w:tcW w:w="2608" w:type="dxa"/>
          </w:tcPr>
          <w:p>
            <w:pPr>
              <w:pStyle w:val="0"/>
            </w:pPr>
            <w:r>
              <w:rPr>
                <w:sz w:val="24"/>
              </w:rPr>
            </w:r>
          </w:p>
        </w:tc>
        <w:tc>
          <w:tcPr>
            <w:tcW w:w="2948" w:type="dxa"/>
          </w:tcPr>
          <w:p>
            <w:pPr>
              <w:pStyle w:val="0"/>
            </w:pPr>
            <w:r>
              <w:rPr>
                <w:sz w:val="24"/>
              </w:rPr>
              <w:t xml:space="preserve">nfo-dic:KotSpisok</w:t>
            </w:r>
          </w:p>
        </w:tc>
      </w:tr>
      <w:tr>
        <w:tc>
          <w:tcPr>
            <w:tcW w:w="907" w:type="dxa"/>
          </w:tcPr>
          <w:p>
            <w:pPr>
              <w:pStyle w:val="0"/>
            </w:pPr>
            <w:r>
              <w:rPr>
                <w:sz w:val="24"/>
              </w:rPr>
              <w:t xml:space="preserve">99.1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99.2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99.3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99.4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99.5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99.6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99.7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99.8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99.9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99.10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99.12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99.13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6780" w:name="P6780"/>
          <w:bookmarkEnd w:id="6780"/>
          <w:p>
            <w:pPr>
              <w:pStyle w:val="0"/>
            </w:pPr>
            <w:r>
              <w:rPr>
                <w:sz w:val="24"/>
              </w:rPr>
              <w:t xml:space="preserve">100</w:t>
            </w:r>
          </w:p>
        </w:tc>
        <w:tc>
          <w:tcPr>
            <w:gridSpan w:val="7"/>
            <w:tcW w:w="2608" w:type="dxa"/>
          </w:tcPr>
          <w:p>
            <w:pPr>
              <w:pStyle w:val="0"/>
            </w:pPr>
            <w:r>
              <w:rPr>
                <w:sz w:val="24"/>
              </w:rPr>
              <w:t xml:space="preserve">Наименование организатора торговли на рынке ценных бумаг, в котировальный список которого включена ценная бумага</w:t>
            </w:r>
          </w:p>
        </w:tc>
        <w:tc>
          <w:tcPr>
            <w:tcW w:w="2608" w:type="dxa"/>
          </w:tcPr>
          <w:p>
            <w:pPr>
              <w:pStyle w:val="0"/>
            </w:pPr>
            <w:r>
              <w:rPr>
                <w:sz w:val="24"/>
              </w:rPr>
            </w:r>
          </w:p>
        </w:tc>
        <w:tc>
          <w:tcPr>
            <w:tcW w:w="2948" w:type="dxa"/>
          </w:tcPr>
          <w:p>
            <w:pPr>
              <w:pStyle w:val="0"/>
            </w:pPr>
            <w:r>
              <w:rPr>
                <w:sz w:val="24"/>
              </w:rPr>
              <w:t xml:space="preserve">nfo-dic:NaimOrgTorgCzbKotSpisok</w:t>
            </w:r>
          </w:p>
        </w:tc>
      </w:tr>
      <w:tr>
        <w:tc>
          <w:tcPr>
            <w:tcW w:w="907" w:type="dxa"/>
          </w:tcPr>
          <w:p>
            <w:pPr>
              <w:pStyle w:val="0"/>
            </w:pPr>
            <w:r>
              <w:rPr>
                <w:sz w:val="24"/>
              </w:rPr>
              <w:t xml:space="preserve">100.1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6836" w:name="P6836"/>
          <w:bookmarkEnd w:id="6836"/>
          <w:p>
            <w:pPr>
              <w:pStyle w:val="0"/>
            </w:pPr>
            <w:r>
              <w:rPr>
                <w:sz w:val="24"/>
              </w:rPr>
              <w:t xml:space="preserve">101</w:t>
            </w:r>
          </w:p>
        </w:tc>
        <w:tc>
          <w:tcPr>
            <w:gridSpan w:val="7"/>
            <w:tcW w:w="2608" w:type="dxa"/>
          </w:tcPr>
          <w:p>
            <w:pPr>
              <w:pStyle w:val="0"/>
            </w:pPr>
            <w:r>
              <w:rPr>
                <w:sz w:val="24"/>
              </w:rPr>
              <w:t xml:space="preserve">Ценные бумаги инвестиционных фондов подпадают под исключение, предусмотренное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ins-dic:CzenBumInFondPunkt3112Enumerator</w:t>
            </w:r>
          </w:p>
        </w:tc>
      </w:tr>
      <w:tr>
        <w:tc>
          <w:tcPr>
            <w:tcW w:w="907" w:type="dxa"/>
          </w:tcPr>
          <w:p>
            <w:pPr>
              <w:pStyle w:val="0"/>
            </w:pPr>
            <w:r>
              <w:rPr>
                <w:sz w:val="24"/>
              </w:rPr>
              <w:t xml:space="preserve">101.1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6892" w:name="P6892"/>
          <w:bookmarkEnd w:id="6892"/>
          <w:p>
            <w:pPr>
              <w:pStyle w:val="0"/>
            </w:pPr>
            <w:r>
              <w:rPr>
                <w:sz w:val="24"/>
              </w:rPr>
              <w:t xml:space="preserve">102</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102.1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6948" w:name="P6948"/>
          <w:bookmarkEnd w:id="6948"/>
          <w:p>
            <w:pPr>
              <w:pStyle w:val="0"/>
            </w:pPr>
            <w:r>
              <w:rPr>
                <w:sz w:val="24"/>
              </w:rPr>
              <w:t xml:space="preserve">103</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103.1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004" w:name="P7004"/>
          <w:bookmarkEnd w:id="7004"/>
          <w:p>
            <w:pPr>
              <w:pStyle w:val="0"/>
            </w:pPr>
            <w:r>
              <w:rPr>
                <w:sz w:val="24"/>
              </w:rPr>
              <w:t xml:space="preserve">104</w:t>
            </w:r>
          </w:p>
        </w:tc>
        <w:tc>
          <w:tcPr>
            <w:gridSpan w:val="7"/>
            <w:tcW w:w="2608" w:type="dxa"/>
          </w:tcPr>
          <w:p>
            <w:pPr>
              <w:pStyle w:val="0"/>
            </w:pPr>
            <w:r>
              <w:rPr>
                <w:sz w:val="24"/>
              </w:rPr>
              <w:t xml:space="preserve">Иностранный финансовый инструмент квалифицирован в качестве ценной бумаги</w:t>
            </w:r>
          </w:p>
        </w:tc>
        <w:tc>
          <w:tcPr>
            <w:tcW w:w="2608" w:type="dxa"/>
          </w:tcPr>
          <w:p>
            <w:pPr>
              <w:pStyle w:val="0"/>
            </w:pPr>
            <w:r>
              <w:rPr>
                <w:sz w:val="24"/>
              </w:rPr>
            </w:r>
          </w:p>
        </w:tc>
        <w:tc>
          <w:tcPr>
            <w:tcW w:w="2948" w:type="dxa"/>
          </w:tcPr>
          <w:p>
            <w:pPr>
              <w:pStyle w:val="0"/>
            </w:pPr>
            <w:r>
              <w:rPr>
                <w:sz w:val="24"/>
              </w:rPr>
              <w:t xml:space="preserve">ins-dic:InFinInstrKvalCzBumEnumerator</w:t>
            </w:r>
          </w:p>
        </w:tc>
      </w:tr>
      <w:tr>
        <w:tc>
          <w:tcPr>
            <w:tcW w:w="907" w:type="dxa"/>
          </w:tcPr>
          <w:p>
            <w:pPr>
              <w:pStyle w:val="0"/>
            </w:pPr>
            <w:r>
              <w:rPr>
                <w:sz w:val="24"/>
              </w:rPr>
              <w:t xml:space="preserve">104.1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па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060" w:name="P7060"/>
          <w:bookmarkEnd w:id="7060"/>
          <w:p>
            <w:pPr>
              <w:pStyle w:val="0"/>
            </w:pPr>
            <w:r>
              <w:rPr>
                <w:sz w:val="24"/>
              </w:rPr>
              <w:t xml:space="preserve">105</w:t>
            </w:r>
          </w:p>
        </w:tc>
        <w:tc>
          <w:tcPr>
            <w:gridSpan w:val="7"/>
            <w:tcW w:w="2608" w:type="dxa"/>
          </w:tcPr>
          <w:p>
            <w:pPr>
              <w:pStyle w:val="0"/>
            </w:pPr>
            <w:r>
              <w:rPr>
                <w:sz w:val="24"/>
              </w:rPr>
              <w:t xml:space="preserve">Дата определения стоимости актива</w:t>
            </w:r>
          </w:p>
        </w:tc>
        <w:tc>
          <w:tcPr>
            <w:tcW w:w="2608" w:type="dxa"/>
          </w:tcPr>
          <w:p>
            <w:pPr>
              <w:pStyle w:val="0"/>
            </w:pPr>
            <w:r>
              <w:rPr>
                <w:sz w:val="24"/>
              </w:rPr>
            </w:r>
          </w:p>
        </w:tc>
        <w:tc>
          <w:tcPr>
            <w:tcW w:w="2948" w:type="dxa"/>
          </w:tcPr>
          <w:p>
            <w:pPr>
              <w:pStyle w:val="0"/>
            </w:pPr>
            <w:r>
              <w:rPr>
                <w:sz w:val="24"/>
              </w:rPr>
              <w:t xml:space="preserve">ins-dic:DataOpredeleniyaStoimostiAktiva</w:t>
            </w:r>
          </w:p>
        </w:tc>
      </w:tr>
      <w:tr>
        <w:tc>
          <w:tcPr>
            <w:tcW w:w="907" w:type="dxa"/>
          </w:tcPr>
          <w:p>
            <w:pPr>
              <w:pStyle w:val="0"/>
            </w:pPr>
            <w:r>
              <w:rPr>
                <w:sz w:val="24"/>
              </w:rPr>
              <w:t xml:space="preserve">105.1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116" w:name="P7116"/>
          <w:bookmarkEnd w:id="7116"/>
          <w:p>
            <w:pPr>
              <w:pStyle w:val="0"/>
            </w:pPr>
            <w:r>
              <w:rPr>
                <w:sz w:val="24"/>
              </w:rPr>
              <w:t xml:space="preserve">106</w:t>
            </w:r>
          </w:p>
        </w:tc>
        <w:tc>
          <w:tcPr>
            <w:gridSpan w:val="7"/>
            <w:tcW w:w="2608" w:type="dxa"/>
          </w:tcPr>
          <w:p>
            <w:pPr>
              <w:pStyle w:val="0"/>
            </w:pPr>
            <w:r>
              <w:rPr>
                <w:sz w:val="24"/>
              </w:rPr>
              <w:t xml:space="preserve">Ценные бумаги, переданные без прекращения признания</w:t>
            </w:r>
          </w:p>
        </w:tc>
        <w:tc>
          <w:tcPr>
            <w:tcW w:w="2608" w:type="dxa"/>
          </w:tcPr>
          <w:p>
            <w:pPr>
              <w:pStyle w:val="0"/>
            </w:pPr>
            <w:r>
              <w:rPr>
                <w:sz w:val="24"/>
              </w:rPr>
            </w:r>
          </w:p>
        </w:tc>
        <w:tc>
          <w:tcPr>
            <w:tcW w:w="2948" w:type="dxa"/>
          </w:tcPr>
          <w:p>
            <w:pPr>
              <w:pStyle w:val="0"/>
            </w:pPr>
            <w:r>
              <w:rPr>
                <w:sz w:val="24"/>
              </w:rPr>
              <w:t xml:space="preserve">ins-dic:Czb_Per_Bez_Prekr_Prizn_Enumerator</w:t>
            </w:r>
          </w:p>
        </w:tc>
      </w:tr>
      <w:tr>
        <w:tc>
          <w:tcPr>
            <w:tcW w:w="907" w:type="dxa"/>
          </w:tcPr>
          <w:p>
            <w:pPr>
              <w:pStyle w:val="0"/>
            </w:pPr>
            <w:r>
              <w:rPr>
                <w:sz w:val="24"/>
              </w:rPr>
              <w:t xml:space="preserve">106.1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dim-int:IdDoveriteInogoUpravlyayushhegoTaxis</w:t>
            </w:r>
          </w:p>
        </w:tc>
      </w:tr>
      <w:tr>
        <w:tc>
          <w:tcPr>
            <w:tcW w:w="907" w:type="dxa"/>
          </w:tcPr>
          <w:p>
            <w:pPr>
              <w:pStyle w:val="0"/>
            </w:pPr>
            <w:r>
              <w:rPr>
                <w:sz w:val="24"/>
              </w:rPr>
              <w:t xml:space="preserve">106.5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172" w:name="P7172"/>
          <w:bookmarkEnd w:id="7172"/>
          <w:p>
            <w:pPr>
              <w:pStyle w:val="0"/>
            </w:pPr>
            <w:r>
              <w:rPr>
                <w:sz w:val="24"/>
              </w:rPr>
              <w:t xml:space="preserve">107</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107.1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228" w:name="P7228"/>
          <w:bookmarkEnd w:id="7228"/>
          <w:p>
            <w:pPr>
              <w:pStyle w:val="0"/>
            </w:pPr>
            <w:r>
              <w:rPr>
                <w:sz w:val="24"/>
              </w:rPr>
              <w:t xml:space="preserve">108</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108.1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284" w:name="P7284"/>
          <w:bookmarkEnd w:id="7284"/>
          <w:p>
            <w:pPr>
              <w:pStyle w:val="0"/>
            </w:pPr>
            <w:r>
              <w:rPr>
                <w:sz w:val="24"/>
              </w:rPr>
              <w:t xml:space="preserve">109</w:t>
            </w:r>
          </w:p>
        </w:tc>
        <w:tc>
          <w:tcPr>
            <w:gridSpan w:val="7"/>
            <w:tcW w:w="2608" w:type="dxa"/>
          </w:tcPr>
          <w:p>
            <w:pPr>
              <w:pStyle w:val="0"/>
            </w:pPr>
            <w:r>
              <w:rPr>
                <w:sz w:val="24"/>
              </w:rPr>
              <w:t xml:space="preserve">Влияние риска изменения стоимости акций (увеличение стоимости)</w:t>
            </w:r>
          </w:p>
        </w:tc>
        <w:tc>
          <w:tcPr>
            <w:tcW w:w="2608" w:type="dxa"/>
          </w:tcPr>
          <w:p>
            <w:pPr>
              <w:pStyle w:val="0"/>
            </w:pPr>
            <w:r>
              <w:rPr>
                <w:sz w:val="24"/>
              </w:rPr>
            </w:r>
          </w:p>
        </w:tc>
        <w:tc>
          <w:tcPr>
            <w:tcW w:w="2948" w:type="dxa"/>
          </w:tcPr>
          <w:p>
            <w:pPr>
              <w:pStyle w:val="0"/>
            </w:pPr>
            <w:r>
              <w:rPr>
                <w:sz w:val="24"/>
              </w:rPr>
              <w:t xml:space="preserve">ins-dic:VlRiskIzmStoimAkczUvelichStoim</w:t>
            </w:r>
          </w:p>
        </w:tc>
      </w:tr>
      <w:tr>
        <w:tc>
          <w:tcPr>
            <w:tcW w:w="907" w:type="dxa"/>
          </w:tcPr>
          <w:p>
            <w:pPr>
              <w:pStyle w:val="0"/>
            </w:pPr>
            <w:r>
              <w:rPr>
                <w:sz w:val="24"/>
              </w:rPr>
              <w:t xml:space="preserve">109.1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109.2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109.3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109.4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109.5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109.6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109.7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109.8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109.9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109.10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109.11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109.12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109.13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340" w:name="P7340"/>
          <w:bookmarkEnd w:id="7340"/>
          <w:p>
            <w:pPr>
              <w:pStyle w:val="0"/>
            </w:pPr>
            <w:r>
              <w:rPr>
                <w:sz w:val="24"/>
              </w:rPr>
              <w:t xml:space="preserve">110</w:t>
            </w:r>
          </w:p>
        </w:tc>
        <w:tc>
          <w:tcPr>
            <w:gridSpan w:val="7"/>
            <w:tcW w:w="2608" w:type="dxa"/>
          </w:tcPr>
          <w:p>
            <w:pPr>
              <w:pStyle w:val="0"/>
            </w:pPr>
            <w:r>
              <w:rPr>
                <w:sz w:val="24"/>
              </w:rPr>
              <w:t xml:space="preserve">Влияние риска изменения стоимости акций (снижение стоимости)</w:t>
            </w:r>
          </w:p>
        </w:tc>
        <w:tc>
          <w:tcPr>
            <w:tcW w:w="2608" w:type="dxa"/>
          </w:tcPr>
          <w:p>
            <w:pPr>
              <w:pStyle w:val="0"/>
            </w:pPr>
            <w:r>
              <w:rPr>
                <w:sz w:val="24"/>
              </w:rPr>
            </w:r>
          </w:p>
        </w:tc>
        <w:tc>
          <w:tcPr>
            <w:tcW w:w="2948" w:type="dxa"/>
          </w:tcPr>
          <w:p>
            <w:pPr>
              <w:pStyle w:val="0"/>
            </w:pPr>
            <w:r>
              <w:rPr>
                <w:sz w:val="24"/>
              </w:rPr>
              <w:t xml:space="preserve">ins-dic:VlRiskIzmStoimAkczSnizhStoim</w:t>
            </w:r>
          </w:p>
        </w:tc>
      </w:tr>
      <w:tr>
        <w:tc>
          <w:tcPr>
            <w:tcW w:w="907" w:type="dxa"/>
          </w:tcPr>
          <w:p>
            <w:pPr>
              <w:pStyle w:val="0"/>
            </w:pPr>
            <w:r>
              <w:rPr>
                <w:sz w:val="24"/>
              </w:rPr>
              <w:t xml:space="preserve">110.1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110.12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396" w:name="P7396"/>
          <w:bookmarkEnd w:id="7396"/>
          <w:p>
            <w:pPr>
              <w:pStyle w:val="0"/>
            </w:pPr>
            <w:r>
              <w:rPr>
                <w:sz w:val="24"/>
              </w:rPr>
              <w:t xml:space="preserve">111</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111.1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111.12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452" w:name="P7452"/>
          <w:bookmarkEnd w:id="7452"/>
          <w:p>
            <w:pPr>
              <w:pStyle w:val="0"/>
            </w:pPr>
            <w:r>
              <w:rPr>
                <w:sz w:val="24"/>
              </w:rPr>
              <w:t xml:space="preserve">112</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112.1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112.12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508" w:name="P7508"/>
          <w:bookmarkEnd w:id="7508"/>
          <w:p>
            <w:pPr>
              <w:pStyle w:val="0"/>
            </w:pPr>
            <w:r>
              <w:rPr>
                <w:sz w:val="24"/>
              </w:rPr>
              <w:t xml:space="preserve">113</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113.1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113.12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564" w:name="P7564"/>
          <w:bookmarkEnd w:id="7564"/>
          <w:p>
            <w:pPr>
              <w:pStyle w:val="0"/>
            </w:pPr>
            <w:r>
              <w:rPr>
                <w:sz w:val="24"/>
              </w:rPr>
              <w:t xml:space="preserve">114</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114.1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114.12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620" w:name="P7620"/>
          <w:bookmarkEnd w:id="7620"/>
          <w:p>
            <w:pPr>
              <w:pStyle w:val="0"/>
            </w:pPr>
            <w:r>
              <w:rPr>
                <w:sz w:val="24"/>
              </w:rPr>
              <w:t xml:space="preserve">115</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115.1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115.12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676" w:name="P7676"/>
          <w:bookmarkEnd w:id="7676"/>
          <w:p>
            <w:pPr>
              <w:pStyle w:val="0"/>
            </w:pPr>
            <w:r>
              <w:rPr>
                <w:sz w:val="24"/>
              </w:rPr>
              <w:t xml:space="preserve">116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116.1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116.8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116.12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7732" w:name="P7732"/>
          <w:bookmarkEnd w:id="7732"/>
          <w:p>
            <w:pPr>
              <w:pStyle w:val="0"/>
              <w:outlineLvl w:val="4"/>
            </w:pPr>
            <w:r>
              <w:rPr>
                <w:sz w:val="24"/>
              </w:rPr>
              <w:t xml:space="preserve">Подраздел 2.8.</w:t>
            </w:r>
          </w:p>
        </w:tc>
        <w:tc>
          <w:tcPr>
            <w:gridSpan w:val="6"/>
            <w:tcW w:w="7370" w:type="dxa"/>
            <w:tcBorders>
              <w:right w:val="single" w:sz="4"/>
            </w:tcBorders>
          </w:tcPr>
          <w:p>
            <w:pPr>
              <w:pStyle w:val="0"/>
            </w:pPr>
            <w:r>
              <w:rPr>
                <w:sz w:val="24"/>
              </w:rPr>
              <w:t xml:space="preserve">Паи российских инвестиционных фондов</w:t>
            </w:r>
          </w:p>
        </w:tc>
      </w:tr>
      <w:tr>
        <w:tc>
          <w:tcPr>
            <w:tcW w:w="907" w:type="dxa"/>
          </w:tcPr>
          <w:bookmarkStart w:id="7734" w:name="P7734"/>
          <w:bookmarkEnd w:id="7734"/>
          <w:p>
            <w:pPr>
              <w:pStyle w:val="0"/>
            </w:pPr>
            <w:r>
              <w:rPr>
                <w:sz w:val="24"/>
              </w:rPr>
              <w:t xml:space="preserve">117</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117.1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117.7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117.8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117.9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117.10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117.11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118</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118.1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118.7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118.8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118.9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118.10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118.11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830" w:name="P7830"/>
          <w:bookmarkEnd w:id="7830"/>
          <w:p>
            <w:pPr>
              <w:pStyle w:val="0"/>
            </w:pPr>
            <w:r>
              <w:rPr>
                <w:sz w:val="24"/>
              </w:rPr>
              <w:t xml:space="preserve">119</w:t>
            </w:r>
          </w:p>
        </w:tc>
        <w:tc>
          <w:tcPr>
            <w:gridSpan w:val="7"/>
            <w:tcW w:w="2608" w:type="dxa"/>
          </w:tcPr>
          <w:p>
            <w:pPr>
              <w:pStyle w:val="0"/>
            </w:pPr>
            <w:r>
              <w:rPr>
                <w:sz w:val="24"/>
              </w:rPr>
              <w:t xml:space="preserve">Количество единиц актива</w:t>
            </w:r>
          </w:p>
        </w:tc>
        <w:tc>
          <w:tcPr>
            <w:tcW w:w="2608" w:type="dxa"/>
          </w:tcPr>
          <w:p>
            <w:pPr>
              <w:pStyle w:val="0"/>
            </w:pPr>
            <w:r>
              <w:rPr>
                <w:sz w:val="24"/>
              </w:rPr>
            </w:r>
          </w:p>
        </w:tc>
        <w:tc>
          <w:tcPr>
            <w:tcW w:w="2948" w:type="dxa"/>
          </w:tcPr>
          <w:p>
            <w:pPr>
              <w:pStyle w:val="0"/>
            </w:pPr>
            <w:r>
              <w:rPr>
                <w:sz w:val="24"/>
              </w:rPr>
              <w:t xml:space="preserve">nfo-dic:KolEdinitsAktiva</w:t>
            </w:r>
          </w:p>
        </w:tc>
      </w:tr>
      <w:tr>
        <w:tc>
          <w:tcPr>
            <w:tcW w:w="907" w:type="dxa"/>
          </w:tcPr>
          <w:p>
            <w:pPr>
              <w:pStyle w:val="0"/>
            </w:pPr>
            <w:r>
              <w:rPr>
                <w:sz w:val="24"/>
              </w:rPr>
              <w:t xml:space="preserve">119.1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119.2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119.3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119.4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119.5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119.6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119.7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119.8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119.9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119.10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119.11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120</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120.1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120.7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120.8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120.9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120.10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120.11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926" w:name="P7926"/>
          <w:bookmarkEnd w:id="7926"/>
          <w:p>
            <w:pPr>
              <w:pStyle w:val="0"/>
            </w:pPr>
            <w:r>
              <w:rPr>
                <w:sz w:val="24"/>
              </w:rPr>
              <w:t xml:space="preserve">121</w:t>
            </w:r>
          </w:p>
        </w:tc>
        <w:tc>
          <w:tcPr>
            <w:gridSpan w:val="7"/>
            <w:tcW w:w="2608" w:type="dxa"/>
          </w:tcPr>
          <w:p>
            <w:pPr>
              <w:pStyle w:val="0"/>
            </w:pPr>
            <w:r>
              <w:rPr>
                <w:sz w:val="24"/>
              </w:rPr>
              <w:t xml:space="preserve">Котировальный список</w:t>
            </w:r>
          </w:p>
        </w:tc>
        <w:tc>
          <w:tcPr>
            <w:tcW w:w="2608" w:type="dxa"/>
          </w:tcPr>
          <w:p>
            <w:pPr>
              <w:pStyle w:val="0"/>
            </w:pPr>
            <w:r>
              <w:rPr>
                <w:sz w:val="24"/>
              </w:rPr>
            </w:r>
          </w:p>
        </w:tc>
        <w:tc>
          <w:tcPr>
            <w:tcW w:w="2948" w:type="dxa"/>
          </w:tcPr>
          <w:p>
            <w:pPr>
              <w:pStyle w:val="0"/>
            </w:pPr>
            <w:r>
              <w:rPr>
                <w:sz w:val="24"/>
              </w:rPr>
              <w:t xml:space="preserve">nfo-dic:KotSpisok</w:t>
            </w:r>
          </w:p>
        </w:tc>
      </w:tr>
      <w:tr>
        <w:tc>
          <w:tcPr>
            <w:tcW w:w="907" w:type="dxa"/>
          </w:tcPr>
          <w:p>
            <w:pPr>
              <w:pStyle w:val="0"/>
            </w:pPr>
            <w:r>
              <w:rPr>
                <w:sz w:val="24"/>
              </w:rPr>
              <w:t xml:space="preserve">121.1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dim-int:IdDoveriteInogoUpravlyayushhegoTaxis</w:t>
            </w:r>
          </w:p>
        </w:tc>
      </w:tr>
      <w:tr>
        <w:tc>
          <w:tcPr>
            <w:tcW w:w="907" w:type="dxa"/>
          </w:tcPr>
          <w:p>
            <w:pPr>
              <w:pStyle w:val="0"/>
            </w:pPr>
            <w:r>
              <w:rPr>
                <w:sz w:val="24"/>
              </w:rPr>
              <w:t xml:space="preserve">121.5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121.7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121.8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121.9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121.10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121.11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7974" w:name="P7974"/>
          <w:bookmarkEnd w:id="7974"/>
          <w:p>
            <w:pPr>
              <w:pStyle w:val="0"/>
            </w:pPr>
            <w:r>
              <w:rPr>
                <w:sz w:val="24"/>
              </w:rPr>
              <w:t xml:space="preserve">122</w:t>
            </w:r>
          </w:p>
        </w:tc>
        <w:tc>
          <w:tcPr>
            <w:gridSpan w:val="7"/>
            <w:tcW w:w="2608" w:type="dxa"/>
          </w:tcPr>
          <w:p>
            <w:pPr>
              <w:pStyle w:val="0"/>
            </w:pPr>
            <w:r>
              <w:rPr>
                <w:sz w:val="24"/>
              </w:rPr>
              <w:t xml:space="preserve">Наименование организатора торговли на рынке ценных бумаг, в котировальный список которого включена ценная бумага</w:t>
            </w:r>
          </w:p>
        </w:tc>
        <w:tc>
          <w:tcPr>
            <w:tcW w:w="2608" w:type="dxa"/>
          </w:tcPr>
          <w:p>
            <w:pPr>
              <w:pStyle w:val="0"/>
            </w:pPr>
            <w:r>
              <w:rPr>
                <w:sz w:val="24"/>
              </w:rPr>
            </w:r>
          </w:p>
        </w:tc>
        <w:tc>
          <w:tcPr>
            <w:tcW w:w="2948" w:type="dxa"/>
          </w:tcPr>
          <w:p>
            <w:pPr>
              <w:pStyle w:val="0"/>
            </w:pPr>
            <w:r>
              <w:rPr>
                <w:sz w:val="24"/>
              </w:rPr>
              <w:t xml:space="preserve">nfo-dic:NaimOrgTorgCzbKotSpisok</w:t>
            </w:r>
          </w:p>
        </w:tc>
      </w:tr>
      <w:tr>
        <w:tc>
          <w:tcPr>
            <w:tcW w:w="907" w:type="dxa"/>
          </w:tcPr>
          <w:p>
            <w:pPr>
              <w:pStyle w:val="0"/>
            </w:pPr>
            <w:r>
              <w:rPr>
                <w:sz w:val="24"/>
              </w:rPr>
              <w:t xml:space="preserve">122.1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122.7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122.8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122.9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122.10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122.11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022" w:name="P8022"/>
          <w:bookmarkEnd w:id="8022"/>
          <w:p>
            <w:pPr>
              <w:pStyle w:val="0"/>
            </w:pPr>
            <w:r>
              <w:rPr>
                <w:sz w:val="24"/>
              </w:rPr>
              <w:t xml:space="preserve">123</w:t>
            </w:r>
          </w:p>
        </w:tc>
        <w:tc>
          <w:tcPr>
            <w:gridSpan w:val="7"/>
            <w:tcW w:w="2608" w:type="dxa"/>
          </w:tcPr>
          <w:p>
            <w:pPr>
              <w:pStyle w:val="0"/>
            </w:pPr>
            <w:r>
              <w:rPr>
                <w:sz w:val="24"/>
              </w:rPr>
              <w:t xml:space="preserve">Интервальный паевой инвестиционный фонд подпадает под исключение, предусмотренное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ins-dic:IntervPIFIsklPunkt316Enumerator</w:t>
            </w:r>
          </w:p>
        </w:tc>
      </w:tr>
      <w:tr>
        <w:tc>
          <w:tcPr>
            <w:tcW w:w="907" w:type="dxa"/>
          </w:tcPr>
          <w:p>
            <w:pPr>
              <w:pStyle w:val="0"/>
            </w:pPr>
            <w:r>
              <w:rPr>
                <w:sz w:val="24"/>
              </w:rPr>
              <w:t xml:space="preserve">123.1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123.7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123.8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123.9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123.10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123.11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070" w:name="P8070"/>
          <w:bookmarkEnd w:id="8070"/>
          <w:p>
            <w:pPr>
              <w:pStyle w:val="0"/>
            </w:pPr>
            <w:r>
              <w:rPr>
                <w:sz w:val="24"/>
              </w:rPr>
              <w:t xml:space="preserve">124</w:t>
            </w:r>
          </w:p>
        </w:tc>
        <w:tc>
          <w:tcPr>
            <w:gridSpan w:val="7"/>
            <w:tcW w:w="2608" w:type="dxa"/>
          </w:tcPr>
          <w:p>
            <w:pPr>
              <w:pStyle w:val="0"/>
            </w:pPr>
            <w:r>
              <w:rPr>
                <w:sz w:val="24"/>
              </w:rPr>
              <w:t xml:space="preserve">Ценные бумаги, переданные без прекращения признания</w:t>
            </w:r>
          </w:p>
        </w:tc>
        <w:tc>
          <w:tcPr>
            <w:tcW w:w="2608" w:type="dxa"/>
          </w:tcPr>
          <w:p>
            <w:pPr>
              <w:pStyle w:val="0"/>
            </w:pPr>
            <w:r>
              <w:rPr>
                <w:sz w:val="24"/>
              </w:rPr>
            </w:r>
          </w:p>
        </w:tc>
        <w:tc>
          <w:tcPr>
            <w:tcW w:w="2948" w:type="dxa"/>
          </w:tcPr>
          <w:p>
            <w:pPr>
              <w:pStyle w:val="0"/>
            </w:pPr>
            <w:r>
              <w:rPr>
                <w:sz w:val="24"/>
              </w:rPr>
              <w:t xml:space="preserve">ins-dic:Czb_Per_Bez_Prekr_Prizn_Enumerator</w:t>
            </w:r>
          </w:p>
        </w:tc>
      </w:tr>
      <w:tr>
        <w:tc>
          <w:tcPr>
            <w:tcW w:w="907" w:type="dxa"/>
          </w:tcPr>
          <w:p>
            <w:pPr>
              <w:pStyle w:val="0"/>
            </w:pPr>
            <w:r>
              <w:rPr>
                <w:sz w:val="24"/>
              </w:rPr>
              <w:t xml:space="preserve">124.1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124.7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124.8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124.9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124.10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118" w:name="P8118"/>
          <w:bookmarkEnd w:id="8118"/>
          <w:p>
            <w:pPr>
              <w:pStyle w:val="0"/>
            </w:pPr>
            <w:r>
              <w:rPr>
                <w:sz w:val="24"/>
              </w:rPr>
              <w:t xml:space="preserve">125</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125.1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125.7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125.8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125.9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125.10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125.11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166" w:name="P8166"/>
          <w:bookmarkEnd w:id="8166"/>
          <w:p>
            <w:pPr>
              <w:pStyle w:val="0"/>
            </w:pPr>
            <w:r>
              <w:rPr>
                <w:sz w:val="24"/>
              </w:rPr>
              <w:t xml:space="preserve">126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126.1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126.7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126.8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126.9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126.10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126.11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8214" w:name="P8214"/>
          <w:bookmarkEnd w:id="8214"/>
          <w:p>
            <w:pPr>
              <w:pStyle w:val="0"/>
              <w:outlineLvl w:val="4"/>
            </w:pPr>
            <w:r>
              <w:rPr>
                <w:sz w:val="24"/>
              </w:rPr>
              <w:t xml:space="preserve">Подраздел 2.9.</w:t>
            </w:r>
          </w:p>
        </w:tc>
        <w:tc>
          <w:tcPr>
            <w:gridSpan w:val="6"/>
            <w:tcW w:w="7370" w:type="dxa"/>
            <w:tcBorders>
              <w:right w:val="single" w:sz="4"/>
            </w:tcBorders>
          </w:tcPr>
          <w:p>
            <w:pPr>
              <w:pStyle w:val="0"/>
            </w:pPr>
            <w:r>
              <w:rPr>
                <w:sz w:val="24"/>
              </w:rPr>
              <w:t xml:space="preserve">Облигации</w:t>
            </w:r>
          </w:p>
        </w:tc>
      </w:tr>
      <w:tr>
        <w:tc>
          <w:tcPr>
            <w:tcW w:w="907" w:type="dxa"/>
          </w:tcPr>
          <w:bookmarkStart w:id="8216" w:name="P8216"/>
          <w:bookmarkEnd w:id="8216"/>
          <w:p>
            <w:pPr>
              <w:pStyle w:val="0"/>
            </w:pPr>
            <w:r>
              <w:rPr>
                <w:sz w:val="24"/>
              </w:rPr>
              <w:t xml:space="preserve">127</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127.1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127.8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127.12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272" w:name="P8272"/>
          <w:bookmarkEnd w:id="8272"/>
          <w:p>
            <w:pPr>
              <w:pStyle w:val="0"/>
            </w:pPr>
            <w:r>
              <w:rPr>
                <w:sz w:val="24"/>
              </w:rPr>
              <w:t xml:space="preserve">128</w:t>
            </w:r>
          </w:p>
        </w:tc>
        <w:tc>
          <w:tcPr>
            <w:gridSpan w:val="7"/>
            <w:tcW w:w="2608" w:type="dxa"/>
          </w:tcPr>
          <w:p>
            <w:pPr>
              <w:pStyle w:val="0"/>
            </w:pPr>
            <w:r>
              <w:rPr>
                <w:sz w:val="24"/>
              </w:rPr>
              <w:t xml:space="preserve">Код классификации финансовых инструментов (CFI)</w:t>
            </w:r>
          </w:p>
        </w:tc>
        <w:tc>
          <w:tcPr>
            <w:tcW w:w="2608" w:type="dxa"/>
          </w:tcPr>
          <w:p>
            <w:pPr>
              <w:pStyle w:val="0"/>
            </w:pPr>
            <w:r>
              <w:rPr>
                <w:sz w:val="24"/>
              </w:rPr>
            </w:r>
          </w:p>
        </w:tc>
        <w:tc>
          <w:tcPr>
            <w:tcW w:w="2948" w:type="dxa"/>
          </w:tcPr>
          <w:p>
            <w:pPr>
              <w:pStyle w:val="0"/>
            </w:pPr>
            <w:r>
              <w:rPr>
                <w:sz w:val="24"/>
              </w:rPr>
              <w:t xml:space="preserve">ins-dic:Kod_Klass_Fininst</w:t>
            </w:r>
          </w:p>
        </w:tc>
      </w:tr>
      <w:tr>
        <w:tc>
          <w:tcPr>
            <w:tcW w:w="907" w:type="dxa"/>
          </w:tcPr>
          <w:p>
            <w:pPr>
              <w:pStyle w:val="0"/>
            </w:pPr>
            <w:r>
              <w:rPr>
                <w:sz w:val="24"/>
              </w:rPr>
              <w:t xml:space="preserve">128.1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dim-int:IdentifikatorATaxis</w:t>
            </w:r>
          </w:p>
        </w:tc>
      </w:tr>
      <w:tr>
        <w:tc>
          <w:tcPr>
            <w:tcW w:w="907" w:type="dxa"/>
          </w:tcPr>
          <w:p>
            <w:pPr>
              <w:pStyle w:val="0"/>
            </w:pPr>
            <w:r>
              <w:rPr>
                <w:sz w:val="24"/>
              </w:rPr>
              <w:t xml:space="preserve">128.4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128.8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128.12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128.13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328" w:name="P8328"/>
          <w:bookmarkEnd w:id="8328"/>
          <w:p>
            <w:pPr>
              <w:pStyle w:val="0"/>
            </w:pPr>
            <w:r>
              <w:rPr>
                <w:sz w:val="24"/>
              </w:rPr>
              <w:t xml:space="preserve">129</w:t>
            </w:r>
          </w:p>
        </w:tc>
        <w:tc>
          <w:tcPr>
            <w:gridSpan w:val="7"/>
            <w:tcW w:w="2608" w:type="dxa"/>
          </w:tcPr>
          <w:p>
            <w:pPr>
              <w:pStyle w:val="0"/>
            </w:pPr>
            <w:r>
              <w:rPr>
                <w:sz w:val="24"/>
              </w:rPr>
              <w:t xml:space="preserve">Категория долговых ценных бумаг</w:t>
            </w:r>
          </w:p>
        </w:tc>
        <w:tc>
          <w:tcPr>
            <w:tcW w:w="2608" w:type="dxa"/>
          </w:tcPr>
          <w:p>
            <w:pPr>
              <w:pStyle w:val="0"/>
            </w:pPr>
            <w:r>
              <w:rPr>
                <w:sz w:val="24"/>
              </w:rPr>
            </w:r>
          </w:p>
        </w:tc>
        <w:tc>
          <w:tcPr>
            <w:tcW w:w="2948" w:type="dxa"/>
          </w:tcPr>
          <w:p>
            <w:pPr>
              <w:pStyle w:val="0"/>
            </w:pPr>
            <w:r>
              <w:rPr>
                <w:sz w:val="24"/>
              </w:rPr>
              <w:t xml:space="preserve">ins-dic:KatDolgCzBumEnumerator</w:t>
            </w:r>
          </w:p>
        </w:tc>
      </w:tr>
      <w:tr>
        <w:tc>
          <w:tcPr>
            <w:tcW w:w="907" w:type="dxa"/>
          </w:tcPr>
          <w:p>
            <w:pPr>
              <w:pStyle w:val="0"/>
            </w:pPr>
            <w:r>
              <w:rPr>
                <w:sz w:val="24"/>
              </w:rPr>
              <w:t xml:space="preserve">129.1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129.2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129.3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129.4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129.5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129.6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129.7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129.8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129.9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129.10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129.11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129.12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dim-int:AktivPodlezhSummVSoolvSGl1_710PAxis</w:t>
            </w:r>
          </w:p>
        </w:tc>
      </w:tr>
      <w:tr>
        <w:tc>
          <w:tcPr>
            <w:tcW w:w="907" w:type="dxa"/>
          </w:tcPr>
          <w:p>
            <w:pPr>
              <w:pStyle w:val="0"/>
            </w:pPr>
            <w:r>
              <w:rPr>
                <w:sz w:val="24"/>
              </w:rPr>
              <w:t xml:space="preserve">129.13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384" w:name="P8384"/>
          <w:bookmarkEnd w:id="8384"/>
          <w:p>
            <w:pPr>
              <w:pStyle w:val="0"/>
            </w:pPr>
            <w:r>
              <w:rPr>
                <w:sz w:val="24"/>
              </w:rPr>
              <w:t xml:space="preserve">130</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130.1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440" w:name="P8440"/>
          <w:bookmarkEnd w:id="8440"/>
          <w:p>
            <w:pPr>
              <w:pStyle w:val="0"/>
            </w:pPr>
            <w:r>
              <w:rPr>
                <w:sz w:val="24"/>
              </w:rPr>
              <w:t xml:space="preserve">131</w:t>
            </w:r>
          </w:p>
        </w:tc>
        <w:tc>
          <w:tcPr>
            <w:gridSpan w:val="7"/>
            <w:tcW w:w="2608" w:type="dxa"/>
          </w:tcPr>
          <w:p>
            <w:pPr>
              <w:pStyle w:val="0"/>
            </w:pPr>
            <w:r>
              <w:rPr>
                <w:sz w:val="24"/>
              </w:rPr>
              <w:t xml:space="preserve">Количество единиц актива</w:t>
            </w:r>
          </w:p>
        </w:tc>
        <w:tc>
          <w:tcPr>
            <w:tcW w:w="2608" w:type="dxa"/>
          </w:tcPr>
          <w:p>
            <w:pPr>
              <w:pStyle w:val="0"/>
            </w:pPr>
            <w:r>
              <w:rPr>
                <w:sz w:val="24"/>
              </w:rPr>
            </w:r>
          </w:p>
        </w:tc>
        <w:tc>
          <w:tcPr>
            <w:tcW w:w="2948" w:type="dxa"/>
          </w:tcPr>
          <w:p>
            <w:pPr>
              <w:pStyle w:val="0"/>
            </w:pPr>
            <w:r>
              <w:rPr>
                <w:sz w:val="24"/>
              </w:rPr>
              <w:t xml:space="preserve">nfo-dic:KolEdinitsAktiva</w:t>
            </w:r>
          </w:p>
        </w:tc>
      </w:tr>
      <w:tr>
        <w:tc>
          <w:tcPr>
            <w:tcW w:w="907" w:type="dxa"/>
          </w:tcPr>
          <w:p>
            <w:pPr>
              <w:pStyle w:val="0"/>
            </w:pPr>
            <w:r>
              <w:rPr>
                <w:sz w:val="24"/>
              </w:rPr>
              <w:t xml:space="preserve">131.1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132</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132.1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552" w:name="P8552"/>
          <w:bookmarkEnd w:id="8552"/>
          <w:p>
            <w:pPr>
              <w:pStyle w:val="0"/>
            </w:pPr>
            <w:r>
              <w:rPr>
                <w:sz w:val="24"/>
              </w:rPr>
              <w:t xml:space="preserve">133</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133.1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133.14</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8612" w:name="P8612"/>
          <w:bookmarkEnd w:id="8612"/>
          <w:p>
            <w:pPr>
              <w:pStyle w:val="0"/>
            </w:pPr>
            <w:r>
              <w:rPr>
                <w:sz w:val="24"/>
              </w:rPr>
              <w:t xml:space="preserve">134</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134.1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668" w:name="P8668"/>
          <w:bookmarkEnd w:id="8668"/>
          <w:p>
            <w:pPr>
              <w:pStyle w:val="0"/>
            </w:pPr>
            <w:r>
              <w:rPr>
                <w:sz w:val="24"/>
              </w:rPr>
              <w:t xml:space="preserve">135</w:t>
            </w:r>
          </w:p>
        </w:tc>
        <w:tc>
          <w:tcPr>
            <w:gridSpan w:val="7"/>
            <w:tcW w:w="2608" w:type="dxa"/>
          </w:tcPr>
          <w:p>
            <w:pPr>
              <w:pStyle w:val="0"/>
            </w:pPr>
            <w:r>
              <w:rPr>
                <w:sz w:val="24"/>
              </w:rPr>
              <w:t xml:space="preserve">Субординированный инструмент</w:t>
            </w:r>
          </w:p>
        </w:tc>
        <w:tc>
          <w:tcPr>
            <w:tcW w:w="2608" w:type="dxa"/>
          </w:tcPr>
          <w:p>
            <w:pPr>
              <w:pStyle w:val="0"/>
            </w:pPr>
            <w:r>
              <w:rPr>
                <w:sz w:val="24"/>
              </w:rPr>
            </w:r>
          </w:p>
        </w:tc>
        <w:tc>
          <w:tcPr>
            <w:tcW w:w="2948" w:type="dxa"/>
          </w:tcPr>
          <w:p>
            <w:pPr>
              <w:pStyle w:val="0"/>
            </w:pPr>
            <w:r>
              <w:rPr>
                <w:sz w:val="24"/>
              </w:rPr>
              <w:t xml:space="preserve">ins-dic:SubordInstrEnumerator</w:t>
            </w:r>
          </w:p>
        </w:tc>
      </w:tr>
      <w:tr>
        <w:tc>
          <w:tcPr>
            <w:tcW w:w="907" w:type="dxa"/>
          </w:tcPr>
          <w:p>
            <w:pPr>
              <w:pStyle w:val="0"/>
            </w:pPr>
            <w:r>
              <w:rPr>
                <w:sz w:val="24"/>
              </w:rPr>
              <w:t xml:space="preserve">135.1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724" w:name="P8724"/>
          <w:bookmarkEnd w:id="8724"/>
          <w:p>
            <w:pPr>
              <w:pStyle w:val="0"/>
            </w:pPr>
            <w:r>
              <w:rPr>
                <w:sz w:val="24"/>
              </w:rPr>
              <w:t xml:space="preserve">136</w:t>
            </w:r>
          </w:p>
        </w:tc>
        <w:tc>
          <w:tcPr>
            <w:gridSpan w:val="7"/>
            <w:tcW w:w="2608" w:type="dxa"/>
          </w:tcPr>
          <w:p>
            <w:pPr>
              <w:pStyle w:val="0"/>
            </w:pPr>
            <w:r>
              <w:rPr>
                <w:sz w:val="24"/>
              </w:rPr>
              <w:t xml:space="preserve">Дата приобретения (для субординированного инструмента)</w:t>
            </w:r>
          </w:p>
        </w:tc>
        <w:tc>
          <w:tcPr>
            <w:tcW w:w="2608" w:type="dxa"/>
          </w:tcPr>
          <w:p>
            <w:pPr>
              <w:pStyle w:val="0"/>
            </w:pPr>
            <w:r>
              <w:rPr>
                <w:sz w:val="24"/>
              </w:rPr>
            </w:r>
          </w:p>
        </w:tc>
        <w:tc>
          <w:tcPr>
            <w:tcW w:w="2948" w:type="dxa"/>
          </w:tcPr>
          <w:p>
            <w:pPr>
              <w:pStyle w:val="0"/>
            </w:pPr>
            <w:r>
              <w:rPr>
                <w:sz w:val="24"/>
              </w:rPr>
              <w:t xml:space="preserve">nfo-dic:DataPriobreteniya</w:t>
            </w:r>
          </w:p>
        </w:tc>
      </w:tr>
      <w:tr>
        <w:tc>
          <w:tcPr>
            <w:tcW w:w="907" w:type="dxa"/>
          </w:tcPr>
          <w:p>
            <w:pPr>
              <w:pStyle w:val="0"/>
            </w:pPr>
            <w:r>
              <w:rPr>
                <w:sz w:val="24"/>
              </w:rPr>
              <w:t xml:space="preserve">136.1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780" w:name="P8780"/>
          <w:bookmarkEnd w:id="8780"/>
          <w:p>
            <w:pPr>
              <w:pStyle w:val="0"/>
            </w:pPr>
            <w:r>
              <w:rPr>
                <w:sz w:val="24"/>
              </w:rPr>
              <w:t xml:space="preserve">137</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137.1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836" w:name="P8836"/>
          <w:bookmarkEnd w:id="8836"/>
          <w:p>
            <w:pPr>
              <w:pStyle w:val="0"/>
            </w:pPr>
            <w:r>
              <w:rPr>
                <w:sz w:val="24"/>
              </w:rPr>
              <w:t xml:space="preserve">138</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138.1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dim-int:IDKontragentaTaxis</w:t>
            </w:r>
          </w:p>
        </w:tc>
      </w:tr>
      <w:tr>
        <w:tc>
          <w:tcPr>
            <w:tcW w:w="907" w:type="dxa"/>
          </w:tcPr>
          <w:p>
            <w:pPr>
              <w:pStyle w:val="0"/>
            </w:pPr>
            <w:r>
              <w:rPr>
                <w:sz w:val="24"/>
              </w:rPr>
              <w:t xml:space="preserve">138.3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138.12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892" w:name="P8892"/>
          <w:bookmarkEnd w:id="8892"/>
          <w:p>
            <w:pPr>
              <w:pStyle w:val="0"/>
            </w:pPr>
            <w:r>
              <w:rPr>
                <w:sz w:val="24"/>
              </w:rPr>
              <w:t xml:space="preserve">139</w:t>
            </w:r>
          </w:p>
        </w:tc>
        <w:tc>
          <w:tcPr>
            <w:gridSpan w:val="7"/>
            <w:tcW w:w="2608" w:type="dxa"/>
          </w:tcPr>
          <w:p>
            <w:pPr>
              <w:pStyle w:val="0"/>
            </w:pPr>
            <w:r>
              <w:rPr>
                <w:sz w:val="24"/>
              </w:rPr>
              <w:t xml:space="preserve">Иностранный финансовый инструмент квалифицирован в качестве ценной бумаги</w:t>
            </w:r>
          </w:p>
        </w:tc>
        <w:tc>
          <w:tcPr>
            <w:tcW w:w="2608" w:type="dxa"/>
          </w:tcPr>
          <w:p>
            <w:pPr>
              <w:pStyle w:val="0"/>
            </w:pPr>
            <w:r>
              <w:rPr>
                <w:sz w:val="24"/>
              </w:rPr>
            </w:r>
          </w:p>
        </w:tc>
        <w:tc>
          <w:tcPr>
            <w:tcW w:w="2948" w:type="dxa"/>
          </w:tcPr>
          <w:p>
            <w:pPr>
              <w:pStyle w:val="0"/>
            </w:pPr>
            <w:r>
              <w:rPr>
                <w:sz w:val="24"/>
              </w:rPr>
              <w:t xml:space="preserve">ins-dic:InFinInstrKvalCzBumEnumerator</w:t>
            </w:r>
          </w:p>
        </w:tc>
      </w:tr>
      <w:tr>
        <w:tc>
          <w:tcPr>
            <w:tcW w:w="907" w:type="dxa"/>
          </w:tcPr>
          <w:p>
            <w:pPr>
              <w:pStyle w:val="0"/>
            </w:pPr>
            <w:r>
              <w:rPr>
                <w:sz w:val="24"/>
              </w:rPr>
              <w:t xml:space="preserve">139.1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139.2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139.3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139.4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139.5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139.6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139.7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139.8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139.9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139.10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139.11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dim-int:IDKontragentaPoDogNaProvcdOczenkiTaxis</w:t>
            </w:r>
          </w:p>
        </w:tc>
      </w:tr>
      <w:tr>
        <w:tc>
          <w:tcPr>
            <w:tcW w:w="907" w:type="dxa"/>
          </w:tcPr>
          <w:p>
            <w:pPr>
              <w:pStyle w:val="0"/>
            </w:pPr>
            <w:r>
              <w:rPr>
                <w:sz w:val="24"/>
              </w:rPr>
              <w:t xml:space="preserve">139.12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139.13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8948" w:name="P8948"/>
          <w:bookmarkEnd w:id="8948"/>
          <w:p>
            <w:pPr>
              <w:pStyle w:val="0"/>
            </w:pPr>
            <w:r>
              <w:rPr>
                <w:sz w:val="24"/>
              </w:rPr>
              <w:t xml:space="preserve">140</w:t>
            </w:r>
          </w:p>
        </w:tc>
        <w:tc>
          <w:tcPr>
            <w:gridSpan w:val="7"/>
            <w:tcW w:w="2608" w:type="dxa"/>
          </w:tcPr>
          <w:p>
            <w:pPr>
              <w:pStyle w:val="0"/>
            </w:pPr>
            <w:r>
              <w:rPr>
                <w:sz w:val="24"/>
              </w:rPr>
              <w:t xml:space="preserve">Иностранный финансовый инструмент квалифицирован в качестве ценной бумаги и признан в бухгалтерском учете как производный инструмент</w:t>
            </w:r>
          </w:p>
        </w:tc>
        <w:tc>
          <w:tcPr>
            <w:tcW w:w="2608" w:type="dxa"/>
          </w:tcPr>
          <w:p>
            <w:pPr>
              <w:pStyle w:val="0"/>
            </w:pPr>
            <w:r>
              <w:rPr>
                <w:sz w:val="24"/>
              </w:rPr>
            </w:r>
          </w:p>
        </w:tc>
        <w:tc>
          <w:tcPr>
            <w:tcW w:w="2948" w:type="dxa"/>
          </w:tcPr>
          <w:p>
            <w:pPr>
              <w:pStyle w:val="0"/>
            </w:pPr>
            <w:r>
              <w:rPr>
                <w:sz w:val="24"/>
              </w:rPr>
              <w:t xml:space="preserve">nfo-dic:InFinInstrKvalCzBumIPriznVBUKakProizvodFinInstrumEnumerator</w:t>
            </w:r>
          </w:p>
        </w:tc>
      </w:tr>
      <w:tr>
        <w:tc>
          <w:tcPr>
            <w:tcW w:w="907" w:type="dxa"/>
          </w:tcPr>
          <w:p>
            <w:pPr>
              <w:pStyle w:val="0"/>
            </w:pPr>
            <w:r>
              <w:rPr>
                <w:sz w:val="24"/>
              </w:rPr>
              <w:t xml:space="preserve">140.1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004" w:name="P9004"/>
          <w:bookmarkEnd w:id="9004"/>
          <w:p>
            <w:pPr>
              <w:pStyle w:val="0"/>
            </w:pPr>
            <w:r>
              <w:rPr>
                <w:sz w:val="24"/>
              </w:rPr>
              <w:t xml:space="preserve">141</w:t>
            </w:r>
          </w:p>
        </w:tc>
        <w:tc>
          <w:tcPr>
            <w:gridSpan w:val="7"/>
            <w:tcW w:w="2608" w:type="dxa"/>
          </w:tcPr>
          <w:p>
            <w:pPr>
              <w:pStyle w:val="0"/>
            </w:pPr>
            <w:r>
              <w:rPr>
                <w:sz w:val="24"/>
              </w:rPr>
              <w:t xml:space="preserve">Наличие залога</w:t>
            </w:r>
          </w:p>
        </w:tc>
        <w:tc>
          <w:tcPr>
            <w:tcW w:w="2608" w:type="dxa"/>
          </w:tcPr>
          <w:p>
            <w:pPr>
              <w:pStyle w:val="0"/>
            </w:pPr>
            <w:r>
              <w:rPr>
                <w:sz w:val="24"/>
              </w:rPr>
            </w:r>
          </w:p>
        </w:tc>
        <w:tc>
          <w:tcPr>
            <w:tcW w:w="2948" w:type="dxa"/>
          </w:tcPr>
          <w:p>
            <w:pPr>
              <w:pStyle w:val="0"/>
            </w:pPr>
            <w:r>
              <w:rPr>
                <w:sz w:val="24"/>
              </w:rPr>
              <w:t xml:space="preserve">ins-dic:NalichZalogEnumerator</w:t>
            </w:r>
          </w:p>
        </w:tc>
      </w:tr>
      <w:tr>
        <w:tc>
          <w:tcPr>
            <w:tcW w:w="907" w:type="dxa"/>
          </w:tcPr>
          <w:p>
            <w:pPr>
              <w:pStyle w:val="0"/>
            </w:pPr>
            <w:r>
              <w:rPr>
                <w:sz w:val="24"/>
              </w:rPr>
              <w:t xml:space="preserve">141.1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060" w:name="P9060"/>
          <w:bookmarkEnd w:id="9060"/>
          <w:p>
            <w:pPr>
              <w:pStyle w:val="0"/>
            </w:pPr>
            <w:r>
              <w:rPr>
                <w:sz w:val="24"/>
              </w:rPr>
              <w:t xml:space="preserve">142</w:t>
            </w:r>
          </w:p>
        </w:tc>
        <w:tc>
          <w:tcPr>
            <w:gridSpan w:val="7"/>
            <w:tcW w:w="2608" w:type="dxa"/>
          </w:tcPr>
          <w:p>
            <w:pPr>
              <w:pStyle w:val="0"/>
            </w:pPr>
            <w:r>
              <w:rPr>
                <w:sz w:val="24"/>
              </w:rPr>
              <w:t xml:space="preserve">Номинальная стоимость одной ценной бумаги, в единицах валюты номинала</w:t>
            </w:r>
          </w:p>
        </w:tc>
        <w:tc>
          <w:tcPr>
            <w:tcW w:w="2608" w:type="dxa"/>
          </w:tcPr>
          <w:p>
            <w:pPr>
              <w:pStyle w:val="0"/>
            </w:pPr>
            <w:r>
              <w:rPr>
                <w:sz w:val="24"/>
              </w:rPr>
            </w:r>
          </w:p>
        </w:tc>
        <w:tc>
          <w:tcPr>
            <w:tcW w:w="2948" w:type="dxa"/>
          </w:tcPr>
          <w:p>
            <w:pPr>
              <w:pStyle w:val="0"/>
            </w:pPr>
            <w:r>
              <w:rPr>
                <w:sz w:val="24"/>
              </w:rPr>
              <w:t xml:space="preserve">nfo-dic:NomStOdnCzb</w:t>
            </w:r>
          </w:p>
        </w:tc>
      </w:tr>
      <w:tr>
        <w:tc>
          <w:tcPr>
            <w:tcW w:w="907" w:type="dxa"/>
          </w:tcPr>
          <w:p>
            <w:pPr>
              <w:pStyle w:val="0"/>
            </w:pPr>
            <w:r>
              <w:rPr>
                <w:sz w:val="24"/>
              </w:rPr>
              <w:t xml:space="preserve">142.1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116" w:name="P9116"/>
          <w:bookmarkEnd w:id="9116"/>
          <w:p>
            <w:pPr>
              <w:pStyle w:val="0"/>
            </w:pPr>
            <w:r>
              <w:rPr>
                <w:sz w:val="24"/>
              </w:rPr>
              <w:t xml:space="preserve">143</w:t>
            </w:r>
          </w:p>
        </w:tc>
        <w:tc>
          <w:tcPr>
            <w:gridSpan w:val="7"/>
            <w:tcW w:w="2608" w:type="dxa"/>
          </w:tcPr>
          <w:p>
            <w:pPr>
              <w:pStyle w:val="0"/>
            </w:pPr>
            <w:r>
              <w:rPr>
                <w:sz w:val="24"/>
              </w:rPr>
              <w:t xml:space="preserve">Котировальный список</w:t>
            </w:r>
          </w:p>
        </w:tc>
        <w:tc>
          <w:tcPr>
            <w:tcW w:w="2608" w:type="dxa"/>
          </w:tcPr>
          <w:p>
            <w:pPr>
              <w:pStyle w:val="0"/>
            </w:pPr>
            <w:r>
              <w:rPr>
                <w:sz w:val="24"/>
              </w:rPr>
            </w:r>
          </w:p>
        </w:tc>
        <w:tc>
          <w:tcPr>
            <w:tcW w:w="2948" w:type="dxa"/>
          </w:tcPr>
          <w:p>
            <w:pPr>
              <w:pStyle w:val="0"/>
            </w:pPr>
            <w:r>
              <w:rPr>
                <w:sz w:val="24"/>
              </w:rPr>
              <w:t xml:space="preserve">nfo-dic:KotSpisok</w:t>
            </w:r>
          </w:p>
        </w:tc>
      </w:tr>
      <w:tr>
        <w:tc>
          <w:tcPr>
            <w:tcW w:w="907" w:type="dxa"/>
          </w:tcPr>
          <w:p>
            <w:pPr>
              <w:pStyle w:val="0"/>
            </w:pPr>
            <w:r>
              <w:rPr>
                <w:sz w:val="24"/>
              </w:rPr>
              <w:t xml:space="preserve">143.1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172" w:name="P9172"/>
          <w:bookmarkEnd w:id="9172"/>
          <w:p>
            <w:pPr>
              <w:pStyle w:val="0"/>
            </w:pPr>
            <w:r>
              <w:rPr>
                <w:sz w:val="24"/>
              </w:rPr>
              <w:t xml:space="preserve">144</w:t>
            </w:r>
          </w:p>
        </w:tc>
        <w:tc>
          <w:tcPr>
            <w:gridSpan w:val="7"/>
            <w:tcW w:w="2608" w:type="dxa"/>
          </w:tcPr>
          <w:p>
            <w:pPr>
              <w:pStyle w:val="0"/>
            </w:pPr>
            <w:r>
              <w:rPr>
                <w:sz w:val="24"/>
              </w:rPr>
              <w:t xml:space="preserve">Наименование организатора торговли на рынке ценных бумаг, в котировальный список которого включена ценная бумага</w:t>
            </w:r>
          </w:p>
        </w:tc>
        <w:tc>
          <w:tcPr>
            <w:tcW w:w="2608" w:type="dxa"/>
          </w:tcPr>
          <w:p>
            <w:pPr>
              <w:pStyle w:val="0"/>
            </w:pPr>
            <w:r>
              <w:rPr>
                <w:sz w:val="24"/>
              </w:rPr>
            </w:r>
          </w:p>
        </w:tc>
        <w:tc>
          <w:tcPr>
            <w:tcW w:w="2948" w:type="dxa"/>
          </w:tcPr>
          <w:p>
            <w:pPr>
              <w:pStyle w:val="0"/>
            </w:pPr>
            <w:r>
              <w:rPr>
                <w:sz w:val="24"/>
              </w:rPr>
              <w:t xml:space="preserve">nfo-dic:NaimOrgTorgCzbKotSpisok</w:t>
            </w:r>
          </w:p>
        </w:tc>
      </w:tr>
      <w:tr>
        <w:tc>
          <w:tcPr>
            <w:tcW w:w="907" w:type="dxa"/>
          </w:tcPr>
          <w:p>
            <w:pPr>
              <w:pStyle w:val="0"/>
            </w:pPr>
            <w:r>
              <w:rPr>
                <w:sz w:val="24"/>
              </w:rPr>
              <w:t xml:space="preserve">144.1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228" w:name="P9228"/>
          <w:bookmarkEnd w:id="9228"/>
          <w:p>
            <w:pPr>
              <w:pStyle w:val="0"/>
            </w:pPr>
            <w:r>
              <w:rPr>
                <w:sz w:val="24"/>
              </w:rPr>
              <w:t xml:space="preserve">145</w:t>
            </w:r>
          </w:p>
        </w:tc>
        <w:tc>
          <w:tcPr>
            <w:gridSpan w:val="7"/>
            <w:tcW w:w="2608" w:type="dxa"/>
          </w:tcPr>
          <w:p>
            <w:pPr>
              <w:pStyle w:val="0"/>
            </w:pPr>
            <w:r>
              <w:rPr>
                <w:sz w:val="24"/>
              </w:rPr>
              <w:t xml:space="preserve">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nfo-dic:Procz_Stavka</w:t>
            </w:r>
          </w:p>
        </w:tc>
      </w:tr>
      <w:tr>
        <w:tc>
          <w:tcPr>
            <w:tcW w:w="907" w:type="dxa"/>
          </w:tcPr>
          <w:p>
            <w:pPr>
              <w:pStyle w:val="0"/>
            </w:pPr>
            <w:r>
              <w:rPr>
                <w:sz w:val="24"/>
              </w:rPr>
              <w:t xml:space="preserve">145.1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организаций,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284" w:name="P9284"/>
          <w:bookmarkEnd w:id="9284"/>
          <w:p>
            <w:pPr>
              <w:pStyle w:val="0"/>
            </w:pPr>
            <w:r>
              <w:rPr>
                <w:sz w:val="24"/>
              </w:rPr>
              <w:t xml:space="preserve">146</w:t>
            </w:r>
          </w:p>
        </w:tc>
        <w:tc>
          <w:tcPr>
            <w:gridSpan w:val="7"/>
            <w:tcW w:w="2608" w:type="dxa"/>
          </w:tcPr>
          <w:p>
            <w:pPr>
              <w:pStyle w:val="0"/>
            </w:pPr>
            <w:r>
              <w:rPr>
                <w:sz w:val="24"/>
              </w:rPr>
              <w:t xml:space="preserve">Проектная облигация соответствует требованиям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ins-dic:OblSootUslUkAbPyatnDvVtPp6.5.10.1P6.5PolN781Enumerator</w:t>
            </w:r>
          </w:p>
        </w:tc>
      </w:tr>
      <w:tr>
        <w:tc>
          <w:tcPr>
            <w:tcW w:w="907" w:type="dxa"/>
          </w:tcPr>
          <w:p>
            <w:pPr>
              <w:pStyle w:val="0"/>
            </w:pPr>
            <w:r>
              <w:rPr>
                <w:sz w:val="24"/>
              </w:rPr>
              <w:t xml:space="preserve">146.1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340" w:name="P9340"/>
          <w:bookmarkEnd w:id="9340"/>
          <w:p>
            <w:pPr>
              <w:pStyle w:val="0"/>
            </w:pPr>
            <w:r>
              <w:rPr>
                <w:sz w:val="24"/>
              </w:rPr>
              <w:t xml:space="preserve">147</w:t>
            </w:r>
          </w:p>
        </w:tc>
        <w:tc>
          <w:tcPr>
            <w:gridSpan w:val="7"/>
            <w:tcW w:w="2608" w:type="dxa"/>
          </w:tcPr>
          <w:p>
            <w:pPr>
              <w:pStyle w:val="0"/>
            </w:pPr>
            <w:r>
              <w:rPr>
                <w:sz w:val="24"/>
              </w:rPr>
              <w:t xml:space="preserve">Облигация соответствует требованиям к финансовой устойчивости и платежеспособности страховщиков в отношении кредитного рейтинга</w:t>
            </w:r>
          </w:p>
        </w:tc>
        <w:tc>
          <w:tcPr>
            <w:tcW w:w="2608" w:type="dxa"/>
          </w:tcPr>
          <w:p>
            <w:pPr>
              <w:pStyle w:val="0"/>
            </w:pPr>
            <w:r>
              <w:rPr>
                <w:sz w:val="24"/>
              </w:rPr>
            </w:r>
          </w:p>
        </w:tc>
        <w:tc>
          <w:tcPr>
            <w:tcW w:w="2948" w:type="dxa"/>
          </w:tcPr>
          <w:p>
            <w:pPr>
              <w:pStyle w:val="0"/>
            </w:pPr>
            <w:r>
              <w:rPr>
                <w:sz w:val="24"/>
              </w:rPr>
              <w:t xml:space="preserve">ins-dic:StrukturObligSootvRegTrebKKredRejtinguEnumerator</w:t>
            </w:r>
          </w:p>
        </w:tc>
      </w:tr>
      <w:tr>
        <w:tc>
          <w:tcPr>
            <w:tcW w:w="907" w:type="dxa"/>
          </w:tcPr>
          <w:p>
            <w:pPr>
              <w:pStyle w:val="0"/>
            </w:pPr>
            <w:r>
              <w:rPr>
                <w:sz w:val="24"/>
              </w:rPr>
              <w:t xml:space="preserve">147.1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396" w:name="P9396"/>
          <w:bookmarkEnd w:id="9396"/>
          <w:p>
            <w:pPr>
              <w:pStyle w:val="0"/>
            </w:pPr>
            <w:r>
              <w:rPr>
                <w:sz w:val="24"/>
              </w:rPr>
              <w:t xml:space="preserve">148</w:t>
            </w:r>
          </w:p>
        </w:tc>
        <w:tc>
          <w:tcPr>
            <w:gridSpan w:val="7"/>
            <w:tcW w:w="2608" w:type="dxa"/>
          </w:tcPr>
          <w:p>
            <w:pPr>
              <w:pStyle w:val="0"/>
            </w:pPr>
            <w:r>
              <w:rPr>
                <w:sz w:val="24"/>
              </w:rPr>
              <w:t xml:space="preserve">Облигация соответствует иным требованиям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ins-dic:StruktInstrPunkt37Enumerator</w:t>
            </w:r>
          </w:p>
        </w:tc>
      </w:tr>
      <w:tr>
        <w:tc>
          <w:tcPr>
            <w:tcW w:w="907" w:type="dxa"/>
          </w:tcPr>
          <w:p>
            <w:pPr>
              <w:pStyle w:val="0"/>
            </w:pPr>
            <w:r>
              <w:rPr>
                <w:sz w:val="24"/>
              </w:rPr>
              <w:t xml:space="preserve">148.1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148.13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452" w:name="P9452"/>
          <w:bookmarkEnd w:id="9452"/>
          <w:p>
            <w:pPr>
              <w:pStyle w:val="0"/>
            </w:pPr>
            <w:r>
              <w:rPr>
                <w:sz w:val="24"/>
              </w:rPr>
              <w:t xml:space="preserve">149</w:t>
            </w:r>
          </w:p>
        </w:tc>
        <w:tc>
          <w:tcPr>
            <w:gridSpan w:val="7"/>
            <w:tcW w:w="2608" w:type="dxa"/>
          </w:tcPr>
          <w:p>
            <w:pPr>
              <w:pStyle w:val="0"/>
            </w:pPr>
            <w:r>
              <w:rPr>
                <w:sz w:val="24"/>
              </w:rPr>
              <w:t xml:space="preserve">Стоимость зависит от изменения стоимости аффинированного золота</w:t>
            </w:r>
          </w:p>
        </w:tc>
        <w:tc>
          <w:tcPr>
            <w:tcW w:w="2608" w:type="dxa"/>
          </w:tcPr>
          <w:p>
            <w:pPr>
              <w:pStyle w:val="0"/>
            </w:pPr>
            <w:r>
              <w:rPr>
                <w:sz w:val="24"/>
              </w:rPr>
            </w:r>
          </w:p>
        </w:tc>
        <w:tc>
          <w:tcPr>
            <w:tcW w:w="2948" w:type="dxa"/>
          </w:tcPr>
          <w:p>
            <w:pPr>
              <w:pStyle w:val="0"/>
            </w:pPr>
            <w:r>
              <w:rPr>
                <w:sz w:val="24"/>
              </w:rPr>
              <w:t xml:space="preserve">ins-dic:StoimZavisOtIzmStoimAffZolotaEnumerator</w:t>
            </w:r>
          </w:p>
        </w:tc>
      </w:tr>
      <w:tr>
        <w:tc>
          <w:tcPr>
            <w:tcW w:w="907" w:type="dxa"/>
          </w:tcPr>
          <w:p>
            <w:pPr>
              <w:pStyle w:val="0"/>
            </w:pPr>
            <w:r>
              <w:rPr>
                <w:sz w:val="24"/>
              </w:rPr>
              <w:t xml:space="preserve">149.1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149.2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149.3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149.4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149.5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149.6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149.7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149.8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149.9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149.10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149.11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149.12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dim-int:AktivPodlezhSummVSootvSGI1_710PAxis</w:t>
            </w:r>
          </w:p>
        </w:tc>
      </w:tr>
      <w:tr>
        <w:tc>
          <w:tcPr>
            <w:tcW w:w="907" w:type="dxa"/>
          </w:tcPr>
          <w:p>
            <w:pPr>
              <w:pStyle w:val="0"/>
            </w:pPr>
            <w:r>
              <w:rPr>
                <w:sz w:val="24"/>
              </w:rPr>
              <w:t xml:space="preserve">149.13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508" w:name="P9508"/>
          <w:bookmarkEnd w:id="9508"/>
          <w:p>
            <w:pPr>
              <w:pStyle w:val="0"/>
            </w:pPr>
            <w:r>
              <w:rPr>
                <w:sz w:val="24"/>
              </w:rPr>
              <w:t xml:space="preserve">150</w:t>
            </w:r>
          </w:p>
        </w:tc>
        <w:tc>
          <w:tcPr>
            <w:gridSpan w:val="7"/>
            <w:tcW w:w="2608" w:type="dxa"/>
          </w:tcPr>
          <w:p>
            <w:pPr>
              <w:pStyle w:val="0"/>
            </w:pPr>
            <w:r>
              <w:rPr>
                <w:sz w:val="24"/>
              </w:rPr>
              <w:t xml:space="preserve">Облигации без срока погашения, по которым решение об их выпуске не предусматривает право эмитента отказаться в одностороннем порядке от выплаты процентов по таким облигациям</w:t>
            </w:r>
          </w:p>
        </w:tc>
        <w:tc>
          <w:tcPr>
            <w:tcW w:w="2608" w:type="dxa"/>
          </w:tcPr>
          <w:p>
            <w:pPr>
              <w:pStyle w:val="0"/>
            </w:pPr>
            <w:r>
              <w:rPr>
                <w:sz w:val="24"/>
              </w:rPr>
            </w:r>
          </w:p>
        </w:tc>
        <w:tc>
          <w:tcPr>
            <w:tcW w:w="2948" w:type="dxa"/>
          </w:tcPr>
          <w:p>
            <w:pPr>
              <w:pStyle w:val="0"/>
            </w:pPr>
            <w:r>
              <w:rPr>
                <w:sz w:val="24"/>
              </w:rPr>
              <w:t xml:space="preserve">ins-dic:BessrochObligBezPravaOtkazOtVyplatyEnumerator</w:t>
            </w:r>
          </w:p>
        </w:tc>
      </w:tr>
      <w:tr>
        <w:tc>
          <w:tcPr>
            <w:tcW w:w="907" w:type="dxa"/>
          </w:tcPr>
          <w:p>
            <w:pPr>
              <w:pStyle w:val="0"/>
            </w:pPr>
            <w:r>
              <w:rPr>
                <w:sz w:val="24"/>
              </w:rPr>
              <w:t xml:space="preserve">150.1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564" w:name="P9564"/>
          <w:bookmarkEnd w:id="9564"/>
          <w:p>
            <w:pPr>
              <w:pStyle w:val="0"/>
            </w:pPr>
            <w:r>
              <w:rPr>
                <w:sz w:val="24"/>
              </w:rPr>
              <w:t xml:space="preserve">151</w:t>
            </w:r>
          </w:p>
        </w:tc>
        <w:tc>
          <w:tcPr>
            <w:gridSpan w:val="7"/>
            <w:tcW w:w="2608" w:type="dxa"/>
          </w:tcPr>
          <w:p>
            <w:pPr>
              <w:pStyle w:val="0"/>
            </w:pPr>
            <w:r>
              <w:rPr>
                <w:sz w:val="24"/>
              </w:rPr>
              <w:t xml:space="preserve">Дата определения стоимости актива</w:t>
            </w:r>
          </w:p>
        </w:tc>
        <w:tc>
          <w:tcPr>
            <w:tcW w:w="2608" w:type="dxa"/>
          </w:tcPr>
          <w:p>
            <w:pPr>
              <w:pStyle w:val="0"/>
            </w:pPr>
            <w:r>
              <w:rPr>
                <w:sz w:val="24"/>
              </w:rPr>
            </w:r>
          </w:p>
        </w:tc>
        <w:tc>
          <w:tcPr>
            <w:tcW w:w="2948" w:type="dxa"/>
          </w:tcPr>
          <w:p>
            <w:pPr>
              <w:pStyle w:val="0"/>
            </w:pPr>
            <w:r>
              <w:rPr>
                <w:sz w:val="24"/>
              </w:rPr>
              <w:t xml:space="preserve">ins-dic:DataOpredeleniyaStoimostiAktiva</w:t>
            </w:r>
          </w:p>
        </w:tc>
      </w:tr>
      <w:tr>
        <w:tc>
          <w:tcPr>
            <w:tcW w:w="907" w:type="dxa"/>
          </w:tcPr>
          <w:p>
            <w:pPr>
              <w:pStyle w:val="0"/>
            </w:pPr>
            <w:r>
              <w:rPr>
                <w:sz w:val="24"/>
              </w:rPr>
              <w:t xml:space="preserve">151.1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620" w:name="P9620"/>
          <w:bookmarkEnd w:id="9620"/>
          <w:p>
            <w:pPr>
              <w:pStyle w:val="0"/>
            </w:pPr>
            <w:r>
              <w:rPr>
                <w:sz w:val="24"/>
              </w:rPr>
              <w:t xml:space="preserve">152</w:t>
            </w:r>
          </w:p>
        </w:tc>
        <w:tc>
          <w:tcPr>
            <w:gridSpan w:val="7"/>
            <w:tcW w:w="2608" w:type="dxa"/>
          </w:tcPr>
          <w:p>
            <w:pPr>
              <w:pStyle w:val="0"/>
            </w:pPr>
            <w:r>
              <w:rPr>
                <w:sz w:val="24"/>
              </w:rPr>
              <w:t xml:space="preserve">Ценные бумаги, переданные без прекращения признания</w:t>
            </w:r>
          </w:p>
        </w:tc>
        <w:tc>
          <w:tcPr>
            <w:tcW w:w="2608" w:type="dxa"/>
          </w:tcPr>
          <w:p>
            <w:pPr>
              <w:pStyle w:val="0"/>
            </w:pPr>
            <w:r>
              <w:rPr>
                <w:sz w:val="24"/>
              </w:rPr>
            </w:r>
          </w:p>
        </w:tc>
        <w:tc>
          <w:tcPr>
            <w:tcW w:w="2948" w:type="dxa"/>
          </w:tcPr>
          <w:p>
            <w:pPr>
              <w:pStyle w:val="0"/>
            </w:pPr>
            <w:r>
              <w:rPr>
                <w:sz w:val="24"/>
              </w:rPr>
              <w:t xml:space="preserve">ins-dic:Czb_Per_Bez_Prekr_Prizn_Enumerator</w:t>
            </w:r>
          </w:p>
        </w:tc>
      </w:tr>
      <w:tr>
        <w:tc>
          <w:tcPr>
            <w:tcW w:w="907" w:type="dxa"/>
          </w:tcPr>
          <w:p>
            <w:pPr>
              <w:pStyle w:val="0"/>
            </w:pPr>
            <w:r>
              <w:rPr>
                <w:sz w:val="24"/>
              </w:rPr>
              <w:t xml:space="preserve">152.1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676" w:name="P9676"/>
          <w:bookmarkEnd w:id="9676"/>
          <w:p>
            <w:pPr>
              <w:pStyle w:val="0"/>
            </w:pPr>
            <w:r>
              <w:rPr>
                <w:sz w:val="24"/>
              </w:rPr>
              <w:t xml:space="preserve">153</w:t>
            </w:r>
          </w:p>
        </w:tc>
        <w:tc>
          <w:tcPr>
            <w:gridSpan w:val="7"/>
            <w:tcW w:w="2608" w:type="dxa"/>
          </w:tcPr>
          <w:p>
            <w:pPr>
              <w:pStyle w:val="0"/>
            </w:pPr>
            <w:r>
              <w:rPr>
                <w:sz w:val="24"/>
              </w:rPr>
              <w:t xml:space="preserve">Величина кредитного спреда инструмента m</w:t>
            </w:r>
          </w:p>
        </w:tc>
        <w:tc>
          <w:tcPr>
            <w:tcW w:w="2608" w:type="dxa"/>
          </w:tcPr>
          <w:p>
            <w:pPr>
              <w:pStyle w:val="0"/>
            </w:pPr>
            <w:r>
              <w:rPr>
                <w:sz w:val="24"/>
              </w:rPr>
            </w:r>
          </w:p>
        </w:tc>
        <w:tc>
          <w:tcPr>
            <w:tcW w:w="2948" w:type="dxa"/>
          </w:tcPr>
          <w:p>
            <w:pPr>
              <w:pStyle w:val="0"/>
            </w:pPr>
            <w:r>
              <w:rPr>
                <w:sz w:val="24"/>
              </w:rPr>
              <w:t xml:space="preserve">ins-dic:VelichinaKreditnogoSpredaInstrumentaM</w:t>
            </w:r>
          </w:p>
        </w:tc>
      </w:tr>
      <w:tr>
        <w:tc>
          <w:tcPr>
            <w:tcW w:w="907" w:type="dxa"/>
          </w:tcPr>
          <w:p>
            <w:pPr>
              <w:pStyle w:val="0"/>
            </w:pPr>
            <w:r>
              <w:rPr>
                <w:sz w:val="24"/>
              </w:rPr>
              <w:t xml:space="preserve">153.1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732" w:name="P9732"/>
          <w:bookmarkEnd w:id="9732"/>
          <w:p>
            <w:pPr>
              <w:pStyle w:val="0"/>
            </w:pPr>
            <w:r>
              <w:rPr>
                <w:sz w:val="24"/>
              </w:rPr>
              <w:t xml:space="preserve">154</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154.1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788" w:name="P9788"/>
          <w:bookmarkEnd w:id="9788"/>
          <w:p>
            <w:pPr>
              <w:pStyle w:val="0"/>
            </w:pPr>
            <w:r>
              <w:rPr>
                <w:sz w:val="24"/>
              </w:rPr>
              <w:t xml:space="preserve">155</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155.1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844" w:name="P9844"/>
          <w:bookmarkEnd w:id="9844"/>
          <w:p>
            <w:pPr>
              <w:pStyle w:val="0"/>
            </w:pPr>
            <w:r>
              <w:rPr>
                <w:sz w:val="24"/>
              </w:rPr>
              <w:t xml:space="preserve">156</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156.1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dim-int:IdOrgOsushXranemeCzenBumTaxis</w:t>
            </w:r>
          </w:p>
        </w:tc>
      </w:tr>
      <w:tr>
        <w:tc>
          <w:tcPr>
            <w:tcW w:w="907" w:type="dxa"/>
          </w:tcPr>
          <w:p>
            <w:pPr>
              <w:pStyle w:val="0"/>
            </w:pPr>
            <w:r>
              <w:rPr>
                <w:sz w:val="24"/>
              </w:rPr>
              <w:t xml:space="preserve">156.6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900" w:name="P9900"/>
          <w:bookmarkEnd w:id="9900"/>
          <w:p>
            <w:pPr>
              <w:pStyle w:val="0"/>
            </w:pPr>
            <w:r>
              <w:rPr>
                <w:sz w:val="24"/>
              </w:rPr>
              <w:t xml:space="preserve">157</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157.1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157.9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157.11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157.12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9956" w:name="P9956"/>
          <w:bookmarkEnd w:id="9956"/>
          <w:p>
            <w:pPr>
              <w:pStyle w:val="0"/>
            </w:pPr>
            <w:r>
              <w:rPr>
                <w:sz w:val="24"/>
              </w:rPr>
              <w:t xml:space="preserve">158</w:t>
            </w:r>
          </w:p>
        </w:tc>
        <w:tc>
          <w:tcPr>
            <w:gridSpan w:val="7"/>
            <w:tcW w:w="2608" w:type="dxa"/>
          </w:tcPr>
          <w:p>
            <w:pPr>
              <w:pStyle w:val="0"/>
            </w:pPr>
            <w:r>
              <w:rPr>
                <w:sz w:val="24"/>
              </w:rPr>
              <w:t xml:space="preserve">Влияние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ins-dic:VlRiskIzmKredSpred</w:t>
            </w:r>
          </w:p>
        </w:tc>
      </w:tr>
      <w:tr>
        <w:tc>
          <w:tcPr>
            <w:tcW w:w="907" w:type="dxa"/>
          </w:tcPr>
          <w:p>
            <w:pPr>
              <w:pStyle w:val="0"/>
            </w:pPr>
            <w:r>
              <w:rPr>
                <w:sz w:val="24"/>
              </w:rPr>
              <w:t xml:space="preserve">158.1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158.9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158.11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158.12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012" w:name="P10012"/>
          <w:bookmarkEnd w:id="10012"/>
          <w:p>
            <w:pPr>
              <w:pStyle w:val="0"/>
            </w:pPr>
            <w:r>
              <w:rPr>
                <w:sz w:val="24"/>
              </w:rPr>
              <w:t xml:space="preserve">159</w:t>
            </w:r>
          </w:p>
        </w:tc>
        <w:tc>
          <w:tcPr>
            <w:gridSpan w:val="7"/>
            <w:tcW w:w="2608" w:type="dxa"/>
          </w:tcPr>
          <w:p>
            <w:pPr>
              <w:pStyle w:val="0"/>
            </w:pPr>
            <w:r>
              <w:rPr>
                <w:sz w:val="24"/>
              </w:rPr>
              <w:t xml:space="preserve">Влияние риска изменения стоимости акций (увеличение стоимости)</w:t>
            </w:r>
          </w:p>
        </w:tc>
        <w:tc>
          <w:tcPr>
            <w:tcW w:w="2608" w:type="dxa"/>
          </w:tcPr>
          <w:p>
            <w:pPr>
              <w:pStyle w:val="0"/>
            </w:pPr>
            <w:r>
              <w:rPr>
                <w:sz w:val="24"/>
              </w:rPr>
            </w:r>
          </w:p>
        </w:tc>
        <w:tc>
          <w:tcPr>
            <w:tcW w:w="2948" w:type="dxa"/>
          </w:tcPr>
          <w:p>
            <w:pPr>
              <w:pStyle w:val="0"/>
            </w:pPr>
            <w:r>
              <w:rPr>
                <w:sz w:val="24"/>
              </w:rPr>
              <w:t xml:space="preserve">ins-dic:VlRiskIzmStoimAkczUvelichStoim</w:t>
            </w:r>
          </w:p>
        </w:tc>
      </w:tr>
      <w:tr>
        <w:tc>
          <w:tcPr>
            <w:tcW w:w="907" w:type="dxa"/>
          </w:tcPr>
          <w:p>
            <w:pPr>
              <w:pStyle w:val="0"/>
            </w:pPr>
            <w:r>
              <w:rPr>
                <w:sz w:val="24"/>
              </w:rPr>
              <w:t xml:space="preserve">159.1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159.2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159.3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159.4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159.5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159.6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159.7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159.8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159.9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159.10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159.11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159.12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159.13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068" w:name="P10068"/>
          <w:bookmarkEnd w:id="10068"/>
          <w:p>
            <w:pPr>
              <w:pStyle w:val="0"/>
            </w:pPr>
            <w:r>
              <w:rPr>
                <w:sz w:val="24"/>
              </w:rPr>
              <w:t xml:space="preserve">160</w:t>
            </w:r>
          </w:p>
        </w:tc>
        <w:tc>
          <w:tcPr>
            <w:gridSpan w:val="7"/>
            <w:tcW w:w="2608" w:type="dxa"/>
          </w:tcPr>
          <w:p>
            <w:pPr>
              <w:pStyle w:val="0"/>
            </w:pPr>
            <w:r>
              <w:rPr>
                <w:sz w:val="24"/>
              </w:rPr>
              <w:t xml:space="preserve">Влияние риска изменения стоимости акций (снижение стоимости)</w:t>
            </w:r>
          </w:p>
        </w:tc>
        <w:tc>
          <w:tcPr>
            <w:tcW w:w="2608" w:type="dxa"/>
          </w:tcPr>
          <w:p>
            <w:pPr>
              <w:pStyle w:val="0"/>
            </w:pPr>
            <w:r>
              <w:rPr>
                <w:sz w:val="24"/>
              </w:rPr>
            </w:r>
          </w:p>
        </w:tc>
        <w:tc>
          <w:tcPr>
            <w:tcW w:w="2948" w:type="dxa"/>
          </w:tcPr>
          <w:p>
            <w:pPr>
              <w:pStyle w:val="0"/>
            </w:pPr>
            <w:r>
              <w:rPr>
                <w:sz w:val="24"/>
              </w:rPr>
              <w:t xml:space="preserve">ins-dic:VlRiskIzmStoimAkczSnizhStoim</w:t>
            </w:r>
          </w:p>
        </w:tc>
      </w:tr>
      <w:tr>
        <w:tc>
          <w:tcPr>
            <w:tcW w:w="907" w:type="dxa"/>
          </w:tcPr>
          <w:p>
            <w:pPr>
              <w:pStyle w:val="0"/>
            </w:pPr>
            <w:r>
              <w:rPr>
                <w:sz w:val="24"/>
              </w:rPr>
              <w:t xml:space="preserve">160.1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160.9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160.10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160.11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160.12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124" w:name="P10124"/>
          <w:bookmarkEnd w:id="10124"/>
          <w:p>
            <w:pPr>
              <w:pStyle w:val="0"/>
            </w:pPr>
            <w:r>
              <w:rPr>
                <w:sz w:val="24"/>
              </w:rPr>
              <w:t xml:space="preserve">161</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161.1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161.9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161.11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161.12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180" w:name="P10180"/>
          <w:bookmarkEnd w:id="10180"/>
          <w:p>
            <w:pPr>
              <w:pStyle w:val="0"/>
            </w:pPr>
            <w:r>
              <w:rPr>
                <w:sz w:val="24"/>
              </w:rPr>
              <w:t xml:space="preserve">162</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162.1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162.9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162.11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162.12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236" w:name="P10236"/>
          <w:bookmarkEnd w:id="10236"/>
          <w:p>
            <w:pPr>
              <w:pStyle w:val="0"/>
            </w:pPr>
            <w:r>
              <w:rPr>
                <w:sz w:val="24"/>
              </w:rPr>
              <w:t xml:space="preserve">163</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163.1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dim-int:ID__KontragentaTaxis</w:t>
            </w:r>
          </w:p>
        </w:tc>
      </w:tr>
      <w:tr>
        <w:tc>
          <w:tcPr>
            <w:tcW w:w="907" w:type="dxa"/>
          </w:tcPr>
          <w:p>
            <w:pPr>
              <w:pStyle w:val="0"/>
            </w:pPr>
            <w:r>
              <w:rPr>
                <w:sz w:val="24"/>
              </w:rPr>
              <w:t xml:space="preserve">163.3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163.9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163.11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163.12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292" w:name="P10292"/>
          <w:bookmarkEnd w:id="10292"/>
          <w:p>
            <w:pPr>
              <w:pStyle w:val="0"/>
            </w:pPr>
            <w:r>
              <w:rPr>
                <w:sz w:val="24"/>
              </w:rPr>
              <w:t xml:space="preserve">164</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164.1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164.9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164.12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348" w:name="P10348"/>
          <w:bookmarkEnd w:id="10348"/>
          <w:p>
            <w:pPr>
              <w:pStyle w:val="0"/>
            </w:pPr>
            <w:r>
              <w:rPr>
                <w:sz w:val="24"/>
              </w:rPr>
              <w:t xml:space="preserve">165</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165.1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165.9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165.10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165.11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165.12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0404" w:name="P10404"/>
          <w:bookmarkEnd w:id="10404"/>
          <w:p>
            <w:pPr>
              <w:pStyle w:val="0"/>
            </w:pPr>
            <w:r>
              <w:rPr>
                <w:sz w:val="24"/>
              </w:rPr>
              <w:t xml:space="preserve">166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166.1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dim-int:IdDoveritelnogoUpravIyayushhegoTaxis</w:t>
            </w:r>
          </w:p>
        </w:tc>
      </w:tr>
      <w:tr>
        <w:tc>
          <w:tcPr>
            <w:tcW w:w="907" w:type="dxa"/>
          </w:tcPr>
          <w:p>
            <w:pPr>
              <w:pStyle w:val="0"/>
            </w:pPr>
            <w:r>
              <w:rPr>
                <w:sz w:val="24"/>
              </w:rPr>
              <w:t xml:space="preserve">166.5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166.8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166.9</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166.10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166.11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166.12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166.13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0460" w:name="P10460"/>
          <w:bookmarkEnd w:id="10460"/>
          <w:p>
            <w:pPr>
              <w:pStyle w:val="0"/>
              <w:outlineLvl w:val="5"/>
            </w:pPr>
            <w:r>
              <w:rPr>
                <w:sz w:val="24"/>
              </w:rPr>
              <w:t xml:space="preserve">Подраздел 2.9.1.</w:t>
            </w:r>
          </w:p>
        </w:tc>
        <w:tc>
          <w:tcPr>
            <w:gridSpan w:val="6"/>
            <w:tcW w:w="7370" w:type="dxa"/>
            <w:tcBorders>
              <w:right w:val="single" w:sz="4"/>
            </w:tcBorders>
          </w:tcPr>
          <w:p>
            <w:pPr>
              <w:pStyle w:val="0"/>
              <w:jc w:val="both"/>
            </w:pPr>
            <w:r>
              <w:rPr>
                <w:sz w:val="24"/>
              </w:rPr>
              <w:t xml:space="preserve">Базисные активы по срочной сделке или активы, от которых зависит поток по облигации</w:t>
            </w:r>
          </w:p>
        </w:tc>
      </w:tr>
      <w:tr>
        <w:tc>
          <w:tcPr>
            <w:tcW w:w="907" w:type="dxa"/>
          </w:tcPr>
          <w:bookmarkStart w:id="10462" w:name="P10462"/>
          <w:bookmarkEnd w:id="10462"/>
          <w:p>
            <w:pPr>
              <w:pStyle w:val="0"/>
            </w:pPr>
            <w:r>
              <w:rPr>
                <w:sz w:val="24"/>
              </w:rPr>
              <w:t xml:space="preserve">167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167.1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167.2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167.3</w:t>
            </w:r>
          </w:p>
        </w:tc>
        <w:tc>
          <w:tcPr>
            <w:gridSpan w:val="7"/>
            <w:tcW w:w="2608" w:type="dxa"/>
          </w:tcPr>
          <w:p>
            <w:pPr>
              <w:pStyle w:val="0"/>
            </w:pPr>
            <w:r>
              <w:rPr>
                <w:sz w:val="24"/>
              </w:rPr>
            </w:r>
          </w:p>
        </w:tc>
        <w:tc>
          <w:tcPr>
            <w:tcW w:w="2608" w:type="dxa"/>
          </w:tcPr>
          <w:p>
            <w:pPr>
              <w:pStyle w:val="0"/>
            </w:pPr>
            <w:r>
              <w:rPr>
                <w:sz w:val="24"/>
              </w:rPr>
              <w:t xml:space="preserve">Вид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dim-int:VidBazAktSrSdelZavPotStrOblAxis</w:t>
            </w:r>
          </w:p>
        </w:tc>
      </w:tr>
      <w:tr>
        <w:tc>
          <w:tcPr>
            <w:tcW w:w="907" w:type="dxa"/>
          </w:tcPr>
          <w:p>
            <w:pPr>
              <w:pStyle w:val="0"/>
            </w:pPr>
            <w:r>
              <w:rPr>
                <w:sz w:val="24"/>
              </w:rPr>
              <w:t xml:space="preserve">167.4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базисному активу по срочной сделке или активу, от которого зависит поток по облигации</w:t>
            </w:r>
          </w:p>
        </w:tc>
        <w:tc>
          <w:tcPr>
            <w:tcW w:w="2948" w:type="dxa"/>
          </w:tcPr>
          <w:p>
            <w:pPr>
              <w:pStyle w:val="0"/>
            </w:pPr>
            <w:r>
              <w:rPr>
                <w:sz w:val="24"/>
              </w:rPr>
              <w:t xml:space="preserve">dim-int:IDKtragBazAktStStrOblTaxis</w:t>
            </w:r>
          </w:p>
        </w:tc>
      </w:tr>
      <w:tr>
        <w:tc>
          <w:tcPr>
            <w:tcW w:w="907" w:type="dxa"/>
          </w:tcPr>
          <w:p>
            <w:pPr>
              <w:pStyle w:val="0"/>
            </w:pPr>
            <w:r>
              <w:rPr>
                <w:sz w:val="24"/>
              </w:rPr>
              <w:t xml:space="preserve">167.5</w:t>
            </w:r>
          </w:p>
        </w:tc>
        <w:tc>
          <w:tcPr>
            <w:gridSpan w:val="7"/>
            <w:tcW w:w="2608" w:type="dxa"/>
          </w:tcPr>
          <w:p>
            <w:pPr>
              <w:pStyle w:val="0"/>
            </w:pPr>
            <w:r>
              <w:rPr>
                <w:sz w:val="24"/>
              </w:rPr>
            </w:r>
          </w:p>
        </w:tc>
        <w:tc>
          <w:tcPr>
            <w:tcW w:w="2608" w:type="dxa"/>
          </w:tcPr>
          <w:p>
            <w:pPr>
              <w:pStyle w:val="0"/>
            </w:pPr>
            <w:r>
              <w:rPr>
                <w:sz w:val="24"/>
              </w:rPr>
              <w:t xml:space="preserve">Идентификатор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dim-int:IDBazAktPotStrOblTaxis</w:t>
            </w:r>
          </w:p>
        </w:tc>
      </w:tr>
      <w:tr>
        <w:tc>
          <w:tcPr>
            <w:tcW w:w="907" w:type="dxa"/>
          </w:tcPr>
          <w:p>
            <w:pPr>
              <w:pStyle w:val="0"/>
            </w:pPr>
            <w:r>
              <w:rPr>
                <w:sz w:val="24"/>
              </w:rPr>
              <w:t xml:space="preserve">167.6</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10490" w:name="P10490"/>
          <w:bookmarkEnd w:id="10490"/>
          <w:p>
            <w:pPr>
              <w:pStyle w:val="0"/>
              <w:outlineLvl w:val="4"/>
            </w:pPr>
            <w:r>
              <w:rPr>
                <w:sz w:val="24"/>
              </w:rPr>
              <w:t xml:space="preserve">Подраздел 2.10.</w:t>
            </w:r>
          </w:p>
        </w:tc>
        <w:tc>
          <w:tcPr>
            <w:gridSpan w:val="6"/>
            <w:tcW w:w="7370" w:type="dxa"/>
            <w:tcBorders>
              <w:right w:val="single" w:sz="4"/>
            </w:tcBorders>
          </w:tcPr>
          <w:p>
            <w:pPr>
              <w:pStyle w:val="0"/>
              <w:jc w:val="both"/>
            </w:pPr>
            <w:r>
              <w:rPr>
                <w:sz w:val="24"/>
              </w:rPr>
              <w:t xml:space="preserve">Депозитарные расписки</w:t>
            </w:r>
          </w:p>
        </w:tc>
      </w:tr>
      <w:tr>
        <w:tc>
          <w:tcPr>
            <w:tcW w:w="907" w:type="dxa"/>
          </w:tcPr>
          <w:bookmarkStart w:id="10492" w:name="P10492"/>
          <w:bookmarkEnd w:id="10492"/>
          <w:p>
            <w:pPr>
              <w:pStyle w:val="0"/>
            </w:pPr>
            <w:r>
              <w:rPr>
                <w:sz w:val="24"/>
              </w:rPr>
              <w:t xml:space="preserve">168</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168.1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168.5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168.6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168.7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168.8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168.9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168.10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536" w:name="P10536"/>
          <w:bookmarkEnd w:id="10536"/>
          <w:p>
            <w:pPr>
              <w:pStyle w:val="0"/>
            </w:pPr>
            <w:r>
              <w:rPr>
                <w:sz w:val="24"/>
              </w:rPr>
              <w:t xml:space="preserve">169</w:t>
            </w:r>
          </w:p>
        </w:tc>
        <w:tc>
          <w:tcPr>
            <w:gridSpan w:val="7"/>
            <w:tcW w:w="2608" w:type="dxa"/>
          </w:tcPr>
          <w:p>
            <w:pPr>
              <w:pStyle w:val="0"/>
            </w:pPr>
            <w:r>
              <w:rPr>
                <w:sz w:val="24"/>
              </w:rPr>
              <w:t xml:space="preserve">Код классификации финансовых инструментов (CFI)</w:t>
            </w:r>
          </w:p>
        </w:tc>
        <w:tc>
          <w:tcPr>
            <w:tcW w:w="2608" w:type="dxa"/>
          </w:tcPr>
          <w:p>
            <w:pPr>
              <w:pStyle w:val="0"/>
            </w:pPr>
            <w:r>
              <w:rPr>
                <w:sz w:val="24"/>
              </w:rPr>
            </w:r>
          </w:p>
        </w:tc>
        <w:tc>
          <w:tcPr>
            <w:tcW w:w="2948" w:type="dxa"/>
          </w:tcPr>
          <w:p>
            <w:pPr>
              <w:pStyle w:val="0"/>
            </w:pPr>
            <w:r>
              <w:rPr>
                <w:sz w:val="24"/>
              </w:rPr>
              <w:t xml:space="preserve">ins-dic:Kod_Klass_Fininst</w:t>
            </w:r>
          </w:p>
        </w:tc>
      </w:tr>
      <w:tr>
        <w:tc>
          <w:tcPr>
            <w:tcW w:w="907" w:type="dxa"/>
          </w:tcPr>
          <w:p>
            <w:pPr>
              <w:pStyle w:val="0"/>
            </w:pPr>
            <w:r>
              <w:rPr>
                <w:sz w:val="24"/>
              </w:rPr>
              <w:t xml:space="preserve">169.1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169.2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169.3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169.4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169.5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169.6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169.7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169.8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169.9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169.10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580" w:name="P10580"/>
          <w:bookmarkEnd w:id="10580"/>
          <w:p>
            <w:pPr>
              <w:pStyle w:val="0"/>
            </w:pPr>
            <w:r>
              <w:rPr>
                <w:sz w:val="24"/>
              </w:rPr>
              <w:t xml:space="preserve">170</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170.1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170.5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170.6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170.7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170.8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170.9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170.10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624" w:name="P10624"/>
          <w:bookmarkEnd w:id="10624"/>
          <w:p>
            <w:pPr>
              <w:pStyle w:val="0"/>
            </w:pPr>
            <w:r>
              <w:rPr>
                <w:sz w:val="24"/>
              </w:rPr>
              <w:t xml:space="preserve">171</w:t>
            </w:r>
          </w:p>
        </w:tc>
        <w:tc>
          <w:tcPr>
            <w:gridSpan w:val="7"/>
            <w:tcW w:w="2608" w:type="dxa"/>
          </w:tcPr>
          <w:p>
            <w:pPr>
              <w:pStyle w:val="0"/>
            </w:pPr>
            <w:r>
              <w:rPr>
                <w:sz w:val="24"/>
              </w:rPr>
              <w:t xml:space="preserve">Количество единиц актива</w:t>
            </w:r>
          </w:p>
        </w:tc>
        <w:tc>
          <w:tcPr>
            <w:tcW w:w="2608" w:type="dxa"/>
          </w:tcPr>
          <w:p>
            <w:pPr>
              <w:pStyle w:val="0"/>
            </w:pPr>
            <w:r>
              <w:rPr>
                <w:sz w:val="24"/>
              </w:rPr>
            </w:r>
          </w:p>
        </w:tc>
        <w:tc>
          <w:tcPr>
            <w:tcW w:w="2948" w:type="dxa"/>
          </w:tcPr>
          <w:p>
            <w:pPr>
              <w:pStyle w:val="0"/>
            </w:pPr>
            <w:r>
              <w:rPr>
                <w:sz w:val="24"/>
              </w:rPr>
              <w:t xml:space="preserve">nfo-dic:KolEdinitsAktiva</w:t>
            </w:r>
          </w:p>
        </w:tc>
      </w:tr>
      <w:tr>
        <w:tc>
          <w:tcPr>
            <w:tcW w:w="907" w:type="dxa"/>
          </w:tcPr>
          <w:p>
            <w:pPr>
              <w:pStyle w:val="0"/>
            </w:pPr>
            <w:r>
              <w:rPr>
                <w:sz w:val="24"/>
              </w:rPr>
              <w:t xml:space="preserve">171.1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171.5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171.6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171.7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171.8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171.9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171.10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172</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172.1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172.5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172.6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172.7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172.8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172.9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172.10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712" w:name="P10712"/>
          <w:bookmarkEnd w:id="10712"/>
          <w:p>
            <w:pPr>
              <w:pStyle w:val="0"/>
            </w:pPr>
            <w:r>
              <w:rPr>
                <w:sz w:val="24"/>
              </w:rPr>
              <w:t xml:space="preserve">173</w:t>
            </w:r>
          </w:p>
        </w:tc>
        <w:tc>
          <w:tcPr>
            <w:gridSpan w:val="7"/>
            <w:tcW w:w="2608" w:type="dxa"/>
          </w:tcPr>
          <w:p>
            <w:pPr>
              <w:pStyle w:val="0"/>
            </w:pPr>
            <w:r>
              <w:rPr>
                <w:sz w:val="24"/>
              </w:rPr>
              <w:t xml:space="preserve">Котировальный список</w:t>
            </w:r>
          </w:p>
        </w:tc>
        <w:tc>
          <w:tcPr>
            <w:tcW w:w="2608" w:type="dxa"/>
          </w:tcPr>
          <w:p>
            <w:pPr>
              <w:pStyle w:val="0"/>
            </w:pPr>
            <w:r>
              <w:rPr>
                <w:sz w:val="24"/>
              </w:rPr>
            </w:r>
          </w:p>
        </w:tc>
        <w:tc>
          <w:tcPr>
            <w:tcW w:w="2948" w:type="dxa"/>
          </w:tcPr>
          <w:p>
            <w:pPr>
              <w:pStyle w:val="0"/>
            </w:pPr>
            <w:r>
              <w:rPr>
                <w:sz w:val="24"/>
              </w:rPr>
              <w:t xml:space="preserve">nfo-dic:KotSpisok</w:t>
            </w:r>
          </w:p>
        </w:tc>
      </w:tr>
      <w:tr>
        <w:tc>
          <w:tcPr>
            <w:tcW w:w="907" w:type="dxa"/>
          </w:tcPr>
          <w:p>
            <w:pPr>
              <w:pStyle w:val="0"/>
            </w:pPr>
            <w:r>
              <w:rPr>
                <w:sz w:val="24"/>
              </w:rPr>
              <w:t xml:space="preserve">173.1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173.5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173.6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173.7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173.8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173.9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173.10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756" w:name="P10756"/>
          <w:bookmarkEnd w:id="10756"/>
          <w:p>
            <w:pPr>
              <w:pStyle w:val="0"/>
            </w:pPr>
            <w:r>
              <w:rPr>
                <w:sz w:val="24"/>
              </w:rPr>
              <w:t xml:space="preserve">174</w:t>
            </w:r>
          </w:p>
        </w:tc>
        <w:tc>
          <w:tcPr>
            <w:gridSpan w:val="7"/>
            <w:tcW w:w="2608" w:type="dxa"/>
          </w:tcPr>
          <w:p>
            <w:pPr>
              <w:pStyle w:val="0"/>
            </w:pPr>
            <w:r>
              <w:rPr>
                <w:sz w:val="24"/>
              </w:rPr>
              <w:t xml:space="preserve">Наименование организатора торговли на рынке ценных бумаг, в котировальный список которого включена ценная бумага</w:t>
            </w:r>
          </w:p>
        </w:tc>
        <w:tc>
          <w:tcPr>
            <w:tcW w:w="2608" w:type="dxa"/>
          </w:tcPr>
          <w:p>
            <w:pPr>
              <w:pStyle w:val="0"/>
            </w:pPr>
            <w:r>
              <w:rPr>
                <w:sz w:val="24"/>
              </w:rPr>
            </w:r>
          </w:p>
        </w:tc>
        <w:tc>
          <w:tcPr>
            <w:tcW w:w="2948" w:type="dxa"/>
          </w:tcPr>
          <w:p>
            <w:pPr>
              <w:pStyle w:val="0"/>
            </w:pPr>
            <w:r>
              <w:rPr>
                <w:sz w:val="24"/>
              </w:rPr>
              <w:t xml:space="preserve">nfo-dic:NaimOrgTorgCzbKotSpisok</w:t>
            </w:r>
          </w:p>
        </w:tc>
      </w:tr>
      <w:tr>
        <w:tc>
          <w:tcPr>
            <w:tcW w:w="907" w:type="dxa"/>
          </w:tcPr>
          <w:p>
            <w:pPr>
              <w:pStyle w:val="0"/>
            </w:pPr>
            <w:r>
              <w:rPr>
                <w:sz w:val="24"/>
              </w:rPr>
              <w:t xml:space="preserve">174.1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174.5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174.6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174.7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174.8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174.9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174.10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800" w:name="P10800"/>
          <w:bookmarkEnd w:id="10800"/>
          <w:p>
            <w:pPr>
              <w:pStyle w:val="0"/>
            </w:pPr>
            <w:r>
              <w:rPr>
                <w:sz w:val="24"/>
              </w:rPr>
              <w:t xml:space="preserve">175</w:t>
            </w:r>
          </w:p>
        </w:tc>
        <w:tc>
          <w:tcPr>
            <w:gridSpan w:val="7"/>
            <w:tcW w:w="2608" w:type="dxa"/>
          </w:tcPr>
          <w:p>
            <w:pPr>
              <w:pStyle w:val="0"/>
            </w:pPr>
            <w:r>
              <w:rPr>
                <w:sz w:val="24"/>
              </w:rPr>
              <w:t xml:space="preserve">Ценные бумаги, переданные без прекращения признания</w:t>
            </w:r>
          </w:p>
        </w:tc>
        <w:tc>
          <w:tcPr>
            <w:tcW w:w="2608" w:type="dxa"/>
          </w:tcPr>
          <w:p>
            <w:pPr>
              <w:pStyle w:val="0"/>
            </w:pPr>
            <w:r>
              <w:rPr>
                <w:sz w:val="24"/>
              </w:rPr>
            </w:r>
          </w:p>
        </w:tc>
        <w:tc>
          <w:tcPr>
            <w:tcW w:w="2948" w:type="dxa"/>
          </w:tcPr>
          <w:p>
            <w:pPr>
              <w:pStyle w:val="0"/>
            </w:pPr>
            <w:r>
              <w:rPr>
                <w:sz w:val="24"/>
              </w:rPr>
              <w:t xml:space="preserve">ins-dic:Czb_Per_Bez_Prekr_Prizn_Enumerator</w:t>
            </w:r>
          </w:p>
        </w:tc>
      </w:tr>
      <w:tr>
        <w:tc>
          <w:tcPr>
            <w:tcW w:w="907" w:type="dxa"/>
          </w:tcPr>
          <w:p>
            <w:pPr>
              <w:pStyle w:val="0"/>
            </w:pPr>
            <w:r>
              <w:rPr>
                <w:sz w:val="24"/>
              </w:rPr>
              <w:t xml:space="preserve">175.1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175.5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175.6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175.7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175.8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175.9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175.10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844" w:name="P10844"/>
          <w:bookmarkEnd w:id="10844"/>
          <w:p>
            <w:pPr>
              <w:pStyle w:val="0"/>
            </w:pPr>
            <w:r>
              <w:rPr>
                <w:sz w:val="24"/>
              </w:rPr>
              <w:t xml:space="preserve">176</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176.1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176.5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176.6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176.7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176.8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176.9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176.10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888" w:name="P10888"/>
          <w:bookmarkEnd w:id="10888"/>
          <w:p>
            <w:pPr>
              <w:pStyle w:val="0"/>
            </w:pPr>
            <w:r>
              <w:rPr>
                <w:sz w:val="24"/>
              </w:rPr>
              <w:t xml:space="preserve">177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177.1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177.5</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хранение ценной бумаги</w:t>
            </w:r>
          </w:p>
        </w:tc>
        <w:tc>
          <w:tcPr>
            <w:tcW w:w="2948" w:type="dxa"/>
          </w:tcPr>
          <w:p>
            <w:pPr>
              <w:pStyle w:val="0"/>
            </w:pPr>
            <w:r>
              <w:rPr>
                <w:sz w:val="24"/>
              </w:rPr>
              <w:t xml:space="preserve">dim-int:IdOrgOsushXranenieCzenBumTaxis</w:t>
            </w:r>
          </w:p>
        </w:tc>
      </w:tr>
      <w:tr>
        <w:tc>
          <w:tcPr>
            <w:tcW w:w="907" w:type="dxa"/>
          </w:tcPr>
          <w:p>
            <w:pPr>
              <w:pStyle w:val="0"/>
            </w:pPr>
            <w:r>
              <w:rPr>
                <w:sz w:val="24"/>
              </w:rPr>
              <w:t xml:space="preserve">177.6</w:t>
            </w:r>
          </w:p>
        </w:tc>
        <w:tc>
          <w:tcPr>
            <w:gridSpan w:val="7"/>
            <w:tcW w:w="2608" w:type="dxa"/>
          </w:tcPr>
          <w:p>
            <w:pPr>
              <w:pStyle w:val="0"/>
            </w:pPr>
            <w:r>
              <w:rPr>
                <w:sz w:val="24"/>
              </w:rPr>
            </w:r>
          </w:p>
        </w:tc>
        <w:tc>
          <w:tcPr>
            <w:tcW w:w="2608" w:type="dxa"/>
          </w:tcPr>
          <w:p>
            <w:pPr>
              <w:pStyle w:val="0"/>
            </w:pPr>
            <w:r>
              <w:rPr>
                <w:sz w:val="24"/>
              </w:rPr>
              <w:t xml:space="preserve">Идентификатор организации, осуществляющей учет ценной бумаги</w:t>
            </w:r>
          </w:p>
        </w:tc>
        <w:tc>
          <w:tcPr>
            <w:tcW w:w="2948" w:type="dxa"/>
          </w:tcPr>
          <w:p>
            <w:pPr>
              <w:pStyle w:val="0"/>
            </w:pPr>
            <w:r>
              <w:rPr>
                <w:sz w:val="24"/>
              </w:rPr>
              <w:t xml:space="preserve">dim-int:IdOrgOsushUchetCzenBumTaxis</w:t>
            </w:r>
          </w:p>
        </w:tc>
      </w:tr>
      <w:tr>
        <w:tc>
          <w:tcPr>
            <w:tcW w:w="907" w:type="dxa"/>
          </w:tcPr>
          <w:p>
            <w:pPr>
              <w:pStyle w:val="0"/>
            </w:pPr>
            <w:r>
              <w:rPr>
                <w:sz w:val="24"/>
              </w:rPr>
              <w:t xml:space="preserve">177.7</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177.8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177.9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177.10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blPrEx>
          <w:tblBorders>
            <w:insideV w:val="nil"/>
          </w:tblBorders>
        </w:tblPrEx>
        <w:tc>
          <w:tcPr>
            <w:gridSpan w:val="4"/>
            <w:tcW w:w="1701" w:type="dxa"/>
            <w:tcBorders>
              <w:left w:val="single" w:sz="4"/>
            </w:tcBorders>
          </w:tcPr>
          <w:bookmarkStart w:id="10932" w:name="P10932"/>
          <w:bookmarkEnd w:id="10932"/>
          <w:p>
            <w:pPr>
              <w:pStyle w:val="0"/>
              <w:outlineLvl w:val="4"/>
            </w:pPr>
            <w:r>
              <w:rPr>
                <w:sz w:val="24"/>
              </w:rPr>
              <w:t xml:space="preserve">Подраздел 2.11.</w:t>
            </w:r>
          </w:p>
        </w:tc>
        <w:tc>
          <w:tcPr>
            <w:gridSpan w:val="6"/>
            <w:tcW w:w="7370" w:type="dxa"/>
            <w:tcBorders>
              <w:right w:val="single" w:sz="4"/>
            </w:tcBorders>
          </w:tcPr>
          <w:p>
            <w:pPr>
              <w:pStyle w:val="0"/>
              <w:jc w:val="both"/>
            </w:pPr>
            <w:r>
              <w:rPr>
                <w:sz w:val="24"/>
              </w:rPr>
              <w:t xml:space="preserve">Активы, возникшие в результате заключения страховщиком срочных сделок</w:t>
            </w:r>
          </w:p>
        </w:tc>
      </w:tr>
      <w:tr>
        <w:tc>
          <w:tcPr>
            <w:tcW w:w="907" w:type="dxa"/>
          </w:tcPr>
          <w:bookmarkStart w:id="10934" w:name="P10934"/>
          <w:bookmarkEnd w:id="10934"/>
          <w:p>
            <w:pPr>
              <w:pStyle w:val="0"/>
            </w:pPr>
            <w:r>
              <w:rPr>
                <w:sz w:val="24"/>
              </w:rPr>
              <w:t xml:space="preserve">178</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178.1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178.6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178.7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178.8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0970" w:name="P10970"/>
          <w:bookmarkEnd w:id="10970"/>
          <w:p>
            <w:pPr>
              <w:pStyle w:val="0"/>
            </w:pPr>
            <w:r>
              <w:rPr>
                <w:sz w:val="24"/>
              </w:rPr>
              <w:t xml:space="preserve">179</w:t>
            </w:r>
          </w:p>
        </w:tc>
        <w:tc>
          <w:tcPr>
            <w:gridSpan w:val="7"/>
            <w:tcW w:w="2608" w:type="dxa"/>
          </w:tcPr>
          <w:p>
            <w:pPr>
              <w:pStyle w:val="0"/>
            </w:pPr>
            <w:r>
              <w:rPr>
                <w:sz w:val="24"/>
              </w:rPr>
              <w:t xml:space="preserve">Код классификации финансовых инструментов (CFI)</w:t>
            </w:r>
          </w:p>
        </w:tc>
        <w:tc>
          <w:tcPr>
            <w:tcW w:w="2608" w:type="dxa"/>
          </w:tcPr>
          <w:p>
            <w:pPr>
              <w:pStyle w:val="0"/>
            </w:pPr>
            <w:r>
              <w:rPr>
                <w:sz w:val="24"/>
              </w:rPr>
            </w:r>
          </w:p>
        </w:tc>
        <w:tc>
          <w:tcPr>
            <w:tcW w:w="2948" w:type="dxa"/>
          </w:tcPr>
          <w:p>
            <w:pPr>
              <w:pStyle w:val="0"/>
            </w:pPr>
            <w:r>
              <w:rPr>
                <w:sz w:val="24"/>
              </w:rPr>
              <w:t xml:space="preserve">ins-dic:Kod_Klass_Fininst</w:t>
            </w:r>
          </w:p>
        </w:tc>
      </w:tr>
      <w:tr>
        <w:tc>
          <w:tcPr>
            <w:tcW w:w="907" w:type="dxa"/>
          </w:tcPr>
          <w:p>
            <w:pPr>
              <w:pStyle w:val="0"/>
            </w:pPr>
            <w:r>
              <w:rPr>
                <w:sz w:val="24"/>
              </w:rPr>
              <w:t xml:space="preserve">179.1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179.2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179.3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179.4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179.5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179.6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179.7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179.8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180</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180.1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180.7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181</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181.1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181.7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078" w:name="P11078"/>
          <w:bookmarkEnd w:id="11078"/>
          <w:p>
            <w:pPr>
              <w:pStyle w:val="0"/>
            </w:pPr>
            <w:r>
              <w:rPr>
                <w:sz w:val="24"/>
              </w:rPr>
              <w:t xml:space="preserve">182</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182.1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182.7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182.9</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1118" w:name="P11118"/>
          <w:bookmarkEnd w:id="11118"/>
          <w:p>
            <w:pPr>
              <w:pStyle w:val="0"/>
            </w:pPr>
            <w:r>
              <w:rPr>
                <w:sz w:val="24"/>
              </w:rPr>
              <w:t xml:space="preserve">183</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183.1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183.7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154" w:name="P11154"/>
          <w:bookmarkEnd w:id="11154"/>
          <w:p>
            <w:pPr>
              <w:pStyle w:val="0"/>
            </w:pPr>
            <w:r>
              <w:rPr>
                <w:sz w:val="24"/>
              </w:rPr>
              <w:t xml:space="preserve">184</w:t>
            </w:r>
          </w:p>
        </w:tc>
        <w:tc>
          <w:tcPr>
            <w:gridSpan w:val="7"/>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ins-dic:RiskAktPeredStrlEnumerator</w:t>
            </w:r>
          </w:p>
        </w:tc>
      </w:tr>
      <w:tr>
        <w:tc>
          <w:tcPr>
            <w:tcW w:w="907" w:type="dxa"/>
          </w:tcPr>
          <w:p>
            <w:pPr>
              <w:pStyle w:val="0"/>
            </w:pPr>
            <w:r>
              <w:rPr>
                <w:sz w:val="24"/>
              </w:rPr>
              <w:t xml:space="preserve">184.1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184.7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190" w:name="P11190"/>
          <w:bookmarkEnd w:id="11190"/>
          <w:p>
            <w:pPr>
              <w:pStyle w:val="0"/>
            </w:pPr>
            <w:r>
              <w:rPr>
                <w:sz w:val="24"/>
              </w:rPr>
              <w:t xml:space="preserve">185</w:t>
            </w:r>
          </w:p>
        </w:tc>
        <w:tc>
          <w:tcPr>
            <w:gridSpan w:val="7"/>
            <w:tcW w:w="2608" w:type="dxa"/>
          </w:tcPr>
          <w:p>
            <w:pPr>
              <w:pStyle w:val="0"/>
            </w:pPr>
            <w:r>
              <w:rPr>
                <w:sz w:val="24"/>
              </w:rPr>
              <w:t xml:space="preserve">Вид рынка ценных бумаг, на котором обращается ценная бумага</w:t>
            </w:r>
          </w:p>
        </w:tc>
        <w:tc>
          <w:tcPr>
            <w:tcW w:w="2608" w:type="dxa"/>
          </w:tcPr>
          <w:p>
            <w:pPr>
              <w:pStyle w:val="0"/>
            </w:pPr>
            <w:r>
              <w:rPr>
                <w:sz w:val="24"/>
              </w:rPr>
            </w:r>
          </w:p>
        </w:tc>
        <w:tc>
          <w:tcPr>
            <w:tcW w:w="2948" w:type="dxa"/>
          </w:tcPr>
          <w:p>
            <w:pPr>
              <w:pStyle w:val="0"/>
            </w:pPr>
            <w:r>
              <w:rPr>
                <w:sz w:val="24"/>
              </w:rPr>
              <w:t xml:space="preserve">ins-dic:VidRynkaCBEnumerator</w:t>
            </w:r>
          </w:p>
        </w:tc>
      </w:tr>
      <w:tr>
        <w:tc>
          <w:tcPr>
            <w:tcW w:w="907" w:type="dxa"/>
          </w:tcPr>
          <w:p>
            <w:pPr>
              <w:pStyle w:val="0"/>
            </w:pPr>
            <w:r>
              <w:rPr>
                <w:sz w:val="24"/>
              </w:rPr>
              <w:t xml:space="preserve">185.1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185.7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226" w:name="P11226"/>
          <w:bookmarkEnd w:id="11226"/>
          <w:p>
            <w:pPr>
              <w:pStyle w:val="0"/>
            </w:pPr>
            <w:r>
              <w:rPr>
                <w:sz w:val="24"/>
              </w:rPr>
              <w:t xml:space="preserve">186</w:t>
            </w:r>
          </w:p>
        </w:tc>
        <w:tc>
          <w:tcPr>
            <w:gridSpan w:val="7"/>
            <w:tcW w:w="2608" w:type="dxa"/>
          </w:tcPr>
          <w:p>
            <w:pPr>
              <w:pStyle w:val="0"/>
            </w:pPr>
            <w:r>
              <w:rPr>
                <w:sz w:val="24"/>
              </w:rPr>
              <w:t xml:space="preserve">Вид структурной сделки</w:t>
            </w:r>
          </w:p>
        </w:tc>
        <w:tc>
          <w:tcPr>
            <w:tcW w:w="2608" w:type="dxa"/>
          </w:tcPr>
          <w:p>
            <w:pPr>
              <w:pStyle w:val="0"/>
            </w:pPr>
            <w:r>
              <w:rPr>
                <w:sz w:val="24"/>
              </w:rPr>
            </w:r>
          </w:p>
        </w:tc>
        <w:tc>
          <w:tcPr>
            <w:tcW w:w="2948" w:type="dxa"/>
          </w:tcPr>
          <w:p>
            <w:pPr>
              <w:pStyle w:val="0"/>
            </w:pPr>
            <w:r>
              <w:rPr>
                <w:sz w:val="24"/>
              </w:rPr>
              <w:t xml:space="preserve">ins-dic:VidStrSdelkiEnumerator</w:t>
            </w:r>
          </w:p>
        </w:tc>
      </w:tr>
      <w:tr>
        <w:tc>
          <w:tcPr>
            <w:tcW w:w="907" w:type="dxa"/>
          </w:tcPr>
          <w:p>
            <w:pPr>
              <w:pStyle w:val="0"/>
            </w:pPr>
            <w:r>
              <w:rPr>
                <w:sz w:val="24"/>
              </w:rPr>
              <w:t xml:space="preserve">186.1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186.7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262" w:name="P11262"/>
          <w:bookmarkEnd w:id="11262"/>
          <w:p>
            <w:pPr>
              <w:pStyle w:val="0"/>
            </w:pPr>
            <w:r>
              <w:rPr>
                <w:sz w:val="24"/>
              </w:rPr>
              <w:t xml:space="preserve">187</w:t>
            </w:r>
          </w:p>
        </w:tc>
        <w:tc>
          <w:tcPr>
            <w:gridSpan w:val="7"/>
            <w:tcW w:w="2608" w:type="dxa"/>
          </w:tcPr>
          <w:p>
            <w:pPr>
              <w:pStyle w:val="0"/>
            </w:pPr>
            <w:r>
              <w:rPr>
                <w:sz w:val="24"/>
              </w:rPr>
              <w:t xml:space="preserve">Направление сделки</w:t>
            </w:r>
          </w:p>
        </w:tc>
        <w:tc>
          <w:tcPr>
            <w:tcW w:w="2608" w:type="dxa"/>
          </w:tcPr>
          <w:p>
            <w:pPr>
              <w:pStyle w:val="0"/>
            </w:pPr>
            <w:r>
              <w:rPr>
                <w:sz w:val="24"/>
              </w:rPr>
            </w:r>
          </w:p>
        </w:tc>
        <w:tc>
          <w:tcPr>
            <w:tcW w:w="2948" w:type="dxa"/>
          </w:tcPr>
          <w:p>
            <w:pPr>
              <w:pStyle w:val="0"/>
            </w:pPr>
            <w:r>
              <w:rPr>
                <w:sz w:val="24"/>
              </w:rPr>
              <w:t xml:space="preserve">ins-dic:NaprSdelkiEnumerator</w:t>
            </w:r>
          </w:p>
        </w:tc>
      </w:tr>
      <w:tr>
        <w:tc>
          <w:tcPr>
            <w:tcW w:w="907" w:type="dxa"/>
          </w:tcPr>
          <w:p>
            <w:pPr>
              <w:pStyle w:val="0"/>
            </w:pPr>
            <w:r>
              <w:rPr>
                <w:sz w:val="24"/>
              </w:rPr>
              <w:t xml:space="preserve">187.1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187.7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298" w:name="P11298"/>
          <w:bookmarkEnd w:id="11298"/>
          <w:p>
            <w:pPr>
              <w:pStyle w:val="0"/>
            </w:pPr>
            <w:r>
              <w:rPr>
                <w:sz w:val="24"/>
              </w:rPr>
              <w:t xml:space="preserve">188</w:t>
            </w:r>
          </w:p>
        </w:tc>
        <w:tc>
          <w:tcPr>
            <w:gridSpan w:val="7"/>
            <w:tcW w:w="2608" w:type="dxa"/>
          </w:tcPr>
          <w:p>
            <w:pPr>
              <w:pStyle w:val="0"/>
            </w:pPr>
            <w:r>
              <w:rPr>
                <w:sz w:val="24"/>
              </w:rPr>
              <w:t xml:space="preserve">Описание существенных условий договора (для своп-договора)</w:t>
            </w:r>
          </w:p>
        </w:tc>
        <w:tc>
          <w:tcPr>
            <w:tcW w:w="2608" w:type="dxa"/>
          </w:tcPr>
          <w:p>
            <w:pPr>
              <w:pStyle w:val="0"/>
            </w:pPr>
            <w:r>
              <w:rPr>
                <w:sz w:val="24"/>
              </w:rPr>
            </w:r>
          </w:p>
        </w:tc>
        <w:tc>
          <w:tcPr>
            <w:tcW w:w="2948" w:type="dxa"/>
          </w:tcPr>
          <w:p>
            <w:pPr>
              <w:pStyle w:val="0"/>
            </w:pPr>
            <w:r>
              <w:rPr>
                <w:sz w:val="24"/>
              </w:rPr>
              <w:t xml:space="preserve">ins-dic:SushhUslDog</w:t>
            </w:r>
          </w:p>
        </w:tc>
      </w:tr>
      <w:tr>
        <w:tc>
          <w:tcPr>
            <w:tcW w:w="907" w:type="dxa"/>
          </w:tcPr>
          <w:p>
            <w:pPr>
              <w:pStyle w:val="0"/>
            </w:pPr>
            <w:r>
              <w:rPr>
                <w:sz w:val="24"/>
              </w:rPr>
              <w:t xml:space="preserve">188.1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188.2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188.7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334" w:name="P11334"/>
          <w:bookmarkEnd w:id="11334"/>
          <w:p>
            <w:pPr>
              <w:pStyle w:val="0"/>
            </w:pPr>
            <w:r>
              <w:rPr>
                <w:sz w:val="24"/>
              </w:rPr>
              <w:t xml:space="preserve">189</w:t>
            </w:r>
          </w:p>
        </w:tc>
        <w:tc>
          <w:tcPr>
            <w:gridSpan w:val="7"/>
            <w:tcW w:w="2608" w:type="dxa"/>
          </w:tcPr>
          <w:p>
            <w:pPr>
              <w:pStyle w:val="0"/>
            </w:pPr>
            <w:r>
              <w:rPr>
                <w:sz w:val="24"/>
              </w:rPr>
              <w:t xml:space="preserve">Стоимость зависит от изменения стоимости аффинированного золота</w:t>
            </w:r>
          </w:p>
        </w:tc>
        <w:tc>
          <w:tcPr>
            <w:tcW w:w="2608" w:type="dxa"/>
          </w:tcPr>
          <w:p>
            <w:pPr>
              <w:pStyle w:val="0"/>
            </w:pPr>
            <w:r>
              <w:rPr>
                <w:sz w:val="24"/>
              </w:rPr>
            </w:r>
          </w:p>
        </w:tc>
        <w:tc>
          <w:tcPr>
            <w:tcW w:w="2948" w:type="dxa"/>
          </w:tcPr>
          <w:p>
            <w:pPr>
              <w:pStyle w:val="0"/>
            </w:pPr>
            <w:r>
              <w:rPr>
                <w:sz w:val="24"/>
              </w:rPr>
              <w:t xml:space="preserve">ins-dic:StoimZavisOtIzmStoimAffZolotaEnumerator</w:t>
            </w:r>
          </w:p>
        </w:tc>
      </w:tr>
      <w:tr>
        <w:tblPrEx>
          <w:tblBorders>
            <w:right w:val="nil"/>
          </w:tblBorders>
        </w:tblPrEx>
        <w:tc>
          <w:tcPr>
            <w:tcW w:w="907" w:type="dxa"/>
          </w:tcPr>
          <w:p>
            <w:pPr>
              <w:pStyle w:val="0"/>
            </w:pPr>
            <w:r>
              <w:rPr>
                <w:sz w:val="24"/>
              </w:rPr>
              <w:t xml:space="preserve">189.1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Borders>
              <w:right w:val="nil"/>
            </w:tcBorders>
          </w:tcPr>
          <w:p>
            <w:pPr>
              <w:pStyle w:val="0"/>
            </w:pPr>
            <w:r>
              <w:rPr>
                <w:sz w:val="24"/>
              </w:rPr>
              <w:t xml:space="preserve">dim-int:KlassAktAxis</w:t>
            </w:r>
          </w:p>
        </w:tc>
      </w:tr>
      <w:tr>
        <w:tc>
          <w:tcPr>
            <w:tcW w:w="907" w:type="dxa"/>
          </w:tcPr>
          <w:p>
            <w:pPr>
              <w:pStyle w:val="0"/>
            </w:pPr>
            <w:r>
              <w:rPr>
                <w:sz w:val="24"/>
              </w:rPr>
              <w:t xml:space="preserve">189.2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189.3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189.4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189.5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189.6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189.7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189.8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370" w:name="P11370"/>
          <w:bookmarkEnd w:id="11370"/>
          <w:p>
            <w:pPr>
              <w:pStyle w:val="0"/>
            </w:pPr>
            <w:r>
              <w:rPr>
                <w:sz w:val="24"/>
              </w:rPr>
              <w:t xml:space="preserve">190</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190.1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190.7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406" w:name="P11406"/>
          <w:bookmarkEnd w:id="11406"/>
          <w:p>
            <w:pPr>
              <w:pStyle w:val="0"/>
            </w:pPr>
            <w:r>
              <w:rPr>
                <w:sz w:val="24"/>
              </w:rPr>
              <w:t xml:space="preserve">191</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191.1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191.7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442" w:name="P11442"/>
          <w:bookmarkEnd w:id="11442"/>
          <w:p>
            <w:pPr>
              <w:pStyle w:val="0"/>
            </w:pPr>
            <w:r>
              <w:rPr>
                <w:sz w:val="24"/>
              </w:rPr>
              <w:t xml:space="preserve">192</w:t>
            </w:r>
          </w:p>
        </w:tc>
        <w:tc>
          <w:tcPr>
            <w:gridSpan w:val="7"/>
            <w:tcW w:w="2608" w:type="dxa"/>
          </w:tcPr>
          <w:p>
            <w:pPr>
              <w:pStyle w:val="0"/>
            </w:pPr>
            <w:r>
              <w:rPr>
                <w:sz w:val="24"/>
              </w:rPr>
              <w:t xml:space="preserve">Иностранный финансовый инструмент квалифицирован в качестве ценной бумаги</w:t>
            </w:r>
          </w:p>
        </w:tc>
        <w:tc>
          <w:tcPr>
            <w:tcW w:w="2608" w:type="dxa"/>
          </w:tcPr>
          <w:p>
            <w:pPr>
              <w:pStyle w:val="0"/>
            </w:pPr>
            <w:r>
              <w:rPr>
                <w:sz w:val="24"/>
              </w:rPr>
            </w:r>
          </w:p>
        </w:tc>
        <w:tc>
          <w:tcPr>
            <w:tcW w:w="2948" w:type="dxa"/>
          </w:tcPr>
          <w:p>
            <w:pPr>
              <w:pStyle w:val="0"/>
            </w:pPr>
            <w:r>
              <w:rPr>
                <w:sz w:val="24"/>
              </w:rPr>
              <w:t xml:space="preserve">ins-dic:InFinInstrKvalCzBumEnumerator</w:t>
            </w:r>
          </w:p>
        </w:tc>
      </w:tr>
      <w:tr>
        <w:tc>
          <w:tcPr>
            <w:tcW w:w="907" w:type="dxa"/>
          </w:tcPr>
          <w:p>
            <w:pPr>
              <w:pStyle w:val="0"/>
            </w:pPr>
            <w:r>
              <w:rPr>
                <w:sz w:val="24"/>
              </w:rPr>
              <w:t xml:space="preserve">192.1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192.7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478" w:name="P11478"/>
          <w:bookmarkEnd w:id="11478"/>
          <w:p>
            <w:pPr>
              <w:pStyle w:val="0"/>
            </w:pPr>
            <w:r>
              <w:rPr>
                <w:sz w:val="24"/>
              </w:rPr>
              <w:t xml:space="preserve">193</w:t>
            </w:r>
          </w:p>
        </w:tc>
        <w:tc>
          <w:tcPr>
            <w:gridSpan w:val="7"/>
            <w:tcW w:w="2608" w:type="dxa"/>
          </w:tcPr>
          <w:p>
            <w:pPr>
              <w:pStyle w:val="0"/>
            </w:pPr>
            <w:r>
              <w:rPr>
                <w:sz w:val="24"/>
              </w:rPr>
              <w:t xml:space="preserve">Суммарная справедливая стоимость лотов</w:t>
            </w:r>
          </w:p>
        </w:tc>
        <w:tc>
          <w:tcPr>
            <w:tcW w:w="2608" w:type="dxa"/>
          </w:tcPr>
          <w:p>
            <w:pPr>
              <w:pStyle w:val="0"/>
            </w:pPr>
            <w:r>
              <w:rPr>
                <w:sz w:val="24"/>
              </w:rPr>
            </w:r>
          </w:p>
        </w:tc>
        <w:tc>
          <w:tcPr>
            <w:tcW w:w="2948" w:type="dxa"/>
          </w:tcPr>
          <w:p>
            <w:pPr>
              <w:pStyle w:val="0"/>
            </w:pPr>
            <w:r>
              <w:rPr>
                <w:sz w:val="24"/>
              </w:rPr>
              <w:t xml:space="preserve">ins-dic:SummSprStoimLot</w:t>
            </w:r>
          </w:p>
        </w:tc>
      </w:tr>
      <w:tr>
        <w:tc>
          <w:tcPr>
            <w:tcW w:w="907" w:type="dxa"/>
          </w:tcPr>
          <w:p>
            <w:pPr>
              <w:pStyle w:val="0"/>
            </w:pPr>
            <w:r>
              <w:rPr>
                <w:sz w:val="24"/>
              </w:rPr>
              <w:t xml:space="preserve">193.1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193.7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514" w:name="P11514"/>
          <w:bookmarkEnd w:id="11514"/>
          <w:p>
            <w:pPr>
              <w:pStyle w:val="0"/>
            </w:pPr>
            <w:r>
              <w:rPr>
                <w:sz w:val="24"/>
              </w:rPr>
              <w:t xml:space="preserve">194</w:t>
            </w:r>
          </w:p>
        </w:tc>
        <w:tc>
          <w:tcPr>
            <w:gridSpan w:val="7"/>
            <w:tcW w:w="2608" w:type="dxa"/>
          </w:tcPr>
          <w:p>
            <w:pPr>
              <w:pStyle w:val="0"/>
            </w:pPr>
            <w:r>
              <w:rPr>
                <w:sz w:val="24"/>
              </w:rPr>
              <w:t xml:space="preserve">Дата определения стоимости актива</w:t>
            </w:r>
          </w:p>
        </w:tc>
        <w:tc>
          <w:tcPr>
            <w:tcW w:w="2608" w:type="dxa"/>
          </w:tcPr>
          <w:p>
            <w:pPr>
              <w:pStyle w:val="0"/>
            </w:pPr>
            <w:r>
              <w:rPr>
                <w:sz w:val="24"/>
              </w:rPr>
            </w:r>
          </w:p>
        </w:tc>
        <w:tc>
          <w:tcPr>
            <w:tcW w:w="2948" w:type="dxa"/>
          </w:tcPr>
          <w:p>
            <w:pPr>
              <w:pStyle w:val="0"/>
            </w:pPr>
            <w:r>
              <w:rPr>
                <w:sz w:val="24"/>
              </w:rPr>
              <w:t xml:space="preserve">ins-dic:DataOpredeleniyaStoimostiAktiva</w:t>
            </w:r>
          </w:p>
        </w:tc>
      </w:tr>
      <w:tr>
        <w:tc>
          <w:tcPr>
            <w:tcW w:w="907" w:type="dxa"/>
          </w:tcPr>
          <w:p>
            <w:pPr>
              <w:pStyle w:val="0"/>
            </w:pPr>
            <w:r>
              <w:rPr>
                <w:sz w:val="24"/>
              </w:rPr>
              <w:t xml:space="preserve">194.1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194.7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550" w:name="P11550"/>
          <w:bookmarkEnd w:id="11550"/>
          <w:p>
            <w:pPr>
              <w:pStyle w:val="0"/>
            </w:pPr>
            <w:r>
              <w:rPr>
                <w:sz w:val="24"/>
              </w:rPr>
              <w:t xml:space="preserve">195</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195.1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195.7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586" w:name="P11586"/>
          <w:bookmarkEnd w:id="11586"/>
          <w:p>
            <w:pPr>
              <w:pStyle w:val="0"/>
            </w:pPr>
            <w:r>
              <w:rPr>
                <w:sz w:val="24"/>
              </w:rPr>
              <w:t xml:space="preserve">196</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196.1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196.7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622" w:name="P11622"/>
          <w:bookmarkEnd w:id="11622"/>
          <w:p>
            <w:pPr>
              <w:pStyle w:val="0"/>
            </w:pPr>
            <w:r>
              <w:rPr>
                <w:sz w:val="24"/>
              </w:rPr>
              <w:t xml:space="preserve">197</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197.1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197.7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658" w:name="P11658"/>
          <w:bookmarkEnd w:id="11658"/>
          <w:p>
            <w:pPr>
              <w:pStyle w:val="0"/>
            </w:pPr>
            <w:r>
              <w:rPr>
                <w:sz w:val="24"/>
              </w:rPr>
              <w:t xml:space="preserve">198</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198.1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198.7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694" w:name="P11694"/>
          <w:bookmarkEnd w:id="11694"/>
          <w:p>
            <w:pPr>
              <w:pStyle w:val="0"/>
            </w:pPr>
            <w:r>
              <w:rPr>
                <w:sz w:val="24"/>
              </w:rPr>
              <w:t xml:space="preserve">199</w:t>
            </w:r>
          </w:p>
        </w:tc>
        <w:tc>
          <w:tcPr>
            <w:gridSpan w:val="7"/>
            <w:tcW w:w="2608" w:type="dxa"/>
          </w:tcPr>
          <w:p>
            <w:pPr>
              <w:pStyle w:val="0"/>
            </w:pPr>
            <w:r>
              <w:rPr>
                <w:sz w:val="24"/>
              </w:rPr>
              <w:t xml:space="preserve">Влияние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ins-dic:VlRiskIzmKredSpred</w:t>
            </w:r>
          </w:p>
        </w:tc>
      </w:tr>
      <w:tr>
        <w:tc>
          <w:tcPr>
            <w:tcW w:w="907" w:type="dxa"/>
          </w:tcPr>
          <w:p>
            <w:pPr>
              <w:pStyle w:val="0"/>
            </w:pPr>
            <w:r>
              <w:rPr>
                <w:sz w:val="24"/>
              </w:rPr>
              <w:t xml:space="preserve">199.1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199.2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199.3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199.4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199.5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199.6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199.7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199.8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730" w:name="P11730"/>
          <w:bookmarkEnd w:id="11730"/>
          <w:p>
            <w:pPr>
              <w:pStyle w:val="0"/>
            </w:pPr>
            <w:r>
              <w:rPr>
                <w:sz w:val="24"/>
              </w:rPr>
              <w:t xml:space="preserve">200</w:t>
            </w:r>
          </w:p>
        </w:tc>
        <w:tc>
          <w:tcPr>
            <w:gridSpan w:val="7"/>
            <w:tcW w:w="2608" w:type="dxa"/>
          </w:tcPr>
          <w:p>
            <w:pPr>
              <w:pStyle w:val="0"/>
            </w:pPr>
            <w:r>
              <w:rPr>
                <w:sz w:val="24"/>
              </w:rPr>
              <w:t xml:space="preserve">Влияние риска изменения стоимости акций (увеличение стоимости)</w:t>
            </w:r>
          </w:p>
        </w:tc>
        <w:tc>
          <w:tcPr>
            <w:tcW w:w="2608" w:type="dxa"/>
          </w:tcPr>
          <w:p>
            <w:pPr>
              <w:pStyle w:val="0"/>
            </w:pPr>
            <w:r>
              <w:rPr>
                <w:sz w:val="24"/>
              </w:rPr>
            </w:r>
          </w:p>
        </w:tc>
        <w:tc>
          <w:tcPr>
            <w:tcW w:w="2948" w:type="dxa"/>
          </w:tcPr>
          <w:p>
            <w:pPr>
              <w:pStyle w:val="0"/>
            </w:pPr>
            <w:r>
              <w:rPr>
                <w:sz w:val="24"/>
              </w:rPr>
              <w:t xml:space="preserve">ins-dic:VlRiskIzmStoimAkczUvelichStoim</w:t>
            </w:r>
          </w:p>
        </w:tc>
      </w:tr>
      <w:tr>
        <w:tc>
          <w:tcPr>
            <w:tcW w:w="907" w:type="dxa"/>
          </w:tcPr>
          <w:p>
            <w:pPr>
              <w:pStyle w:val="0"/>
            </w:pPr>
            <w:r>
              <w:rPr>
                <w:sz w:val="24"/>
              </w:rPr>
              <w:t xml:space="preserve">200.1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200.7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766" w:name="P11766"/>
          <w:bookmarkEnd w:id="11766"/>
          <w:p>
            <w:pPr>
              <w:pStyle w:val="0"/>
            </w:pPr>
            <w:r>
              <w:rPr>
                <w:sz w:val="24"/>
              </w:rPr>
              <w:t xml:space="preserve">201</w:t>
            </w:r>
          </w:p>
        </w:tc>
        <w:tc>
          <w:tcPr>
            <w:gridSpan w:val="7"/>
            <w:tcW w:w="2608" w:type="dxa"/>
          </w:tcPr>
          <w:p>
            <w:pPr>
              <w:pStyle w:val="0"/>
            </w:pPr>
            <w:r>
              <w:rPr>
                <w:sz w:val="24"/>
              </w:rPr>
              <w:t xml:space="preserve">Влияние риска изменения стоимости акций (снижение стоимости)</w:t>
            </w:r>
          </w:p>
        </w:tc>
        <w:tc>
          <w:tcPr>
            <w:tcW w:w="2608" w:type="dxa"/>
          </w:tcPr>
          <w:p>
            <w:pPr>
              <w:pStyle w:val="0"/>
            </w:pPr>
            <w:r>
              <w:rPr>
                <w:sz w:val="24"/>
              </w:rPr>
            </w:r>
          </w:p>
        </w:tc>
        <w:tc>
          <w:tcPr>
            <w:tcW w:w="2948" w:type="dxa"/>
          </w:tcPr>
          <w:p>
            <w:pPr>
              <w:pStyle w:val="0"/>
            </w:pPr>
            <w:r>
              <w:rPr>
                <w:sz w:val="24"/>
              </w:rPr>
              <w:t xml:space="preserve">ins-dic:VlRiskIzmStoimAkczSnizhStoim</w:t>
            </w:r>
          </w:p>
        </w:tc>
      </w:tr>
      <w:tr>
        <w:tc>
          <w:tcPr>
            <w:tcW w:w="907" w:type="dxa"/>
          </w:tcPr>
          <w:p>
            <w:pPr>
              <w:pStyle w:val="0"/>
            </w:pPr>
            <w:r>
              <w:rPr>
                <w:sz w:val="24"/>
              </w:rPr>
              <w:t xml:space="preserve">201.1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201.7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802" w:name="P11802"/>
          <w:bookmarkEnd w:id="11802"/>
          <w:p>
            <w:pPr>
              <w:pStyle w:val="0"/>
            </w:pPr>
            <w:r>
              <w:rPr>
                <w:sz w:val="24"/>
              </w:rPr>
              <w:t xml:space="preserve">202</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202.1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dim-int:ID__KontragentaTaxis</w:t>
            </w:r>
          </w:p>
        </w:tc>
      </w:tr>
      <w:tr>
        <w:tc>
          <w:tcPr>
            <w:tcW w:w="907" w:type="dxa"/>
          </w:tcPr>
          <w:p>
            <w:pPr>
              <w:pStyle w:val="0"/>
            </w:pPr>
            <w:r>
              <w:rPr>
                <w:sz w:val="24"/>
              </w:rPr>
              <w:t xml:space="preserve">202.3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202.7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838" w:name="P11838"/>
          <w:bookmarkEnd w:id="11838"/>
          <w:p>
            <w:pPr>
              <w:pStyle w:val="0"/>
            </w:pPr>
            <w:r>
              <w:rPr>
                <w:sz w:val="24"/>
              </w:rPr>
              <w:t xml:space="preserve">203</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203.1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203.7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874" w:name="P11874"/>
          <w:bookmarkEnd w:id="11874"/>
          <w:p>
            <w:pPr>
              <w:pStyle w:val="0"/>
            </w:pPr>
            <w:r>
              <w:rPr>
                <w:sz w:val="24"/>
              </w:rPr>
              <w:t xml:space="preserve">204</w:t>
            </w:r>
          </w:p>
        </w:tc>
        <w:tc>
          <w:tcPr>
            <w:gridSpan w:val="7"/>
            <w:tcW w:w="2608" w:type="dxa"/>
          </w:tcPr>
          <w:p>
            <w:pPr>
              <w:pStyle w:val="0"/>
            </w:pPr>
            <w:r>
              <w:rPr>
                <w:sz w:val="24"/>
              </w:rPr>
              <w:t xml:space="preserve">Влияние риска изменения цен на недвижимость</w:t>
            </w:r>
          </w:p>
        </w:tc>
        <w:tc>
          <w:tcPr>
            <w:tcW w:w="2608" w:type="dxa"/>
          </w:tcPr>
          <w:p>
            <w:pPr>
              <w:pStyle w:val="0"/>
            </w:pPr>
            <w:r>
              <w:rPr>
                <w:sz w:val="24"/>
              </w:rPr>
            </w:r>
          </w:p>
        </w:tc>
        <w:tc>
          <w:tcPr>
            <w:tcW w:w="2948" w:type="dxa"/>
          </w:tcPr>
          <w:p>
            <w:pPr>
              <w:pStyle w:val="0"/>
            </w:pPr>
            <w:r>
              <w:rPr>
                <w:sz w:val="24"/>
              </w:rPr>
              <w:t xml:space="preserve">ins-dic:VlRiskIzmCzenNedv</w:t>
            </w:r>
          </w:p>
        </w:tc>
      </w:tr>
      <w:tr>
        <w:tc>
          <w:tcPr>
            <w:tcW w:w="907" w:type="dxa"/>
          </w:tcPr>
          <w:p>
            <w:pPr>
              <w:pStyle w:val="0"/>
            </w:pPr>
            <w:r>
              <w:rPr>
                <w:sz w:val="24"/>
              </w:rPr>
              <w:t xml:space="preserve">204.1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204.7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910" w:name="P11910"/>
          <w:bookmarkEnd w:id="11910"/>
          <w:p>
            <w:pPr>
              <w:pStyle w:val="0"/>
            </w:pPr>
            <w:r>
              <w:rPr>
                <w:sz w:val="24"/>
              </w:rPr>
              <w:t xml:space="preserve">205</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205.1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205.7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946" w:name="P11946"/>
          <w:bookmarkEnd w:id="11946"/>
          <w:p>
            <w:pPr>
              <w:pStyle w:val="0"/>
            </w:pPr>
            <w:r>
              <w:rPr>
                <w:sz w:val="24"/>
              </w:rPr>
              <w:t xml:space="preserve">206</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206.1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206.7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1982" w:name="P11982"/>
          <w:bookmarkEnd w:id="11982"/>
          <w:p>
            <w:pPr>
              <w:pStyle w:val="0"/>
            </w:pPr>
            <w:r>
              <w:rPr>
                <w:sz w:val="24"/>
              </w:rPr>
              <w:t xml:space="preserve">207</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207.1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207.7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12018" w:name="P12018"/>
          <w:bookmarkEnd w:id="12018"/>
          <w:p>
            <w:pPr>
              <w:pStyle w:val="0"/>
            </w:pPr>
            <w:r>
              <w:rPr>
                <w:sz w:val="24"/>
              </w:rPr>
              <w:t xml:space="preserve">208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208.1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208.3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208.5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208.6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208.7</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208.8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blPrEx>
          <w:tblBorders>
            <w:insideV w:val="nil"/>
          </w:tblBorders>
        </w:tblPrEx>
        <w:tc>
          <w:tcPr>
            <w:gridSpan w:val="5"/>
            <w:tcW w:w="1835" w:type="dxa"/>
            <w:tcBorders>
              <w:left w:val="single" w:sz="4"/>
            </w:tcBorders>
          </w:tcPr>
          <w:bookmarkStart w:id="12054" w:name="P12054"/>
          <w:bookmarkEnd w:id="12054"/>
          <w:p>
            <w:pPr>
              <w:pStyle w:val="0"/>
              <w:outlineLvl w:val="5"/>
            </w:pPr>
            <w:r>
              <w:rPr>
                <w:sz w:val="24"/>
              </w:rPr>
              <w:t xml:space="preserve">Подраздел 2.11.1.</w:t>
            </w:r>
          </w:p>
        </w:tc>
        <w:tc>
          <w:tcPr>
            <w:gridSpan w:val="5"/>
            <w:tcW w:w="7236" w:type="dxa"/>
            <w:tcBorders>
              <w:right w:val="single" w:sz="4"/>
            </w:tcBorders>
          </w:tcPr>
          <w:p>
            <w:pPr>
              <w:pStyle w:val="0"/>
              <w:jc w:val="both"/>
            </w:pPr>
            <w:r>
              <w:rPr>
                <w:sz w:val="24"/>
              </w:rPr>
              <w:t xml:space="preserve">Базисные активы по срочной сделке или активы, от которых зависит поток по облигации</w:t>
            </w:r>
          </w:p>
        </w:tc>
      </w:tr>
      <w:tr>
        <w:tc>
          <w:tcPr>
            <w:tcW w:w="907" w:type="dxa"/>
          </w:tcPr>
          <w:bookmarkStart w:id="12056" w:name="P12056"/>
          <w:bookmarkEnd w:id="12056"/>
          <w:p>
            <w:pPr>
              <w:pStyle w:val="0"/>
            </w:pPr>
            <w:r>
              <w:rPr>
                <w:sz w:val="24"/>
              </w:rPr>
              <w:t xml:space="preserve">209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209.1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209.2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209.3</w:t>
            </w:r>
          </w:p>
        </w:tc>
        <w:tc>
          <w:tcPr>
            <w:gridSpan w:val="7"/>
            <w:tcW w:w="2608" w:type="dxa"/>
          </w:tcPr>
          <w:p>
            <w:pPr>
              <w:pStyle w:val="0"/>
            </w:pPr>
            <w:r>
              <w:rPr>
                <w:sz w:val="24"/>
              </w:rPr>
            </w:r>
          </w:p>
        </w:tc>
        <w:tc>
          <w:tcPr>
            <w:tcW w:w="2608" w:type="dxa"/>
          </w:tcPr>
          <w:p>
            <w:pPr>
              <w:pStyle w:val="0"/>
            </w:pPr>
            <w:r>
              <w:rPr>
                <w:sz w:val="24"/>
              </w:rPr>
              <w:t xml:space="preserve">Вид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dim-int:VidBazAktSrSdelZavPotStrOblAxis</w:t>
            </w:r>
          </w:p>
        </w:tc>
      </w:tr>
      <w:tr>
        <w:tc>
          <w:tcPr>
            <w:tcW w:w="907" w:type="dxa"/>
          </w:tcPr>
          <w:p>
            <w:pPr>
              <w:pStyle w:val="0"/>
            </w:pPr>
            <w:r>
              <w:rPr>
                <w:sz w:val="24"/>
              </w:rPr>
              <w:t xml:space="preserve">209.4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базисному активу по срочной сделке или активу, от которого зависит поток по облигации</w:t>
            </w:r>
          </w:p>
        </w:tc>
        <w:tc>
          <w:tcPr>
            <w:tcW w:w="2948" w:type="dxa"/>
          </w:tcPr>
          <w:p>
            <w:pPr>
              <w:pStyle w:val="0"/>
            </w:pPr>
            <w:r>
              <w:rPr>
                <w:sz w:val="24"/>
              </w:rPr>
              <w:t xml:space="preserve">dim-int:IDKtragBazAktStStrOblTaxis</w:t>
            </w:r>
          </w:p>
        </w:tc>
      </w:tr>
      <w:tr>
        <w:tc>
          <w:tcPr>
            <w:tcW w:w="907" w:type="dxa"/>
          </w:tcPr>
          <w:p>
            <w:pPr>
              <w:pStyle w:val="0"/>
            </w:pPr>
            <w:r>
              <w:rPr>
                <w:sz w:val="24"/>
              </w:rPr>
              <w:t xml:space="preserve">209.5</w:t>
            </w:r>
          </w:p>
        </w:tc>
        <w:tc>
          <w:tcPr>
            <w:gridSpan w:val="7"/>
            <w:tcW w:w="2608" w:type="dxa"/>
          </w:tcPr>
          <w:p>
            <w:pPr>
              <w:pStyle w:val="0"/>
            </w:pPr>
            <w:r>
              <w:rPr>
                <w:sz w:val="24"/>
              </w:rPr>
            </w:r>
          </w:p>
        </w:tc>
        <w:tc>
          <w:tcPr>
            <w:tcW w:w="2608" w:type="dxa"/>
          </w:tcPr>
          <w:p>
            <w:pPr>
              <w:pStyle w:val="0"/>
            </w:pPr>
            <w:r>
              <w:rPr>
                <w:sz w:val="24"/>
              </w:rPr>
              <w:t xml:space="preserve">Идентификатор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dim-int:IDBazAktPotStrOblTaxis</w:t>
            </w:r>
          </w:p>
        </w:tc>
      </w:tr>
      <w:tr>
        <w:tc>
          <w:tcPr>
            <w:tcW w:w="907" w:type="dxa"/>
          </w:tcPr>
          <w:p>
            <w:pPr>
              <w:pStyle w:val="0"/>
            </w:pPr>
            <w:r>
              <w:rPr>
                <w:sz w:val="24"/>
              </w:rPr>
              <w:t xml:space="preserve">209.6</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12084" w:name="P12084"/>
          <w:bookmarkEnd w:id="12084"/>
          <w:p>
            <w:pPr>
              <w:pStyle w:val="0"/>
              <w:outlineLvl w:val="4"/>
            </w:pPr>
            <w:r>
              <w:rPr>
                <w:sz w:val="24"/>
              </w:rPr>
              <w:t xml:space="preserve">Подраздел 2.12.</w:t>
            </w:r>
          </w:p>
        </w:tc>
        <w:tc>
          <w:tcPr>
            <w:gridSpan w:val="6"/>
            <w:tcW w:w="7370" w:type="dxa"/>
            <w:tcBorders>
              <w:right w:val="single" w:sz="4"/>
            </w:tcBorders>
          </w:tcPr>
          <w:p>
            <w:pPr>
              <w:pStyle w:val="0"/>
              <w:jc w:val="both"/>
            </w:pPr>
            <w:r>
              <w:rPr>
                <w:sz w:val="24"/>
              </w:rPr>
              <w:t xml:space="preserve">Займы выданные, кроме прав требования по обязательствам страхователя - физического лица по возврату займа, полученного при осуществлении страхования жизни</w:t>
            </w:r>
          </w:p>
        </w:tc>
      </w:tr>
      <w:tr>
        <w:tc>
          <w:tcPr>
            <w:tcW w:w="907" w:type="dxa"/>
          </w:tcPr>
          <w:bookmarkStart w:id="12086" w:name="P12086"/>
          <w:bookmarkEnd w:id="12086"/>
          <w:p>
            <w:pPr>
              <w:pStyle w:val="0"/>
            </w:pPr>
            <w:r>
              <w:rPr>
                <w:sz w:val="24"/>
              </w:rPr>
              <w:t xml:space="preserve">210</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210.1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210.7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210.8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211</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211.1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211.7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211.8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158" w:name="P12158"/>
          <w:bookmarkEnd w:id="12158"/>
          <w:p>
            <w:pPr>
              <w:pStyle w:val="0"/>
            </w:pPr>
            <w:r>
              <w:rPr>
                <w:sz w:val="24"/>
              </w:rPr>
              <w:t xml:space="preserve">212</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212.1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212.7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212.8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212.9</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2198" w:name="P12198"/>
          <w:bookmarkEnd w:id="12198"/>
          <w:p>
            <w:pPr>
              <w:pStyle w:val="0"/>
            </w:pPr>
            <w:r>
              <w:rPr>
                <w:sz w:val="24"/>
              </w:rPr>
              <w:t xml:space="preserve">213</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213.1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213.7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213.8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234" w:name="P12234"/>
          <w:bookmarkEnd w:id="12234"/>
          <w:p>
            <w:pPr>
              <w:pStyle w:val="0"/>
            </w:pPr>
            <w:r>
              <w:rPr>
                <w:sz w:val="24"/>
              </w:rPr>
              <w:t xml:space="preserve">214</w:t>
            </w:r>
          </w:p>
        </w:tc>
        <w:tc>
          <w:tcPr>
            <w:gridSpan w:val="7"/>
            <w:tcW w:w="2608" w:type="dxa"/>
          </w:tcPr>
          <w:p>
            <w:pPr>
              <w:pStyle w:val="0"/>
            </w:pPr>
            <w:r>
              <w:rPr>
                <w:sz w:val="24"/>
              </w:rPr>
              <w:t xml:space="preserve">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nfo-dic:Procz_Stavka</w:t>
            </w:r>
          </w:p>
        </w:tc>
      </w:tr>
      <w:tr>
        <w:tc>
          <w:tcPr>
            <w:tcW w:w="907" w:type="dxa"/>
          </w:tcPr>
          <w:p>
            <w:pPr>
              <w:pStyle w:val="0"/>
            </w:pPr>
            <w:r>
              <w:rPr>
                <w:sz w:val="24"/>
              </w:rPr>
              <w:t xml:space="preserve">214.1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214.7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214.8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270" w:name="P12270"/>
          <w:bookmarkEnd w:id="12270"/>
          <w:p>
            <w:pPr>
              <w:pStyle w:val="0"/>
            </w:pPr>
            <w:r>
              <w:rPr>
                <w:sz w:val="24"/>
              </w:rPr>
              <w:t xml:space="preserve">215</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215.1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215.7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215.8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306" w:name="P12306"/>
          <w:bookmarkEnd w:id="12306"/>
          <w:p>
            <w:pPr>
              <w:pStyle w:val="0"/>
            </w:pPr>
            <w:r>
              <w:rPr>
                <w:sz w:val="24"/>
              </w:rPr>
              <w:t xml:space="preserve">216</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216.1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216.7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216.8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342" w:name="P12342"/>
          <w:bookmarkEnd w:id="12342"/>
          <w:p>
            <w:pPr>
              <w:pStyle w:val="0"/>
            </w:pPr>
            <w:r>
              <w:rPr>
                <w:sz w:val="24"/>
              </w:rPr>
              <w:t xml:space="preserve">217</w:t>
            </w:r>
          </w:p>
        </w:tc>
        <w:tc>
          <w:tcPr>
            <w:gridSpan w:val="7"/>
            <w:tcW w:w="2608" w:type="dxa"/>
          </w:tcPr>
          <w:p>
            <w:pPr>
              <w:pStyle w:val="0"/>
            </w:pPr>
            <w:r>
              <w:rPr>
                <w:sz w:val="24"/>
              </w:rPr>
              <w:t xml:space="preserve">Наличие залога</w:t>
            </w:r>
          </w:p>
        </w:tc>
        <w:tc>
          <w:tcPr>
            <w:tcW w:w="2608" w:type="dxa"/>
          </w:tcPr>
          <w:p>
            <w:pPr>
              <w:pStyle w:val="0"/>
            </w:pPr>
            <w:r>
              <w:rPr>
                <w:sz w:val="24"/>
              </w:rPr>
            </w:r>
          </w:p>
        </w:tc>
        <w:tc>
          <w:tcPr>
            <w:tcW w:w="2948" w:type="dxa"/>
          </w:tcPr>
          <w:p>
            <w:pPr>
              <w:pStyle w:val="0"/>
            </w:pPr>
            <w:r>
              <w:rPr>
                <w:sz w:val="24"/>
              </w:rPr>
              <w:t xml:space="preserve">ins-dic:NalichZalogEnumerator</w:t>
            </w:r>
          </w:p>
        </w:tc>
      </w:tr>
      <w:tr>
        <w:tc>
          <w:tcPr>
            <w:tcW w:w="907" w:type="dxa"/>
          </w:tcPr>
          <w:p>
            <w:pPr>
              <w:pStyle w:val="0"/>
            </w:pPr>
            <w:r>
              <w:rPr>
                <w:sz w:val="24"/>
              </w:rPr>
              <w:t xml:space="preserve">217.1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217.7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217.8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378" w:name="P12378"/>
          <w:bookmarkEnd w:id="12378"/>
          <w:p>
            <w:pPr>
              <w:pStyle w:val="0"/>
            </w:pPr>
            <w:r>
              <w:rPr>
                <w:sz w:val="24"/>
              </w:rPr>
              <w:t xml:space="preserve">218</w:t>
            </w:r>
          </w:p>
        </w:tc>
        <w:tc>
          <w:tcPr>
            <w:gridSpan w:val="7"/>
            <w:tcW w:w="2608" w:type="dxa"/>
          </w:tcPr>
          <w:p>
            <w:pPr>
              <w:pStyle w:val="0"/>
            </w:pPr>
            <w:r>
              <w:rPr>
                <w:sz w:val="24"/>
              </w:rPr>
              <w:t xml:space="preserve">Субординированный инструмент</w:t>
            </w:r>
          </w:p>
        </w:tc>
        <w:tc>
          <w:tcPr>
            <w:tcW w:w="2608" w:type="dxa"/>
          </w:tcPr>
          <w:p>
            <w:pPr>
              <w:pStyle w:val="0"/>
            </w:pPr>
            <w:r>
              <w:rPr>
                <w:sz w:val="24"/>
              </w:rPr>
            </w:r>
          </w:p>
        </w:tc>
        <w:tc>
          <w:tcPr>
            <w:tcW w:w="2948" w:type="dxa"/>
          </w:tcPr>
          <w:p>
            <w:pPr>
              <w:pStyle w:val="0"/>
            </w:pPr>
            <w:r>
              <w:rPr>
                <w:sz w:val="24"/>
              </w:rPr>
              <w:t xml:space="preserve">ins-dic:SubordInstrEnumerator</w:t>
            </w:r>
          </w:p>
        </w:tc>
      </w:tr>
      <w:tr>
        <w:tc>
          <w:tcPr>
            <w:tcW w:w="907" w:type="dxa"/>
          </w:tcPr>
          <w:p>
            <w:pPr>
              <w:pStyle w:val="0"/>
            </w:pPr>
            <w:r>
              <w:rPr>
                <w:sz w:val="24"/>
              </w:rPr>
              <w:t xml:space="preserve">218.1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218.7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218.8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414" w:name="P12414"/>
          <w:bookmarkEnd w:id="12414"/>
          <w:p>
            <w:pPr>
              <w:pStyle w:val="0"/>
            </w:pPr>
            <w:r>
              <w:rPr>
                <w:sz w:val="24"/>
              </w:rPr>
              <w:t xml:space="preserve">219</w:t>
            </w:r>
          </w:p>
        </w:tc>
        <w:tc>
          <w:tcPr>
            <w:gridSpan w:val="7"/>
            <w:tcW w:w="2608" w:type="dxa"/>
          </w:tcPr>
          <w:p>
            <w:pPr>
              <w:pStyle w:val="0"/>
            </w:pPr>
            <w:r>
              <w:rPr>
                <w:sz w:val="24"/>
              </w:rPr>
              <w:t xml:space="preserve">Включен в расчет нормативного соотношения собственных средств (капитала) и принятых обязательств</w:t>
            </w:r>
          </w:p>
        </w:tc>
        <w:tc>
          <w:tcPr>
            <w:tcW w:w="2608" w:type="dxa"/>
          </w:tcPr>
          <w:p>
            <w:pPr>
              <w:pStyle w:val="0"/>
            </w:pPr>
            <w:r>
              <w:rPr>
                <w:sz w:val="24"/>
              </w:rPr>
            </w:r>
          </w:p>
        </w:tc>
        <w:tc>
          <w:tcPr>
            <w:tcW w:w="2948" w:type="dxa"/>
          </w:tcPr>
          <w:p>
            <w:pPr>
              <w:pStyle w:val="0"/>
            </w:pPr>
            <w:r>
              <w:rPr>
                <w:sz w:val="24"/>
              </w:rPr>
              <w:t xml:space="preserve">ins-dic:VklRaschNormSootnSSKapPrinObyazEnumerator</w:t>
            </w:r>
          </w:p>
        </w:tc>
      </w:tr>
      <w:tr>
        <w:tc>
          <w:tcPr>
            <w:tcW w:w="907" w:type="dxa"/>
          </w:tcPr>
          <w:p>
            <w:pPr>
              <w:pStyle w:val="0"/>
            </w:pPr>
            <w:r>
              <w:rPr>
                <w:sz w:val="24"/>
              </w:rPr>
              <w:t xml:space="preserve">219.1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219.2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219.3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219.4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219.5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219.6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219.7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219.8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450" w:name="P12450"/>
          <w:bookmarkEnd w:id="12450"/>
          <w:p>
            <w:pPr>
              <w:pStyle w:val="0"/>
            </w:pPr>
            <w:r>
              <w:rPr>
                <w:sz w:val="24"/>
              </w:rPr>
              <w:t xml:space="preserve">220</w:t>
            </w:r>
          </w:p>
        </w:tc>
        <w:tc>
          <w:tcPr>
            <w:gridSpan w:val="7"/>
            <w:tcW w:w="2608" w:type="dxa"/>
          </w:tcPr>
          <w:p>
            <w:pPr>
              <w:pStyle w:val="0"/>
            </w:pPr>
            <w:r>
              <w:rPr>
                <w:sz w:val="24"/>
              </w:rPr>
              <w:t xml:space="preserve">Величина кредитного спреда инструмента m</w:t>
            </w:r>
          </w:p>
        </w:tc>
        <w:tc>
          <w:tcPr>
            <w:tcW w:w="2608" w:type="dxa"/>
          </w:tcPr>
          <w:p>
            <w:pPr>
              <w:pStyle w:val="0"/>
            </w:pPr>
            <w:r>
              <w:rPr>
                <w:sz w:val="24"/>
              </w:rPr>
            </w:r>
          </w:p>
        </w:tc>
        <w:tc>
          <w:tcPr>
            <w:tcW w:w="2948" w:type="dxa"/>
          </w:tcPr>
          <w:p>
            <w:pPr>
              <w:pStyle w:val="0"/>
            </w:pPr>
            <w:r>
              <w:rPr>
                <w:sz w:val="24"/>
              </w:rPr>
              <w:t xml:space="preserve">ins-dic:VelichinaKreditnogoSpredaInstrumentaM</w:t>
            </w:r>
          </w:p>
        </w:tc>
      </w:tr>
      <w:tr>
        <w:tc>
          <w:tcPr>
            <w:tcW w:w="907" w:type="dxa"/>
          </w:tcPr>
          <w:p>
            <w:pPr>
              <w:pStyle w:val="0"/>
            </w:pPr>
            <w:r>
              <w:rPr>
                <w:sz w:val="24"/>
              </w:rPr>
              <w:t xml:space="preserve">220.1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220.7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220.8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486" w:name="P12486"/>
          <w:bookmarkEnd w:id="12486"/>
          <w:p>
            <w:pPr>
              <w:pStyle w:val="0"/>
            </w:pPr>
            <w:r>
              <w:rPr>
                <w:sz w:val="24"/>
              </w:rPr>
              <w:t xml:space="preserve">221</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221.1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221.7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221.8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522" w:name="P12522"/>
          <w:bookmarkEnd w:id="12522"/>
          <w:p>
            <w:pPr>
              <w:pStyle w:val="0"/>
            </w:pPr>
            <w:r>
              <w:rPr>
                <w:sz w:val="24"/>
              </w:rPr>
              <w:t xml:space="preserve">222</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222.1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222.7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222.8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558" w:name="P12558"/>
          <w:bookmarkEnd w:id="12558"/>
          <w:p>
            <w:pPr>
              <w:pStyle w:val="0"/>
            </w:pPr>
            <w:r>
              <w:rPr>
                <w:sz w:val="24"/>
              </w:rPr>
              <w:t xml:space="preserve">223</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223.1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223.7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223.8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594" w:name="P12594"/>
          <w:bookmarkEnd w:id="12594"/>
          <w:p>
            <w:pPr>
              <w:pStyle w:val="0"/>
            </w:pPr>
            <w:r>
              <w:rPr>
                <w:sz w:val="24"/>
              </w:rPr>
              <w:t xml:space="preserve">224</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224.1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224.7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224.8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630" w:name="P12630"/>
          <w:bookmarkEnd w:id="12630"/>
          <w:p>
            <w:pPr>
              <w:pStyle w:val="0"/>
            </w:pPr>
            <w:r>
              <w:rPr>
                <w:sz w:val="24"/>
              </w:rPr>
              <w:t xml:space="preserve">225</w:t>
            </w:r>
          </w:p>
        </w:tc>
        <w:tc>
          <w:tcPr>
            <w:gridSpan w:val="7"/>
            <w:tcW w:w="2608" w:type="dxa"/>
          </w:tcPr>
          <w:p>
            <w:pPr>
              <w:pStyle w:val="0"/>
            </w:pPr>
            <w:r>
              <w:rPr>
                <w:sz w:val="24"/>
              </w:rPr>
              <w:t xml:space="preserve">Влияние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ins-dic:VIRiskIzkKredSpred</w:t>
            </w:r>
          </w:p>
        </w:tc>
      </w:tr>
      <w:tr>
        <w:tc>
          <w:tcPr>
            <w:tcW w:w="907" w:type="dxa"/>
          </w:tcPr>
          <w:p>
            <w:pPr>
              <w:pStyle w:val="0"/>
            </w:pPr>
            <w:r>
              <w:rPr>
                <w:sz w:val="24"/>
              </w:rPr>
              <w:t xml:space="preserve">225.1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225.7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225.8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666" w:name="P12666"/>
          <w:bookmarkEnd w:id="12666"/>
          <w:p>
            <w:pPr>
              <w:pStyle w:val="0"/>
            </w:pPr>
            <w:r>
              <w:rPr>
                <w:sz w:val="24"/>
              </w:rPr>
              <w:t xml:space="preserve">226</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226.1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226.7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226.8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702" w:name="P12702"/>
          <w:bookmarkEnd w:id="12702"/>
          <w:p>
            <w:pPr>
              <w:pStyle w:val="0"/>
            </w:pPr>
            <w:r>
              <w:rPr>
                <w:sz w:val="24"/>
              </w:rPr>
              <w:t xml:space="preserve">227</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227.1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227.7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227.8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738" w:name="P12738"/>
          <w:bookmarkEnd w:id="12738"/>
          <w:p>
            <w:pPr>
              <w:pStyle w:val="0"/>
            </w:pPr>
            <w:r>
              <w:rPr>
                <w:sz w:val="24"/>
              </w:rPr>
              <w:t xml:space="preserve">228</w:t>
            </w:r>
          </w:p>
        </w:tc>
        <w:tc>
          <w:tcPr>
            <w:gridSpan w:val="7"/>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228.1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228.7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228.8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774" w:name="P12774"/>
          <w:bookmarkEnd w:id="12774"/>
          <w:p>
            <w:pPr>
              <w:pStyle w:val="0"/>
            </w:pPr>
            <w:r>
              <w:rPr>
                <w:sz w:val="24"/>
              </w:rPr>
              <w:t xml:space="preserve">229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229.1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229.2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229.3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229.4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229.5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229.6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229.7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229.8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2810" w:name="P12810"/>
          <w:bookmarkEnd w:id="12810"/>
          <w:p>
            <w:pPr>
              <w:pStyle w:val="0"/>
              <w:outlineLvl w:val="4"/>
            </w:pPr>
            <w:r>
              <w:rPr>
                <w:sz w:val="24"/>
              </w:rPr>
              <w:t xml:space="preserve">Подраздел 2.13.</w:t>
            </w:r>
          </w:p>
        </w:tc>
        <w:tc>
          <w:tcPr>
            <w:gridSpan w:val="6"/>
            <w:tcW w:w="7370" w:type="dxa"/>
            <w:tcBorders>
              <w:right w:val="single" w:sz="4"/>
            </w:tcBorders>
          </w:tcPr>
          <w:p>
            <w:pPr>
              <w:pStyle w:val="0"/>
              <w:jc w:val="both"/>
            </w:pPr>
            <w:r>
              <w:rPr>
                <w:sz w:val="24"/>
              </w:rPr>
              <w:t xml:space="preserve">Права требования к центральному депозитарию</w:t>
            </w:r>
          </w:p>
        </w:tc>
      </w:tr>
      <w:tr>
        <w:tc>
          <w:tcPr>
            <w:tcW w:w="907" w:type="dxa"/>
          </w:tcPr>
          <w:p>
            <w:pPr>
              <w:pStyle w:val="0"/>
            </w:pPr>
            <w:r>
              <w:rPr>
                <w:sz w:val="24"/>
              </w:rPr>
              <w:t xml:space="preserve">230</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230.1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230.7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230.9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231</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231.1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231.7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231.9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900" w:name="P12900"/>
          <w:bookmarkEnd w:id="12900"/>
          <w:p>
            <w:pPr>
              <w:pStyle w:val="0"/>
            </w:pPr>
            <w:r>
              <w:rPr>
                <w:sz w:val="24"/>
              </w:rPr>
              <w:t xml:space="preserve">232</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232.1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232.7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232.9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232.11</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2948" w:name="P12948"/>
          <w:bookmarkEnd w:id="12948"/>
          <w:p>
            <w:pPr>
              <w:pStyle w:val="0"/>
            </w:pPr>
            <w:r>
              <w:rPr>
                <w:sz w:val="24"/>
              </w:rPr>
              <w:t xml:space="preserve">233</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233.1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233.7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233.9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2992" w:name="P12992"/>
          <w:bookmarkEnd w:id="12992"/>
          <w:p>
            <w:pPr>
              <w:pStyle w:val="0"/>
            </w:pPr>
            <w:r>
              <w:rPr>
                <w:sz w:val="24"/>
              </w:rPr>
              <w:t xml:space="preserve">234</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234.1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234.9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036" w:name="P13036"/>
          <w:bookmarkEnd w:id="13036"/>
          <w:p>
            <w:pPr>
              <w:pStyle w:val="0"/>
            </w:pPr>
            <w:r>
              <w:rPr>
                <w:sz w:val="24"/>
              </w:rPr>
              <w:t xml:space="preserve">235</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235.1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235.9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235.10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080" w:name="P13080"/>
          <w:bookmarkEnd w:id="13080"/>
          <w:p>
            <w:pPr>
              <w:pStyle w:val="0"/>
            </w:pPr>
            <w:r>
              <w:rPr>
                <w:sz w:val="24"/>
              </w:rPr>
              <w:t xml:space="preserve">236</w:t>
            </w:r>
          </w:p>
        </w:tc>
        <w:tc>
          <w:tcPr>
            <w:gridSpan w:val="7"/>
            <w:tcW w:w="2608" w:type="dxa"/>
          </w:tcPr>
          <w:p>
            <w:pPr>
              <w:pStyle w:val="0"/>
            </w:pPr>
            <w:r>
              <w:rPr>
                <w:sz w:val="24"/>
              </w:rPr>
              <w:t xml:space="preserve">Права требования относятся к правам требования в рамках расчетов по сделкам с ценными бумагами и погашения ценных бумаг</w:t>
            </w:r>
          </w:p>
        </w:tc>
        <w:tc>
          <w:tcPr>
            <w:tcW w:w="2608" w:type="dxa"/>
          </w:tcPr>
          <w:p>
            <w:pPr>
              <w:pStyle w:val="0"/>
            </w:pPr>
            <w:r>
              <w:rPr>
                <w:sz w:val="24"/>
              </w:rPr>
            </w:r>
          </w:p>
        </w:tc>
        <w:tc>
          <w:tcPr>
            <w:tcW w:w="2948" w:type="dxa"/>
          </w:tcPr>
          <w:p>
            <w:pPr>
              <w:pStyle w:val="0"/>
            </w:pPr>
            <w:r>
              <w:rPr>
                <w:sz w:val="24"/>
              </w:rPr>
              <w:t xml:space="preserve">ins-dic:PravTrebUdovlPunkt311223Enumerator</w:t>
            </w:r>
          </w:p>
        </w:tc>
      </w:tr>
      <w:tr>
        <w:tc>
          <w:tcPr>
            <w:tcW w:w="907" w:type="dxa"/>
          </w:tcPr>
          <w:p>
            <w:pPr>
              <w:pStyle w:val="0"/>
            </w:pPr>
            <w:r>
              <w:rPr>
                <w:sz w:val="24"/>
              </w:rPr>
              <w:t xml:space="preserve">236.1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236.9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236.10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124" w:name="P13124"/>
          <w:bookmarkEnd w:id="13124"/>
          <w:p>
            <w:pPr>
              <w:pStyle w:val="0"/>
            </w:pPr>
            <w:r>
              <w:rPr>
                <w:sz w:val="24"/>
              </w:rPr>
              <w:t xml:space="preserve">237</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237.1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dim-int:IdDoveritelnogoUpravIyayushhegoTaxis</w:t>
            </w:r>
          </w:p>
        </w:tc>
      </w:tr>
      <w:tr>
        <w:tc>
          <w:tcPr>
            <w:tcW w:w="907" w:type="dxa"/>
          </w:tcPr>
          <w:p>
            <w:pPr>
              <w:pStyle w:val="0"/>
            </w:pPr>
            <w:r>
              <w:rPr>
                <w:sz w:val="24"/>
              </w:rPr>
              <w:t xml:space="preserve">237.5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237.7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237.9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237.10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168" w:name="P13168"/>
          <w:bookmarkEnd w:id="13168"/>
          <w:p>
            <w:pPr>
              <w:pStyle w:val="0"/>
            </w:pPr>
            <w:r>
              <w:rPr>
                <w:sz w:val="24"/>
              </w:rPr>
              <w:t xml:space="preserve">238</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238.1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238.7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238.9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238.10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212" w:name="P13212"/>
          <w:bookmarkEnd w:id="13212"/>
          <w:p>
            <w:pPr>
              <w:pStyle w:val="0"/>
            </w:pPr>
            <w:r>
              <w:rPr>
                <w:sz w:val="24"/>
              </w:rPr>
              <w:t xml:space="preserve">239</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239.1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239.2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239.3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239.4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239.5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239.6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239.7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239.8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239.9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dim-int:AktivSootvTrebPp3.1.13P3.1_710PAxis</w:t>
            </w:r>
          </w:p>
        </w:tc>
      </w:tr>
      <w:tr>
        <w:tc>
          <w:tcPr>
            <w:tcW w:w="907" w:type="dxa"/>
          </w:tcPr>
          <w:p>
            <w:pPr>
              <w:pStyle w:val="0"/>
            </w:pPr>
            <w:r>
              <w:rPr>
                <w:sz w:val="24"/>
              </w:rPr>
              <w:t xml:space="preserve">239.10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256" w:name="P13256"/>
          <w:bookmarkEnd w:id="13256"/>
          <w:p>
            <w:pPr>
              <w:pStyle w:val="0"/>
            </w:pPr>
            <w:r>
              <w:rPr>
                <w:sz w:val="24"/>
              </w:rPr>
              <w:t xml:space="preserve">240</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240.1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240.7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240.9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300" w:name="P13300"/>
          <w:bookmarkEnd w:id="13300"/>
          <w:p>
            <w:pPr>
              <w:pStyle w:val="0"/>
            </w:pPr>
            <w:r>
              <w:rPr>
                <w:sz w:val="24"/>
              </w:rPr>
              <w:t xml:space="preserve">241</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241.1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241.7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241.9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3344" w:name="P13344"/>
          <w:bookmarkEnd w:id="13344"/>
          <w:p>
            <w:pPr>
              <w:pStyle w:val="0"/>
              <w:outlineLvl w:val="4"/>
            </w:pPr>
            <w:r>
              <w:rPr>
                <w:sz w:val="24"/>
              </w:rPr>
              <w:t xml:space="preserve">Подраздел 2.14.</w:t>
            </w:r>
          </w:p>
        </w:tc>
        <w:tc>
          <w:tcPr>
            <w:gridSpan w:val="6"/>
            <w:tcW w:w="7370" w:type="dxa"/>
            <w:tcBorders>
              <w:right w:val="single" w:sz="4"/>
            </w:tcBorders>
          </w:tcPr>
          <w:p>
            <w:pPr>
              <w:pStyle w:val="0"/>
              <w:jc w:val="both"/>
            </w:pPr>
            <w:r>
              <w:rPr>
                <w:sz w:val="24"/>
              </w:rPr>
              <w:t xml:space="preserve">Права требования к квалифицированному центральному контрагенту</w:t>
            </w:r>
          </w:p>
        </w:tc>
      </w:tr>
      <w:tr>
        <w:tc>
          <w:tcPr>
            <w:tcW w:w="907" w:type="dxa"/>
          </w:tcPr>
          <w:p>
            <w:pPr>
              <w:pStyle w:val="0"/>
            </w:pPr>
            <w:r>
              <w:rPr>
                <w:sz w:val="24"/>
              </w:rPr>
              <w:t xml:space="preserve">242</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242.1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242.7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242.9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243</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243.1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243.7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243.9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dim-int:AktivSootvTrebPp3.1.13P3.1_710PAxis</w:t>
            </w:r>
          </w:p>
        </w:tc>
      </w:tr>
      <w:tr>
        <w:tc>
          <w:tcPr>
            <w:tcW w:w="907" w:type="dxa"/>
          </w:tcPr>
          <w:p>
            <w:pPr>
              <w:pStyle w:val="0"/>
            </w:pPr>
            <w:r>
              <w:rPr>
                <w:sz w:val="24"/>
              </w:rPr>
              <w:t xml:space="preserve">243.10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434" w:name="P13434"/>
          <w:bookmarkEnd w:id="13434"/>
          <w:p>
            <w:pPr>
              <w:pStyle w:val="0"/>
            </w:pPr>
            <w:r>
              <w:rPr>
                <w:sz w:val="24"/>
              </w:rPr>
              <w:t xml:space="preserve">244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244.1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244.9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244.11</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3482" w:name="P13482"/>
          <w:bookmarkEnd w:id="13482"/>
          <w:p>
            <w:pPr>
              <w:pStyle w:val="0"/>
            </w:pPr>
            <w:r>
              <w:rPr>
                <w:sz w:val="24"/>
              </w:rPr>
              <w:t xml:space="preserve">245</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245.1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245.9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245.10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526" w:name="P13526"/>
          <w:bookmarkEnd w:id="13526"/>
          <w:p>
            <w:pPr>
              <w:pStyle w:val="0"/>
            </w:pPr>
            <w:r>
              <w:rPr>
                <w:sz w:val="24"/>
              </w:rPr>
              <w:t xml:space="preserve">246</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246.1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246.9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dim-int:AktivSootvTrebPp3.1.13P3.1_710PAxis</w:t>
            </w:r>
          </w:p>
        </w:tc>
      </w:tr>
      <w:tr>
        <w:tc>
          <w:tcPr>
            <w:tcW w:w="907" w:type="dxa"/>
          </w:tcPr>
          <w:p>
            <w:pPr>
              <w:pStyle w:val="0"/>
            </w:pPr>
            <w:r>
              <w:rPr>
                <w:sz w:val="24"/>
              </w:rPr>
              <w:t xml:space="preserve">246.10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570" w:name="P13570"/>
          <w:bookmarkEnd w:id="13570"/>
          <w:p>
            <w:pPr>
              <w:pStyle w:val="0"/>
            </w:pPr>
            <w:r>
              <w:rPr>
                <w:sz w:val="24"/>
              </w:rPr>
              <w:t xml:space="preserve">247</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247.1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247.7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247.9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247.10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614" w:name="P13614"/>
          <w:bookmarkEnd w:id="13614"/>
          <w:p>
            <w:pPr>
              <w:pStyle w:val="0"/>
            </w:pPr>
            <w:r>
              <w:rPr>
                <w:sz w:val="24"/>
              </w:rPr>
              <w:t xml:space="preserve">248</w:t>
            </w:r>
          </w:p>
        </w:tc>
        <w:tc>
          <w:tcPr>
            <w:gridSpan w:val="7"/>
            <w:tcW w:w="2608" w:type="dxa"/>
          </w:tcPr>
          <w:p>
            <w:pPr>
              <w:pStyle w:val="0"/>
            </w:pPr>
            <w:r>
              <w:rPr>
                <w:sz w:val="24"/>
              </w:rPr>
              <w:t xml:space="preserve">Права требования относятся к правам требования в рамках расчетов по сделкам с ценными бумагами и погашения ценных бумаг</w:t>
            </w:r>
          </w:p>
        </w:tc>
        <w:tc>
          <w:tcPr>
            <w:tcW w:w="2608" w:type="dxa"/>
          </w:tcPr>
          <w:p>
            <w:pPr>
              <w:pStyle w:val="0"/>
            </w:pPr>
            <w:r>
              <w:rPr>
                <w:sz w:val="24"/>
              </w:rPr>
            </w:r>
          </w:p>
        </w:tc>
        <w:tc>
          <w:tcPr>
            <w:tcW w:w="2948" w:type="dxa"/>
          </w:tcPr>
          <w:p>
            <w:pPr>
              <w:pStyle w:val="0"/>
            </w:pPr>
            <w:r>
              <w:rPr>
                <w:sz w:val="24"/>
              </w:rPr>
              <w:t xml:space="preserve">ins-dic:PravTrebUdovlPunkt311223Enumerator</w:t>
            </w:r>
          </w:p>
        </w:tc>
      </w:tr>
      <w:tr>
        <w:tc>
          <w:tcPr>
            <w:tcW w:w="907" w:type="dxa"/>
          </w:tcPr>
          <w:p>
            <w:pPr>
              <w:pStyle w:val="0"/>
            </w:pPr>
            <w:r>
              <w:rPr>
                <w:sz w:val="24"/>
              </w:rPr>
              <w:t xml:space="preserve">248.1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248.7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248.9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658" w:name="P13658"/>
          <w:bookmarkEnd w:id="13658"/>
          <w:p>
            <w:pPr>
              <w:pStyle w:val="0"/>
            </w:pPr>
            <w:r>
              <w:rPr>
                <w:sz w:val="24"/>
              </w:rPr>
              <w:t xml:space="preserve">249</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249.1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249.2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249.3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249.4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249.5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249.6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249.7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249.8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249.9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249.10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702" w:name="P13702"/>
          <w:bookmarkEnd w:id="13702"/>
          <w:p>
            <w:pPr>
              <w:pStyle w:val="0"/>
            </w:pPr>
            <w:r>
              <w:rPr>
                <w:sz w:val="24"/>
              </w:rPr>
              <w:t xml:space="preserve">250</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250.1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250.7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250.9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746" w:name="P13746"/>
          <w:bookmarkEnd w:id="13746"/>
          <w:p>
            <w:pPr>
              <w:pStyle w:val="0"/>
            </w:pPr>
            <w:r>
              <w:rPr>
                <w:sz w:val="24"/>
              </w:rPr>
              <w:t xml:space="preserve">251</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251.1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dim-int:Identifikalor_ATaxis</w:t>
            </w:r>
          </w:p>
        </w:tc>
      </w:tr>
      <w:tr>
        <w:tc>
          <w:tcPr>
            <w:tcW w:w="907" w:type="dxa"/>
          </w:tcPr>
          <w:p>
            <w:pPr>
              <w:pStyle w:val="0"/>
            </w:pPr>
            <w:r>
              <w:rPr>
                <w:sz w:val="24"/>
              </w:rPr>
              <w:t xml:space="preserve">251.4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251.7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251.9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790" w:name="P13790"/>
          <w:bookmarkEnd w:id="13790"/>
          <w:p>
            <w:pPr>
              <w:pStyle w:val="0"/>
            </w:pPr>
            <w:r>
              <w:rPr>
                <w:sz w:val="24"/>
              </w:rPr>
              <w:t xml:space="preserve">252</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252.1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252.7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252.9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834" w:name="P13834"/>
          <w:bookmarkEnd w:id="13834"/>
          <w:p>
            <w:pPr>
              <w:pStyle w:val="0"/>
            </w:pPr>
            <w:r>
              <w:rPr>
                <w:sz w:val="24"/>
              </w:rPr>
              <w:t xml:space="preserve">253</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253.1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253.7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253.9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3878" w:name="P13878"/>
          <w:bookmarkEnd w:id="13878"/>
          <w:p>
            <w:pPr>
              <w:pStyle w:val="0"/>
              <w:outlineLvl w:val="4"/>
            </w:pPr>
            <w:r>
              <w:rPr>
                <w:sz w:val="24"/>
              </w:rPr>
              <w:t xml:space="preserve">Подраздел 2.15.</w:t>
            </w:r>
          </w:p>
        </w:tc>
        <w:tc>
          <w:tcPr>
            <w:gridSpan w:val="6"/>
            <w:tcW w:w="7370" w:type="dxa"/>
            <w:tcBorders>
              <w:right w:val="single" w:sz="4"/>
            </w:tcBorders>
          </w:tcPr>
          <w:p>
            <w:pPr>
              <w:pStyle w:val="0"/>
            </w:pPr>
            <w:r>
              <w:rPr>
                <w:sz w:val="24"/>
              </w:rPr>
              <w:t xml:space="preserve">Права требования по денежным обязательствам к брокерам из договоров о брокерском обслуживании</w:t>
            </w:r>
          </w:p>
        </w:tc>
      </w:tr>
      <w:tr>
        <w:tc>
          <w:tcPr>
            <w:tcW w:w="907" w:type="dxa"/>
          </w:tcPr>
          <w:p>
            <w:pPr>
              <w:pStyle w:val="0"/>
            </w:pPr>
            <w:r>
              <w:rPr>
                <w:sz w:val="24"/>
              </w:rPr>
              <w:t xml:space="preserve">254</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254.1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254.8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254.9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254.10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255</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255.1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255.8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255.9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255.10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255.11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3976" w:name="P13976"/>
          <w:bookmarkEnd w:id="13976"/>
          <w:p>
            <w:pPr>
              <w:pStyle w:val="0"/>
            </w:pPr>
            <w:r>
              <w:rPr>
                <w:sz w:val="24"/>
              </w:rPr>
              <w:t xml:space="preserve">256</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256.1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256.8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256.9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256.10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256.11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256.12</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4028" w:name="P14028"/>
          <w:bookmarkEnd w:id="14028"/>
          <w:p>
            <w:pPr>
              <w:pStyle w:val="0"/>
            </w:pPr>
            <w:r>
              <w:rPr>
                <w:sz w:val="24"/>
              </w:rPr>
              <w:t xml:space="preserve">257</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257.1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257.7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257.8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257.9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257.10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257.11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076" w:name="P14076"/>
          <w:bookmarkEnd w:id="14076"/>
          <w:p>
            <w:pPr>
              <w:pStyle w:val="0"/>
            </w:pPr>
            <w:r>
              <w:rPr>
                <w:sz w:val="24"/>
              </w:rPr>
              <w:t xml:space="preserve">258</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258.1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258.7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258.8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258.9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258.10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258.11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124" w:name="P14124"/>
          <w:bookmarkEnd w:id="14124"/>
          <w:p>
            <w:pPr>
              <w:pStyle w:val="0"/>
            </w:pPr>
            <w:r>
              <w:rPr>
                <w:sz w:val="24"/>
              </w:rPr>
              <w:t xml:space="preserve">259</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259.1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259.2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259.3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259.4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259.5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259.6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259.7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259.8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259.9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259.10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259.11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172" w:name="P14172"/>
          <w:bookmarkEnd w:id="14172"/>
          <w:p>
            <w:pPr>
              <w:pStyle w:val="0"/>
            </w:pPr>
            <w:r>
              <w:rPr>
                <w:sz w:val="24"/>
              </w:rPr>
              <w:t xml:space="preserve">260</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260.1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260.7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260.8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260.9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260.10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260.11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220" w:name="P14220"/>
          <w:bookmarkEnd w:id="14220"/>
          <w:p>
            <w:pPr>
              <w:pStyle w:val="0"/>
            </w:pPr>
            <w:r>
              <w:rPr>
                <w:sz w:val="24"/>
              </w:rPr>
              <w:t xml:space="preserve">261</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261.1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261.7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261.8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261.9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261.10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261.11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268" w:name="P14268"/>
          <w:bookmarkEnd w:id="14268"/>
          <w:p>
            <w:pPr>
              <w:pStyle w:val="0"/>
            </w:pPr>
            <w:r>
              <w:rPr>
                <w:sz w:val="24"/>
              </w:rPr>
              <w:t xml:space="preserve">262</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262.1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262.7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262.8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262.9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262.10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262.11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316" w:name="P14316"/>
          <w:bookmarkEnd w:id="14316"/>
          <w:p>
            <w:pPr>
              <w:pStyle w:val="0"/>
            </w:pPr>
            <w:r>
              <w:rPr>
                <w:sz w:val="24"/>
              </w:rPr>
              <w:t xml:space="preserve">263</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263.1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263.7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263.8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263.9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263.10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263.11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364" w:name="P14364"/>
          <w:bookmarkEnd w:id="14364"/>
          <w:p>
            <w:pPr>
              <w:pStyle w:val="0"/>
            </w:pPr>
            <w:r>
              <w:rPr>
                <w:sz w:val="24"/>
              </w:rPr>
              <w:t xml:space="preserve">264</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264.1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264.8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264.9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264.10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412" w:name="P14412"/>
          <w:bookmarkEnd w:id="14412"/>
          <w:p>
            <w:pPr>
              <w:pStyle w:val="0"/>
            </w:pPr>
            <w:r>
              <w:rPr>
                <w:sz w:val="24"/>
              </w:rPr>
              <w:t xml:space="preserve">265</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265.1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265.8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265.9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265.10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265.11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460" w:name="P14460"/>
          <w:bookmarkEnd w:id="14460"/>
          <w:p>
            <w:pPr>
              <w:pStyle w:val="0"/>
            </w:pPr>
            <w:r>
              <w:rPr>
                <w:sz w:val="24"/>
              </w:rPr>
              <w:t xml:space="preserve">266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266.1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266.8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266.9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266.10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266.11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4508" w:name="P14508"/>
          <w:bookmarkEnd w:id="14508"/>
          <w:p>
            <w:pPr>
              <w:pStyle w:val="0"/>
              <w:outlineLvl w:val="4"/>
            </w:pPr>
            <w:r>
              <w:rPr>
                <w:sz w:val="24"/>
              </w:rPr>
              <w:t xml:space="preserve">Подраздел 2.16.</w:t>
            </w:r>
          </w:p>
        </w:tc>
        <w:tc>
          <w:tcPr>
            <w:gridSpan w:val="6"/>
            <w:tcW w:w="7370" w:type="dxa"/>
            <w:tcBorders>
              <w:right w:val="single" w:sz="4"/>
            </w:tcBorders>
          </w:tcPr>
          <w:p>
            <w:pPr>
              <w:pStyle w:val="0"/>
            </w:pPr>
            <w:r>
              <w:rPr>
                <w:sz w:val="24"/>
              </w:rPr>
              <w:t xml:space="preserve">Права требования к специализированным депозитариям</w:t>
            </w:r>
          </w:p>
        </w:tc>
      </w:tr>
      <w:tr>
        <w:tc>
          <w:tcPr>
            <w:tcW w:w="907" w:type="dxa"/>
          </w:tcPr>
          <w:p>
            <w:pPr>
              <w:pStyle w:val="0"/>
            </w:pPr>
            <w:r>
              <w:rPr>
                <w:sz w:val="24"/>
              </w:rPr>
              <w:t xml:space="preserve">267</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267.1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267.7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dim-int:IDPIatezhTaxis</w:t>
            </w:r>
          </w:p>
        </w:tc>
      </w:tr>
      <w:tr>
        <w:tc>
          <w:tcPr>
            <w:tcW w:w="907" w:type="dxa"/>
          </w:tcPr>
          <w:p>
            <w:pPr>
              <w:pStyle w:val="0"/>
            </w:pPr>
            <w:r>
              <w:rPr>
                <w:sz w:val="24"/>
              </w:rPr>
              <w:t xml:space="preserve">267.8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267.9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267.10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268</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268.1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268.7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268.9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598" w:name="P14598"/>
          <w:bookmarkEnd w:id="14598"/>
          <w:p>
            <w:pPr>
              <w:pStyle w:val="0"/>
            </w:pPr>
            <w:r>
              <w:rPr>
                <w:sz w:val="24"/>
              </w:rPr>
              <w:t xml:space="preserve">269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269.1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269.2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269.3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269.4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269.5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269.6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269.7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269.8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269.9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269.10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269.11</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4646" w:name="P14646"/>
          <w:bookmarkEnd w:id="14646"/>
          <w:p>
            <w:pPr>
              <w:pStyle w:val="0"/>
            </w:pPr>
            <w:r>
              <w:rPr>
                <w:sz w:val="24"/>
              </w:rPr>
              <w:t xml:space="preserve">270</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270.1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270.7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270.9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690" w:name="P14690"/>
          <w:bookmarkEnd w:id="14690"/>
          <w:p>
            <w:pPr>
              <w:pStyle w:val="0"/>
            </w:pPr>
            <w:r>
              <w:rPr>
                <w:sz w:val="24"/>
              </w:rPr>
              <w:t xml:space="preserve">271</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271.1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271.7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271.9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734" w:name="P14734"/>
          <w:bookmarkEnd w:id="14734"/>
          <w:p>
            <w:pPr>
              <w:pStyle w:val="0"/>
            </w:pPr>
            <w:r>
              <w:rPr>
                <w:sz w:val="24"/>
              </w:rPr>
              <w:t xml:space="preserve">272</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272.1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272.7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272.9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778" w:name="P14778"/>
          <w:bookmarkEnd w:id="14778"/>
          <w:p>
            <w:pPr>
              <w:pStyle w:val="0"/>
            </w:pPr>
            <w:r>
              <w:rPr>
                <w:sz w:val="24"/>
              </w:rPr>
              <w:t xml:space="preserve">273</w:t>
            </w:r>
          </w:p>
        </w:tc>
        <w:tc>
          <w:tcPr>
            <w:gridSpan w:val="7"/>
            <w:tcW w:w="2608" w:type="dxa"/>
          </w:tcPr>
          <w:p>
            <w:pPr>
              <w:pStyle w:val="0"/>
            </w:pPr>
            <w:r>
              <w:rPr>
                <w:sz w:val="24"/>
              </w:rPr>
              <w:t xml:space="preserve">Права требования относятся к правам требования к депозитарию по выплатам по ценным бумагам в установленный срок</w:t>
            </w:r>
          </w:p>
        </w:tc>
        <w:tc>
          <w:tcPr>
            <w:tcW w:w="2608" w:type="dxa"/>
          </w:tcPr>
          <w:p>
            <w:pPr>
              <w:pStyle w:val="0"/>
            </w:pPr>
            <w:r>
              <w:rPr>
                <w:sz w:val="24"/>
              </w:rPr>
            </w:r>
          </w:p>
        </w:tc>
        <w:tc>
          <w:tcPr>
            <w:tcW w:w="2948" w:type="dxa"/>
          </w:tcPr>
          <w:p>
            <w:pPr>
              <w:pStyle w:val="0"/>
            </w:pPr>
            <w:r>
              <w:rPr>
                <w:sz w:val="24"/>
              </w:rPr>
              <w:t xml:space="preserve">ins-dic:PravTrebUdovlPunkt31125Enumerator</w:t>
            </w:r>
          </w:p>
        </w:tc>
      </w:tr>
      <w:tr>
        <w:tc>
          <w:tcPr>
            <w:tcW w:w="907" w:type="dxa"/>
          </w:tcPr>
          <w:p>
            <w:pPr>
              <w:pStyle w:val="0"/>
            </w:pPr>
            <w:r>
              <w:rPr>
                <w:sz w:val="24"/>
              </w:rPr>
              <w:t xml:space="preserve">273.1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273.7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273.9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822" w:name="P14822"/>
          <w:bookmarkEnd w:id="14822"/>
          <w:p>
            <w:pPr>
              <w:pStyle w:val="0"/>
            </w:pPr>
            <w:r>
              <w:rPr>
                <w:sz w:val="24"/>
              </w:rPr>
              <w:t xml:space="preserve">274</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274.1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274.9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866" w:name="P14866"/>
          <w:bookmarkEnd w:id="14866"/>
          <w:p>
            <w:pPr>
              <w:pStyle w:val="0"/>
            </w:pPr>
            <w:r>
              <w:rPr>
                <w:sz w:val="24"/>
              </w:rPr>
              <w:t xml:space="preserve">275</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275.1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dim-int:ID__KontragentaTaxis</w:t>
            </w:r>
          </w:p>
        </w:tc>
      </w:tr>
      <w:tr>
        <w:tc>
          <w:tcPr>
            <w:tcW w:w="907" w:type="dxa"/>
          </w:tcPr>
          <w:p>
            <w:pPr>
              <w:pStyle w:val="0"/>
            </w:pPr>
            <w:r>
              <w:rPr>
                <w:sz w:val="24"/>
              </w:rPr>
              <w:t xml:space="preserve">275.3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275.9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275.10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910" w:name="P14910"/>
          <w:bookmarkEnd w:id="14910"/>
          <w:p>
            <w:pPr>
              <w:pStyle w:val="0"/>
            </w:pPr>
            <w:r>
              <w:rPr>
                <w:sz w:val="24"/>
              </w:rPr>
              <w:t xml:space="preserve">276</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276.1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276.9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276.10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954" w:name="P14954"/>
          <w:bookmarkEnd w:id="14954"/>
          <w:p>
            <w:pPr>
              <w:pStyle w:val="0"/>
            </w:pPr>
            <w:r>
              <w:rPr>
                <w:sz w:val="24"/>
              </w:rPr>
              <w:t xml:space="preserve">277</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277.1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277.7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277.9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277.10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4998" w:name="P14998"/>
          <w:bookmarkEnd w:id="14998"/>
          <w:p>
            <w:pPr>
              <w:pStyle w:val="0"/>
            </w:pPr>
            <w:r>
              <w:rPr>
                <w:sz w:val="24"/>
              </w:rPr>
              <w:t xml:space="preserve">278</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278.1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278.7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278.9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042" w:name="P15042"/>
          <w:bookmarkEnd w:id="15042"/>
          <w:p>
            <w:pPr>
              <w:pStyle w:val="0"/>
            </w:pPr>
            <w:r>
              <w:rPr>
                <w:sz w:val="24"/>
              </w:rPr>
              <w:t xml:space="preserve">279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279.1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279.2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279.3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279.4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279.5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279.6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279.7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279.8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279.9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279.10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5086" w:name="P15086"/>
          <w:bookmarkEnd w:id="15086"/>
          <w:p>
            <w:pPr>
              <w:pStyle w:val="0"/>
              <w:outlineLvl w:val="4"/>
            </w:pPr>
            <w:r>
              <w:rPr>
                <w:sz w:val="24"/>
              </w:rPr>
              <w:t xml:space="preserve">Подраздел 2.17.</w:t>
            </w:r>
          </w:p>
        </w:tc>
        <w:tc>
          <w:tcPr>
            <w:gridSpan w:val="6"/>
            <w:tcW w:w="7370" w:type="dxa"/>
            <w:tcBorders>
              <w:right w:val="single" w:sz="4"/>
            </w:tcBorders>
          </w:tcPr>
          <w:p>
            <w:pPr>
              <w:pStyle w:val="0"/>
            </w:pPr>
            <w:r>
              <w:rPr>
                <w:sz w:val="24"/>
              </w:rPr>
              <w:t xml:space="preserve">Права требования по договорам репо</w:t>
            </w:r>
          </w:p>
        </w:tc>
      </w:tr>
      <w:tr>
        <w:tc>
          <w:tcPr>
            <w:tcW w:w="907" w:type="dxa"/>
          </w:tcPr>
          <w:p>
            <w:pPr>
              <w:pStyle w:val="0"/>
            </w:pPr>
            <w:r>
              <w:rPr>
                <w:sz w:val="24"/>
              </w:rPr>
              <w:t xml:space="preserve">280</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280.1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280.4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280.5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280.6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280.9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280.10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280.11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280.12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281</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281.1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281.4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281.5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281.6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281.9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281.10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281.11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281.12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200" w:name="P15200"/>
          <w:bookmarkEnd w:id="15200"/>
          <w:p>
            <w:pPr>
              <w:pStyle w:val="0"/>
            </w:pPr>
            <w:r>
              <w:rPr>
                <w:sz w:val="24"/>
              </w:rPr>
              <w:t xml:space="preserve">282</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282.1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282.4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282.5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282.6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282.9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282.10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282.11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282.12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282.14</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5260" w:name="P15260"/>
          <w:bookmarkEnd w:id="15260"/>
          <w:p>
            <w:pPr>
              <w:pStyle w:val="0"/>
            </w:pPr>
            <w:r>
              <w:rPr>
                <w:sz w:val="24"/>
              </w:rPr>
              <w:t xml:space="preserve">283</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283.1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283.4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283.5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283.6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283.9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283.10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283.11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283.12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316" w:name="P15316"/>
          <w:bookmarkEnd w:id="15316"/>
          <w:p>
            <w:pPr>
              <w:pStyle w:val="0"/>
            </w:pPr>
            <w:r>
              <w:rPr>
                <w:sz w:val="24"/>
              </w:rPr>
              <w:t xml:space="preserve">284</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284.1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284.4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284.5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284.6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284.8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284.9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dim-int:IDPIatezhTaxis</w:t>
            </w:r>
          </w:p>
        </w:tc>
      </w:tr>
      <w:tr>
        <w:tc>
          <w:tcPr>
            <w:tcW w:w="907" w:type="dxa"/>
          </w:tcPr>
          <w:p>
            <w:pPr>
              <w:pStyle w:val="0"/>
            </w:pPr>
            <w:r>
              <w:rPr>
                <w:sz w:val="24"/>
              </w:rPr>
              <w:t xml:space="preserve">284.10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284.11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284.12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284.13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372" w:name="P15372"/>
          <w:bookmarkEnd w:id="15372"/>
          <w:p>
            <w:pPr>
              <w:pStyle w:val="0"/>
            </w:pPr>
            <w:r>
              <w:rPr>
                <w:sz w:val="24"/>
              </w:rPr>
              <w:t xml:space="preserve">285</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285.1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285.4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285.5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285.6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285.8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285.9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285.10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285.11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285.12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285.13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428" w:name="P15428"/>
          <w:bookmarkEnd w:id="15428"/>
          <w:p>
            <w:pPr>
              <w:pStyle w:val="0"/>
            </w:pPr>
            <w:r>
              <w:rPr>
                <w:sz w:val="24"/>
              </w:rPr>
              <w:t xml:space="preserve">286</w:t>
            </w:r>
          </w:p>
        </w:tc>
        <w:tc>
          <w:tcPr>
            <w:gridSpan w:val="7"/>
            <w:tcW w:w="2608" w:type="dxa"/>
          </w:tcPr>
          <w:p>
            <w:pPr>
              <w:pStyle w:val="0"/>
            </w:pPr>
            <w:r>
              <w:rPr>
                <w:sz w:val="24"/>
              </w:rPr>
              <w:t xml:space="preserve">Предметом договора репо являются активы, предусмотренные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ins-dic:PravTrebUdovlPunkt31126Enumerator</w:t>
            </w:r>
          </w:p>
        </w:tc>
      </w:tr>
      <w:tr>
        <w:tc>
          <w:tcPr>
            <w:tcW w:w="907" w:type="dxa"/>
          </w:tcPr>
          <w:p>
            <w:pPr>
              <w:pStyle w:val="0"/>
            </w:pPr>
            <w:r>
              <w:rPr>
                <w:sz w:val="24"/>
              </w:rPr>
              <w:t xml:space="preserve">286.1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286.4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286.5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286.6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286.8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286.9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286.10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286.11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286.12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286.13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484" w:name="P15484"/>
          <w:bookmarkEnd w:id="15484"/>
          <w:p>
            <w:pPr>
              <w:pStyle w:val="0"/>
            </w:pPr>
            <w:r>
              <w:rPr>
                <w:sz w:val="24"/>
              </w:rPr>
              <w:t xml:space="preserve">287</w:t>
            </w:r>
          </w:p>
        </w:tc>
        <w:tc>
          <w:tcPr>
            <w:gridSpan w:val="7"/>
            <w:tcW w:w="2608" w:type="dxa"/>
          </w:tcPr>
          <w:p>
            <w:pPr>
              <w:pStyle w:val="0"/>
            </w:pPr>
            <w:r>
              <w:rPr>
                <w:sz w:val="24"/>
              </w:rPr>
              <w:t xml:space="preserve">Количество единиц актива</w:t>
            </w:r>
          </w:p>
        </w:tc>
        <w:tc>
          <w:tcPr>
            <w:tcW w:w="2608" w:type="dxa"/>
          </w:tcPr>
          <w:p>
            <w:pPr>
              <w:pStyle w:val="0"/>
            </w:pPr>
            <w:r>
              <w:rPr>
                <w:sz w:val="24"/>
              </w:rPr>
            </w:r>
          </w:p>
        </w:tc>
        <w:tc>
          <w:tcPr>
            <w:tcW w:w="2948" w:type="dxa"/>
          </w:tcPr>
          <w:p>
            <w:pPr>
              <w:pStyle w:val="0"/>
            </w:pPr>
            <w:r>
              <w:rPr>
                <w:sz w:val="24"/>
              </w:rPr>
              <w:t xml:space="preserve">nfo-dic:KolEdinitsAktiva</w:t>
            </w:r>
          </w:p>
        </w:tc>
      </w:tr>
      <w:tr>
        <w:tc>
          <w:tcPr>
            <w:tcW w:w="907" w:type="dxa"/>
          </w:tcPr>
          <w:p>
            <w:pPr>
              <w:pStyle w:val="0"/>
            </w:pPr>
            <w:r>
              <w:rPr>
                <w:sz w:val="24"/>
              </w:rPr>
              <w:t xml:space="preserve">287.1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287.4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287.5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287.6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287.8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287.9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287.10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287.11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287.12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540" w:name="P15540"/>
          <w:bookmarkEnd w:id="15540"/>
          <w:p>
            <w:pPr>
              <w:pStyle w:val="0"/>
            </w:pPr>
            <w:r>
              <w:rPr>
                <w:sz w:val="24"/>
              </w:rPr>
              <w:t xml:space="preserve">288</w:t>
            </w:r>
          </w:p>
        </w:tc>
        <w:tc>
          <w:tcPr>
            <w:gridSpan w:val="7"/>
            <w:tcW w:w="2608" w:type="dxa"/>
          </w:tcPr>
          <w:p>
            <w:pPr>
              <w:pStyle w:val="0"/>
            </w:pPr>
            <w:r>
              <w:rPr>
                <w:sz w:val="24"/>
              </w:rPr>
              <w:t xml:space="preserve">Наличие залога</w:t>
            </w:r>
          </w:p>
        </w:tc>
        <w:tc>
          <w:tcPr>
            <w:tcW w:w="2608" w:type="dxa"/>
          </w:tcPr>
          <w:p>
            <w:pPr>
              <w:pStyle w:val="0"/>
            </w:pPr>
            <w:r>
              <w:rPr>
                <w:sz w:val="24"/>
              </w:rPr>
            </w:r>
          </w:p>
        </w:tc>
        <w:tc>
          <w:tcPr>
            <w:tcW w:w="2948" w:type="dxa"/>
          </w:tcPr>
          <w:p>
            <w:pPr>
              <w:pStyle w:val="0"/>
            </w:pPr>
            <w:r>
              <w:rPr>
                <w:sz w:val="24"/>
              </w:rPr>
              <w:t xml:space="preserve">ins-dic:NalichZalogEnumerator</w:t>
            </w:r>
          </w:p>
        </w:tc>
      </w:tr>
      <w:tr>
        <w:tc>
          <w:tcPr>
            <w:tcW w:w="907" w:type="dxa"/>
          </w:tcPr>
          <w:p>
            <w:pPr>
              <w:pStyle w:val="0"/>
            </w:pPr>
            <w:r>
              <w:rPr>
                <w:sz w:val="24"/>
              </w:rPr>
              <w:t xml:space="preserve">288.1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288.4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288.5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288.6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288.8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288.9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288.10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288.11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288.12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596" w:name="P15596"/>
          <w:bookmarkEnd w:id="15596"/>
          <w:p>
            <w:pPr>
              <w:pStyle w:val="0"/>
            </w:pPr>
            <w:r>
              <w:rPr>
                <w:sz w:val="24"/>
              </w:rPr>
              <w:t xml:space="preserve">289</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289.1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289.2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289.3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289.4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289.5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289.6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289.7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289.8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289.9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289.10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289.11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289.12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289.13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652" w:name="P15652"/>
          <w:bookmarkEnd w:id="15652"/>
          <w:p>
            <w:pPr>
              <w:pStyle w:val="0"/>
            </w:pPr>
            <w:r>
              <w:rPr>
                <w:sz w:val="24"/>
              </w:rPr>
              <w:t xml:space="preserve">290</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290.1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290.4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290.5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290.6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290.7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290.8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290.9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290.10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290.11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290.12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708" w:name="P15708"/>
          <w:bookmarkEnd w:id="15708"/>
          <w:p>
            <w:pPr>
              <w:pStyle w:val="0"/>
            </w:pPr>
            <w:r>
              <w:rPr>
                <w:sz w:val="24"/>
              </w:rPr>
              <w:t xml:space="preserve">291</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ins-dic:VIRiskRostValKurs</w:t>
            </w:r>
          </w:p>
        </w:tc>
      </w:tr>
      <w:tr>
        <w:tc>
          <w:tcPr>
            <w:tcW w:w="907" w:type="dxa"/>
          </w:tcPr>
          <w:p>
            <w:pPr>
              <w:pStyle w:val="0"/>
            </w:pPr>
            <w:r>
              <w:rPr>
                <w:sz w:val="24"/>
              </w:rPr>
              <w:t xml:space="preserve">291.1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291.4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291.5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291.6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291.7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291.8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291.9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291.10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291.11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291.12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764" w:name="P15764"/>
          <w:bookmarkEnd w:id="15764"/>
          <w:p>
            <w:pPr>
              <w:pStyle w:val="0"/>
            </w:pPr>
            <w:r>
              <w:rPr>
                <w:sz w:val="24"/>
              </w:rPr>
              <w:t xml:space="preserve">292</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292.1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292.4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292.5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292.6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292.7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292.8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292.9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292.10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292.11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292.12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292.13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820" w:name="P15820"/>
          <w:bookmarkEnd w:id="15820"/>
          <w:p>
            <w:pPr>
              <w:pStyle w:val="0"/>
            </w:pPr>
            <w:r>
              <w:rPr>
                <w:sz w:val="24"/>
              </w:rPr>
              <w:t xml:space="preserve">293</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293.1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293.4</w:t>
            </w:r>
          </w:p>
        </w:tc>
        <w:tc>
          <w:tcPr>
            <w:gridSpan w:val="7"/>
            <w:tcW w:w="2608" w:type="dxa"/>
          </w:tcPr>
          <w:p>
            <w:pPr>
              <w:pStyle w:val="0"/>
            </w:pPr>
            <w:r>
              <w:rPr>
                <w:sz w:val="24"/>
              </w:rPr>
            </w:r>
          </w:p>
        </w:tc>
        <w:tc>
          <w:tcPr>
            <w:tcW w:w="2608" w:type="dxa"/>
          </w:tcPr>
          <w:p>
            <w:pPr>
              <w:pStyle w:val="0"/>
            </w:pPr>
            <w:r>
              <w:rPr>
                <w:sz w:val="24"/>
              </w:rPr>
              <w:t xml:space="preserve">Идентификатор эмитента</w:t>
            </w:r>
          </w:p>
        </w:tc>
        <w:tc>
          <w:tcPr>
            <w:tcW w:w="2948" w:type="dxa"/>
          </w:tcPr>
          <w:p>
            <w:pPr>
              <w:pStyle w:val="0"/>
            </w:pPr>
            <w:r>
              <w:rPr>
                <w:sz w:val="24"/>
              </w:rPr>
              <w:t xml:space="preserve">dim-int:IDEmitentaTaxis</w:t>
            </w:r>
          </w:p>
        </w:tc>
      </w:tr>
      <w:tr>
        <w:tc>
          <w:tcPr>
            <w:tcW w:w="907" w:type="dxa"/>
          </w:tcPr>
          <w:p>
            <w:pPr>
              <w:pStyle w:val="0"/>
            </w:pPr>
            <w:r>
              <w:rPr>
                <w:sz w:val="24"/>
              </w:rPr>
              <w:t xml:space="preserve">293.5</w:t>
            </w:r>
          </w:p>
        </w:tc>
        <w:tc>
          <w:tcPr>
            <w:gridSpan w:val="7"/>
            <w:tcW w:w="2608" w:type="dxa"/>
          </w:tcPr>
          <w:p>
            <w:pPr>
              <w:pStyle w:val="0"/>
            </w:pPr>
            <w:r>
              <w:rPr>
                <w:sz w:val="24"/>
              </w:rPr>
            </w:r>
          </w:p>
        </w:tc>
        <w:tc>
          <w:tcPr>
            <w:tcW w:w="2608" w:type="dxa"/>
          </w:tcPr>
          <w:p>
            <w:pPr>
              <w:pStyle w:val="0"/>
            </w:pPr>
            <w:r>
              <w:rPr>
                <w:sz w:val="24"/>
              </w:rPr>
              <w:t xml:space="preserve">Идентификатор ценной бумаги</w:t>
            </w:r>
          </w:p>
        </w:tc>
        <w:tc>
          <w:tcPr>
            <w:tcW w:w="2948" w:type="dxa"/>
          </w:tcPr>
          <w:p>
            <w:pPr>
              <w:pStyle w:val="0"/>
            </w:pPr>
            <w:r>
              <w:rPr>
                <w:sz w:val="24"/>
              </w:rPr>
              <w:t xml:space="preserve">dim-int:ID_CzennojBumagiTaxis</w:t>
            </w:r>
          </w:p>
        </w:tc>
      </w:tr>
      <w:tr>
        <w:tc>
          <w:tcPr>
            <w:tcW w:w="907" w:type="dxa"/>
          </w:tcPr>
          <w:p>
            <w:pPr>
              <w:pStyle w:val="0"/>
            </w:pPr>
            <w:r>
              <w:rPr>
                <w:sz w:val="24"/>
              </w:rPr>
              <w:t xml:space="preserve">293.6</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293.7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293.8</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293.9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293.10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293.11</w:t>
            </w:r>
          </w:p>
        </w:tc>
        <w:tc>
          <w:tcPr>
            <w:gridSpan w:val="7"/>
            <w:tcW w:w="2608" w:type="dxa"/>
          </w:tcPr>
          <w:p>
            <w:pPr>
              <w:pStyle w:val="0"/>
            </w:pPr>
            <w:r>
              <w:rPr>
                <w:sz w:val="24"/>
              </w:rPr>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293.12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293.13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5876" w:name="P15876"/>
          <w:bookmarkEnd w:id="15876"/>
          <w:p>
            <w:pPr>
              <w:pStyle w:val="0"/>
              <w:outlineLvl w:val="4"/>
            </w:pPr>
            <w:r>
              <w:rPr>
                <w:sz w:val="24"/>
              </w:rPr>
              <w:t xml:space="preserve">Подраздел 2.18.</w:t>
            </w:r>
          </w:p>
        </w:tc>
        <w:tc>
          <w:tcPr>
            <w:gridSpan w:val="6"/>
            <w:tcW w:w="7370" w:type="dxa"/>
            <w:tcBorders>
              <w:right w:val="single" w:sz="4"/>
            </w:tcBorders>
          </w:tcPr>
          <w:p>
            <w:pPr>
              <w:pStyle w:val="0"/>
            </w:pPr>
            <w:r>
              <w:rPr>
                <w:sz w:val="24"/>
              </w:rPr>
              <w:t xml:space="preserve">Права требования к страховым агентам и страховым брокерам по перечислению страховых премий (взносов), неучтенные в страховых резервах</w:t>
            </w:r>
          </w:p>
        </w:tc>
      </w:tr>
      <w:tr>
        <w:tblPrEx>
          <w:tblBorders>
            <w:insideV w:val="nil"/>
          </w:tblBorders>
        </w:tblPrEx>
        <w:tc>
          <w:tcPr>
            <w:gridSpan w:val="4"/>
            <w:tcW w:w="1701" w:type="dxa"/>
            <w:tcBorders>
              <w:left w:val="single" w:sz="4"/>
            </w:tcBorders>
          </w:tcPr>
          <w:bookmarkStart w:id="15878" w:name="P15878"/>
          <w:bookmarkEnd w:id="15878"/>
          <w:p>
            <w:pPr>
              <w:pStyle w:val="0"/>
              <w:outlineLvl w:val="5"/>
            </w:pPr>
            <w:r>
              <w:rPr>
                <w:sz w:val="24"/>
              </w:rPr>
              <w:t xml:space="preserve">Подраздел 2.18.1.</w:t>
            </w:r>
          </w:p>
        </w:tc>
        <w:tc>
          <w:tcPr>
            <w:gridSpan w:val="6"/>
            <w:tcW w:w="7370" w:type="dxa"/>
            <w:tcBorders>
              <w:right w:val="single" w:sz="4"/>
            </w:tcBorders>
          </w:tcPr>
          <w:p>
            <w:pPr>
              <w:pStyle w:val="0"/>
            </w:pPr>
            <w:r>
              <w:rPr>
                <w:sz w:val="24"/>
              </w:rPr>
              <w:t xml:space="preserve">По обязанным лицам, отнесенным к первой - третьей категориям контрагентов (кроме обязанных лиц, отраженных в </w:t>
            </w:r>
            <w:hyperlink w:history="0" w:anchor="P16508" w:tooltip="Подраздел 2.18.2.">
              <w:r>
                <w:rPr>
                  <w:sz w:val="24"/>
                  <w:color w:val="0000ff"/>
                </w:rPr>
                <w:t xml:space="preserve">подразделе 2.18.2</w:t>
              </w:r>
            </w:hyperlink>
            <w:r>
              <w:rPr>
                <w:sz w:val="24"/>
              </w:rPr>
              <w:t xml:space="preserve">) или не участвующим в оценке риска 2</w:t>
            </w:r>
          </w:p>
        </w:tc>
      </w:tr>
      <w:tr>
        <w:tc>
          <w:tcPr>
            <w:tcW w:w="907" w:type="dxa"/>
          </w:tcPr>
          <w:bookmarkStart w:id="15880" w:name="P15880"/>
          <w:bookmarkEnd w:id="15880"/>
          <w:p>
            <w:pPr>
              <w:pStyle w:val="0"/>
            </w:pPr>
            <w:r>
              <w:rPr>
                <w:sz w:val="24"/>
              </w:rPr>
              <w:t xml:space="preserve">294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294.1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294.2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294.3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294.4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294.5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294.6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294.8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294.10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294.12</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5932" w:name="P15932"/>
          <w:bookmarkEnd w:id="15932"/>
          <w:p>
            <w:pPr>
              <w:pStyle w:val="0"/>
            </w:pPr>
            <w:r>
              <w:rPr>
                <w:sz w:val="24"/>
              </w:rPr>
              <w:t xml:space="preserve">295</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295.1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295.2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295.3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295.4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295.5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295.6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295.8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295.9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295.10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295.11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5980" w:name="P15980"/>
          <w:bookmarkEnd w:id="15980"/>
          <w:p>
            <w:pPr>
              <w:pStyle w:val="0"/>
            </w:pPr>
            <w:r>
              <w:rPr>
                <w:sz w:val="24"/>
              </w:rPr>
              <w:t xml:space="preserve">296</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296.1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296.2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296.3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296.4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296.5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296.6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296.8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dim-int:IDPIatezhTaxis</w:t>
            </w:r>
          </w:p>
        </w:tc>
      </w:tr>
      <w:tr>
        <w:tc>
          <w:tcPr>
            <w:tcW w:w="907" w:type="dxa"/>
          </w:tcPr>
          <w:p>
            <w:pPr>
              <w:pStyle w:val="0"/>
            </w:pPr>
            <w:r>
              <w:rPr>
                <w:sz w:val="24"/>
              </w:rPr>
              <w:t xml:space="preserve">296.9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296.10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296.11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028" w:name="P16028"/>
          <w:bookmarkEnd w:id="16028"/>
          <w:p>
            <w:pPr>
              <w:pStyle w:val="0"/>
            </w:pPr>
            <w:r>
              <w:rPr>
                <w:sz w:val="24"/>
              </w:rPr>
              <w:t xml:space="preserve">297</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297.1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297.2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297.3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297.4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297.5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297.6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297.8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297.9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297.10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297.11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076" w:name="P16076"/>
          <w:bookmarkEnd w:id="16076"/>
          <w:p>
            <w:pPr>
              <w:pStyle w:val="0"/>
            </w:pPr>
            <w:r>
              <w:rPr>
                <w:sz w:val="24"/>
              </w:rPr>
              <w:t xml:space="preserve">298</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298.1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298.2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298.3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298.4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298.5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298.6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dim-mt:Identifikator_ATaxis</w:t>
            </w:r>
          </w:p>
        </w:tc>
      </w:tr>
      <w:tr>
        <w:tc>
          <w:tcPr>
            <w:tcW w:w="907" w:type="dxa"/>
          </w:tcPr>
          <w:p>
            <w:pPr>
              <w:pStyle w:val="0"/>
            </w:pPr>
            <w:r>
              <w:rPr>
                <w:sz w:val="24"/>
              </w:rPr>
              <w:t xml:space="preserve">298.7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298.8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298.9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298.10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298.11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124" w:name="P16124"/>
          <w:bookmarkEnd w:id="16124"/>
          <w:p>
            <w:pPr>
              <w:pStyle w:val="0"/>
            </w:pPr>
            <w:r>
              <w:rPr>
                <w:sz w:val="24"/>
              </w:rPr>
              <w:t xml:space="preserve">299</w:t>
            </w:r>
          </w:p>
        </w:tc>
        <w:tc>
          <w:tcPr>
            <w:gridSpan w:val="7"/>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608" w:type="dxa"/>
          </w:tcPr>
          <w:p>
            <w:pPr>
              <w:pStyle w:val="0"/>
            </w:pPr>
            <w:r>
              <w:rPr>
                <w:sz w:val="24"/>
              </w:rPr>
            </w:r>
          </w:p>
        </w:tc>
        <w:tc>
          <w:tcPr>
            <w:tcW w:w="2948" w:type="dxa"/>
          </w:tcPr>
          <w:p>
            <w:pPr>
              <w:pStyle w:val="0"/>
            </w:pPr>
            <w:r>
              <w:rPr>
                <w:sz w:val="24"/>
              </w:rPr>
              <w:t xml:space="preserve">ins-dic:PravTrebUdovlPunkt31127Enumerator</w:t>
            </w:r>
          </w:p>
        </w:tc>
      </w:tr>
      <w:tr>
        <w:tc>
          <w:tcPr>
            <w:tcW w:w="907" w:type="dxa"/>
          </w:tcPr>
          <w:p>
            <w:pPr>
              <w:pStyle w:val="0"/>
            </w:pPr>
            <w:r>
              <w:rPr>
                <w:sz w:val="24"/>
              </w:rPr>
              <w:t xml:space="preserve">299.1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299.2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299.3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299.4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299.5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299.6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299.7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299.8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299.9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299.10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299.11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172" w:name="P16172"/>
          <w:bookmarkEnd w:id="16172"/>
          <w:p>
            <w:pPr>
              <w:pStyle w:val="0"/>
            </w:pPr>
            <w:r>
              <w:rPr>
                <w:sz w:val="24"/>
              </w:rPr>
              <w:t xml:space="preserve">300</w:t>
            </w:r>
          </w:p>
        </w:tc>
        <w:tc>
          <w:tcPr>
            <w:gridSpan w:val="7"/>
            <w:tcW w:w="2608" w:type="dxa"/>
          </w:tcPr>
          <w:p>
            <w:pPr>
              <w:pStyle w:val="0"/>
            </w:pPr>
            <w:r>
              <w:rPr>
                <w:sz w:val="24"/>
              </w:rPr>
              <w:t xml:space="preserve">Установлен срок, соответствующий предельному сроку для определения задолженности перед страховщиком</w:t>
            </w:r>
          </w:p>
        </w:tc>
        <w:tc>
          <w:tcPr>
            <w:tcW w:w="2608" w:type="dxa"/>
          </w:tcPr>
          <w:p>
            <w:pPr>
              <w:pStyle w:val="0"/>
            </w:pPr>
            <w:r>
              <w:rPr>
                <w:sz w:val="24"/>
              </w:rPr>
            </w:r>
          </w:p>
        </w:tc>
        <w:tc>
          <w:tcPr>
            <w:tcW w:w="2948" w:type="dxa"/>
          </w:tcPr>
          <w:p>
            <w:pPr>
              <w:pStyle w:val="0"/>
            </w:pPr>
            <w:r>
              <w:rPr>
                <w:sz w:val="24"/>
              </w:rPr>
              <w:t xml:space="preserve">ins-dic:UstPredSrokSootvTab10Pril2_710PEnumerator</w:t>
            </w:r>
          </w:p>
        </w:tc>
      </w:tr>
      <w:tr>
        <w:tc>
          <w:tcPr>
            <w:tcW w:w="907" w:type="dxa"/>
          </w:tcPr>
          <w:p>
            <w:pPr>
              <w:pStyle w:val="0"/>
            </w:pPr>
            <w:r>
              <w:rPr>
                <w:sz w:val="24"/>
              </w:rPr>
              <w:t xml:space="preserve">300.1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300.2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300.3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300.4</w:t>
            </w:r>
          </w:p>
        </w:tc>
        <w:tc>
          <w:tcPr>
            <w:gridSpan w:val="7"/>
            <w:tcW w:w="2608" w:type="dxa"/>
          </w:tcPr>
          <w:p>
            <w:pPr>
              <w:pStyle w:val="0"/>
            </w:pPr>
            <w:r>
              <w:rPr>
                <w:sz w:val="24"/>
              </w:rPr>
            </w:r>
          </w:p>
        </w:tc>
        <w:tc>
          <w:tcPr>
            <w:tcW w:w="2608" w:type="dxa"/>
            <w:tcBorders>
              <w:right w:val="nil"/>
            </w:tcBorders>
          </w:tcPr>
          <w:p>
            <w:pPr>
              <w:pStyle w:val="0"/>
            </w:pPr>
            <w:r>
              <w:rPr>
                <w:sz w:val="24"/>
              </w:rPr>
              <w:t xml:space="preserve">Код валюты</w:t>
            </w:r>
          </w:p>
        </w:tc>
        <w:tc>
          <w:tcPr>
            <w:tcW w:w="2948" w:type="dxa"/>
            <w:tcBorders>
              <w:left w:val="nil"/>
            </w:tcBorders>
          </w:tcPr>
          <w:p>
            <w:pPr>
              <w:pStyle w:val="0"/>
            </w:pPr>
            <w:r>
              <w:rPr>
                <w:sz w:val="24"/>
              </w:rPr>
              <w:t xml:space="preserve">dim-int:Kod_ValyutyAxis</w:t>
            </w:r>
          </w:p>
        </w:tc>
      </w:tr>
      <w:tr>
        <w:tc>
          <w:tcPr>
            <w:tcW w:w="907" w:type="dxa"/>
          </w:tcPr>
          <w:p>
            <w:pPr>
              <w:pStyle w:val="0"/>
            </w:pPr>
            <w:r>
              <w:rPr>
                <w:sz w:val="24"/>
              </w:rPr>
              <w:t xml:space="preserve">300.5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300.6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300.8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300.9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300.10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300.11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220" w:name="P16220"/>
          <w:bookmarkEnd w:id="16220"/>
          <w:p>
            <w:pPr>
              <w:pStyle w:val="0"/>
            </w:pPr>
            <w:r>
              <w:rPr>
                <w:sz w:val="24"/>
              </w:rPr>
              <w:t xml:space="preserve">301</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301.1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dim-int:KIassAktAxis</w:t>
            </w:r>
          </w:p>
        </w:tc>
      </w:tr>
      <w:tr>
        <w:tc>
          <w:tcPr>
            <w:tcW w:w="907" w:type="dxa"/>
          </w:tcPr>
          <w:p>
            <w:pPr>
              <w:pStyle w:val="0"/>
            </w:pPr>
            <w:r>
              <w:rPr>
                <w:sz w:val="24"/>
              </w:rPr>
              <w:t xml:space="preserve">301.2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301.3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301.4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301.5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301.6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301.8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301.9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301.10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301.11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268" w:name="P16268"/>
          <w:bookmarkEnd w:id="16268"/>
          <w:p>
            <w:pPr>
              <w:pStyle w:val="0"/>
            </w:pPr>
            <w:r>
              <w:rPr>
                <w:sz w:val="24"/>
              </w:rPr>
              <w:t xml:space="preserve">302</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302.1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302.2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302.3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302.4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302.5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302.6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302.8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302.9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302.10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302.11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316" w:name="P16316"/>
          <w:bookmarkEnd w:id="16316"/>
          <w:p>
            <w:pPr>
              <w:pStyle w:val="0"/>
            </w:pPr>
            <w:r>
              <w:rPr>
                <w:sz w:val="24"/>
              </w:rPr>
              <w:t xml:space="preserve">303</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303.1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303.2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303.3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303.4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303.5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303.6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303.8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303.9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303.10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303.11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364" w:name="P16364"/>
          <w:bookmarkEnd w:id="16364"/>
          <w:p>
            <w:pPr>
              <w:pStyle w:val="0"/>
            </w:pPr>
            <w:r>
              <w:rPr>
                <w:sz w:val="24"/>
              </w:rPr>
              <w:t xml:space="preserve">304</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304.1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304.2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304.3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304.4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304.5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304.6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304.8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304.9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304.10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412" w:name="P16412"/>
          <w:bookmarkEnd w:id="16412"/>
          <w:p>
            <w:pPr>
              <w:pStyle w:val="0"/>
            </w:pPr>
            <w:r>
              <w:rPr>
                <w:sz w:val="24"/>
              </w:rPr>
              <w:t xml:space="preserve">305</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305.1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305.2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305.3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305.4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305.5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305.6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305.8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305.9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305.10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305.11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460" w:name="P16460"/>
          <w:bookmarkEnd w:id="16460"/>
          <w:p>
            <w:pPr>
              <w:pStyle w:val="0"/>
            </w:pPr>
            <w:r>
              <w:rPr>
                <w:sz w:val="24"/>
              </w:rPr>
              <w:t xml:space="preserve">306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306.1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306.2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306.3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306.4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dim-int:KodValyutyAxis</w:t>
            </w:r>
          </w:p>
        </w:tc>
      </w:tr>
      <w:tr>
        <w:tc>
          <w:tcPr>
            <w:tcW w:w="907" w:type="dxa"/>
          </w:tcPr>
          <w:p>
            <w:pPr>
              <w:pStyle w:val="0"/>
            </w:pPr>
            <w:r>
              <w:rPr>
                <w:sz w:val="24"/>
              </w:rPr>
              <w:t xml:space="preserve">306.5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306.6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306.7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306.8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306.9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306.10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306.11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6508" w:name="P16508"/>
          <w:bookmarkEnd w:id="16508"/>
          <w:p>
            <w:pPr>
              <w:pStyle w:val="0"/>
              <w:outlineLvl w:val="5"/>
            </w:pPr>
            <w:r>
              <w:rPr>
                <w:sz w:val="24"/>
              </w:rPr>
              <w:t xml:space="preserve">Подраздел 2.18.2.</w:t>
            </w:r>
          </w:p>
        </w:tc>
        <w:tc>
          <w:tcPr>
            <w:gridSpan w:val="6"/>
            <w:tcW w:w="7370" w:type="dxa"/>
            <w:tcBorders>
              <w:right w:val="single" w:sz="4"/>
            </w:tcBorders>
          </w:tcPr>
          <w:p>
            <w:pPr>
              <w:pStyle w:val="0"/>
            </w:pPr>
            <w:r>
              <w:rPr>
                <w:sz w:val="24"/>
              </w:rPr>
              <w:t xml:space="preserve">По обязанным лицам, отнесенным ко второй - пятой категориям контрагентов</w:t>
            </w:r>
          </w:p>
        </w:tc>
      </w:tr>
      <w:tr>
        <w:tc>
          <w:tcPr>
            <w:tcW w:w="907" w:type="dxa"/>
          </w:tcPr>
          <w:bookmarkStart w:id="16510" w:name="P16510"/>
          <w:bookmarkEnd w:id="16510"/>
          <w:p>
            <w:pPr>
              <w:pStyle w:val="0"/>
            </w:pPr>
            <w:r>
              <w:rPr>
                <w:sz w:val="24"/>
              </w:rPr>
              <w:t xml:space="preserve">307</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307.1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307.2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307.3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307.4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307.5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307.6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307.7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307.8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948" w:type="dxa"/>
          </w:tcPr>
          <w:p>
            <w:pPr>
              <w:pStyle w:val="0"/>
            </w:pPr>
            <w:r>
              <w:rPr>
                <w:sz w:val="24"/>
              </w:rPr>
              <w:t xml:space="preserve">dim-int:PravTrebUdovlPunkt31127Axis</w:t>
            </w:r>
          </w:p>
        </w:tc>
      </w:tr>
      <w:tr>
        <w:tc>
          <w:tcPr>
            <w:tcW w:w="907" w:type="dxa"/>
          </w:tcPr>
          <w:p>
            <w:pPr>
              <w:pStyle w:val="0"/>
            </w:pPr>
            <w:r>
              <w:rPr>
                <w:sz w:val="24"/>
              </w:rPr>
              <w:t xml:space="preserve">307.9</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307.10</w:t>
            </w:r>
          </w:p>
        </w:tc>
        <w:tc>
          <w:tcPr>
            <w:gridSpan w:val="7"/>
            <w:tcW w:w="2608" w:type="dxa"/>
          </w:tcPr>
          <w:p>
            <w:pPr>
              <w:pStyle w:val="0"/>
            </w:pPr>
            <w:r>
              <w:rPr>
                <w:sz w:val="24"/>
              </w:rPr>
            </w:r>
          </w:p>
        </w:tc>
        <w:tc>
          <w:tcPr>
            <w:tcW w:w="2608" w:type="dxa"/>
          </w:tcPr>
          <w:p>
            <w:pPr>
              <w:pStyle w:val="0"/>
            </w:pPr>
            <w:r>
              <w:rPr>
                <w:sz w:val="24"/>
              </w:rPr>
              <w:t xml:space="preserve">Установлен срок, соответствующий предельному сроку для определения задолженности перед страховщиком</w:t>
            </w:r>
          </w:p>
        </w:tc>
        <w:tc>
          <w:tcPr>
            <w:tcW w:w="2948" w:type="dxa"/>
          </w:tcPr>
          <w:p>
            <w:pPr>
              <w:pStyle w:val="0"/>
            </w:pPr>
            <w:r>
              <w:rPr>
                <w:sz w:val="24"/>
              </w:rPr>
              <w:t xml:space="preserve">dim-int:UstPredSrokSootvTab10Pril2PolN710PAxis</w:t>
            </w:r>
          </w:p>
        </w:tc>
      </w:tr>
      <w:tr>
        <w:tc>
          <w:tcPr>
            <w:tcW w:w="907" w:type="dxa"/>
          </w:tcPr>
          <w:p>
            <w:pPr>
              <w:pStyle w:val="0"/>
            </w:pPr>
            <w:r>
              <w:rPr>
                <w:sz w:val="24"/>
              </w:rPr>
              <w:t xml:space="preserve">307.11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307.12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307.13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307.14</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307.15</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6574" w:name="P16574"/>
          <w:bookmarkEnd w:id="16574"/>
          <w:p>
            <w:pPr>
              <w:pStyle w:val="0"/>
            </w:pPr>
            <w:r>
              <w:rPr>
                <w:sz w:val="24"/>
              </w:rPr>
              <w:t xml:space="preserve">308</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308.1</w:t>
            </w:r>
          </w:p>
        </w:tc>
        <w:tc>
          <w:tcPr>
            <w:gridSpan w:val="7"/>
            <w:tcW w:w="2608" w:type="dxa"/>
            <w:tcBorders>
              <w:right w:val="nil"/>
            </w:tcBorders>
          </w:tcPr>
          <w:p>
            <w:pPr>
              <w:pStyle w:val="0"/>
            </w:pPr>
            <w:r>
              <w:rPr>
                <w:sz w:val="24"/>
              </w:rPr>
            </w:r>
          </w:p>
        </w:tc>
        <w:tc>
          <w:tcPr>
            <w:tcW w:w="2608" w:type="dxa"/>
            <w:tcBorders>
              <w:left w:val="nil"/>
            </w:tcBorders>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308.2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308.3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308.4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308.5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308.6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308.7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308.8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948" w:type="dxa"/>
          </w:tcPr>
          <w:p>
            <w:pPr>
              <w:pStyle w:val="0"/>
            </w:pPr>
            <w:r>
              <w:rPr>
                <w:sz w:val="24"/>
              </w:rPr>
              <w:t xml:space="preserve">dim-int:PravTrebUdovlPunkt31127Axis</w:t>
            </w:r>
          </w:p>
        </w:tc>
      </w:tr>
      <w:tr>
        <w:tc>
          <w:tcPr>
            <w:tcW w:w="907" w:type="dxa"/>
          </w:tcPr>
          <w:p>
            <w:pPr>
              <w:pStyle w:val="0"/>
            </w:pPr>
            <w:r>
              <w:rPr>
                <w:sz w:val="24"/>
              </w:rPr>
              <w:t xml:space="preserve">308.9</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308.10</w:t>
            </w:r>
          </w:p>
        </w:tc>
        <w:tc>
          <w:tcPr>
            <w:gridSpan w:val="7"/>
            <w:tcW w:w="2608" w:type="dxa"/>
          </w:tcPr>
          <w:p>
            <w:pPr>
              <w:pStyle w:val="0"/>
            </w:pPr>
            <w:r>
              <w:rPr>
                <w:sz w:val="24"/>
              </w:rPr>
            </w:r>
          </w:p>
        </w:tc>
        <w:tc>
          <w:tcPr>
            <w:tcW w:w="2608" w:type="dxa"/>
          </w:tcPr>
          <w:p>
            <w:pPr>
              <w:pStyle w:val="0"/>
            </w:pPr>
            <w:r>
              <w:rPr>
                <w:sz w:val="24"/>
              </w:rPr>
              <w:t xml:space="preserve">Установлен срок, соответствующий предельному сроку для определения задолженности перед страховщиком</w:t>
            </w:r>
          </w:p>
        </w:tc>
        <w:tc>
          <w:tcPr>
            <w:tcW w:w="2948" w:type="dxa"/>
          </w:tcPr>
          <w:p>
            <w:pPr>
              <w:pStyle w:val="0"/>
            </w:pPr>
            <w:r>
              <w:rPr>
                <w:sz w:val="24"/>
              </w:rPr>
              <w:t xml:space="preserve">dim-int:UstPredSrokSootvTab10Pril2PolN710PAxis</w:t>
            </w:r>
          </w:p>
        </w:tc>
      </w:tr>
      <w:tr>
        <w:tc>
          <w:tcPr>
            <w:tcW w:w="907" w:type="dxa"/>
          </w:tcPr>
          <w:p>
            <w:pPr>
              <w:pStyle w:val="0"/>
            </w:pPr>
            <w:r>
              <w:rPr>
                <w:sz w:val="24"/>
              </w:rPr>
              <w:t xml:space="preserve">308.11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308.12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308.13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308.14</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16634" w:name="P16634"/>
          <w:bookmarkEnd w:id="16634"/>
          <w:p>
            <w:pPr>
              <w:pStyle w:val="0"/>
            </w:pPr>
            <w:r>
              <w:rPr>
                <w:sz w:val="24"/>
              </w:rPr>
              <w:t xml:space="preserve">309</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309.1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309.2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309.3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309.4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309.5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309.6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309.7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309.8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948" w:type="dxa"/>
          </w:tcPr>
          <w:p>
            <w:pPr>
              <w:pStyle w:val="0"/>
            </w:pPr>
            <w:r>
              <w:rPr>
                <w:sz w:val="24"/>
              </w:rPr>
              <w:t xml:space="preserve">dim-int:PravTrebUdovlPunkt31127Axis</w:t>
            </w:r>
          </w:p>
        </w:tc>
      </w:tr>
      <w:tr>
        <w:tc>
          <w:tcPr>
            <w:tcW w:w="907" w:type="dxa"/>
          </w:tcPr>
          <w:p>
            <w:pPr>
              <w:pStyle w:val="0"/>
            </w:pPr>
            <w:r>
              <w:rPr>
                <w:sz w:val="24"/>
              </w:rPr>
              <w:t xml:space="preserve">309.9</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309.10</w:t>
            </w:r>
          </w:p>
        </w:tc>
        <w:tc>
          <w:tcPr>
            <w:gridSpan w:val="7"/>
            <w:tcW w:w="2608" w:type="dxa"/>
          </w:tcPr>
          <w:p>
            <w:pPr>
              <w:pStyle w:val="0"/>
            </w:pPr>
            <w:r>
              <w:rPr>
                <w:sz w:val="24"/>
              </w:rPr>
            </w:r>
          </w:p>
        </w:tc>
        <w:tc>
          <w:tcPr>
            <w:tcW w:w="2608" w:type="dxa"/>
          </w:tcPr>
          <w:p>
            <w:pPr>
              <w:pStyle w:val="0"/>
            </w:pPr>
            <w:r>
              <w:rPr>
                <w:sz w:val="24"/>
              </w:rPr>
              <w:t xml:space="preserve">Установлен срок, соответствующий предельному сроку для определения задолженности перед страховщиком</w:t>
            </w:r>
          </w:p>
        </w:tc>
        <w:tc>
          <w:tcPr>
            <w:tcW w:w="2948" w:type="dxa"/>
          </w:tcPr>
          <w:p>
            <w:pPr>
              <w:pStyle w:val="0"/>
            </w:pPr>
            <w:r>
              <w:rPr>
                <w:sz w:val="24"/>
              </w:rPr>
              <w:t xml:space="preserve">dim-int:UstPredSrokSootvTab10Pril2Pol710PAxis</w:t>
            </w:r>
          </w:p>
        </w:tc>
      </w:tr>
      <w:tr>
        <w:tc>
          <w:tcPr>
            <w:tcW w:w="907" w:type="dxa"/>
          </w:tcPr>
          <w:p>
            <w:pPr>
              <w:pStyle w:val="0"/>
            </w:pPr>
            <w:r>
              <w:rPr>
                <w:sz w:val="24"/>
              </w:rPr>
              <w:t xml:space="preserve">309.11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309.12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309.13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309.14</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16694" w:name="P16694"/>
          <w:bookmarkEnd w:id="16694"/>
          <w:p>
            <w:pPr>
              <w:pStyle w:val="0"/>
            </w:pPr>
            <w:r>
              <w:rPr>
                <w:sz w:val="24"/>
              </w:rPr>
              <w:t xml:space="preserve">310</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310.1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310.2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310.3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310.4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310.5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310.6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310.7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310.8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948" w:type="dxa"/>
          </w:tcPr>
          <w:p>
            <w:pPr>
              <w:pStyle w:val="0"/>
            </w:pPr>
            <w:r>
              <w:rPr>
                <w:sz w:val="24"/>
              </w:rPr>
              <w:t xml:space="preserve">dim-int:PravTrebUdovlPunkt31127Axis</w:t>
            </w:r>
          </w:p>
        </w:tc>
      </w:tr>
      <w:tr>
        <w:tc>
          <w:tcPr>
            <w:tcW w:w="907" w:type="dxa"/>
          </w:tcPr>
          <w:p>
            <w:pPr>
              <w:pStyle w:val="0"/>
            </w:pPr>
            <w:r>
              <w:rPr>
                <w:sz w:val="24"/>
              </w:rPr>
              <w:t xml:space="preserve">310.9</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310.10</w:t>
            </w:r>
          </w:p>
        </w:tc>
        <w:tc>
          <w:tcPr>
            <w:gridSpan w:val="7"/>
            <w:tcW w:w="2608" w:type="dxa"/>
          </w:tcPr>
          <w:p>
            <w:pPr>
              <w:pStyle w:val="0"/>
            </w:pPr>
            <w:r>
              <w:rPr>
                <w:sz w:val="24"/>
              </w:rPr>
            </w:r>
          </w:p>
        </w:tc>
        <w:tc>
          <w:tcPr>
            <w:tcW w:w="2608" w:type="dxa"/>
          </w:tcPr>
          <w:p>
            <w:pPr>
              <w:pStyle w:val="0"/>
            </w:pPr>
            <w:r>
              <w:rPr>
                <w:sz w:val="24"/>
              </w:rPr>
              <w:t xml:space="preserve">Установлен срок, соответствующий предельному сроку для определения задолженности перед страховщиком</w:t>
            </w:r>
          </w:p>
        </w:tc>
        <w:tc>
          <w:tcPr>
            <w:tcW w:w="2948" w:type="dxa"/>
          </w:tcPr>
          <w:p>
            <w:pPr>
              <w:pStyle w:val="0"/>
            </w:pPr>
            <w:r>
              <w:rPr>
                <w:sz w:val="24"/>
              </w:rPr>
              <w:t xml:space="preserve">dim-int:UstPredSrokSootvTab10Pril2PolN710PAxis</w:t>
            </w:r>
          </w:p>
        </w:tc>
      </w:tr>
      <w:tr>
        <w:tc>
          <w:tcPr>
            <w:tcW w:w="907" w:type="dxa"/>
          </w:tcPr>
          <w:p>
            <w:pPr>
              <w:pStyle w:val="0"/>
            </w:pPr>
            <w:r>
              <w:rPr>
                <w:sz w:val="24"/>
              </w:rPr>
              <w:t xml:space="preserve">310.11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310.12</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310.13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310.14</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blPrEx>
          <w:tblBorders>
            <w:insideV w:val="nil"/>
          </w:tblBorders>
        </w:tblPrEx>
        <w:tc>
          <w:tcPr>
            <w:gridSpan w:val="4"/>
            <w:tcW w:w="1701" w:type="dxa"/>
            <w:tcBorders>
              <w:left w:val="single" w:sz="4"/>
            </w:tcBorders>
          </w:tcPr>
          <w:bookmarkStart w:id="16754" w:name="P16754"/>
          <w:bookmarkEnd w:id="16754"/>
          <w:p>
            <w:pPr>
              <w:pStyle w:val="0"/>
              <w:outlineLvl w:val="5"/>
            </w:pPr>
            <w:r>
              <w:rPr>
                <w:sz w:val="24"/>
              </w:rPr>
              <w:t xml:space="preserve">Подраздел 2.18.3.</w:t>
            </w:r>
          </w:p>
        </w:tc>
        <w:tc>
          <w:tcPr>
            <w:gridSpan w:val="6"/>
            <w:tcW w:w="7370" w:type="dxa"/>
            <w:tcBorders>
              <w:right w:val="single" w:sz="4"/>
            </w:tcBorders>
          </w:tcPr>
          <w:p>
            <w:pPr>
              <w:pStyle w:val="0"/>
              <w:jc w:val="both"/>
            </w:pPr>
            <w:r>
              <w:rPr>
                <w:sz w:val="24"/>
              </w:rPr>
              <w:t xml:space="preserve">Права требования, стоимость которых признана равной нулю</w:t>
            </w:r>
          </w:p>
        </w:tc>
      </w:tr>
      <w:tr>
        <w:tc>
          <w:tcPr>
            <w:tcW w:w="907" w:type="dxa"/>
          </w:tcPr>
          <w:bookmarkStart w:id="16756" w:name="P16756"/>
          <w:bookmarkEnd w:id="16756"/>
          <w:p>
            <w:pPr>
              <w:pStyle w:val="0"/>
            </w:pPr>
            <w:r>
              <w:rPr>
                <w:sz w:val="24"/>
              </w:rPr>
              <w:t xml:space="preserve">311</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311.1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311.2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311.3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311.4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311.5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948" w:type="dxa"/>
          </w:tcPr>
          <w:p>
            <w:pPr>
              <w:pStyle w:val="0"/>
            </w:pPr>
            <w:r>
              <w:rPr>
                <w:sz w:val="24"/>
              </w:rPr>
              <w:t xml:space="preserve">dim-int:PravTrebUdovlPunkt31127Axis</w:t>
            </w:r>
          </w:p>
        </w:tc>
      </w:tr>
      <w:tr>
        <w:tc>
          <w:tcPr>
            <w:tcW w:w="907" w:type="dxa"/>
          </w:tcPr>
          <w:p>
            <w:pPr>
              <w:pStyle w:val="0"/>
            </w:pPr>
            <w:r>
              <w:rPr>
                <w:sz w:val="24"/>
              </w:rPr>
              <w:t xml:space="preserve">311.6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311.7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311.8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311.9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311.10</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16800" w:name="P16800"/>
          <w:bookmarkEnd w:id="16800"/>
          <w:p>
            <w:pPr>
              <w:pStyle w:val="0"/>
            </w:pPr>
            <w:r>
              <w:rPr>
                <w:sz w:val="24"/>
              </w:rPr>
              <w:t xml:space="preserve">312</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312.1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312.2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312.3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312.4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312.5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948" w:type="dxa"/>
          </w:tcPr>
          <w:p>
            <w:pPr>
              <w:pStyle w:val="0"/>
            </w:pPr>
            <w:r>
              <w:rPr>
                <w:sz w:val="24"/>
              </w:rPr>
              <w:t xml:space="preserve">dim-int:PravTrebUdovlPunkt31127Axis</w:t>
            </w:r>
          </w:p>
        </w:tc>
      </w:tr>
      <w:tr>
        <w:tc>
          <w:tcPr>
            <w:tcW w:w="907" w:type="dxa"/>
          </w:tcPr>
          <w:p>
            <w:pPr>
              <w:pStyle w:val="0"/>
            </w:pPr>
            <w:r>
              <w:rPr>
                <w:sz w:val="24"/>
              </w:rPr>
              <w:t xml:space="preserve">312.6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312.7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312.8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312.9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312.10</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blPrEx>
          <w:tblBorders>
            <w:insideV w:val="nil"/>
          </w:tblBorders>
        </w:tblPrEx>
        <w:tc>
          <w:tcPr>
            <w:gridSpan w:val="4"/>
            <w:tcW w:w="1701" w:type="dxa"/>
            <w:tcBorders>
              <w:left w:val="single" w:sz="4"/>
            </w:tcBorders>
          </w:tcPr>
          <w:bookmarkStart w:id="16844" w:name="P16844"/>
          <w:bookmarkEnd w:id="16844"/>
          <w:p>
            <w:pPr>
              <w:pStyle w:val="0"/>
              <w:outlineLvl w:val="4"/>
            </w:pPr>
            <w:r>
              <w:rPr>
                <w:sz w:val="24"/>
              </w:rPr>
              <w:t xml:space="preserve">Подраздел 2.19.</w:t>
            </w:r>
          </w:p>
        </w:tc>
        <w:tc>
          <w:tcPr>
            <w:gridSpan w:val="6"/>
            <w:tcW w:w="7370" w:type="dxa"/>
            <w:tcBorders>
              <w:right w:val="single" w:sz="4"/>
            </w:tcBorders>
          </w:tcPr>
          <w:p>
            <w:pPr>
              <w:pStyle w:val="0"/>
              <w:jc w:val="both"/>
            </w:pPr>
            <w:r>
              <w:rPr>
                <w:sz w:val="24"/>
              </w:rPr>
              <w:t xml:space="preserve">Права требования по обязательствам страхователей, перестрахователей по уплате страховых премий (взносов), неучтенные в страховых резервах</w:t>
            </w:r>
          </w:p>
        </w:tc>
      </w:tr>
      <w:tr>
        <w:tblPrEx>
          <w:tblBorders>
            <w:insideV w:val="nil"/>
          </w:tblBorders>
        </w:tblPrEx>
        <w:tc>
          <w:tcPr>
            <w:gridSpan w:val="4"/>
            <w:tcW w:w="1701" w:type="dxa"/>
            <w:tcBorders>
              <w:left w:val="single" w:sz="4"/>
            </w:tcBorders>
          </w:tcPr>
          <w:bookmarkStart w:id="16846" w:name="P16846"/>
          <w:bookmarkEnd w:id="16846"/>
          <w:p>
            <w:pPr>
              <w:pStyle w:val="0"/>
              <w:outlineLvl w:val="5"/>
            </w:pPr>
            <w:r>
              <w:rPr>
                <w:sz w:val="24"/>
              </w:rPr>
              <w:t xml:space="preserve">Подраздел 2.19.1.</w:t>
            </w:r>
          </w:p>
        </w:tc>
        <w:tc>
          <w:tcPr>
            <w:gridSpan w:val="6"/>
            <w:tcW w:w="7370" w:type="dxa"/>
            <w:tcBorders>
              <w:right w:val="single" w:sz="4"/>
            </w:tcBorders>
          </w:tcPr>
          <w:p>
            <w:pPr>
              <w:pStyle w:val="0"/>
              <w:jc w:val="both"/>
            </w:pPr>
            <w:r>
              <w:rPr>
                <w:sz w:val="24"/>
              </w:rPr>
              <w:t xml:space="preserve">По обязанным лицам, отнесенным к первой категории контрагентов или не участвующим в оценке риска 2</w:t>
            </w:r>
          </w:p>
        </w:tc>
      </w:tr>
      <w:tr>
        <w:tc>
          <w:tcPr>
            <w:tcW w:w="907" w:type="dxa"/>
          </w:tcPr>
          <w:bookmarkStart w:id="16848" w:name="P16848"/>
          <w:bookmarkEnd w:id="16848"/>
          <w:p>
            <w:pPr>
              <w:pStyle w:val="0"/>
            </w:pPr>
            <w:r>
              <w:rPr>
                <w:sz w:val="24"/>
              </w:rPr>
              <w:t xml:space="preserve">313</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313.1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313.2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313.3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313.4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313.5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313.6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313.8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313.9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313.10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313.11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313.12</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6900" w:name="P16900"/>
          <w:bookmarkEnd w:id="16900"/>
          <w:p>
            <w:pPr>
              <w:pStyle w:val="0"/>
            </w:pPr>
            <w:r>
              <w:rPr>
                <w:sz w:val="24"/>
              </w:rPr>
              <w:t xml:space="preserve">314</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314.1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314.2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314.3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314.4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314.5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314.6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314.8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314.9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314.10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948" w:name="P16948"/>
          <w:bookmarkEnd w:id="16948"/>
          <w:p>
            <w:pPr>
              <w:pStyle w:val="0"/>
            </w:pPr>
            <w:r>
              <w:rPr>
                <w:sz w:val="24"/>
              </w:rPr>
              <w:t xml:space="preserve">315</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315.1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315.2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315.3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315.4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315.5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315.6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315.7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315.8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315.9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315.10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315.11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6996" w:name="P16996"/>
          <w:bookmarkEnd w:id="16996"/>
          <w:p>
            <w:pPr>
              <w:pStyle w:val="0"/>
            </w:pPr>
            <w:r>
              <w:rPr>
                <w:sz w:val="24"/>
              </w:rPr>
              <w:t xml:space="preserve">316</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316.1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316.2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316.3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316.4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316.5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316.6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316.7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316.8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316.9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316.10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316.11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044" w:name="P17044"/>
          <w:bookmarkEnd w:id="17044"/>
          <w:p>
            <w:pPr>
              <w:pStyle w:val="0"/>
            </w:pPr>
            <w:r>
              <w:rPr>
                <w:sz w:val="24"/>
              </w:rPr>
              <w:t xml:space="preserve">317</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317.1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317.2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317.3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317.4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317.5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317.6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317.7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317.8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317.9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317.10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317.11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092" w:name="P17092"/>
          <w:bookmarkEnd w:id="17092"/>
          <w:p>
            <w:pPr>
              <w:pStyle w:val="0"/>
            </w:pPr>
            <w:r>
              <w:rPr>
                <w:sz w:val="24"/>
              </w:rPr>
              <w:t xml:space="preserve">318</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318.1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318.2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318.3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318.4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318.5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318.6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318.7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318.8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318.9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318.10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318.11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140" w:name="P17140"/>
          <w:bookmarkEnd w:id="17140"/>
          <w:p>
            <w:pPr>
              <w:pStyle w:val="0"/>
            </w:pPr>
            <w:r>
              <w:rPr>
                <w:sz w:val="24"/>
              </w:rPr>
              <w:t xml:space="preserve">319</w:t>
            </w:r>
          </w:p>
        </w:tc>
        <w:tc>
          <w:tcPr>
            <w:gridSpan w:val="7"/>
            <w:tcW w:w="2608" w:type="dxa"/>
          </w:tcPr>
          <w:p>
            <w:pPr>
              <w:pStyle w:val="0"/>
            </w:pPr>
            <w:r>
              <w:rPr>
                <w:sz w:val="24"/>
              </w:rPr>
              <w:t xml:space="preserve">По договору страхования существует просрочка страховой премии (взноса)</w:t>
            </w:r>
          </w:p>
        </w:tc>
        <w:tc>
          <w:tcPr>
            <w:tcW w:w="2608" w:type="dxa"/>
          </w:tcPr>
          <w:p>
            <w:pPr>
              <w:pStyle w:val="0"/>
            </w:pPr>
            <w:r>
              <w:rPr>
                <w:sz w:val="24"/>
              </w:rPr>
            </w:r>
          </w:p>
        </w:tc>
        <w:tc>
          <w:tcPr>
            <w:tcW w:w="2948" w:type="dxa"/>
          </w:tcPr>
          <w:p>
            <w:pPr>
              <w:pStyle w:val="0"/>
            </w:pPr>
            <w:r>
              <w:rPr>
                <w:sz w:val="24"/>
              </w:rPr>
              <w:t xml:space="preserve">ins-dic:PoDogStraxSushProsrStrPremXznSrokBol5RabDnejEnumerator</w:t>
            </w:r>
          </w:p>
        </w:tc>
      </w:tr>
      <w:tr>
        <w:tc>
          <w:tcPr>
            <w:tcW w:w="907" w:type="dxa"/>
          </w:tcPr>
          <w:p>
            <w:pPr>
              <w:pStyle w:val="0"/>
            </w:pPr>
            <w:r>
              <w:rPr>
                <w:sz w:val="24"/>
              </w:rPr>
              <w:t xml:space="preserve">319.1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319.2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319.3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319.4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319.5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319.6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319.7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319.8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319.9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319.10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319.11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188" w:name="P17188"/>
          <w:bookmarkEnd w:id="17188"/>
          <w:p>
            <w:pPr>
              <w:pStyle w:val="0"/>
            </w:pPr>
            <w:r>
              <w:rPr>
                <w:sz w:val="24"/>
              </w:rPr>
              <w:t xml:space="preserve">320</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320.1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320.2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320.3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320.4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320.5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320.6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320.7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320.8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320.9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320.10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320.11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236" w:name="P17236"/>
          <w:bookmarkEnd w:id="17236"/>
          <w:p>
            <w:pPr>
              <w:pStyle w:val="0"/>
            </w:pPr>
            <w:r>
              <w:rPr>
                <w:sz w:val="24"/>
              </w:rPr>
              <w:t xml:space="preserve">321</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321.1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321.2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321.3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321.4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321.5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dim-int:ID_ContragentaTaxis</w:t>
            </w:r>
          </w:p>
        </w:tc>
      </w:tr>
      <w:tr>
        <w:tc>
          <w:tcPr>
            <w:tcW w:w="907" w:type="dxa"/>
          </w:tcPr>
          <w:p>
            <w:pPr>
              <w:pStyle w:val="0"/>
            </w:pPr>
            <w:r>
              <w:rPr>
                <w:sz w:val="24"/>
              </w:rPr>
              <w:t xml:space="preserve">321.6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321.7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321.8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321.9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321.10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321.11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284" w:name="P17284"/>
          <w:bookmarkEnd w:id="17284"/>
          <w:p>
            <w:pPr>
              <w:pStyle w:val="0"/>
            </w:pPr>
            <w:r>
              <w:rPr>
                <w:sz w:val="24"/>
              </w:rPr>
              <w:t xml:space="preserve">322</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322.1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322.2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322.3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322.4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322.5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322.6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322.7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322.8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322.9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322.10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322.11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332" w:name="P17332"/>
          <w:bookmarkEnd w:id="17332"/>
          <w:p>
            <w:pPr>
              <w:pStyle w:val="0"/>
            </w:pPr>
            <w:r>
              <w:rPr>
                <w:sz w:val="24"/>
              </w:rPr>
              <w:t xml:space="preserve">323</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323.1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323.2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323.3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323.4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323.5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323.6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323.7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323.8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323.9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323.10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323.11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7380" w:name="P17380"/>
          <w:bookmarkEnd w:id="17380"/>
          <w:p>
            <w:pPr>
              <w:pStyle w:val="0"/>
            </w:pPr>
            <w:r>
              <w:rPr>
                <w:sz w:val="24"/>
              </w:rPr>
              <w:t xml:space="preserve">324</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324.1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324.2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324.3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324.4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324.5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324.6</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324.7</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324.8</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324.9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324.10</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7428" w:name="P17428"/>
          <w:bookmarkEnd w:id="17428"/>
          <w:p>
            <w:pPr>
              <w:pStyle w:val="0"/>
              <w:outlineLvl w:val="5"/>
            </w:pPr>
            <w:r>
              <w:rPr>
                <w:sz w:val="24"/>
              </w:rPr>
              <w:t xml:space="preserve">Подраздел 2.19.2.</w:t>
            </w:r>
          </w:p>
        </w:tc>
        <w:tc>
          <w:tcPr>
            <w:gridSpan w:val="6"/>
            <w:tcW w:w="7370" w:type="dxa"/>
            <w:tcBorders>
              <w:right w:val="single" w:sz="4"/>
            </w:tcBorders>
          </w:tcPr>
          <w:p>
            <w:pPr>
              <w:pStyle w:val="0"/>
              <w:jc w:val="both"/>
            </w:pPr>
            <w:r>
              <w:rPr>
                <w:sz w:val="24"/>
              </w:rPr>
              <w:t xml:space="preserve">По обязанным лицам, отнесенным ко второй - пятой категориям контрагентов</w:t>
            </w:r>
          </w:p>
        </w:tc>
      </w:tr>
      <w:tr>
        <w:tc>
          <w:tcPr>
            <w:tcW w:w="907" w:type="dxa"/>
          </w:tcPr>
          <w:bookmarkStart w:id="17430" w:name="P17430"/>
          <w:bookmarkEnd w:id="17430"/>
          <w:p>
            <w:pPr>
              <w:pStyle w:val="0"/>
            </w:pPr>
            <w:r>
              <w:rPr>
                <w:sz w:val="24"/>
              </w:rPr>
              <w:t xml:space="preserve">325</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325.1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325.2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325.3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325.4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325.5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325.6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325.7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325.8</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325.9</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325.10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325.11</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325.12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325.13</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325.14</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7490" w:name="P17490"/>
          <w:bookmarkEnd w:id="17490"/>
          <w:p>
            <w:pPr>
              <w:pStyle w:val="0"/>
            </w:pPr>
            <w:r>
              <w:rPr>
                <w:sz w:val="24"/>
              </w:rPr>
              <w:t xml:space="preserve">326</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326.1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326.2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326.3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326.4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326.5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326.6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326.7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326.8</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326.9</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326.10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dim-int:AktivPodlezhSummVSootvSG1_710PAxis</w:t>
            </w:r>
          </w:p>
        </w:tc>
      </w:tr>
      <w:tr>
        <w:tc>
          <w:tcPr>
            <w:tcW w:w="907" w:type="dxa"/>
          </w:tcPr>
          <w:p>
            <w:pPr>
              <w:pStyle w:val="0"/>
            </w:pPr>
            <w:r>
              <w:rPr>
                <w:sz w:val="24"/>
              </w:rPr>
              <w:t xml:space="preserve">326.11</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326.12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326.13</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17546" w:name="P17546"/>
          <w:bookmarkEnd w:id="17546"/>
          <w:p>
            <w:pPr>
              <w:pStyle w:val="0"/>
            </w:pPr>
            <w:r>
              <w:rPr>
                <w:sz w:val="24"/>
              </w:rPr>
              <w:t xml:space="preserve">327</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327.1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327.2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327.3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327.4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327.5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327.6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327.7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327.8</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327.9</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327.10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327.11</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327.12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327.13</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17602" w:name="P17602"/>
          <w:bookmarkEnd w:id="17602"/>
          <w:p>
            <w:pPr>
              <w:pStyle w:val="0"/>
            </w:pPr>
            <w:r>
              <w:rPr>
                <w:sz w:val="24"/>
              </w:rPr>
              <w:t xml:space="preserve">328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328.1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328.2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328.3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328.4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328.5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328.6</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328.7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328.8</w:t>
            </w:r>
          </w:p>
        </w:tc>
        <w:tc>
          <w:tcPr>
            <w:gridSpan w:val="7"/>
            <w:tcW w:w="2608" w:type="dxa"/>
          </w:tcPr>
          <w:p>
            <w:pPr>
              <w:pStyle w:val="0"/>
            </w:pPr>
            <w:r>
              <w:rPr>
                <w:sz w:val="24"/>
              </w:rPr>
            </w:r>
          </w:p>
        </w:tc>
        <w:tc>
          <w:tcPr>
            <w:tcW w:w="2608" w:type="dxa"/>
          </w:tcPr>
          <w:p>
            <w:pPr>
              <w:pStyle w:val="0"/>
            </w:pPr>
            <w:r>
              <w:rPr>
                <w:sz w:val="24"/>
              </w:rPr>
              <w:t xml:space="preserve">Оплата задолженности денежными средствами</w:t>
            </w:r>
          </w:p>
        </w:tc>
        <w:tc>
          <w:tcPr>
            <w:tcW w:w="2948" w:type="dxa"/>
          </w:tcPr>
          <w:p>
            <w:pPr>
              <w:pStyle w:val="0"/>
            </w:pPr>
            <w:r>
              <w:rPr>
                <w:sz w:val="24"/>
              </w:rPr>
              <w:t xml:space="preserve">dim-int:OplZadolzhDenSrAxis</w:t>
            </w:r>
          </w:p>
        </w:tc>
      </w:tr>
      <w:tr>
        <w:tc>
          <w:tcPr>
            <w:tcW w:w="907" w:type="dxa"/>
          </w:tcPr>
          <w:p>
            <w:pPr>
              <w:pStyle w:val="0"/>
            </w:pPr>
            <w:r>
              <w:rPr>
                <w:sz w:val="24"/>
              </w:rPr>
              <w:t xml:space="preserve">328.9</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328.10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328.11</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328.12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328.13</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blPrEx>
          <w:tblBorders>
            <w:insideV w:val="nil"/>
          </w:tblBorders>
        </w:tblPrEx>
        <w:tc>
          <w:tcPr>
            <w:gridSpan w:val="4"/>
            <w:tcW w:w="1701" w:type="dxa"/>
            <w:tcBorders>
              <w:left w:val="single" w:sz="4"/>
            </w:tcBorders>
          </w:tcPr>
          <w:bookmarkStart w:id="17658" w:name="P17658"/>
          <w:bookmarkEnd w:id="17658"/>
          <w:p>
            <w:pPr>
              <w:pStyle w:val="0"/>
              <w:outlineLvl w:val="5"/>
            </w:pPr>
            <w:r>
              <w:rPr>
                <w:sz w:val="24"/>
              </w:rPr>
              <w:t xml:space="preserve">Подраздел 2.19.3.</w:t>
            </w:r>
          </w:p>
        </w:tc>
        <w:tc>
          <w:tcPr>
            <w:gridSpan w:val="6"/>
            <w:tcW w:w="7370" w:type="dxa"/>
            <w:tcBorders>
              <w:right w:val="single" w:sz="4"/>
            </w:tcBorders>
          </w:tcPr>
          <w:p>
            <w:pPr>
              <w:pStyle w:val="0"/>
              <w:jc w:val="both"/>
            </w:pPr>
            <w:r>
              <w:rPr>
                <w:sz w:val="24"/>
              </w:rPr>
              <w:t xml:space="preserve">Права требования, стоимость которых признана равной нулю</w:t>
            </w:r>
          </w:p>
        </w:tc>
      </w:tr>
      <w:tr>
        <w:tc>
          <w:tcPr>
            <w:tcW w:w="907" w:type="dxa"/>
          </w:tcPr>
          <w:bookmarkStart w:id="17660" w:name="P17660"/>
          <w:bookmarkEnd w:id="17660"/>
          <w:p>
            <w:pPr>
              <w:pStyle w:val="0"/>
            </w:pPr>
            <w:r>
              <w:rPr>
                <w:sz w:val="24"/>
              </w:rPr>
              <w:t xml:space="preserve">329</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329.1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329.2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329.3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329.4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329.5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329.6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329.7</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329.8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329.9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329.10</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17704" w:name="P17704"/>
          <w:bookmarkEnd w:id="17704"/>
          <w:p>
            <w:pPr>
              <w:pStyle w:val="0"/>
            </w:pPr>
            <w:r>
              <w:rPr>
                <w:sz w:val="24"/>
              </w:rPr>
              <w:t xml:space="preserve">330</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330.1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330.2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330.3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330.4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330.5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330.6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330.7</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330.8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330.9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330.10</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blPrEx>
          <w:tblBorders>
            <w:insideV w:val="nil"/>
          </w:tblBorders>
        </w:tblPrEx>
        <w:tc>
          <w:tcPr>
            <w:gridSpan w:val="4"/>
            <w:tcW w:w="1701" w:type="dxa"/>
            <w:tcBorders>
              <w:left w:val="single" w:sz="4"/>
            </w:tcBorders>
          </w:tcPr>
          <w:bookmarkStart w:id="17748" w:name="P17748"/>
          <w:bookmarkEnd w:id="17748"/>
          <w:p>
            <w:pPr>
              <w:pStyle w:val="0"/>
              <w:outlineLvl w:val="4"/>
            </w:pPr>
            <w:r>
              <w:rPr>
                <w:sz w:val="24"/>
              </w:rPr>
              <w:t xml:space="preserve">Подраздел 2.20.</w:t>
            </w:r>
          </w:p>
        </w:tc>
        <w:tc>
          <w:tcPr>
            <w:gridSpan w:val="6"/>
            <w:tcW w:w="7370" w:type="dxa"/>
            <w:tcBorders>
              <w:right w:val="single" w:sz="4"/>
            </w:tcBorders>
          </w:tcPr>
          <w:p>
            <w:pPr>
              <w:pStyle w:val="0"/>
            </w:pPr>
            <w:r>
              <w:rPr>
                <w:sz w:val="24"/>
              </w:rPr>
              <w:t xml:space="preserve">Права требования в части уплаты страховых премий (взносов), учтенные в страховых резервах</w:t>
            </w:r>
          </w:p>
        </w:tc>
      </w:tr>
      <w:tr>
        <w:tblPrEx>
          <w:tblBorders>
            <w:insideV w:val="nil"/>
          </w:tblBorders>
        </w:tblPrEx>
        <w:tc>
          <w:tcPr>
            <w:gridSpan w:val="6"/>
            <w:tcW w:w="2109" w:type="dxa"/>
            <w:tcBorders>
              <w:left w:val="single" w:sz="4"/>
            </w:tcBorders>
          </w:tcPr>
          <w:bookmarkStart w:id="17750" w:name="P17750"/>
          <w:bookmarkEnd w:id="17750"/>
          <w:p>
            <w:pPr>
              <w:pStyle w:val="0"/>
              <w:outlineLvl w:val="5"/>
            </w:pPr>
            <w:r>
              <w:rPr>
                <w:sz w:val="24"/>
              </w:rPr>
              <w:t xml:space="preserve">Подраздел 2.20.1.</w:t>
            </w:r>
          </w:p>
        </w:tc>
        <w:tc>
          <w:tcPr>
            <w:gridSpan w:val="4"/>
            <w:tcW w:w="6962" w:type="dxa"/>
            <w:tcBorders>
              <w:right w:val="single" w:sz="4"/>
            </w:tcBorders>
          </w:tcPr>
          <w:p>
            <w:pPr>
              <w:pStyle w:val="0"/>
            </w:pPr>
            <w:r>
              <w:rPr>
                <w:sz w:val="24"/>
              </w:rPr>
              <w:t xml:space="preserve">По обязанным лицам, отнесенным к первой - третьей категориям контрагентов (кроме обязанных лиц, отраженных в </w:t>
            </w:r>
            <w:hyperlink w:history="0" w:anchor="P18088" w:tooltip="Подраздел 2.20.2.">
              <w:r>
                <w:rPr>
                  <w:sz w:val="24"/>
                  <w:color w:val="0000ff"/>
                </w:rPr>
                <w:t xml:space="preserve">подразделе 2.20.2</w:t>
              </w:r>
            </w:hyperlink>
            <w:r>
              <w:rPr>
                <w:sz w:val="24"/>
              </w:rPr>
              <w:t xml:space="preserve">) или не участвующим в оценке риска 2</w:t>
            </w:r>
          </w:p>
        </w:tc>
      </w:tr>
      <w:tr>
        <w:tc>
          <w:tcPr>
            <w:tcW w:w="907" w:type="dxa"/>
          </w:tcPr>
          <w:bookmarkStart w:id="17752" w:name="P17752"/>
          <w:bookmarkEnd w:id="17752"/>
          <w:p>
            <w:pPr>
              <w:pStyle w:val="0"/>
            </w:pPr>
            <w:r>
              <w:rPr>
                <w:sz w:val="24"/>
              </w:rPr>
              <w:t xml:space="preserve">331</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331.1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331.2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331.3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331.4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331.5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331.6</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331.7</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331.8</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331.9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dim-int:IDPIatezhTaxis</w:t>
            </w:r>
          </w:p>
        </w:tc>
      </w:tr>
      <w:tr>
        <w:tc>
          <w:tcPr>
            <w:tcW w:w="907" w:type="dxa"/>
          </w:tcPr>
          <w:p>
            <w:pPr>
              <w:pStyle w:val="0"/>
            </w:pPr>
            <w:r>
              <w:rPr>
                <w:sz w:val="24"/>
              </w:rPr>
              <w:t xml:space="preserve">331.10</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331.11</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7800" w:name="P17800"/>
          <w:bookmarkEnd w:id="17800"/>
          <w:p>
            <w:pPr>
              <w:pStyle w:val="0"/>
            </w:pPr>
            <w:r>
              <w:rPr>
                <w:sz w:val="24"/>
              </w:rPr>
              <w:t xml:space="preserve">332</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332.1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332.2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332.3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332.4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332.5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dim-int:KodValyutyAxis</w:t>
            </w:r>
          </w:p>
        </w:tc>
      </w:tr>
      <w:tr>
        <w:tc>
          <w:tcPr>
            <w:tcW w:w="907" w:type="dxa"/>
          </w:tcPr>
          <w:p>
            <w:pPr>
              <w:pStyle w:val="0"/>
            </w:pPr>
            <w:r>
              <w:rPr>
                <w:sz w:val="24"/>
              </w:rPr>
              <w:t xml:space="preserve">332.6</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332.7</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332.8</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332.9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332.10</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332.11</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7848" w:name="P17848"/>
          <w:bookmarkEnd w:id="17848"/>
          <w:p>
            <w:pPr>
              <w:pStyle w:val="0"/>
            </w:pPr>
            <w:r>
              <w:rPr>
                <w:sz w:val="24"/>
              </w:rPr>
              <w:t xml:space="preserve">333</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333.1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333.2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333.3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333.4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333.5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333.6</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333.7</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333.8</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333.9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333.10</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333.11</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7896" w:name="P17896"/>
          <w:bookmarkEnd w:id="17896"/>
          <w:p>
            <w:pPr>
              <w:pStyle w:val="0"/>
            </w:pPr>
            <w:r>
              <w:rPr>
                <w:sz w:val="24"/>
              </w:rPr>
              <w:t xml:space="preserve">334</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334.1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334.2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334.3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334.4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334.5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334.6</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334.7</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334.8</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334.9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334.10</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334.11</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7944" w:name="P17944"/>
          <w:bookmarkEnd w:id="17944"/>
          <w:p>
            <w:pPr>
              <w:pStyle w:val="0"/>
            </w:pPr>
            <w:r>
              <w:rPr>
                <w:sz w:val="24"/>
              </w:rPr>
              <w:t xml:space="preserve">335</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335.1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335.2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335.3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335.4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335.5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335.6</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335.7</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335.8</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335.9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335.10</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335.11</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7992" w:name="P17992"/>
          <w:bookmarkEnd w:id="17992"/>
          <w:p>
            <w:pPr>
              <w:pStyle w:val="0"/>
            </w:pPr>
            <w:r>
              <w:rPr>
                <w:sz w:val="24"/>
              </w:rPr>
              <w:t xml:space="preserve">336</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336.1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336.2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336.3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336.4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336.5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336.6</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336.7</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336.8</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336.9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336.10</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336.11</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8040" w:name="P18040"/>
          <w:bookmarkEnd w:id="18040"/>
          <w:p>
            <w:pPr>
              <w:pStyle w:val="0"/>
            </w:pPr>
            <w:r>
              <w:rPr>
                <w:sz w:val="24"/>
              </w:rPr>
              <w:t xml:space="preserve">337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337.1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337.2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337.3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337.4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337.5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337.6</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337.7</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337.8</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337.9</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337.10</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337.11</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blPrEx>
          <w:tblBorders>
            <w:insideV w:val="nil"/>
          </w:tblBorders>
        </w:tblPrEx>
        <w:tc>
          <w:tcPr>
            <w:gridSpan w:val="6"/>
            <w:tcW w:w="2109" w:type="dxa"/>
            <w:tcBorders>
              <w:left w:val="single" w:sz="4"/>
            </w:tcBorders>
          </w:tcPr>
          <w:bookmarkStart w:id="18088" w:name="P18088"/>
          <w:bookmarkEnd w:id="18088"/>
          <w:p>
            <w:pPr>
              <w:pStyle w:val="0"/>
              <w:outlineLvl w:val="5"/>
            </w:pPr>
            <w:r>
              <w:rPr>
                <w:sz w:val="24"/>
              </w:rPr>
              <w:t xml:space="preserve">Подраздел 2.20.2.</w:t>
            </w:r>
          </w:p>
        </w:tc>
        <w:tc>
          <w:tcPr>
            <w:gridSpan w:val="4"/>
            <w:tcW w:w="6962" w:type="dxa"/>
            <w:tcBorders>
              <w:right w:val="single" w:sz="4"/>
            </w:tcBorders>
          </w:tcPr>
          <w:p>
            <w:pPr>
              <w:pStyle w:val="0"/>
            </w:pPr>
            <w:r>
              <w:rPr>
                <w:sz w:val="24"/>
              </w:rPr>
              <w:t xml:space="preserve">По обязанным лицам, отнесенным ко второй - пятой категориям контрагентов</w:t>
            </w:r>
          </w:p>
        </w:tc>
      </w:tr>
      <w:tr>
        <w:tc>
          <w:tcPr>
            <w:tcW w:w="907" w:type="dxa"/>
          </w:tcPr>
          <w:bookmarkStart w:id="18090" w:name="P18090"/>
          <w:bookmarkEnd w:id="18090"/>
          <w:p>
            <w:pPr>
              <w:pStyle w:val="0"/>
            </w:pPr>
            <w:r>
              <w:rPr>
                <w:sz w:val="24"/>
              </w:rPr>
              <w:t xml:space="preserve">338</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338.1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338.2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338.3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338.4</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338.5</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338.6</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338.7</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338.8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338.9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338.10</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8134" w:name="P18134"/>
          <w:bookmarkEnd w:id="18134"/>
          <w:p>
            <w:pPr>
              <w:pStyle w:val="0"/>
            </w:pPr>
            <w:r>
              <w:rPr>
                <w:sz w:val="24"/>
              </w:rPr>
              <w:t xml:space="preserve">339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339.1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339.2</w:t>
            </w:r>
          </w:p>
        </w:tc>
        <w:tc>
          <w:tcPr>
            <w:gridSpan w:val="7"/>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339.3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339.4</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339.5</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339.6</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339.7</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339.8</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339.9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339.10</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blPrEx>
          <w:tblBorders>
            <w:insideV w:val="nil"/>
          </w:tblBorders>
        </w:tblPrEx>
        <w:tc>
          <w:tcPr>
            <w:gridSpan w:val="6"/>
            <w:tcW w:w="2109" w:type="dxa"/>
            <w:tcBorders>
              <w:left w:val="single" w:sz="4"/>
            </w:tcBorders>
          </w:tcPr>
          <w:bookmarkStart w:id="18178" w:name="P18178"/>
          <w:bookmarkEnd w:id="18178"/>
          <w:p>
            <w:pPr>
              <w:pStyle w:val="0"/>
              <w:outlineLvl w:val="5"/>
            </w:pPr>
            <w:r>
              <w:rPr>
                <w:sz w:val="24"/>
              </w:rPr>
              <w:t xml:space="preserve">Подраздел 2.20.3.</w:t>
            </w:r>
          </w:p>
        </w:tc>
        <w:tc>
          <w:tcPr>
            <w:gridSpan w:val="4"/>
            <w:tcW w:w="6962" w:type="dxa"/>
            <w:tcBorders>
              <w:right w:val="single" w:sz="4"/>
            </w:tcBorders>
          </w:tcPr>
          <w:p>
            <w:pPr>
              <w:pStyle w:val="0"/>
            </w:pPr>
            <w:r>
              <w:rPr>
                <w:sz w:val="24"/>
              </w:rPr>
              <w:t xml:space="preserve">Права требования, стоимость которых признана равной нулю</w:t>
            </w:r>
          </w:p>
        </w:tc>
      </w:tr>
      <w:tr>
        <w:tc>
          <w:tcPr>
            <w:tcW w:w="907" w:type="dxa"/>
          </w:tcPr>
          <w:bookmarkStart w:id="18180" w:name="P18180"/>
          <w:bookmarkEnd w:id="18180"/>
          <w:p>
            <w:pPr>
              <w:pStyle w:val="0"/>
            </w:pPr>
            <w:r>
              <w:rPr>
                <w:sz w:val="24"/>
              </w:rPr>
              <w:t xml:space="preserve">340</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340.1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340.2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340.3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340.4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340.5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340.6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340.7</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c>
          <w:tcPr>
            <w:tcW w:w="907" w:type="dxa"/>
          </w:tcPr>
          <w:bookmarkStart w:id="18212" w:name="P18212"/>
          <w:bookmarkEnd w:id="18212"/>
          <w:p>
            <w:pPr>
              <w:pStyle w:val="0"/>
            </w:pPr>
            <w:r>
              <w:rPr>
                <w:sz w:val="24"/>
              </w:rPr>
              <w:t xml:space="preserve">341</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341.1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341.2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341.3</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341.4</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341.5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341.6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341.7</w:t>
            </w:r>
          </w:p>
        </w:tc>
        <w:tc>
          <w:tcPr>
            <w:gridSpan w:val="7"/>
            <w:tcW w:w="2608" w:type="dxa"/>
          </w:tcPr>
          <w:p>
            <w:pPr>
              <w:pStyle w:val="0"/>
            </w:pPr>
            <w:r>
              <w:rPr>
                <w:sz w:val="24"/>
              </w:rPr>
            </w:r>
          </w:p>
        </w:tc>
        <w:tc>
          <w:tcPr>
            <w:tcW w:w="2608" w:type="dxa"/>
          </w:tcPr>
          <w:p>
            <w:pPr>
              <w:pStyle w:val="0"/>
            </w:pPr>
            <w:r>
              <w:rPr>
                <w:sz w:val="24"/>
              </w:rPr>
              <w:t xml:space="preserve">По договору страхования существует просрочка страховой премии (взноса)</w:t>
            </w:r>
          </w:p>
        </w:tc>
        <w:tc>
          <w:tcPr>
            <w:tcW w:w="2948" w:type="dxa"/>
          </w:tcPr>
          <w:p>
            <w:pPr>
              <w:pStyle w:val="0"/>
            </w:pPr>
            <w:r>
              <w:rPr>
                <w:sz w:val="24"/>
              </w:rPr>
              <w:t xml:space="preserve">dim-int:PoDogStraxSushProsrStrPremXznSrokBol5RabDnejAxis</w:t>
            </w:r>
          </w:p>
        </w:tc>
      </w:tr>
      <w:tr>
        <w:tblPrEx>
          <w:tblBorders>
            <w:insideV w:val="nil"/>
          </w:tblBorders>
        </w:tblPrEx>
        <w:tc>
          <w:tcPr>
            <w:gridSpan w:val="4"/>
            <w:tcW w:w="1701" w:type="dxa"/>
            <w:tcBorders>
              <w:left w:val="single" w:sz="4"/>
            </w:tcBorders>
          </w:tcPr>
          <w:bookmarkStart w:id="18244" w:name="P18244"/>
          <w:bookmarkEnd w:id="18244"/>
          <w:p>
            <w:pPr>
              <w:pStyle w:val="0"/>
              <w:outlineLvl w:val="4"/>
            </w:pPr>
            <w:r>
              <w:rPr>
                <w:sz w:val="24"/>
              </w:rPr>
              <w:t xml:space="preserve">Подраздел 2.21.</w:t>
            </w:r>
          </w:p>
        </w:tc>
        <w:tc>
          <w:tcPr>
            <w:gridSpan w:val="6"/>
            <w:tcW w:w="7370" w:type="dxa"/>
            <w:tcBorders>
              <w:right w:val="single" w:sz="4"/>
            </w:tcBorders>
          </w:tcPr>
          <w:p>
            <w:pPr>
              <w:pStyle w:val="0"/>
            </w:pPr>
            <w:r>
              <w:rPr>
                <w:sz w:val="24"/>
              </w:rPr>
              <w:t xml:space="preserve">Права требования по обязательствам страхователя - физического лица по возврату займа, полученного при осуществлении страхования жизни</w:t>
            </w:r>
          </w:p>
        </w:tc>
      </w:tr>
      <w:tr>
        <w:tc>
          <w:tcPr>
            <w:tcW w:w="907" w:type="dxa"/>
          </w:tcPr>
          <w:p>
            <w:pPr>
              <w:pStyle w:val="0"/>
            </w:pPr>
            <w:r>
              <w:rPr>
                <w:sz w:val="24"/>
              </w:rPr>
              <w:t xml:space="preserve">342</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342.1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342.5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342.7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342.8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343</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343.1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343.5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343.7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343.8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318" w:name="P18318"/>
          <w:bookmarkEnd w:id="18318"/>
          <w:p>
            <w:pPr>
              <w:pStyle w:val="0"/>
            </w:pPr>
            <w:r>
              <w:rPr>
                <w:sz w:val="24"/>
              </w:rPr>
              <w:t xml:space="preserve">344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344.1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344.5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344.7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344.8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344.9</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8358" w:name="P18358"/>
          <w:bookmarkEnd w:id="18358"/>
          <w:p>
            <w:pPr>
              <w:pStyle w:val="0"/>
            </w:pPr>
            <w:r>
              <w:rPr>
                <w:sz w:val="24"/>
              </w:rPr>
              <w:t xml:space="preserve">345</w:t>
            </w:r>
          </w:p>
        </w:tc>
        <w:tc>
          <w:tcPr>
            <w:gridSpan w:val="7"/>
            <w:tcW w:w="2608" w:type="dxa"/>
          </w:tcPr>
          <w:p>
            <w:pPr>
              <w:pStyle w:val="0"/>
            </w:pPr>
            <w:r>
              <w:rPr>
                <w:sz w:val="24"/>
              </w:rPr>
              <w:t xml:space="preserve">Дата выдачи займа</w:t>
            </w:r>
          </w:p>
        </w:tc>
        <w:tc>
          <w:tcPr>
            <w:tcW w:w="2608" w:type="dxa"/>
          </w:tcPr>
          <w:p>
            <w:pPr>
              <w:pStyle w:val="0"/>
            </w:pPr>
            <w:r>
              <w:rPr>
                <w:sz w:val="24"/>
              </w:rPr>
            </w:r>
          </w:p>
        </w:tc>
        <w:tc>
          <w:tcPr>
            <w:tcW w:w="2948" w:type="dxa"/>
          </w:tcPr>
          <w:p>
            <w:pPr>
              <w:pStyle w:val="0"/>
            </w:pPr>
            <w:r>
              <w:rPr>
                <w:sz w:val="24"/>
              </w:rPr>
              <w:t xml:space="preserve">nfo-dic:DataVydZajm</w:t>
            </w:r>
          </w:p>
        </w:tc>
      </w:tr>
      <w:tr>
        <w:tc>
          <w:tcPr>
            <w:tcW w:w="907" w:type="dxa"/>
          </w:tcPr>
          <w:p>
            <w:pPr>
              <w:pStyle w:val="0"/>
            </w:pPr>
            <w:r>
              <w:rPr>
                <w:sz w:val="24"/>
              </w:rPr>
              <w:t xml:space="preserve">345.1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345.5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345.7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345.8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394" w:name="P18394"/>
          <w:bookmarkEnd w:id="18394"/>
          <w:p>
            <w:pPr>
              <w:pStyle w:val="0"/>
            </w:pPr>
            <w:r>
              <w:rPr>
                <w:sz w:val="24"/>
              </w:rPr>
              <w:t xml:space="preserve">346</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346.1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346.5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346.7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346.8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430" w:name="P18430"/>
          <w:bookmarkEnd w:id="18430"/>
          <w:p>
            <w:pPr>
              <w:pStyle w:val="0"/>
            </w:pPr>
            <w:r>
              <w:rPr>
                <w:sz w:val="24"/>
              </w:rPr>
              <w:t xml:space="preserve">347</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347.1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347.5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dim-int:AktivPodlezhSummVSootvSGl1__710PAxis</w:t>
            </w:r>
          </w:p>
        </w:tc>
      </w:tr>
      <w:tr>
        <w:tc>
          <w:tcPr>
            <w:tcW w:w="907" w:type="dxa"/>
          </w:tcPr>
          <w:p>
            <w:pPr>
              <w:pStyle w:val="0"/>
            </w:pPr>
            <w:r>
              <w:rPr>
                <w:sz w:val="24"/>
              </w:rPr>
              <w:t xml:space="preserve">347.7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347.8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466" w:name="P18466"/>
          <w:bookmarkEnd w:id="18466"/>
          <w:p>
            <w:pPr>
              <w:pStyle w:val="0"/>
            </w:pPr>
            <w:r>
              <w:rPr>
                <w:sz w:val="24"/>
              </w:rPr>
              <w:t xml:space="preserve">348</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348.1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348.2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348.5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348.7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348.8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502" w:name="P18502"/>
          <w:bookmarkEnd w:id="18502"/>
          <w:p>
            <w:pPr>
              <w:pStyle w:val="0"/>
            </w:pPr>
            <w:r>
              <w:rPr>
                <w:sz w:val="24"/>
              </w:rPr>
              <w:t xml:space="preserve">349</w:t>
            </w:r>
          </w:p>
        </w:tc>
        <w:tc>
          <w:tcPr>
            <w:gridSpan w:val="7"/>
            <w:tcW w:w="2608" w:type="dxa"/>
          </w:tcPr>
          <w:p>
            <w:pPr>
              <w:pStyle w:val="0"/>
            </w:pPr>
            <w:r>
              <w:rPr>
                <w:sz w:val="24"/>
              </w:rPr>
              <w:t xml:space="preserve">Права требования по обязательствам страхователя - физического лица по возврату займа соответствуют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ins-dic:PravaTrebSootvP3.1.12.8P3.1P710PEnumerator</w:t>
            </w:r>
          </w:p>
        </w:tc>
      </w:tr>
      <w:tr>
        <w:tc>
          <w:tcPr>
            <w:tcW w:w="907" w:type="dxa"/>
          </w:tcPr>
          <w:p>
            <w:pPr>
              <w:pStyle w:val="0"/>
            </w:pPr>
            <w:r>
              <w:rPr>
                <w:sz w:val="24"/>
              </w:rPr>
              <w:t xml:space="preserve">349.1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dim-int:KIassAktAxis</w:t>
            </w:r>
          </w:p>
        </w:tc>
      </w:tr>
      <w:tr>
        <w:tc>
          <w:tcPr>
            <w:tcW w:w="907" w:type="dxa"/>
          </w:tcPr>
          <w:p>
            <w:pPr>
              <w:pStyle w:val="0"/>
            </w:pPr>
            <w:r>
              <w:rPr>
                <w:sz w:val="24"/>
              </w:rPr>
              <w:t xml:space="preserve">349.2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349.3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349.4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349.5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349.6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349.7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349.8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538" w:name="P18538"/>
          <w:bookmarkEnd w:id="18538"/>
          <w:p>
            <w:pPr>
              <w:pStyle w:val="0"/>
            </w:pPr>
            <w:r>
              <w:rPr>
                <w:sz w:val="24"/>
              </w:rPr>
              <w:t xml:space="preserve">350</w:t>
            </w:r>
          </w:p>
        </w:tc>
        <w:tc>
          <w:tcPr>
            <w:gridSpan w:val="7"/>
            <w:tcW w:w="2608" w:type="dxa"/>
          </w:tcPr>
          <w:p>
            <w:pPr>
              <w:pStyle w:val="0"/>
            </w:pPr>
            <w:r>
              <w:rPr>
                <w:sz w:val="24"/>
              </w:rPr>
              <w:t xml:space="preserve">Величина кредитного спреда инструмента m</w:t>
            </w:r>
          </w:p>
        </w:tc>
        <w:tc>
          <w:tcPr>
            <w:tcW w:w="2608" w:type="dxa"/>
          </w:tcPr>
          <w:p>
            <w:pPr>
              <w:pStyle w:val="0"/>
            </w:pPr>
            <w:r>
              <w:rPr>
                <w:sz w:val="24"/>
              </w:rPr>
            </w:r>
          </w:p>
        </w:tc>
        <w:tc>
          <w:tcPr>
            <w:tcW w:w="2948" w:type="dxa"/>
          </w:tcPr>
          <w:p>
            <w:pPr>
              <w:pStyle w:val="0"/>
            </w:pPr>
            <w:r>
              <w:rPr>
                <w:sz w:val="24"/>
              </w:rPr>
              <w:t xml:space="preserve">ins-dic:VelichinaKreditnogoSpredaInstrumentaM</w:t>
            </w:r>
          </w:p>
        </w:tc>
      </w:tr>
      <w:tr>
        <w:tc>
          <w:tcPr>
            <w:tcW w:w="907" w:type="dxa"/>
          </w:tcPr>
          <w:p>
            <w:pPr>
              <w:pStyle w:val="0"/>
            </w:pPr>
            <w:r>
              <w:rPr>
                <w:sz w:val="24"/>
              </w:rPr>
              <w:t xml:space="preserve">350.1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350.5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350.6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350.7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350.8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574" w:name="P18574"/>
          <w:bookmarkEnd w:id="18574"/>
          <w:p>
            <w:pPr>
              <w:pStyle w:val="0"/>
            </w:pPr>
            <w:r>
              <w:rPr>
                <w:sz w:val="24"/>
              </w:rPr>
              <w:t xml:space="preserve">351</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351.1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351.5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351.7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351.8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610" w:name="P18610"/>
          <w:bookmarkEnd w:id="18610"/>
          <w:p>
            <w:pPr>
              <w:pStyle w:val="0"/>
            </w:pPr>
            <w:r>
              <w:rPr>
                <w:sz w:val="24"/>
              </w:rPr>
              <w:t xml:space="preserve">352</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352.1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352.5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352.7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352.8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646" w:name="P18646"/>
          <w:bookmarkEnd w:id="18646"/>
          <w:p>
            <w:pPr>
              <w:pStyle w:val="0"/>
            </w:pPr>
            <w:r>
              <w:rPr>
                <w:sz w:val="24"/>
              </w:rPr>
              <w:t xml:space="preserve">353</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353.1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353.5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353.7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353.8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682" w:name="P18682"/>
          <w:bookmarkEnd w:id="18682"/>
          <w:p>
            <w:pPr>
              <w:pStyle w:val="0"/>
            </w:pPr>
            <w:r>
              <w:rPr>
                <w:sz w:val="24"/>
              </w:rPr>
              <w:t xml:space="preserve">354</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354.1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dim-int:Identifikator__ATaxis</w:t>
            </w:r>
          </w:p>
        </w:tc>
      </w:tr>
      <w:tr>
        <w:tc>
          <w:tcPr>
            <w:tcW w:w="907" w:type="dxa"/>
          </w:tcPr>
          <w:p>
            <w:pPr>
              <w:pStyle w:val="0"/>
            </w:pPr>
            <w:r>
              <w:rPr>
                <w:sz w:val="24"/>
              </w:rPr>
              <w:t xml:space="preserve">354.4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354.5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354.7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354.8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718" w:name="P18718"/>
          <w:bookmarkEnd w:id="18718"/>
          <w:p>
            <w:pPr>
              <w:pStyle w:val="0"/>
            </w:pPr>
            <w:r>
              <w:rPr>
                <w:sz w:val="24"/>
              </w:rPr>
              <w:t xml:space="preserve">355</w:t>
            </w:r>
          </w:p>
        </w:tc>
        <w:tc>
          <w:tcPr>
            <w:gridSpan w:val="7"/>
            <w:tcW w:w="2608" w:type="dxa"/>
          </w:tcPr>
          <w:p>
            <w:pPr>
              <w:pStyle w:val="0"/>
            </w:pPr>
            <w:r>
              <w:rPr>
                <w:sz w:val="24"/>
              </w:rPr>
              <w:t xml:space="preserve">Влияние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ins-dic:VlRiskIzmKredSpred</w:t>
            </w:r>
          </w:p>
        </w:tc>
      </w:tr>
      <w:tr>
        <w:tc>
          <w:tcPr>
            <w:tcW w:w="907" w:type="dxa"/>
          </w:tcPr>
          <w:p>
            <w:pPr>
              <w:pStyle w:val="0"/>
            </w:pPr>
            <w:r>
              <w:rPr>
                <w:sz w:val="24"/>
              </w:rPr>
              <w:t xml:space="preserve">355.1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355.5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355.7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355.8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754" w:name="P18754"/>
          <w:bookmarkEnd w:id="18754"/>
          <w:p>
            <w:pPr>
              <w:pStyle w:val="0"/>
            </w:pPr>
            <w:r>
              <w:rPr>
                <w:sz w:val="24"/>
              </w:rPr>
              <w:t xml:space="preserve">356</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356.1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356.5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356.7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356.8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790" w:name="P18790"/>
          <w:bookmarkEnd w:id="18790"/>
          <w:p>
            <w:pPr>
              <w:pStyle w:val="0"/>
            </w:pPr>
            <w:r>
              <w:rPr>
                <w:sz w:val="24"/>
              </w:rPr>
              <w:t xml:space="preserve">357</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357.1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357.5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357.7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357.8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826" w:name="P18826"/>
          <w:bookmarkEnd w:id="18826"/>
          <w:p>
            <w:pPr>
              <w:pStyle w:val="0"/>
            </w:pPr>
            <w:r>
              <w:rPr>
                <w:sz w:val="24"/>
              </w:rPr>
              <w:t xml:space="preserve">358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358.1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358.5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358.7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358.8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8862" w:name="P18862"/>
          <w:bookmarkEnd w:id="18862"/>
          <w:p>
            <w:pPr>
              <w:pStyle w:val="0"/>
              <w:outlineLvl w:val="4"/>
            </w:pPr>
            <w:r>
              <w:rPr>
                <w:sz w:val="24"/>
              </w:rPr>
              <w:t xml:space="preserve">Подраздел 2.22.</w:t>
            </w:r>
          </w:p>
        </w:tc>
        <w:tc>
          <w:tcPr>
            <w:gridSpan w:val="6"/>
            <w:tcW w:w="7370" w:type="dxa"/>
            <w:tcBorders>
              <w:right w:val="single" w:sz="4"/>
            </w:tcBorders>
          </w:tcPr>
          <w:p>
            <w:pPr>
              <w:pStyle w:val="0"/>
            </w:pPr>
            <w:r>
              <w:rPr>
                <w:sz w:val="24"/>
              </w:rPr>
              <w:t xml:space="preserve">Права требования к перестраховщикам по урегулированию убытков, не учтенные в страховых резервах</w:t>
            </w:r>
          </w:p>
        </w:tc>
      </w:tr>
      <w:tr>
        <w:tc>
          <w:tcPr>
            <w:tcW w:w="907" w:type="dxa"/>
          </w:tcPr>
          <w:p>
            <w:pPr>
              <w:pStyle w:val="0"/>
            </w:pPr>
            <w:r>
              <w:rPr>
                <w:sz w:val="24"/>
              </w:rPr>
              <w:t xml:space="preserve">359</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359.1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359.2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359.3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359.4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359.5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359.6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359.7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896" w:name="P18896"/>
          <w:bookmarkEnd w:id="18896"/>
          <w:p>
            <w:pPr>
              <w:pStyle w:val="0"/>
            </w:pPr>
            <w:r>
              <w:rPr>
                <w:sz w:val="24"/>
              </w:rPr>
              <w:t xml:space="preserve">360</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360.1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360.5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360.6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360.7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360.8</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8932" w:name="P18932"/>
          <w:bookmarkEnd w:id="18932"/>
          <w:p>
            <w:pPr>
              <w:pStyle w:val="0"/>
            </w:pPr>
            <w:r>
              <w:rPr>
                <w:sz w:val="24"/>
              </w:rPr>
              <w:t xml:space="preserve">361</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361.1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361.5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361.7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964" w:name="P18964"/>
          <w:bookmarkEnd w:id="18964"/>
          <w:p>
            <w:pPr>
              <w:pStyle w:val="0"/>
            </w:pPr>
            <w:r>
              <w:rPr>
                <w:sz w:val="24"/>
              </w:rPr>
              <w:t xml:space="preserve">362</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362.1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362.5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8996" w:name="P18996"/>
          <w:bookmarkEnd w:id="18996"/>
          <w:p>
            <w:pPr>
              <w:pStyle w:val="0"/>
            </w:pPr>
            <w:r>
              <w:rPr>
                <w:sz w:val="24"/>
              </w:rPr>
              <w:t xml:space="preserve">363</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363.1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363.5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363.7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028" w:name="P19028"/>
          <w:bookmarkEnd w:id="19028"/>
          <w:p>
            <w:pPr>
              <w:pStyle w:val="0"/>
            </w:pPr>
            <w:r>
              <w:rPr>
                <w:sz w:val="24"/>
              </w:rPr>
              <w:t xml:space="preserve">364</w:t>
            </w:r>
          </w:p>
        </w:tc>
        <w:tc>
          <w:tcPr>
            <w:gridSpan w:val="7"/>
            <w:tcW w:w="2608" w:type="dxa"/>
          </w:tcPr>
          <w:p>
            <w:pPr>
              <w:pStyle w:val="0"/>
            </w:pPr>
            <w:r>
              <w:rPr>
                <w:sz w:val="24"/>
              </w:rPr>
              <w:t xml:space="preserve">Наличие залога</w:t>
            </w:r>
          </w:p>
        </w:tc>
        <w:tc>
          <w:tcPr>
            <w:tcW w:w="2608" w:type="dxa"/>
          </w:tcPr>
          <w:p>
            <w:pPr>
              <w:pStyle w:val="0"/>
            </w:pPr>
            <w:r>
              <w:rPr>
                <w:sz w:val="24"/>
              </w:rPr>
            </w:r>
          </w:p>
        </w:tc>
        <w:tc>
          <w:tcPr>
            <w:tcW w:w="2948" w:type="dxa"/>
          </w:tcPr>
          <w:p>
            <w:pPr>
              <w:pStyle w:val="0"/>
            </w:pPr>
            <w:r>
              <w:rPr>
                <w:sz w:val="24"/>
              </w:rPr>
              <w:t xml:space="preserve">ins-dic:NalichZalogEnumerator</w:t>
            </w:r>
          </w:p>
        </w:tc>
      </w:tr>
      <w:tr>
        <w:tc>
          <w:tcPr>
            <w:tcW w:w="907" w:type="dxa"/>
          </w:tcPr>
          <w:p>
            <w:pPr>
              <w:pStyle w:val="0"/>
            </w:pPr>
            <w:r>
              <w:rPr>
                <w:sz w:val="24"/>
              </w:rPr>
              <w:t xml:space="preserve">364.1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364.5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060" w:name="P19060"/>
          <w:bookmarkEnd w:id="19060"/>
          <w:p>
            <w:pPr>
              <w:pStyle w:val="0"/>
            </w:pPr>
            <w:r>
              <w:rPr>
                <w:sz w:val="24"/>
              </w:rPr>
              <w:t xml:space="preserve">365</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365.1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365.5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092" w:name="P19092"/>
          <w:bookmarkEnd w:id="19092"/>
          <w:p>
            <w:pPr>
              <w:pStyle w:val="0"/>
            </w:pPr>
            <w:r>
              <w:rPr>
                <w:sz w:val="24"/>
              </w:rPr>
              <w:t xml:space="preserve">366</w:t>
            </w:r>
          </w:p>
        </w:tc>
        <w:tc>
          <w:tcPr>
            <w:gridSpan w:val="7"/>
            <w:tcW w:w="2608" w:type="dxa"/>
          </w:tcPr>
          <w:p>
            <w:pPr>
              <w:pStyle w:val="0"/>
            </w:pPr>
            <w:r>
              <w:rPr>
                <w:sz w:val="24"/>
              </w:rPr>
              <w:t xml:space="preserve">Права требования к перестраховщику соответствуют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ins-dic:PravaTrebSootvTrebPp3.1.12.9P3.1PolN781PEnumerator</w:t>
            </w:r>
          </w:p>
        </w:tc>
      </w:tr>
      <w:tr>
        <w:tc>
          <w:tcPr>
            <w:tcW w:w="907" w:type="dxa"/>
          </w:tcPr>
          <w:p>
            <w:pPr>
              <w:pStyle w:val="0"/>
            </w:pPr>
            <w:r>
              <w:rPr>
                <w:sz w:val="24"/>
              </w:rPr>
              <w:t xml:space="preserve">366.1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366.5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124" w:name="P19124"/>
          <w:bookmarkEnd w:id="19124"/>
          <w:p>
            <w:pPr>
              <w:pStyle w:val="0"/>
            </w:pPr>
            <w:r>
              <w:rPr>
                <w:sz w:val="24"/>
              </w:rPr>
              <w:t xml:space="preserve">367</w:t>
            </w:r>
          </w:p>
        </w:tc>
        <w:tc>
          <w:tcPr>
            <w:gridSpan w:val="7"/>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608" w:type="dxa"/>
          </w:tcPr>
          <w:p>
            <w:pPr>
              <w:pStyle w:val="0"/>
            </w:pPr>
            <w:r>
              <w:rPr>
                <w:sz w:val="24"/>
              </w:rPr>
            </w:r>
          </w:p>
        </w:tc>
        <w:tc>
          <w:tcPr>
            <w:tcW w:w="2948" w:type="dxa"/>
          </w:tcPr>
          <w:p>
            <w:pPr>
              <w:pStyle w:val="0"/>
            </w:pPr>
            <w:r>
              <w:rPr>
                <w:sz w:val="24"/>
              </w:rPr>
              <w:t xml:space="preserve">ins-dic:PravaTrebSootvAbz3Ili4P3.1.12.10P3.1Pol_710PEnumerator</w:t>
            </w:r>
          </w:p>
        </w:tc>
      </w:tr>
      <w:tr>
        <w:tc>
          <w:tcPr>
            <w:tcW w:w="907" w:type="dxa"/>
          </w:tcPr>
          <w:p>
            <w:pPr>
              <w:pStyle w:val="0"/>
            </w:pPr>
            <w:r>
              <w:rPr>
                <w:sz w:val="24"/>
              </w:rPr>
              <w:t xml:space="preserve">367.1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367.5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156" w:name="P19156"/>
          <w:bookmarkEnd w:id="19156"/>
          <w:p>
            <w:pPr>
              <w:pStyle w:val="0"/>
            </w:pPr>
            <w:r>
              <w:rPr>
                <w:sz w:val="24"/>
              </w:rPr>
              <w:t xml:space="preserve">368</w:t>
            </w:r>
          </w:p>
        </w:tc>
        <w:tc>
          <w:tcPr>
            <w:gridSpan w:val="7"/>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ins-dic:AktDogOsopoEnumerator</w:t>
            </w:r>
          </w:p>
        </w:tc>
      </w:tr>
      <w:tr>
        <w:tc>
          <w:tcPr>
            <w:tcW w:w="907" w:type="dxa"/>
          </w:tcPr>
          <w:p>
            <w:pPr>
              <w:pStyle w:val="0"/>
            </w:pPr>
            <w:r>
              <w:rPr>
                <w:sz w:val="24"/>
              </w:rPr>
              <w:t xml:space="preserve">368.1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368.5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368.7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188" w:name="P19188"/>
          <w:bookmarkEnd w:id="19188"/>
          <w:p>
            <w:pPr>
              <w:pStyle w:val="0"/>
            </w:pPr>
            <w:r>
              <w:rPr>
                <w:sz w:val="24"/>
              </w:rPr>
              <w:t xml:space="preserve">369</w:t>
            </w:r>
          </w:p>
        </w:tc>
        <w:tc>
          <w:tcPr>
            <w:gridSpan w:val="7"/>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ins-dic:AktDogOsgopEnumerator</w:t>
            </w:r>
          </w:p>
        </w:tc>
      </w:tr>
      <w:tr>
        <w:tc>
          <w:tcPr>
            <w:tcW w:w="907" w:type="dxa"/>
          </w:tcPr>
          <w:p>
            <w:pPr>
              <w:pStyle w:val="0"/>
            </w:pPr>
            <w:r>
              <w:rPr>
                <w:sz w:val="24"/>
              </w:rPr>
              <w:t xml:space="preserve">369.1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369.2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369.3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369.4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369.5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369.6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369.7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220" w:name="P19220"/>
          <w:bookmarkEnd w:id="19220"/>
          <w:p>
            <w:pPr>
              <w:pStyle w:val="0"/>
            </w:pPr>
            <w:r>
              <w:rPr>
                <w:sz w:val="24"/>
              </w:rPr>
              <w:t xml:space="preserve">370</w:t>
            </w:r>
          </w:p>
        </w:tc>
        <w:tc>
          <w:tcPr>
            <w:gridSpan w:val="7"/>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608" w:type="dxa"/>
          </w:tcPr>
          <w:p>
            <w:pPr>
              <w:pStyle w:val="0"/>
            </w:pPr>
            <w:r>
              <w:rPr>
                <w:sz w:val="24"/>
              </w:rPr>
            </w:r>
          </w:p>
        </w:tc>
        <w:tc>
          <w:tcPr>
            <w:tcW w:w="2948" w:type="dxa"/>
          </w:tcPr>
          <w:p>
            <w:pPr>
              <w:pStyle w:val="0"/>
            </w:pPr>
            <w:r>
              <w:rPr>
                <w:sz w:val="24"/>
              </w:rPr>
              <w:t xml:space="preserve">ins-dic:AktDogUk311216Enumerator</w:t>
            </w:r>
          </w:p>
        </w:tc>
      </w:tr>
      <w:tr>
        <w:tc>
          <w:tcPr>
            <w:tcW w:w="907" w:type="dxa"/>
          </w:tcPr>
          <w:p>
            <w:pPr>
              <w:pStyle w:val="0"/>
            </w:pPr>
            <w:r>
              <w:rPr>
                <w:sz w:val="24"/>
              </w:rPr>
              <w:t xml:space="preserve">370.1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370.5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370.6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370.7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252" w:name="P19252"/>
          <w:bookmarkEnd w:id="19252"/>
          <w:p>
            <w:pPr>
              <w:pStyle w:val="0"/>
            </w:pPr>
            <w:r>
              <w:rPr>
                <w:sz w:val="24"/>
              </w:rPr>
              <w:t xml:space="preserve">371</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371.1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371.5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371.7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284" w:name="P19284"/>
          <w:bookmarkEnd w:id="19284"/>
          <w:p>
            <w:pPr>
              <w:pStyle w:val="0"/>
            </w:pPr>
            <w:r>
              <w:rPr>
                <w:sz w:val="24"/>
              </w:rPr>
              <w:t xml:space="preserve">372</w:t>
            </w:r>
          </w:p>
        </w:tc>
        <w:tc>
          <w:tcPr>
            <w:gridSpan w:val="7"/>
            <w:tcW w:w="2608" w:type="dxa"/>
          </w:tcPr>
          <w:p>
            <w:pPr>
              <w:pStyle w:val="0"/>
            </w:pPr>
            <w:r>
              <w:rPr>
                <w:sz w:val="24"/>
              </w:rPr>
              <w:t xml:space="preserve">Подтвержденная перестраховщиком сумма величины прав требования к нему</w:t>
            </w:r>
          </w:p>
        </w:tc>
        <w:tc>
          <w:tcPr>
            <w:tcW w:w="2608" w:type="dxa"/>
          </w:tcPr>
          <w:p>
            <w:pPr>
              <w:pStyle w:val="0"/>
            </w:pPr>
            <w:r>
              <w:rPr>
                <w:sz w:val="24"/>
              </w:rPr>
            </w:r>
          </w:p>
        </w:tc>
        <w:tc>
          <w:tcPr>
            <w:tcW w:w="2948" w:type="dxa"/>
          </w:tcPr>
          <w:p>
            <w:pPr>
              <w:pStyle w:val="0"/>
            </w:pPr>
            <w:r>
              <w:rPr>
                <w:sz w:val="24"/>
              </w:rPr>
              <w:t xml:space="preserve">ins-dic:PodtvPerestrSummaVelichPravTrebKNemu</w:t>
            </w:r>
          </w:p>
        </w:tc>
      </w:tr>
      <w:tr>
        <w:tc>
          <w:tcPr>
            <w:tcW w:w="907" w:type="dxa"/>
          </w:tcPr>
          <w:p>
            <w:pPr>
              <w:pStyle w:val="0"/>
            </w:pPr>
            <w:r>
              <w:rPr>
                <w:sz w:val="24"/>
              </w:rPr>
              <w:t xml:space="preserve">372.1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372.5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316" w:name="P19316"/>
          <w:bookmarkEnd w:id="19316"/>
          <w:p>
            <w:pPr>
              <w:pStyle w:val="0"/>
            </w:pPr>
            <w:r>
              <w:rPr>
                <w:sz w:val="24"/>
              </w:rPr>
              <w:t xml:space="preserve">373</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373.1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373.5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373.7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348" w:name="P19348"/>
          <w:bookmarkEnd w:id="19348"/>
          <w:p>
            <w:pPr>
              <w:pStyle w:val="0"/>
            </w:pPr>
            <w:r>
              <w:rPr>
                <w:sz w:val="24"/>
              </w:rPr>
              <w:t xml:space="preserve">374</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374.1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374.5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380" w:name="P19380"/>
          <w:bookmarkEnd w:id="19380"/>
          <w:p>
            <w:pPr>
              <w:pStyle w:val="0"/>
            </w:pPr>
            <w:r>
              <w:rPr>
                <w:sz w:val="24"/>
              </w:rPr>
              <w:t xml:space="preserve">375</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375.1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375.5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412" w:name="P19412"/>
          <w:bookmarkEnd w:id="19412"/>
          <w:p>
            <w:pPr>
              <w:pStyle w:val="0"/>
            </w:pPr>
            <w:r>
              <w:rPr>
                <w:sz w:val="24"/>
              </w:rPr>
              <w:t xml:space="preserve">376</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376.1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376.5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444" w:name="P19444"/>
          <w:bookmarkEnd w:id="19444"/>
          <w:p>
            <w:pPr>
              <w:pStyle w:val="0"/>
            </w:pPr>
            <w:r>
              <w:rPr>
                <w:sz w:val="24"/>
              </w:rPr>
              <w:t xml:space="preserve">377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377.1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377.3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377.4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377.5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377.6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19476" w:name="P19476"/>
          <w:bookmarkEnd w:id="19476"/>
          <w:p>
            <w:pPr>
              <w:pStyle w:val="0"/>
              <w:outlineLvl w:val="5"/>
            </w:pPr>
            <w:r>
              <w:rPr>
                <w:sz w:val="24"/>
              </w:rPr>
              <w:t xml:space="preserve">Подраздел 2.22.1.</w:t>
            </w:r>
          </w:p>
        </w:tc>
        <w:tc>
          <w:tcPr>
            <w:gridSpan w:val="4"/>
            <w:tcW w:w="6962" w:type="dxa"/>
            <w:tcBorders>
              <w:right w:val="single" w:sz="4"/>
            </w:tcBorders>
          </w:tcPr>
          <w:p>
            <w:pPr>
              <w:pStyle w:val="0"/>
              <w:jc w:val="both"/>
            </w:pPr>
            <w:r>
              <w:rPr>
                <w:sz w:val="24"/>
              </w:rPr>
              <w:t xml:space="preserve">Права требования, стоимость которых признана равной нулю</w:t>
            </w:r>
          </w:p>
        </w:tc>
      </w:tr>
      <w:tr>
        <w:tc>
          <w:tcPr>
            <w:tcW w:w="907" w:type="dxa"/>
          </w:tcPr>
          <w:bookmarkStart w:id="19478" w:name="P19478"/>
          <w:bookmarkEnd w:id="19478"/>
          <w:p>
            <w:pPr>
              <w:pStyle w:val="0"/>
            </w:pPr>
            <w:r>
              <w:rPr>
                <w:sz w:val="24"/>
              </w:rPr>
              <w:t xml:space="preserve">378</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378.1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378.2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378.3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378.4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378.5</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378.6</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378.7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378.8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378.9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378.10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378.11</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19526" w:name="P19526"/>
          <w:bookmarkEnd w:id="19526"/>
          <w:p>
            <w:pPr>
              <w:pStyle w:val="0"/>
            </w:pPr>
            <w:r>
              <w:rPr>
                <w:sz w:val="24"/>
              </w:rPr>
              <w:t xml:space="preserve">379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379.1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379.2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379.3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379.4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379.5</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379.6</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379.7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379.8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379.9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379.10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379.11</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blPrEx>
          <w:tblBorders>
            <w:insideV w:val="nil"/>
          </w:tblBorders>
        </w:tblPrEx>
        <w:tc>
          <w:tcPr>
            <w:gridSpan w:val="7"/>
            <w:tcW w:w="2302" w:type="dxa"/>
            <w:tcBorders>
              <w:left w:val="single" w:sz="4"/>
            </w:tcBorders>
          </w:tcPr>
          <w:bookmarkStart w:id="19574" w:name="P19574"/>
          <w:bookmarkEnd w:id="19574"/>
          <w:p>
            <w:pPr>
              <w:pStyle w:val="0"/>
              <w:outlineLvl w:val="6"/>
            </w:pPr>
            <w:r>
              <w:rPr>
                <w:sz w:val="24"/>
              </w:rPr>
              <w:t xml:space="preserve">Подраздел 2.22.1.1.</w:t>
            </w:r>
          </w:p>
        </w:tc>
        <w:tc>
          <w:tcPr>
            <w:gridSpan w:val="3"/>
            <w:tcW w:w="6769" w:type="dxa"/>
            <w:tcBorders>
              <w:right w:val="single" w:sz="4"/>
            </w:tcBorders>
          </w:tcPr>
          <w:p>
            <w:pPr>
              <w:pStyle w:val="0"/>
              <w:jc w:val="both"/>
            </w:pPr>
            <w:r>
              <w:rPr>
                <w:sz w:val="24"/>
              </w:rPr>
              <w:t xml:space="preserve">По отдельным контрагентам</w:t>
            </w:r>
          </w:p>
        </w:tc>
      </w:tr>
      <w:tr>
        <w:tc>
          <w:tcPr>
            <w:tcW w:w="907" w:type="dxa"/>
          </w:tcPr>
          <w:bookmarkStart w:id="19576" w:name="P19576"/>
          <w:bookmarkEnd w:id="19576"/>
          <w:p>
            <w:pPr>
              <w:pStyle w:val="0"/>
            </w:pPr>
            <w:r>
              <w:rPr>
                <w:sz w:val="24"/>
              </w:rPr>
              <w:t xml:space="preserve">380</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380.1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380.3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19592" w:name="P19592"/>
          <w:bookmarkEnd w:id="19592"/>
          <w:p>
            <w:pPr>
              <w:pStyle w:val="0"/>
              <w:outlineLvl w:val="4"/>
            </w:pPr>
            <w:r>
              <w:rPr>
                <w:sz w:val="24"/>
              </w:rPr>
              <w:t xml:space="preserve">Подраздел 2.23.</w:t>
            </w:r>
          </w:p>
        </w:tc>
        <w:tc>
          <w:tcPr>
            <w:gridSpan w:val="6"/>
            <w:tcW w:w="7370" w:type="dxa"/>
            <w:tcBorders>
              <w:right w:val="single" w:sz="4"/>
            </w:tcBorders>
          </w:tcPr>
          <w:p>
            <w:pPr>
              <w:pStyle w:val="0"/>
            </w:pPr>
            <w:r>
              <w:rPr>
                <w:sz w:val="24"/>
              </w:rPr>
              <w:t xml:space="preserve">Права требования в рамках расчетов по прямому возмещению убытков, не учтенные в страховых резервах</w:t>
            </w:r>
          </w:p>
        </w:tc>
      </w:tr>
      <w:tr>
        <w:tc>
          <w:tcPr>
            <w:tcW w:w="907" w:type="dxa"/>
          </w:tcPr>
          <w:p>
            <w:pPr>
              <w:pStyle w:val="0"/>
            </w:pPr>
            <w:r>
              <w:rPr>
                <w:sz w:val="24"/>
              </w:rPr>
              <w:t xml:space="preserve">381</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381.1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381.2</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381.4</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614" w:name="P19614"/>
          <w:bookmarkEnd w:id="19614"/>
          <w:p>
            <w:pPr>
              <w:pStyle w:val="0"/>
            </w:pPr>
            <w:r>
              <w:rPr>
                <w:sz w:val="24"/>
              </w:rPr>
              <w:t xml:space="preserve">382</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382.1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382.2</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382.3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382.4</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382.5</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9638" w:name="P19638"/>
          <w:bookmarkEnd w:id="19638"/>
          <w:p>
            <w:pPr>
              <w:pStyle w:val="0"/>
            </w:pPr>
            <w:r>
              <w:rPr>
                <w:sz w:val="24"/>
              </w:rPr>
              <w:t xml:space="preserve">383</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383.1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383.2</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383.3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383.4</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19658" w:name="P19658"/>
          <w:bookmarkEnd w:id="19658"/>
          <w:p>
            <w:pPr>
              <w:pStyle w:val="0"/>
              <w:outlineLvl w:val="4"/>
            </w:pPr>
            <w:r>
              <w:rPr>
                <w:sz w:val="24"/>
              </w:rPr>
              <w:t xml:space="preserve">Подраздел 2.24.</w:t>
            </w:r>
          </w:p>
        </w:tc>
        <w:tc>
          <w:tcPr>
            <w:gridSpan w:val="6"/>
            <w:tcW w:w="7370" w:type="dxa"/>
            <w:tcBorders>
              <w:right w:val="single" w:sz="4"/>
            </w:tcBorders>
          </w:tcPr>
          <w:p>
            <w:pPr>
              <w:pStyle w:val="0"/>
            </w:pPr>
            <w:r>
              <w:rPr>
                <w:sz w:val="24"/>
              </w:rPr>
              <w:t xml:space="preserve">Права требования по суброгациям и регрессам, не учтенные в страховых резервах</w:t>
            </w:r>
          </w:p>
        </w:tc>
      </w:tr>
      <w:tr>
        <w:tc>
          <w:tcPr>
            <w:tcW w:w="907" w:type="dxa"/>
          </w:tcPr>
          <w:p>
            <w:pPr>
              <w:pStyle w:val="0"/>
            </w:pPr>
            <w:r>
              <w:rPr>
                <w:sz w:val="24"/>
              </w:rPr>
              <w:t xml:space="preserve">384</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384.1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384.4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384.5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384.6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692" w:name="P19692"/>
          <w:bookmarkEnd w:id="19692"/>
          <w:p>
            <w:pPr>
              <w:pStyle w:val="0"/>
            </w:pPr>
            <w:r>
              <w:rPr>
                <w:sz w:val="24"/>
              </w:rPr>
              <w:t xml:space="preserve">385</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385.1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385.4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385.5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385.6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385.8</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19728" w:name="P19728"/>
          <w:bookmarkEnd w:id="19728"/>
          <w:p>
            <w:pPr>
              <w:pStyle w:val="0"/>
            </w:pPr>
            <w:r>
              <w:rPr>
                <w:sz w:val="24"/>
              </w:rPr>
              <w:t xml:space="preserve">386</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386.1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386.4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386.5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386.6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760" w:name="P19760"/>
          <w:bookmarkEnd w:id="19760"/>
          <w:p>
            <w:pPr>
              <w:pStyle w:val="0"/>
            </w:pPr>
            <w:r>
              <w:rPr>
                <w:sz w:val="24"/>
              </w:rPr>
              <w:t xml:space="preserve">387</w:t>
            </w:r>
          </w:p>
        </w:tc>
        <w:tc>
          <w:tcPr>
            <w:gridSpan w:val="7"/>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608" w:type="dxa"/>
          </w:tcPr>
          <w:p>
            <w:pPr>
              <w:pStyle w:val="0"/>
            </w:pPr>
            <w:r>
              <w:rPr>
                <w:sz w:val="24"/>
              </w:rPr>
            </w:r>
          </w:p>
        </w:tc>
        <w:tc>
          <w:tcPr>
            <w:tcW w:w="2948" w:type="dxa"/>
          </w:tcPr>
          <w:p>
            <w:pPr>
              <w:pStyle w:val="0"/>
            </w:pPr>
            <w:r>
              <w:rPr>
                <w:sz w:val="24"/>
              </w:rPr>
              <w:t xml:space="preserve">ins-dic:PravaTrebSootvAbz3Ili4P3.1.12.10P3.1Pol710PEnumerator</w:t>
            </w:r>
          </w:p>
        </w:tc>
      </w:tr>
      <w:tr>
        <w:tc>
          <w:tcPr>
            <w:tcW w:w="907" w:type="dxa"/>
          </w:tcPr>
          <w:p>
            <w:pPr>
              <w:pStyle w:val="0"/>
            </w:pPr>
            <w:r>
              <w:rPr>
                <w:sz w:val="24"/>
              </w:rPr>
              <w:t xml:space="preserve">387.1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387.4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387.5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387.6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792" w:name="P19792"/>
          <w:bookmarkEnd w:id="19792"/>
          <w:p>
            <w:pPr>
              <w:pStyle w:val="0"/>
            </w:pPr>
            <w:r>
              <w:rPr>
                <w:sz w:val="24"/>
              </w:rPr>
              <w:t xml:space="preserve">388</w:t>
            </w:r>
          </w:p>
        </w:tc>
        <w:tc>
          <w:tcPr>
            <w:gridSpan w:val="7"/>
            <w:tcW w:w="2608" w:type="dxa"/>
          </w:tcPr>
          <w:p>
            <w:pPr>
              <w:pStyle w:val="0"/>
            </w:pPr>
            <w:r>
              <w:rPr>
                <w:sz w:val="24"/>
              </w:rPr>
              <w:t xml:space="preserve">Права требования относятся к правам требования к страховщику, основанным на суброгации или регрессе и установленным вступившим в законную силу решением суда</w:t>
            </w:r>
          </w:p>
        </w:tc>
        <w:tc>
          <w:tcPr>
            <w:tcW w:w="2608" w:type="dxa"/>
          </w:tcPr>
          <w:p>
            <w:pPr>
              <w:pStyle w:val="0"/>
            </w:pPr>
            <w:r>
              <w:rPr>
                <w:sz w:val="24"/>
              </w:rPr>
            </w:r>
          </w:p>
        </w:tc>
        <w:tc>
          <w:tcPr>
            <w:tcW w:w="2948" w:type="dxa"/>
          </w:tcPr>
          <w:p>
            <w:pPr>
              <w:pStyle w:val="0"/>
            </w:pPr>
            <w:r>
              <w:rPr>
                <w:sz w:val="24"/>
              </w:rPr>
              <w:t xml:space="preserve">ins-dic:PravaTrebSootvAbz5P3.1.12.10P3.1P710PEnumerator</w:t>
            </w:r>
          </w:p>
        </w:tc>
      </w:tr>
      <w:tr>
        <w:tc>
          <w:tcPr>
            <w:tcW w:w="907" w:type="dxa"/>
          </w:tcPr>
          <w:p>
            <w:pPr>
              <w:pStyle w:val="0"/>
            </w:pPr>
            <w:r>
              <w:rPr>
                <w:sz w:val="24"/>
              </w:rPr>
              <w:t xml:space="preserve">388.1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388.4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388.5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388.6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388.7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824" w:name="P19824"/>
          <w:bookmarkEnd w:id="19824"/>
          <w:p>
            <w:pPr>
              <w:pStyle w:val="0"/>
            </w:pPr>
            <w:r>
              <w:rPr>
                <w:sz w:val="24"/>
              </w:rPr>
              <w:t xml:space="preserve">389</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389.1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389.2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389.3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389.4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389.5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389.6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389.7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856" w:name="P19856"/>
          <w:bookmarkEnd w:id="19856"/>
          <w:p>
            <w:pPr>
              <w:pStyle w:val="0"/>
            </w:pPr>
            <w:r>
              <w:rPr>
                <w:sz w:val="24"/>
              </w:rPr>
              <w:t xml:space="preserve">390</w:t>
            </w:r>
          </w:p>
        </w:tc>
        <w:tc>
          <w:tcPr>
            <w:gridSpan w:val="7"/>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ins-dic:AktDogOsopoEnumerator</w:t>
            </w:r>
          </w:p>
        </w:tc>
      </w:tr>
      <w:tr>
        <w:tc>
          <w:tcPr>
            <w:tcW w:w="907" w:type="dxa"/>
          </w:tcPr>
          <w:p>
            <w:pPr>
              <w:pStyle w:val="0"/>
            </w:pPr>
            <w:r>
              <w:rPr>
                <w:sz w:val="24"/>
              </w:rPr>
              <w:t xml:space="preserve">390.1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390.5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390.6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390.7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888" w:name="P19888"/>
          <w:bookmarkEnd w:id="19888"/>
          <w:p>
            <w:pPr>
              <w:pStyle w:val="0"/>
            </w:pPr>
            <w:r>
              <w:rPr>
                <w:sz w:val="24"/>
              </w:rPr>
              <w:t xml:space="preserve">391</w:t>
            </w:r>
          </w:p>
        </w:tc>
        <w:tc>
          <w:tcPr>
            <w:gridSpan w:val="7"/>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ins-dic:AktDogOsgopEnumerator</w:t>
            </w:r>
          </w:p>
        </w:tc>
      </w:tr>
      <w:tr>
        <w:tc>
          <w:tcPr>
            <w:tcW w:w="907" w:type="dxa"/>
          </w:tcPr>
          <w:p>
            <w:pPr>
              <w:pStyle w:val="0"/>
            </w:pPr>
            <w:r>
              <w:rPr>
                <w:sz w:val="24"/>
              </w:rPr>
              <w:t xml:space="preserve">391.1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391.5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391.6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391.7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920" w:name="P19920"/>
          <w:bookmarkEnd w:id="19920"/>
          <w:p>
            <w:pPr>
              <w:pStyle w:val="0"/>
            </w:pPr>
            <w:r>
              <w:rPr>
                <w:sz w:val="24"/>
              </w:rPr>
              <w:t xml:space="preserve">392</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392.1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392.5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392.6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952" w:name="P19952"/>
          <w:bookmarkEnd w:id="19952"/>
          <w:p>
            <w:pPr>
              <w:pStyle w:val="0"/>
            </w:pPr>
            <w:r>
              <w:rPr>
                <w:sz w:val="24"/>
              </w:rPr>
              <w:t xml:space="preserve">393</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393.1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393.5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393.6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393.7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19984" w:name="P19984"/>
          <w:bookmarkEnd w:id="19984"/>
          <w:p>
            <w:pPr>
              <w:pStyle w:val="0"/>
            </w:pPr>
            <w:r>
              <w:rPr>
                <w:sz w:val="24"/>
              </w:rPr>
              <w:t xml:space="preserve">394</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394.1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394.5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394.6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016" w:name="P20016"/>
          <w:bookmarkEnd w:id="20016"/>
          <w:p>
            <w:pPr>
              <w:pStyle w:val="0"/>
            </w:pPr>
            <w:r>
              <w:rPr>
                <w:sz w:val="24"/>
              </w:rPr>
              <w:t xml:space="preserve">395</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395.1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395.5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395.6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048" w:name="P20048"/>
          <w:bookmarkEnd w:id="20048"/>
          <w:p>
            <w:pPr>
              <w:pStyle w:val="0"/>
            </w:pPr>
            <w:r>
              <w:rPr>
                <w:sz w:val="24"/>
              </w:rPr>
              <w:t xml:space="preserve">396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396.1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396.5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396.6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0080" w:name="P20080"/>
          <w:bookmarkEnd w:id="20080"/>
          <w:p>
            <w:pPr>
              <w:pStyle w:val="0"/>
              <w:outlineLvl w:val="5"/>
            </w:pPr>
            <w:r>
              <w:rPr>
                <w:sz w:val="24"/>
              </w:rPr>
              <w:t xml:space="preserve">Подраздел 2.24.1.</w:t>
            </w:r>
          </w:p>
        </w:tc>
        <w:tc>
          <w:tcPr>
            <w:gridSpan w:val="4"/>
            <w:tcW w:w="6962" w:type="dxa"/>
            <w:tcBorders>
              <w:right w:val="single" w:sz="4"/>
            </w:tcBorders>
          </w:tcPr>
          <w:p>
            <w:pPr>
              <w:pStyle w:val="0"/>
            </w:pPr>
            <w:r>
              <w:rPr>
                <w:sz w:val="24"/>
              </w:rPr>
              <w:t xml:space="preserve">Права требования, стоимость которых признана равной нулю</w:t>
            </w:r>
          </w:p>
        </w:tc>
      </w:tr>
      <w:tr>
        <w:tc>
          <w:tcPr>
            <w:tcW w:w="907" w:type="dxa"/>
          </w:tcPr>
          <w:bookmarkStart w:id="20082" w:name="P20082"/>
          <w:bookmarkEnd w:id="20082"/>
          <w:p>
            <w:pPr>
              <w:pStyle w:val="0"/>
            </w:pPr>
            <w:r>
              <w:rPr>
                <w:sz w:val="24"/>
              </w:rPr>
              <w:t xml:space="preserve">397</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397.1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397.2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397.3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397.4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397.5</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397.6</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397.7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основанным на суброгации или регрессе и установленным вступившим в законную силу решением суда</w:t>
            </w:r>
          </w:p>
        </w:tc>
        <w:tc>
          <w:tcPr>
            <w:tcW w:w="2948" w:type="dxa"/>
          </w:tcPr>
          <w:p>
            <w:pPr>
              <w:pStyle w:val="0"/>
            </w:pPr>
            <w:r>
              <w:rPr>
                <w:sz w:val="24"/>
              </w:rPr>
              <w:t xml:space="preserve">dim-int:PravaTrebSootvAbz5p3.1.12.10p3.1_710PAxis</w:t>
            </w:r>
          </w:p>
        </w:tc>
      </w:tr>
      <w:tr>
        <w:tc>
          <w:tcPr>
            <w:tcW w:w="907" w:type="dxa"/>
          </w:tcPr>
          <w:p>
            <w:pPr>
              <w:pStyle w:val="0"/>
            </w:pPr>
            <w:r>
              <w:rPr>
                <w:sz w:val="24"/>
              </w:rPr>
              <w:t xml:space="preserve">397.8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397.9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397.10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397.11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130" w:name="P20130"/>
          <w:bookmarkEnd w:id="20130"/>
          <w:p>
            <w:pPr>
              <w:pStyle w:val="0"/>
            </w:pPr>
            <w:r>
              <w:rPr>
                <w:sz w:val="24"/>
              </w:rPr>
              <w:t xml:space="preserve">398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398.1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398.2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398.3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398.4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398.5</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398.6</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398.7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основанным на суброгации или регрессе и установленным вступившим в законную силу решением суда</w:t>
            </w:r>
          </w:p>
        </w:tc>
        <w:tc>
          <w:tcPr>
            <w:tcW w:w="2948" w:type="dxa"/>
          </w:tcPr>
          <w:p>
            <w:pPr>
              <w:pStyle w:val="0"/>
            </w:pPr>
            <w:r>
              <w:rPr>
                <w:sz w:val="24"/>
              </w:rPr>
              <w:t xml:space="preserve">dim-int:PravaTrebSootvAbz5p3.1.12.10p3.1_710PAxis</w:t>
            </w:r>
          </w:p>
        </w:tc>
      </w:tr>
      <w:tr>
        <w:tc>
          <w:tcPr>
            <w:tcW w:w="907" w:type="dxa"/>
          </w:tcPr>
          <w:p>
            <w:pPr>
              <w:pStyle w:val="0"/>
            </w:pPr>
            <w:r>
              <w:rPr>
                <w:sz w:val="24"/>
              </w:rPr>
              <w:t xml:space="preserve">398.8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398.9</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398.10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398.11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20178" w:name="P20178"/>
          <w:bookmarkEnd w:id="20178"/>
          <w:p>
            <w:pPr>
              <w:pStyle w:val="0"/>
              <w:outlineLvl w:val="4"/>
            </w:pPr>
            <w:r>
              <w:rPr>
                <w:sz w:val="24"/>
              </w:rPr>
              <w:t xml:space="preserve">Подраздел 2.25.</w:t>
            </w:r>
          </w:p>
        </w:tc>
        <w:tc>
          <w:tcPr>
            <w:gridSpan w:val="6"/>
            <w:tcW w:w="7370" w:type="dxa"/>
            <w:tcBorders>
              <w:right w:val="single" w:sz="4"/>
            </w:tcBorders>
          </w:tcPr>
          <w:p>
            <w:pPr>
              <w:pStyle w:val="0"/>
            </w:pPr>
            <w:r>
              <w:rPr>
                <w:sz w:val="24"/>
              </w:rPr>
              <w:t xml:space="preserve">Права требования к медицинским организациям и учреждениям санаторно-курортного профиля</w:t>
            </w:r>
          </w:p>
        </w:tc>
      </w:tr>
      <w:tr>
        <w:tc>
          <w:tcPr>
            <w:tcW w:w="907" w:type="dxa"/>
          </w:tcPr>
          <w:p>
            <w:pPr>
              <w:pStyle w:val="0"/>
            </w:pPr>
            <w:r>
              <w:rPr>
                <w:sz w:val="24"/>
              </w:rPr>
              <w:t xml:space="preserve">399</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399.1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399.2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399.3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399.4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399.5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399.6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400</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400.1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400.3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400.4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400.5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400.6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236" w:name="P20236"/>
          <w:bookmarkEnd w:id="20236"/>
          <w:p>
            <w:pPr>
              <w:pStyle w:val="0"/>
            </w:pPr>
            <w:r>
              <w:rPr>
                <w:sz w:val="24"/>
              </w:rPr>
              <w:t xml:space="preserve">401</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401.1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401.3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401.4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401.5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401.6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401.7</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0268" w:name="P20268"/>
          <w:bookmarkEnd w:id="20268"/>
          <w:p>
            <w:pPr>
              <w:pStyle w:val="0"/>
            </w:pPr>
            <w:r>
              <w:rPr>
                <w:sz w:val="24"/>
              </w:rPr>
              <w:t xml:space="preserve">402</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402.1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402.3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402.4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402.5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402.6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296" w:name="P20296"/>
          <w:bookmarkEnd w:id="20296"/>
          <w:p>
            <w:pPr>
              <w:pStyle w:val="0"/>
            </w:pPr>
            <w:r>
              <w:rPr>
                <w:sz w:val="24"/>
              </w:rPr>
              <w:t xml:space="preserve">403</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403.1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403.3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403.4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403.5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403.6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324" w:name="P20324"/>
          <w:bookmarkEnd w:id="20324"/>
          <w:p>
            <w:pPr>
              <w:pStyle w:val="0"/>
            </w:pPr>
            <w:r>
              <w:rPr>
                <w:sz w:val="24"/>
              </w:rPr>
              <w:t xml:space="preserve">404</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404.1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404.3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404.4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404.5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404.6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352" w:name="P20352"/>
          <w:bookmarkEnd w:id="20352"/>
          <w:p>
            <w:pPr>
              <w:pStyle w:val="0"/>
            </w:pPr>
            <w:r>
              <w:rPr>
                <w:sz w:val="24"/>
              </w:rPr>
              <w:t xml:space="preserve">405</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405.1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405.3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405.4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405.5</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405.6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0380" w:name="P20380"/>
          <w:bookmarkEnd w:id="20380"/>
          <w:p>
            <w:pPr>
              <w:pStyle w:val="0"/>
              <w:outlineLvl w:val="5"/>
            </w:pPr>
            <w:r>
              <w:rPr>
                <w:sz w:val="24"/>
              </w:rPr>
              <w:t xml:space="preserve">Подраздел 2.25.1.</w:t>
            </w:r>
          </w:p>
        </w:tc>
        <w:tc>
          <w:tcPr>
            <w:gridSpan w:val="4"/>
            <w:tcW w:w="6962" w:type="dxa"/>
            <w:tcBorders>
              <w:right w:val="single" w:sz="4"/>
            </w:tcBorders>
          </w:tcPr>
          <w:p>
            <w:pPr>
              <w:pStyle w:val="0"/>
            </w:pPr>
            <w:r>
              <w:rPr>
                <w:sz w:val="24"/>
              </w:rPr>
              <w:t xml:space="preserve">Права требования, стоимость которых признана равной нулю</w:t>
            </w:r>
          </w:p>
        </w:tc>
      </w:tr>
      <w:tr>
        <w:tc>
          <w:tcPr>
            <w:tcW w:w="907" w:type="dxa"/>
          </w:tcPr>
          <w:p>
            <w:pPr>
              <w:pStyle w:val="0"/>
            </w:pPr>
            <w:r>
              <w:rPr>
                <w:sz w:val="24"/>
              </w:rPr>
              <w:t xml:space="preserve">406</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406.1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406.2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406.3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406.4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406.5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406.6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406.7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406.8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418" w:name="P20418"/>
          <w:bookmarkEnd w:id="20418"/>
          <w:p>
            <w:pPr>
              <w:pStyle w:val="0"/>
            </w:pPr>
            <w:r>
              <w:rPr>
                <w:sz w:val="24"/>
              </w:rPr>
              <w:t xml:space="preserve">407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407.1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407.2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407.3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407.4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407.5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407.6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407.7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407.8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20454" w:name="P20454"/>
          <w:bookmarkEnd w:id="20454"/>
          <w:p>
            <w:pPr>
              <w:pStyle w:val="0"/>
              <w:outlineLvl w:val="4"/>
            </w:pPr>
            <w:r>
              <w:rPr>
                <w:sz w:val="24"/>
              </w:rPr>
              <w:t xml:space="preserve">Подраздел 2.26.</w:t>
            </w:r>
          </w:p>
        </w:tc>
        <w:tc>
          <w:tcPr>
            <w:gridSpan w:val="6"/>
            <w:tcW w:w="7370" w:type="dxa"/>
            <w:tcBorders>
              <w:right w:val="single" w:sz="4"/>
            </w:tcBorders>
          </w:tcPr>
          <w:p>
            <w:pPr>
              <w:pStyle w:val="0"/>
            </w:pPr>
            <w:r>
              <w:rPr>
                <w:sz w:val="24"/>
              </w:rPr>
              <w:t xml:space="preserve">Права требования по возврату излишне уплаченных (взысканных) страховых взносов по обязательному социальному страхованию</w:t>
            </w:r>
          </w:p>
        </w:tc>
      </w:tr>
      <w:tr>
        <w:tc>
          <w:tcPr>
            <w:tcW w:w="907" w:type="dxa"/>
          </w:tcPr>
          <w:p>
            <w:pPr>
              <w:pStyle w:val="0"/>
            </w:pPr>
            <w:r>
              <w:rPr>
                <w:sz w:val="24"/>
              </w:rPr>
              <w:t xml:space="preserve">408</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408.1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408.2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408.3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dim-int:AktivSootvTrebPpS.1.25P3.1_710PAxis</w:t>
            </w:r>
          </w:p>
        </w:tc>
      </w:tr>
      <w:tr>
        <w:tc>
          <w:tcPr>
            <w:tcW w:w="907" w:type="dxa"/>
          </w:tcPr>
          <w:p>
            <w:pPr>
              <w:pStyle w:val="0"/>
            </w:pPr>
            <w:r>
              <w:rPr>
                <w:sz w:val="24"/>
              </w:rPr>
              <w:t xml:space="preserve">409</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409.1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409.2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409.3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488" w:name="P20488"/>
          <w:bookmarkEnd w:id="20488"/>
          <w:p>
            <w:pPr>
              <w:pStyle w:val="0"/>
            </w:pPr>
            <w:r>
              <w:rPr>
                <w:sz w:val="24"/>
              </w:rPr>
              <w:t xml:space="preserve">410</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410.1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410.2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410.3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410.4</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0508" w:name="P20508"/>
          <w:bookmarkEnd w:id="20508"/>
          <w:p>
            <w:pPr>
              <w:pStyle w:val="0"/>
            </w:pPr>
            <w:r>
              <w:rPr>
                <w:sz w:val="24"/>
              </w:rPr>
              <w:t xml:space="preserve">411</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411.1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411.2</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411.3</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20524" w:name="P20524"/>
          <w:bookmarkEnd w:id="20524"/>
          <w:p>
            <w:pPr>
              <w:pStyle w:val="0"/>
              <w:outlineLvl w:val="4"/>
            </w:pPr>
            <w:r>
              <w:rPr>
                <w:sz w:val="24"/>
              </w:rPr>
              <w:t xml:space="preserve">Подраздел 2.27.</w:t>
            </w:r>
          </w:p>
        </w:tc>
        <w:tc>
          <w:tcPr>
            <w:gridSpan w:val="6"/>
            <w:tcW w:w="7370" w:type="dxa"/>
            <w:tcBorders>
              <w:right w:val="single" w:sz="4"/>
            </w:tcBorders>
          </w:tcPr>
          <w:p>
            <w:pPr>
              <w:pStyle w:val="0"/>
            </w:pPr>
            <w:r>
              <w:rPr>
                <w:sz w:val="24"/>
              </w:rPr>
              <w:t xml:space="preserve">Права требования по авансовым платежам по налогам, задолженности бюджетов по налогам и сборам</w:t>
            </w:r>
          </w:p>
        </w:tc>
      </w:tr>
      <w:tr>
        <w:tc>
          <w:tcPr>
            <w:tcW w:w="907" w:type="dxa"/>
          </w:tcPr>
          <w:p>
            <w:pPr>
              <w:pStyle w:val="0"/>
            </w:pPr>
            <w:r>
              <w:rPr>
                <w:sz w:val="24"/>
              </w:rPr>
              <w:t xml:space="preserve">412</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412.1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412.2</w:t>
            </w:r>
          </w:p>
        </w:tc>
        <w:tc>
          <w:tcPr>
            <w:gridSpan w:val="7"/>
            <w:tcW w:w="2608" w:type="dxa"/>
          </w:tcPr>
          <w:p>
            <w:pPr>
              <w:pStyle w:val="0"/>
            </w:pPr>
            <w:r>
              <w:rPr>
                <w:sz w:val="24"/>
              </w:rPr>
            </w:r>
          </w:p>
        </w:tc>
        <w:tc>
          <w:tcPr>
            <w:tcW w:w="2608" w:type="dxa"/>
          </w:tcPr>
          <w:p>
            <w:pPr>
              <w:pStyle w:val="0"/>
            </w:pPr>
            <w:r>
              <w:rPr>
                <w:sz w:val="24"/>
              </w:rPr>
              <w:t xml:space="preserve">Вид налога</w:t>
            </w:r>
          </w:p>
        </w:tc>
        <w:tc>
          <w:tcPr>
            <w:tcW w:w="2948" w:type="dxa"/>
          </w:tcPr>
          <w:p>
            <w:pPr>
              <w:pStyle w:val="0"/>
            </w:pPr>
            <w:r>
              <w:rPr>
                <w:sz w:val="24"/>
              </w:rPr>
              <w:t xml:space="preserve">dim-int:VidNalAxis</w:t>
            </w:r>
          </w:p>
        </w:tc>
      </w:tr>
      <w:tr>
        <w:tc>
          <w:tcPr>
            <w:tcW w:w="907" w:type="dxa"/>
          </w:tcPr>
          <w:p>
            <w:pPr>
              <w:pStyle w:val="0"/>
            </w:pPr>
            <w:r>
              <w:rPr>
                <w:sz w:val="24"/>
              </w:rPr>
              <w:t xml:space="preserve">412.3</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412.4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412.5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413</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413.1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413.2</w:t>
            </w:r>
          </w:p>
        </w:tc>
        <w:tc>
          <w:tcPr>
            <w:gridSpan w:val="7"/>
            <w:tcW w:w="2608" w:type="dxa"/>
          </w:tcPr>
          <w:p>
            <w:pPr>
              <w:pStyle w:val="0"/>
            </w:pPr>
            <w:r>
              <w:rPr>
                <w:sz w:val="24"/>
              </w:rPr>
            </w:r>
          </w:p>
        </w:tc>
        <w:tc>
          <w:tcPr>
            <w:tcW w:w="2608" w:type="dxa"/>
          </w:tcPr>
          <w:p>
            <w:pPr>
              <w:pStyle w:val="0"/>
            </w:pPr>
            <w:r>
              <w:rPr>
                <w:sz w:val="24"/>
              </w:rPr>
              <w:t xml:space="preserve">Вид налога</w:t>
            </w:r>
          </w:p>
        </w:tc>
        <w:tc>
          <w:tcPr>
            <w:tcW w:w="2948" w:type="dxa"/>
          </w:tcPr>
          <w:p>
            <w:pPr>
              <w:pStyle w:val="0"/>
            </w:pPr>
            <w:r>
              <w:rPr>
                <w:sz w:val="24"/>
              </w:rPr>
              <w:t xml:space="preserve">dim-int:VidNalAxis</w:t>
            </w:r>
          </w:p>
        </w:tc>
      </w:tr>
      <w:tr>
        <w:tc>
          <w:tcPr>
            <w:tcW w:w="907" w:type="dxa"/>
          </w:tcPr>
          <w:p>
            <w:pPr>
              <w:pStyle w:val="0"/>
            </w:pPr>
            <w:r>
              <w:rPr>
                <w:sz w:val="24"/>
              </w:rPr>
              <w:t xml:space="preserve">413.3</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413.4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413.5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574" w:name="P20574"/>
          <w:bookmarkEnd w:id="20574"/>
          <w:p>
            <w:pPr>
              <w:pStyle w:val="0"/>
            </w:pPr>
            <w:r>
              <w:rPr>
                <w:sz w:val="24"/>
              </w:rPr>
              <w:t xml:space="preserve">414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414.1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414.2</w:t>
            </w:r>
          </w:p>
        </w:tc>
        <w:tc>
          <w:tcPr>
            <w:gridSpan w:val="7"/>
            <w:tcW w:w="2608" w:type="dxa"/>
          </w:tcPr>
          <w:p>
            <w:pPr>
              <w:pStyle w:val="0"/>
            </w:pPr>
            <w:r>
              <w:rPr>
                <w:sz w:val="24"/>
              </w:rPr>
            </w:r>
          </w:p>
        </w:tc>
        <w:tc>
          <w:tcPr>
            <w:tcW w:w="2608" w:type="dxa"/>
          </w:tcPr>
          <w:p>
            <w:pPr>
              <w:pStyle w:val="0"/>
            </w:pPr>
            <w:r>
              <w:rPr>
                <w:sz w:val="24"/>
              </w:rPr>
              <w:t xml:space="preserve">Вид налога</w:t>
            </w:r>
          </w:p>
        </w:tc>
        <w:tc>
          <w:tcPr>
            <w:tcW w:w="2948" w:type="dxa"/>
          </w:tcPr>
          <w:p>
            <w:pPr>
              <w:pStyle w:val="0"/>
            </w:pPr>
            <w:r>
              <w:rPr>
                <w:sz w:val="24"/>
              </w:rPr>
              <w:t xml:space="preserve">dim-int:VidNalAxis</w:t>
            </w:r>
          </w:p>
        </w:tc>
      </w:tr>
      <w:tr>
        <w:tc>
          <w:tcPr>
            <w:tcW w:w="907" w:type="dxa"/>
          </w:tcPr>
          <w:p>
            <w:pPr>
              <w:pStyle w:val="0"/>
            </w:pPr>
            <w:r>
              <w:rPr>
                <w:sz w:val="24"/>
              </w:rPr>
              <w:t xml:space="preserve">414.3</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414.4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414.5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414.6</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0602" w:name="P20602"/>
          <w:bookmarkEnd w:id="20602"/>
          <w:p>
            <w:pPr>
              <w:pStyle w:val="0"/>
            </w:pPr>
            <w:r>
              <w:rPr>
                <w:sz w:val="24"/>
              </w:rPr>
              <w:t xml:space="preserve">415</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415.1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415.2</w:t>
            </w:r>
          </w:p>
        </w:tc>
        <w:tc>
          <w:tcPr>
            <w:gridSpan w:val="7"/>
            <w:tcW w:w="2608" w:type="dxa"/>
          </w:tcPr>
          <w:p>
            <w:pPr>
              <w:pStyle w:val="0"/>
            </w:pPr>
            <w:r>
              <w:rPr>
                <w:sz w:val="24"/>
              </w:rPr>
            </w:r>
          </w:p>
        </w:tc>
        <w:tc>
          <w:tcPr>
            <w:tcW w:w="2608" w:type="dxa"/>
          </w:tcPr>
          <w:p>
            <w:pPr>
              <w:pStyle w:val="0"/>
            </w:pPr>
            <w:r>
              <w:rPr>
                <w:sz w:val="24"/>
              </w:rPr>
              <w:t xml:space="preserve">Вид налога</w:t>
            </w:r>
          </w:p>
        </w:tc>
        <w:tc>
          <w:tcPr>
            <w:tcW w:w="2948" w:type="dxa"/>
          </w:tcPr>
          <w:p>
            <w:pPr>
              <w:pStyle w:val="0"/>
            </w:pPr>
            <w:r>
              <w:rPr>
                <w:sz w:val="24"/>
              </w:rPr>
              <w:t xml:space="preserve">dim-int:VidNalAxis</w:t>
            </w:r>
          </w:p>
        </w:tc>
      </w:tr>
      <w:tr>
        <w:tc>
          <w:tcPr>
            <w:tcW w:w="907" w:type="dxa"/>
          </w:tcPr>
          <w:p>
            <w:pPr>
              <w:pStyle w:val="0"/>
            </w:pPr>
            <w:r>
              <w:rPr>
                <w:sz w:val="24"/>
              </w:rPr>
              <w:t xml:space="preserve">415.3</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415.4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415.5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20626" w:name="P20626"/>
          <w:bookmarkEnd w:id="20626"/>
          <w:p>
            <w:pPr>
              <w:pStyle w:val="0"/>
              <w:outlineLvl w:val="4"/>
            </w:pPr>
            <w:r>
              <w:rPr>
                <w:sz w:val="24"/>
              </w:rPr>
              <w:t xml:space="preserve">Подраздел 2.28.</w:t>
            </w:r>
          </w:p>
        </w:tc>
        <w:tc>
          <w:tcPr>
            <w:gridSpan w:val="6"/>
            <w:tcW w:w="7370" w:type="dxa"/>
            <w:tcBorders>
              <w:right w:val="single" w:sz="4"/>
            </w:tcBorders>
          </w:tcPr>
          <w:p>
            <w:pPr>
              <w:pStyle w:val="0"/>
            </w:pPr>
            <w:r>
              <w:rPr>
                <w:sz w:val="24"/>
              </w:rPr>
              <w:t xml:space="preserve">Права требования по сделке, направленной на последующий переход от страховщика права собственности на объект недвижимости</w:t>
            </w:r>
          </w:p>
        </w:tc>
      </w:tr>
      <w:tr>
        <w:tc>
          <w:tcPr>
            <w:tcW w:w="907" w:type="dxa"/>
          </w:tcPr>
          <w:p>
            <w:pPr>
              <w:pStyle w:val="0"/>
            </w:pPr>
            <w:r>
              <w:rPr>
                <w:sz w:val="24"/>
              </w:rPr>
              <w:t xml:space="preserve">416</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416.1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416.3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416.4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416.5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416.6</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416.7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660" w:name="P20660"/>
          <w:bookmarkEnd w:id="20660"/>
          <w:p>
            <w:pPr>
              <w:pStyle w:val="0"/>
            </w:pPr>
            <w:r>
              <w:rPr>
                <w:sz w:val="24"/>
              </w:rPr>
              <w:t xml:space="preserve">417</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417.1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417.3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417.4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417.5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417.6</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417.7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692" w:name="P20692"/>
          <w:bookmarkEnd w:id="20692"/>
          <w:p>
            <w:pPr>
              <w:pStyle w:val="0"/>
            </w:pPr>
            <w:r>
              <w:rPr>
                <w:sz w:val="24"/>
              </w:rPr>
              <w:t xml:space="preserve">418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418.1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418.3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418.4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418.5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418.6</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418.7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20724" w:name="P20724"/>
          <w:bookmarkEnd w:id="20724"/>
          <w:p>
            <w:pPr>
              <w:pStyle w:val="0"/>
              <w:outlineLvl w:val="4"/>
            </w:pPr>
            <w:r>
              <w:rPr>
                <w:sz w:val="24"/>
              </w:rPr>
              <w:t xml:space="preserve">Подраздел 2.29.</w:t>
            </w:r>
          </w:p>
        </w:tc>
        <w:tc>
          <w:tcPr>
            <w:gridSpan w:val="6"/>
            <w:tcW w:w="7370" w:type="dxa"/>
            <w:tcBorders>
              <w:right w:val="single" w:sz="4"/>
            </w:tcBorders>
          </w:tcPr>
          <w:p>
            <w:pPr>
              <w:pStyle w:val="0"/>
            </w:pPr>
            <w:r>
              <w:rPr>
                <w:sz w:val="24"/>
              </w:rPr>
              <w:t xml:space="preserve">Права требования, возникшие в связи с авансовыми платежами страховщика по договорам перестрахования, не учтенные в страховых резервах</w:t>
            </w:r>
          </w:p>
        </w:tc>
      </w:tr>
      <w:tr>
        <w:tc>
          <w:tcPr>
            <w:tcW w:w="907" w:type="dxa"/>
          </w:tcPr>
          <w:bookmarkStart w:id="20726" w:name="P20726"/>
          <w:bookmarkEnd w:id="20726"/>
          <w:p>
            <w:pPr>
              <w:pStyle w:val="0"/>
            </w:pPr>
            <w:r>
              <w:rPr>
                <w:sz w:val="24"/>
              </w:rPr>
              <w:t xml:space="preserve">419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419.1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419.2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419.3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419.4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419.5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419.6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419.7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419.8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419.9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419.10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419.11</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0774" w:name="P20774"/>
          <w:bookmarkEnd w:id="20774"/>
          <w:p>
            <w:pPr>
              <w:pStyle w:val="0"/>
            </w:pPr>
            <w:r>
              <w:rPr>
                <w:sz w:val="24"/>
              </w:rPr>
              <w:t xml:space="preserve">420</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420.1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420.2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420.3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420.4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420.5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420.6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420.7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420.9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818" w:name="P20818"/>
          <w:bookmarkEnd w:id="20818"/>
          <w:p>
            <w:pPr>
              <w:pStyle w:val="0"/>
            </w:pPr>
            <w:r>
              <w:rPr>
                <w:sz w:val="24"/>
              </w:rPr>
              <w:t xml:space="preserve">421</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421.1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421.2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421.3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421.4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421.5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421.6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421.7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421.9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862" w:name="P20862"/>
          <w:bookmarkEnd w:id="20862"/>
          <w:p>
            <w:pPr>
              <w:pStyle w:val="0"/>
            </w:pPr>
            <w:r>
              <w:rPr>
                <w:sz w:val="24"/>
              </w:rPr>
              <w:t xml:space="preserve">422</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422.1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422.2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422.3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422.4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422.5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422.6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422.7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422.9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906" w:name="P20906"/>
          <w:bookmarkEnd w:id="20906"/>
          <w:p>
            <w:pPr>
              <w:pStyle w:val="0"/>
            </w:pPr>
            <w:r>
              <w:rPr>
                <w:sz w:val="24"/>
              </w:rPr>
              <w:t xml:space="preserve">423</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423.1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423.2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423.3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423.4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423.5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423.6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423.7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423.9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950" w:name="P20950"/>
          <w:bookmarkEnd w:id="20950"/>
          <w:p>
            <w:pPr>
              <w:pStyle w:val="0"/>
            </w:pPr>
            <w:r>
              <w:rPr>
                <w:sz w:val="24"/>
              </w:rPr>
              <w:t xml:space="preserve">424</w:t>
            </w:r>
          </w:p>
        </w:tc>
        <w:tc>
          <w:tcPr>
            <w:gridSpan w:val="7"/>
            <w:tcW w:w="2608" w:type="dxa"/>
          </w:tcPr>
          <w:p>
            <w:pPr>
              <w:pStyle w:val="0"/>
            </w:pPr>
            <w:r>
              <w:rPr>
                <w:sz w:val="24"/>
              </w:rPr>
              <w:t xml:space="preserve">Права требования, возникшие в связи с авансовыми платежами страховщика по договору исходящего перестрахования, если такой договор не признан до расчетной даты включительно</w:t>
            </w:r>
          </w:p>
        </w:tc>
        <w:tc>
          <w:tcPr>
            <w:tcW w:w="2608" w:type="dxa"/>
          </w:tcPr>
          <w:p>
            <w:pPr>
              <w:pStyle w:val="0"/>
            </w:pPr>
            <w:r>
              <w:rPr>
                <w:sz w:val="24"/>
              </w:rPr>
            </w:r>
          </w:p>
        </w:tc>
        <w:tc>
          <w:tcPr>
            <w:tcW w:w="2948" w:type="dxa"/>
          </w:tcPr>
          <w:p>
            <w:pPr>
              <w:pStyle w:val="0"/>
            </w:pPr>
            <w:r>
              <w:rPr>
                <w:sz w:val="24"/>
              </w:rPr>
              <w:t xml:space="preserve">ins-dic:PravTrebUdovlPunkt31121415Enumerator</w:t>
            </w:r>
          </w:p>
        </w:tc>
      </w:tr>
      <w:tr>
        <w:tc>
          <w:tcPr>
            <w:tcW w:w="907" w:type="dxa"/>
          </w:tcPr>
          <w:p>
            <w:pPr>
              <w:pStyle w:val="0"/>
            </w:pPr>
            <w:r>
              <w:rPr>
                <w:sz w:val="24"/>
              </w:rPr>
              <w:t xml:space="preserve">424.1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424.2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424.3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424.4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424.5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424.6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424.9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0994" w:name="P20994"/>
          <w:bookmarkEnd w:id="20994"/>
          <w:p>
            <w:pPr>
              <w:pStyle w:val="0"/>
            </w:pPr>
            <w:r>
              <w:rPr>
                <w:sz w:val="24"/>
              </w:rPr>
              <w:t xml:space="preserve">425</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425.1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425.2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425.3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425.4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425.5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425.6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425.9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425.10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038" w:name="P21038"/>
          <w:bookmarkEnd w:id="21038"/>
          <w:p>
            <w:pPr>
              <w:pStyle w:val="0"/>
            </w:pPr>
            <w:r>
              <w:rPr>
                <w:sz w:val="24"/>
              </w:rPr>
              <w:t xml:space="preserve">426</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426.1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426.2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426.3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426.4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426.5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426.6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426.9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 1.13P3.1_710_PAxis</w:t>
            </w:r>
          </w:p>
        </w:tc>
      </w:tr>
      <w:tr>
        <w:tc>
          <w:tcPr>
            <w:tcW w:w="907" w:type="dxa"/>
          </w:tcPr>
          <w:p>
            <w:pPr>
              <w:pStyle w:val="0"/>
            </w:pPr>
            <w:r>
              <w:rPr>
                <w:sz w:val="24"/>
              </w:rPr>
              <w:t xml:space="preserve">426.10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082" w:name="P21082"/>
          <w:bookmarkEnd w:id="21082"/>
          <w:p>
            <w:pPr>
              <w:pStyle w:val="0"/>
            </w:pPr>
            <w:r>
              <w:rPr>
                <w:sz w:val="24"/>
              </w:rPr>
              <w:t xml:space="preserve">427</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427.1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427.2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427.3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427.4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427.5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427.6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427.7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427.9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427.10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126" w:name="P21126"/>
          <w:bookmarkEnd w:id="21126"/>
          <w:p>
            <w:pPr>
              <w:pStyle w:val="0"/>
            </w:pPr>
            <w:r>
              <w:rPr>
                <w:sz w:val="24"/>
              </w:rPr>
              <w:t xml:space="preserve">428</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428.1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428.2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428.3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428.4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428.5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428.6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428.7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428.9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170" w:name="P21170"/>
          <w:bookmarkEnd w:id="21170"/>
          <w:p>
            <w:pPr>
              <w:pStyle w:val="0"/>
            </w:pPr>
            <w:r>
              <w:rPr>
                <w:sz w:val="24"/>
              </w:rPr>
              <w:t xml:space="preserve">429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429.1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429.2</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429.3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429.4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429.5</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429.6</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429.7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429.8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429.9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429.10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1214" w:name="P21214"/>
          <w:bookmarkEnd w:id="21214"/>
          <w:p>
            <w:pPr>
              <w:pStyle w:val="0"/>
              <w:outlineLvl w:val="5"/>
            </w:pPr>
            <w:r>
              <w:rPr>
                <w:sz w:val="24"/>
              </w:rPr>
              <w:t xml:space="preserve">Подраздел 2.29.1.</w:t>
            </w:r>
          </w:p>
        </w:tc>
        <w:tc>
          <w:tcPr>
            <w:gridSpan w:val="4"/>
            <w:tcW w:w="6962" w:type="dxa"/>
            <w:tcBorders>
              <w:right w:val="single" w:sz="4"/>
            </w:tcBorders>
          </w:tcPr>
          <w:p>
            <w:pPr>
              <w:pStyle w:val="0"/>
            </w:pPr>
            <w:r>
              <w:rPr>
                <w:sz w:val="24"/>
              </w:rPr>
              <w:t xml:space="preserve">Права требования, стоимость которых признана равной нулю</w:t>
            </w:r>
          </w:p>
        </w:tc>
      </w:tr>
      <w:tr>
        <w:tc>
          <w:tcPr>
            <w:tcW w:w="907" w:type="dxa"/>
          </w:tcPr>
          <w:bookmarkStart w:id="21216" w:name="P21216"/>
          <w:bookmarkEnd w:id="21216"/>
          <w:p>
            <w:pPr>
              <w:pStyle w:val="0"/>
            </w:pPr>
            <w:r>
              <w:rPr>
                <w:sz w:val="24"/>
              </w:rPr>
              <w:t xml:space="preserve">430</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430.1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430.2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430.3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430.4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430.5</w:t>
            </w:r>
          </w:p>
        </w:tc>
        <w:tc>
          <w:tcPr>
            <w:gridSpan w:val="7"/>
            <w:tcW w:w="2608" w:type="dxa"/>
          </w:tcPr>
          <w:p>
            <w:pPr>
              <w:pStyle w:val="0"/>
            </w:pPr>
            <w:r>
              <w:rPr>
                <w:sz w:val="24"/>
              </w:rPr>
            </w:r>
          </w:p>
        </w:tc>
        <w:tc>
          <w:tcPr>
            <w:tcW w:w="2608" w:type="dxa"/>
          </w:tcPr>
          <w:p>
            <w:pPr>
              <w:pStyle w:val="0"/>
            </w:pPr>
            <w:r>
              <w:rPr>
                <w:sz w:val="24"/>
              </w:rPr>
              <w:t xml:space="preserve">Права требования, возникшие в связи с авансовыми платежами страховщика по договору исходящего перестрахования, если такой договор не признан до расчетной даты включительно</w:t>
            </w:r>
          </w:p>
        </w:tc>
        <w:tc>
          <w:tcPr>
            <w:tcW w:w="2948" w:type="dxa"/>
          </w:tcPr>
          <w:p>
            <w:pPr>
              <w:pStyle w:val="0"/>
            </w:pPr>
            <w:r>
              <w:rPr>
                <w:sz w:val="24"/>
              </w:rPr>
              <w:t xml:space="preserve">dim-int:PravTrebUdovlPunkt31121415Axis</w:t>
            </w:r>
          </w:p>
        </w:tc>
      </w:tr>
      <w:tr>
        <w:tc>
          <w:tcPr>
            <w:tcW w:w="907" w:type="dxa"/>
          </w:tcPr>
          <w:p>
            <w:pPr>
              <w:pStyle w:val="0"/>
            </w:pPr>
            <w:r>
              <w:rPr>
                <w:sz w:val="24"/>
              </w:rPr>
              <w:t xml:space="preserve">430.6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430.7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430.8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430.9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256" w:name="P21256"/>
          <w:bookmarkEnd w:id="21256"/>
          <w:p>
            <w:pPr>
              <w:pStyle w:val="0"/>
            </w:pPr>
            <w:r>
              <w:rPr>
                <w:sz w:val="24"/>
              </w:rPr>
              <w:t xml:space="preserve">431</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431.1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431.2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431.3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431.4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431.5</w:t>
            </w:r>
          </w:p>
        </w:tc>
        <w:tc>
          <w:tcPr>
            <w:gridSpan w:val="7"/>
            <w:tcW w:w="2608" w:type="dxa"/>
          </w:tcPr>
          <w:p>
            <w:pPr>
              <w:pStyle w:val="0"/>
            </w:pPr>
            <w:r>
              <w:rPr>
                <w:sz w:val="24"/>
              </w:rPr>
            </w:r>
          </w:p>
        </w:tc>
        <w:tc>
          <w:tcPr>
            <w:tcW w:w="2608" w:type="dxa"/>
          </w:tcPr>
          <w:p>
            <w:pPr>
              <w:pStyle w:val="0"/>
            </w:pPr>
            <w:r>
              <w:rPr>
                <w:sz w:val="24"/>
              </w:rPr>
              <w:t xml:space="preserve">Права требования, возникшие в связи с авансовыми платежами страховщика по договору исходящего перестрахования, если такой договор не признан до расчетной даты включительно</w:t>
            </w:r>
          </w:p>
        </w:tc>
        <w:tc>
          <w:tcPr>
            <w:tcW w:w="2948" w:type="dxa"/>
          </w:tcPr>
          <w:p>
            <w:pPr>
              <w:pStyle w:val="0"/>
            </w:pPr>
            <w:r>
              <w:rPr>
                <w:sz w:val="24"/>
              </w:rPr>
              <w:t xml:space="preserve">dim-int:PravTrebUdovlPunkt31121415Axis</w:t>
            </w:r>
          </w:p>
        </w:tc>
      </w:tr>
      <w:tr>
        <w:tc>
          <w:tcPr>
            <w:tcW w:w="907" w:type="dxa"/>
          </w:tcPr>
          <w:p>
            <w:pPr>
              <w:pStyle w:val="0"/>
            </w:pPr>
            <w:r>
              <w:rPr>
                <w:sz w:val="24"/>
              </w:rPr>
              <w:t xml:space="preserve">431.6</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431.7</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431.8</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dim-int:AktivSootvTrebPp3.1.13P3.1_710PAxis</w:t>
            </w:r>
          </w:p>
        </w:tc>
      </w:tr>
      <w:tr>
        <w:tc>
          <w:tcPr>
            <w:tcW w:w="907" w:type="dxa"/>
          </w:tcPr>
          <w:p>
            <w:pPr>
              <w:pStyle w:val="0"/>
            </w:pPr>
            <w:r>
              <w:rPr>
                <w:sz w:val="24"/>
              </w:rPr>
              <w:t xml:space="preserve">431.9</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21296" w:name="P21296"/>
          <w:bookmarkEnd w:id="21296"/>
          <w:p>
            <w:pPr>
              <w:pStyle w:val="0"/>
              <w:outlineLvl w:val="4"/>
            </w:pPr>
            <w:r>
              <w:rPr>
                <w:sz w:val="24"/>
              </w:rPr>
              <w:t xml:space="preserve">Подраздел 2.30.</w:t>
            </w:r>
          </w:p>
        </w:tc>
        <w:tc>
          <w:tcPr>
            <w:gridSpan w:val="6"/>
            <w:tcW w:w="7370" w:type="dxa"/>
            <w:tcBorders>
              <w:right w:val="single" w:sz="4"/>
            </w:tcBorders>
          </w:tcPr>
          <w:p>
            <w:pPr>
              <w:pStyle w:val="0"/>
            </w:pPr>
            <w:r>
              <w:rPr>
                <w:sz w:val="24"/>
              </w:rPr>
              <w:t xml:space="preserve">Права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учтенные в страховых резервах</w:t>
            </w:r>
          </w:p>
        </w:tc>
      </w:tr>
      <w:tr>
        <w:tc>
          <w:tcPr>
            <w:tcW w:w="907" w:type="dxa"/>
          </w:tcPr>
          <w:p>
            <w:pPr>
              <w:pStyle w:val="0"/>
            </w:pPr>
            <w:r>
              <w:rPr>
                <w:sz w:val="24"/>
              </w:rPr>
              <w:t xml:space="preserve">432</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432.1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432.5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330" w:name="P21330"/>
          <w:bookmarkEnd w:id="21330"/>
          <w:p>
            <w:pPr>
              <w:pStyle w:val="0"/>
            </w:pPr>
            <w:r>
              <w:rPr>
                <w:sz w:val="24"/>
              </w:rPr>
              <w:t xml:space="preserve">433</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433.1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433.5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433.7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433.8</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1366" w:name="P21366"/>
          <w:bookmarkEnd w:id="21366"/>
          <w:p>
            <w:pPr>
              <w:pStyle w:val="0"/>
            </w:pPr>
            <w:r>
              <w:rPr>
                <w:sz w:val="24"/>
              </w:rPr>
              <w:t xml:space="preserve">434</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434.1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434.5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398" w:name="P21398"/>
          <w:bookmarkEnd w:id="21398"/>
          <w:p>
            <w:pPr>
              <w:pStyle w:val="0"/>
            </w:pPr>
            <w:r>
              <w:rPr>
                <w:sz w:val="24"/>
              </w:rPr>
              <w:t xml:space="preserve">435</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435.1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435.5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430" w:name="P21430"/>
          <w:bookmarkEnd w:id="21430"/>
          <w:p>
            <w:pPr>
              <w:pStyle w:val="0"/>
            </w:pPr>
            <w:r>
              <w:rPr>
                <w:sz w:val="24"/>
              </w:rPr>
              <w:t xml:space="preserve">436</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436.1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436.5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462" w:name="P21462"/>
          <w:bookmarkEnd w:id="21462"/>
          <w:p>
            <w:pPr>
              <w:pStyle w:val="0"/>
            </w:pPr>
            <w:r>
              <w:rPr>
                <w:sz w:val="24"/>
              </w:rPr>
              <w:t xml:space="preserve">437</w:t>
            </w:r>
          </w:p>
        </w:tc>
        <w:tc>
          <w:tcPr>
            <w:gridSpan w:val="7"/>
            <w:tcW w:w="2608" w:type="dxa"/>
          </w:tcPr>
          <w:p>
            <w:pPr>
              <w:pStyle w:val="0"/>
            </w:pPr>
            <w:r>
              <w:rPr>
                <w:sz w:val="24"/>
              </w:rPr>
              <w:t xml:space="preserve">Наличие залога</w:t>
            </w:r>
          </w:p>
        </w:tc>
        <w:tc>
          <w:tcPr>
            <w:tcW w:w="2608" w:type="dxa"/>
          </w:tcPr>
          <w:p>
            <w:pPr>
              <w:pStyle w:val="0"/>
            </w:pPr>
            <w:r>
              <w:rPr>
                <w:sz w:val="24"/>
              </w:rPr>
            </w:r>
          </w:p>
        </w:tc>
        <w:tc>
          <w:tcPr>
            <w:tcW w:w="2948" w:type="dxa"/>
          </w:tcPr>
          <w:p>
            <w:pPr>
              <w:pStyle w:val="0"/>
            </w:pPr>
            <w:r>
              <w:rPr>
                <w:sz w:val="24"/>
              </w:rPr>
              <w:t xml:space="preserve">ins-dic:NalichZalogEnumerator</w:t>
            </w:r>
          </w:p>
        </w:tc>
      </w:tr>
      <w:tr>
        <w:tc>
          <w:tcPr>
            <w:tcW w:w="907" w:type="dxa"/>
          </w:tcPr>
          <w:p>
            <w:pPr>
              <w:pStyle w:val="0"/>
            </w:pPr>
            <w:r>
              <w:rPr>
                <w:sz w:val="24"/>
              </w:rPr>
              <w:t xml:space="preserve">437.1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437.5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494" w:name="P21494"/>
          <w:bookmarkEnd w:id="21494"/>
          <w:p>
            <w:pPr>
              <w:pStyle w:val="0"/>
            </w:pPr>
            <w:r>
              <w:rPr>
                <w:sz w:val="24"/>
              </w:rPr>
              <w:t xml:space="preserve">438</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438.1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dim-int:IDKontragentaTaxis</w:t>
            </w:r>
          </w:p>
        </w:tc>
      </w:tr>
      <w:tr>
        <w:tc>
          <w:tcPr>
            <w:tcW w:w="907" w:type="dxa"/>
          </w:tcPr>
          <w:p>
            <w:pPr>
              <w:pStyle w:val="0"/>
            </w:pPr>
            <w:r>
              <w:rPr>
                <w:sz w:val="24"/>
              </w:rPr>
              <w:t xml:space="preserve">438.3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438.5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438.7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526" w:name="P21526"/>
          <w:bookmarkEnd w:id="21526"/>
          <w:p>
            <w:pPr>
              <w:pStyle w:val="0"/>
            </w:pPr>
            <w:r>
              <w:rPr>
                <w:sz w:val="24"/>
              </w:rPr>
              <w:t xml:space="preserve">439</w:t>
            </w:r>
          </w:p>
        </w:tc>
        <w:tc>
          <w:tcPr>
            <w:gridSpan w:val="7"/>
            <w:tcW w:w="2608" w:type="dxa"/>
          </w:tcPr>
          <w:p>
            <w:pPr>
              <w:pStyle w:val="0"/>
            </w:pPr>
            <w:r>
              <w:rPr>
                <w:sz w:val="24"/>
              </w:rPr>
              <w:t xml:space="preserve">Права требования к перестраховщику соответствуют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ins-dic:PravaTrebSootvTrebPp3.1.12.9P3.1PolN781PEnumerator</w:t>
            </w:r>
          </w:p>
        </w:tc>
      </w:tr>
      <w:tr>
        <w:tc>
          <w:tcPr>
            <w:tcW w:w="907" w:type="dxa"/>
          </w:tcPr>
          <w:p>
            <w:pPr>
              <w:pStyle w:val="0"/>
            </w:pPr>
            <w:r>
              <w:rPr>
                <w:sz w:val="24"/>
              </w:rPr>
              <w:t xml:space="preserve">439.1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439.2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439.3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439.4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439.5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439.6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439.7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558" w:name="P21558"/>
          <w:bookmarkEnd w:id="21558"/>
          <w:p>
            <w:pPr>
              <w:pStyle w:val="0"/>
            </w:pPr>
            <w:r>
              <w:rPr>
                <w:sz w:val="24"/>
              </w:rPr>
              <w:t xml:space="preserve">440</w:t>
            </w:r>
          </w:p>
        </w:tc>
        <w:tc>
          <w:tcPr>
            <w:gridSpan w:val="7"/>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608" w:type="dxa"/>
          </w:tcPr>
          <w:p>
            <w:pPr>
              <w:pStyle w:val="0"/>
            </w:pPr>
            <w:r>
              <w:rPr>
                <w:sz w:val="24"/>
              </w:rPr>
            </w:r>
          </w:p>
        </w:tc>
        <w:tc>
          <w:tcPr>
            <w:tcW w:w="2948" w:type="dxa"/>
          </w:tcPr>
          <w:p>
            <w:pPr>
              <w:pStyle w:val="0"/>
            </w:pPr>
            <w:r>
              <w:rPr>
                <w:sz w:val="24"/>
              </w:rPr>
              <w:t xml:space="preserve">ins-dic:PravaTrebSootvAbz3Ili4P3.1.12.10P3.1Pol710PEnumerator</w:t>
            </w:r>
          </w:p>
        </w:tc>
      </w:tr>
      <w:tr>
        <w:tc>
          <w:tcPr>
            <w:tcW w:w="907" w:type="dxa"/>
          </w:tcPr>
          <w:p>
            <w:pPr>
              <w:pStyle w:val="0"/>
            </w:pPr>
            <w:r>
              <w:rPr>
                <w:sz w:val="24"/>
              </w:rPr>
              <w:t xml:space="preserve">440.1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440.5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440.6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440.7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590" w:name="P21590"/>
          <w:bookmarkEnd w:id="21590"/>
          <w:p>
            <w:pPr>
              <w:pStyle w:val="0"/>
            </w:pPr>
            <w:r>
              <w:rPr>
                <w:sz w:val="24"/>
              </w:rPr>
              <w:t xml:space="preserve">441</w:t>
            </w:r>
          </w:p>
        </w:tc>
        <w:tc>
          <w:tcPr>
            <w:gridSpan w:val="7"/>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ins-dic:AktDogOsopoEnumerator</w:t>
            </w:r>
          </w:p>
        </w:tc>
      </w:tr>
      <w:tr>
        <w:tc>
          <w:tcPr>
            <w:tcW w:w="907" w:type="dxa"/>
          </w:tcPr>
          <w:p>
            <w:pPr>
              <w:pStyle w:val="0"/>
            </w:pPr>
            <w:r>
              <w:rPr>
                <w:sz w:val="24"/>
              </w:rPr>
              <w:t xml:space="preserve">441.1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441.5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441.7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622" w:name="P21622"/>
          <w:bookmarkEnd w:id="21622"/>
          <w:p>
            <w:pPr>
              <w:pStyle w:val="0"/>
            </w:pPr>
            <w:r>
              <w:rPr>
                <w:sz w:val="24"/>
              </w:rPr>
              <w:t xml:space="preserve">442</w:t>
            </w:r>
          </w:p>
        </w:tc>
        <w:tc>
          <w:tcPr>
            <w:gridSpan w:val="7"/>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ins-dic:AktDogOsgopEnumerator</w:t>
            </w:r>
          </w:p>
        </w:tc>
      </w:tr>
      <w:tr>
        <w:tc>
          <w:tcPr>
            <w:tcW w:w="907" w:type="dxa"/>
          </w:tcPr>
          <w:p>
            <w:pPr>
              <w:pStyle w:val="0"/>
            </w:pPr>
            <w:r>
              <w:rPr>
                <w:sz w:val="24"/>
              </w:rPr>
              <w:t xml:space="preserve">442.1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442.5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654" w:name="P21654"/>
          <w:bookmarkEnd w:id="21654"/>
          <w:p>
            <w:pPr>
              <w:pStyle w:val="0"/>
            </w:pPr>
            <w:r>
              <w:rPr>
                <w:sz w:val="24"/>
              </w:rPr>
              <w:t xml:space="preserve">443</w:t>
            </w:r>
          </w:p>
        </w:tc>
        <w:tc>
          <w:tcPr>
            <w:gridSpan w:val="7"/>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608" w:type="dxa"/>
          </w:tcPr>
          <w:p>
            <w:pPr>
              <w:pStyle w:val="0"/>
            </w:pPr>
            <w:r>
              <w:rPr>
                <w:sz w:val="24"/>
              </w:rPr>
            </w:r>
          </w:p>
        </w:tc>
        <w:tc>
          <w:tcPr>
            <w:tcW w:w="2948" w:type="dxa"/>
          </w:tcPr>
          <w:p>
            <w:pPr>
              <w:pStyle w:val="0"/>
            </w:pPr>
            <w:r>
              <w:rPr>
                <w:sz w:val="24"/>
              </w:rPr>
              <w:t xml:space="preserve">ins-dic:AktDogUk311216Enumerator</w:t>
            </w:r>
          </w:p>
        </w:tc>
      </w:tr>
      <w:tr>
        <w:tc>
          <w:tcPr>
            <w:tcW w:w="907" w:type="dxa"/>
          </w:tcPr>
          <w:p>
            <w:pPr>
              <w:pStyle w:val="0"/>
            </w:pPr>
            <w:r>
              <w:rPr>
                <w:sz w:val="24"/>
              </w:rPr>
              <w:t xml:space="preserve">443.1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443.5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443.7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686" w:name="P21686"/>
          <w:bookmarkEnd w:id="21686"/>
          <w:p>
            <w:pPr>
              <w:pStyle w:val="0"/>
            </w:pPr>
            <w:r>
              <w:rPr>
                <w:sz w:val="24"/>
              </w:rPr>
              <w:t xml:space="preserve">444</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ins-dic:AktivSootvTrebPp7.92.1P7.92PoIN781PEnumerator</w:t>
            </w:r>
          </w:p>
        </w:tc>
      </w:tr>
      <w:tr>
        <w:tc>
          <w:tcPr>
            <w:tcW w:w="907" w:type="dxa"/>
          </w:tcPr>
          <w:p>
            <w:pPr>
              <w:pStyle w:val="0"/>
            </w:pPr>
            <w:r>
              <w:rPr>
                <w:sz w:val="24"/>
              </w:rPr>
              <w:t xml:space="preserve">444.1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444.5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718" w:name="P21718"/>
          <w:bookmarkEnd w:id="21718"/>
          <w:p>
            <w:pPr>
              <w:pStyle w:val="0"/>
            </w:pPr>
            <w:r>
              <w:rPr>
                <w:sz w:val="24"/>
              </w:rPr>
              <w:t xml:space="preserve">445</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445.1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445.5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750" w:name="P21750"/>
          <w:bookmarkEnd w:id="21750"/>
          <w:p>
            <w:pPr>
              <w:pStyle w:val="0"/>
            </w:pPr>
            <w:r>
              <w:rPr>
                <w:sz w:val="24"/>
              </w:rPr>
              <w:t xml:space="preserve">446</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446.1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446.5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782" w:name="P21782"/>
          <w:bookmarkEnd w:id="21782"/>
          <w:p>
            <w:pPr>
              <w:pStyle w:val="0"/>
            </w:pPr>
            <w:r>
              <w:rPr>
                <w:sz w:val="24"/>
              </w:rPr>
              <w:t xml:space="preserve">447</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447.1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447.5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814" w:name="P21814"/>
          <w:bookmarkEnd w:id="21814"/>
          <w:p>
            <w:pPr>
              <w:pStyle w:val="0"/>
            </w:pPr>
            <w:r>
              <w:rPr>
                <w:sz w:val="24"/>
              </w:rPr>
              <w:t xml:space="preserve">448</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448.1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448.5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448.7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1846" w:name="P21846"/>
          <w:bookmarkEnd w:id="21846"/>
          <w:p>
            <w:pPr>
              <w:pStyle w:val="0"/>
            </w:pPr>
            <w:r>
              <w:rPr>
                <w:sz w:val="24"/>
              </w:rPr>
              <w:t xml:space="preserve">449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449.1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449.2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449.3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449.4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449.5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449.6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449.7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1878" w:name="P21878"/>
          <w:bookmarkEnd w:id="21878"/>
          <w:p>
            <w:pPr>
              <w:pStyle w:val="0"/>
              <w:outlineLvl w:val="5"/>
            </w:pPr>
            <w:r>
              <w:rPr>
                <w:sz w:val="24"/>
              </w:rPr>
              <w:t xml:space="preserve">Подраздел 2.30.1.</w:t>
            </w:r>
          </w:p>
        </w:tc>
        <w:tc>
          <w:tcPr>
            <w:gridSpan w:val="4"/>
            <w:tcW w:w="6962" w:type="dxa"/>
            <w:tcBorders>
              <w:right w:val="single" w:sz="4"/>
            </w:tcBorders>
          </w:tcPr>
          <w:p>
            <w:pPr>
              <w:pStyle w:val="0"/>
            </w:pPr>
            <w:r>
              <w:rPr>
                <w:sz w:val="24"/>
              </w:rPr>
              <w:t xml:space="preserve">Права требования, стоимость которых признана равной нулю</w:t>
            </w:r>
          </w:p>
        </w:tc>
      </w:tr>
      <w:tr>
        <w:tc>
          <w:tcPr>
            <w:tcW w:w="907" w:type="dxa"/>
          </w:tcPr>
          <w:bookmarkStart w:id="21880" w:name="P21880"/>
          <w:bookmarkEnd w:id="21880"/>
          <w:p>
            <w:pPr>
              <w:pStyle w:val="0"/>
            </w:pPr>
            <w:r>
              <w:rPr>
                <w:sz w:val="24"/>
              </w:rPr>
              <w:t xml:space="preserve">450</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450.1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450.2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450.3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450.4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450.5</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450.6</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450.7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450.8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450.9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450.11</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21928" w:name="P21928"/>
          <w:bookmarkEnd w:id="21928"/>
          <w:p>
            <w:pPr>
              <w:pStyle w:val="0"/>
            </w:pPr>
            <w:r>
              <w:rPr>
                <w:sz w:val="24"/>
              </w:rPr>
              <w:t xml:space="preserve">451</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451.1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451.2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451.3</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451.4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451.5</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451.6</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451.7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451.8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451.9</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451.11</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dim-int:AktivSootvTrebPp7921P792781PAxis</w:t>
            </w:r>
          </w:p>
        </w:tc>
      </w:tr>
      <w:tr>
        <w:tblPrEx>
          <w:tblBorders>
            <w:insideV w:val="nil"/>
          </w:tblBorders>
        </w:tblPrEx>
        <w:tc>
          <w:tcPr>
            <w:gridSpan w:val="7"/>
            <w:tcW w:w="2302" w:type="dxa"/>
            <w:tcBorders>
              <w:left w:val="single" w:sz="4"/>
            </w:tcBorders>
          </w:tcPr>
          <w:bookmarkStart w:id="21976" w:name="P21976"/>
          <w:bookmarkEnd w:id="21976"/>
          <w:p>
            <w:pPr>
              <w:pStyle w:val="0"/>
              <w:outlineLvl w:val="6"/>
            </w:pPr>
            <w:r>
              <w:rPr>
                <w:sz w:val="24"/>
              </w:rPr>
              <w:t xml:space="preserve">Подраздел 2.30.1.1.</w:t>
            </w:r>
          </w:p>
        </w:tc>
        <w:tc>
          <w:tcPr>
            <w:gridSpan w:val="3"/>
            <w:tcW w:w="6769" w:type="dxa"/>
            <w:tcBorders>
              <w:right w:val="single" w:sz="4"/>
            </w:tcBorders>
          </w:tcPr>
          <w:p>
            <w:pPr>
              <w:pStyle w:val="0"/>
            </w:pPr>
            <w:r>
              <w:rPr>
                <w:sz w:val="24"/>
              </w:rPr>
              <w:t xml:space="preserve">По отдельным контрагентам</w:t>
            </w:r>
          </w:p>
        </w:tc>
      </w:tr>
      <w:tr>
        <w:tc>
          <w:tcPr>
            <w:tcW w:w="907" w:type="dxa"/>
          </w:tcPr>
          <w:bookmarkStart w:id="21978" w:name="P21978"/>
          <w:bookmarkEnd w:id="21978"/>
          <w:p>
            <w:pPr>
              <w:pStyle w:val="0"/>
            </w:pPr>
            <w:r>
              <w:rPr>
                <w:sz w:val="24"/>
              </w:rPr>
              <w:t xml:space="preserve">452</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452.1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452.3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21994" w:name="P21994"/>
          <w:bookmarkEnd w:id="21994"/>
          <w:p>
            <w:pPr>
              <w:pStyle w:val="0"/>
              <w:outlineLvl w:val="4"/>
            </w:pPr>
            <w:r>
              <w:rPr>
                <w:sz w:val="24"/>
              </w:rPr>
              <w:t xml:space="preserve">Подраздел 2.31.</w:t>
            </w:r>
          </w:p>
        </w:tc>
        <w:tc>
          <w:tcPr>
            <w:gridSpan w:val="6"/>
            <w:tcW w:w="7370" w:type="dxa"/>
            <w:tcBorders>
              <w:right w:val="single" w:sz="4"/>
            </w:tcBorders>
          </w:tcPr>
          <w:p>
            <w:pPr>
              <w:pStyle w:val="0"/>
            </w:pPr>
            <w:r>
              <w:rPr>
                <w:sz w:val="24"/>
              </w:rPr>
              <w:t xml:space="preserve">Права требования к профессиональным объединениям страховщиков, не учтенные в страховых резервах</w:t>
            </w:r>
          </w:p>
        </w:tc>
      </w:tr>
      <w:tr>
        <w:tc>
          <w:tcPr>
            <w:tcW w:w="907" w:type="dxa"/>
          </w:tcPr>
          <w:p>
            <w:pPr>
              <w:pStyle w:val="0"/>
            </w:pPr>
            <w:r>
              <w:rPr>
                <w:sz w:val="24"/>
              </w:rPr>
              <w:t xml:space="preserve">453</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453.1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453.4</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453.5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453.6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2024" w:name="P22024"/>
          <w:bookmarkEnd w:id="22024"/>
          <w:p>
            <w:pPr>
              <w:pStyle w:val="0"/>
            </w:pPr>
            <w:r>
              <w:rPr>
                <w:sz w:val="24"/>
              </w:rPr>
              <w:t xml:space="preserve">454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454.1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454.4</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454.5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454.6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454.7</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dim-int:St_A_Invest__Stredstva_Sr_Ss_Axis</w:t>
            </w:r>
          </w:p>
        </w:tc>
      </w:tr>
      <w:tr>
        <w:tc>
          <w:tcPr>
            <w:tcW w:w="907" w:type="dxa"/>
          </w:tcPr>
          <w:p>
            <w:pPr>
              <w:pStyle w:val="0"/>
            </w:pPr>
            <w:r>
              <w:rPr>
                <w:sz w:val="24"/>
              </w:rPr>
              <w:t xml:space="preserve">455</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455.1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455.4</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455.5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455.6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2084" w:name="P22084"/>
          <w:bookmarkEnd w:id="22084"/>
          <w:p>
            <w:pPr>
              <w:pStyle w:val="0"/>
            </w:pPr>
            <w:r>
              <w:rPr>
                <w:sz w:val="24"/>
              </w:rPr>
              <w:t xml:space="preserve">456</w:t>
            </w:r>
          </w:p>
        </w:tc>
        <w:tc>
          <w:tcPr>
            <w:gridSpan w:val="7"/>
            <w:tcW w:w="2608" w:type="dxa"/>
          </w:tcPr>
          <w:p>
            <w:pPr>
              <w:pStyle w:val="0"/>
            </w:pPr>
            <w:r>
              <w:rPr>
                <w:sz w:val="24"/>
              </w:rPr>
              <w:t xml:space="preserve">Права требования относятся к правам требования к профессиональным объединениям страховщиков по видам обязательного страхования гражданской ответственности</w:t>
            </w:r>
          </w:p>
        </w:tc>
        <w:tc>
          <w:tcPr>
            <w:tcW w:w="2608" w:type="dxa"/>
          </w:tcPr>
          <w:p>
            <w:pPr>
              <w:pStyle w:val="0"/>
            </w:pPr>
            <w:r>
              <w:rPr>
                <w:sz w:val="24"/>
              </w:rPr>
            </w:r>
          </w:p>
        </w:tc>
        <w:tc>
          <w:tcPr>
            <w:tcW w:w="2948" w:type="dxa"/>
          </w:tcPr>
          <w:p>
            <w:pPr>
              <w:pStyle w:val="0"/>
            </w:pPr>
            <w:r>
              <w:rPr>
                <w:sz w:val="24"/>
              </w:rPr>
              <w:t xml:space="preserve">ins-dic:PravaTrebSootvP3.1.12.14P3.1Polozh710PEnumerator</w:t>
            </w:r>
          </w:p>
        </w:tc>
      </w:tr>
      <w:tr>
        <w:tc>
          <w:tcPr>
            <w:tcW w:w="907" w:type="dxa"/>
          </w:tcPr>
          <w:p>
            <w:pPr>
              <w:pStyle w:val="0"/>
            </w:pPr>
            <w:r>
              <w:rPr>
                <w:sz w:val="24"/>
              </w:rPr>
              <w:t xml:space="preserve">456.1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456.4</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456.5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456.6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2112" w:name="P22112"/>
          <w:bookmarkEnd w:id="22112"/>
          <w:p>
            <w:pPr>
              <w:pStyle w:val="0"/>
            </w:pPr>
            <w:r>
              <w:rPr>
                <w:sz w:val="24"/>
              </w:rPr>
              <w:t xml:space="preserve">457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457.1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457.4</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457.5</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457.6</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4"/>
            <w:tcW w:w="1701" w:type="dxa"/>
            <w:tcBorders>
              <w:left w:val="single" w:sz="4"/>
            </w:tcBorders>
          </w:tcPr>
          <w:bookmarkStart w:id="22140" w:name="P22140"/>
          <w:bookmarkEnd w:id="22140"/>
          <w:p>
            <w:pPr>
              <w:pStyle w:val="0"/>
              <w:outlineLvl w:val="4"/>
            </w:pPr>
            <w:r>
              <w:rPr>
                <w:sz w:val="24"/>
              </w:rPr>
              <w:t xml:space="preserve">Подраздел 2.32.</w:t>
            </w:r>
          </w:p>
        </w:tc>
        <w:tc>
          <w:tcPr>
            <w:gridSpan w:val="6"/>
            <w:tcW w:w="7370" w:type="dxa"/>
            <w:tcBorders>
              <w:right w:val="single" w:sz="4"/>
            </w:tcBorders>
          </w:tcPr>
          <w:p>
            <w:pPr>
              <w:pStyle w:val="0"/>
            </w:pPr>
            <w:r>
              <w:rPr>
                <w:sz w:val="24"/>
              </w:rPr>
              <w:t xml:space="preserve">Прочие права требования по договорам страхования, сострахования и перестрахования, не учтенные в страховых резервах</w:t>
            </w:r>
          </w:p>
        </w:tc>
      </w:tr>
      <w:tr>
        <w:tc>
          <w:tcPr>
            <w:tcW w:w="907" w:type="dxa"/>
          </w:tcPr>
          <w:p>
            <w:pPr>
              <w:pStyle w:val="0"/>
            </w:pPr>
            <w:r>
              <w:rPr>
                <w:sz w:val="24"/>
              </w:rPr>
              <w:t xml:space="preserve">458</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458.1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458.5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458.6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458.7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458.8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458.9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182" w:name="P22182"/>
          <w:bookmarkEnd w:id="22182"/>
          <w:p>
            <w:pPr>
              <w:pStyle w:val="0"/>
            </w:pPr>
            <w:r>
              <w:rPr>
                <w:sz w:val="24"/>
              </w:rPr>
              <w:t xml:space="preserve">459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459.1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459.2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459.3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459.4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459.5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459.6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459.7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459.8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459.9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p>
            <w:pPr>
              <w:pStyle w:val="0"/>
            </w:pPr>
            <w:r>
              <w:rPr>
                <w:sz w:val="24"/>
              </w:rPr>
              <w:t xml:space="preserve">459.10</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2226" w:name="P22226"/>
          <w:bookmarkEnd w:id="22226"/>
          <w:p>
            <w:pPr>
              <w:pStyle w:val="0"/>
            </w:pPr>
            <w:r>
              <w:rPr>
                <w:sz w:val="24"/>
              </w:rPr>
              <w:t xml:space="preserve">460</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460.1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460.5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460.6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460.7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460.8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460.9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266" w:name="P22266"/>
          <w:bookmarkEnd w:id="22266"/>
          <w:p>
            <w:pPr>
              <w:pStyle w:val="0"/>
            </w:pPr>
            <w:r>
              <w:rPr>
                <w:sz w:val="24"/>
              </w:rPr>
              <w:t xml:space="preserve">461</w:t>
            </w:r>
          </w:p>
        </w:tc>
        <w:tc>
          <w:tcPr>
            <w:gridSpan w:val="7"/>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ins-dic:RiskAktPeredStrIEnumerator</w:t>
            </w:r>
          </w:p>
        </w:tc>
      </w:tr>
      <w:tr>
        <w:tc>
          <w:tcPr>
            <w:tcW w:w="907" w:type="dxa"/>
          </w:tcPr>
          <w:p>
            <w:pPr>
              <w:pStyle w:val="0"/>
            </w:pPr>
            <w:r>
              <w:rPr>
                <w:sz w:val="24"/>
              </w:rPr>
              <w:t xml:space="preserve">461.1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461.5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461.7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461.8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461.9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306" w:name="P22306"/>
          <w:bookmarkEnd w:id="22306"/>
          <w:p>
            <w:pPr>
              <w:pStyle w:val="0"/>
            </w:pPr>
            <w:r>
              <w:rPr>
                <w:sz w:val="24"/>
              </w:rPr>
              <w:t xml:space="preserve">462</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462.1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462.5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462.7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462.8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462.9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346" w:name="P22346"/>
          <w:bookmarkEnd w:id="22346"/>
          <w:p>
            <w:pPr>
              <w:pStyle w:val="0"/>
            </w:pPr>
            <w:r>
              <w:rPr>
                <w:sz w:val="24"/>
              </w:rPr>
              <w:t xml:space="preserve">463</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463.1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463.5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463.7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463.8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463.9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386" w:name="P22386"/>
          <w:bookmarkEnd w:id="22386"/>
          <w:p>
            <w:pPr>
              <w:pStyle w:val="0"/>
            </w:pPr>
            <w:r>
              <w:rPr>
                <w:sz w:val="24"/>
              </w:rPr>
              <w:t xml:space="preserve">464</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464.1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464.5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464.7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464.8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464.9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426" w:name="P22426"/>
          <w:bookmarkEnd w:id="22426"/>
          <w:p>
            <w:pPr>
              <w:pStyle w:val="0"/>
            </w:pPr>
            <w:r>
              <w:rPr>
                <w:sz w:val="24"/>
              </w:rPr>
              <w:t xml:space="preserve">465</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465.1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465.5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465.7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465.8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465.9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466" w:name="P22466"/>
          <w:bookmarkEnd w:id="22466"/>
          <w:p>
            <w:pPr>
              <w:pStyle w:val="0"/>
            </w:pPr>
            <w:r>
              <w:rPr>
                <w:sz w:val="24"/>
              </w:rPr>
              <w:t xml:space="preserve">466</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466.1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466.5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466.7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466.8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466.9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506" w:name="P22506"/>
          <w:bookmarkEnd w:id="22506"/>
          <w:p>
            <w:pPr>
              <w:pStyle w:val="0"/>
            </w:pPr>
            <w:r>
              <w:rPr>
                <w:sz w:val="24"/>
              </w:rPr>
              <w:t xml:space="preserve">467</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467.1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dim-int:lDPoruchGarTaxis</w:t>
            </w:r>
          </w:p>
        </w:tc>
      </w:tr>
      <w:tr>
        <w:tc>
          <w:tcPr>
            <w:tcW w:w="907" w:type="dxa"/>
          </w:tcPr>
          <w:p>
            <w:pPr>
              <w:pStyle w:val="0"/>
            </w:pPr>
            <w:r>
              <w:rPr>
                <w:sz w:val="24"/>
              </w:rPr>
              <w:t xml:space="preserve">467.5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467.7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467.8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467.9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546" w:name="P22546"/>
          <w:bookmarkEnd w:id="22546"/>
          <w:p>
            <w:pPr>
              <w:pStyle w:val="0"/>
            </w:pPr>
            <w:r>
              <w:rPr>
                <w:sz w:val="24"/>
              </w:rPr>
              <w:t xml:space="preserve">468</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468.1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468.5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468.7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468.8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468.9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586" w:name="P22586"/>
          <w:bookmarkEnd w:id="22586"/>
          <w:p>
            <w:pPr>
              <w:pStyle w:val="0"/>
            </w:pPr>
            <w:r>
              <w:rPr>
                <w:sz w:val="24"/>
              </w:rPr>
              <w:t xml:space="preserve">469</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469.1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469.2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469.3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469.4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469.5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469.6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469.7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469.8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469.9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626" w:name="P22626"/>
          <w:bookmarkEnd w:id="22626"/>
          <w:p>
            <w:pPr>
              <w:pStyle w:val="0"/>
            </w:pPr>
            <w:r>
              <w:rPr>
                <w:sz w:val="24"/>
              </w:rPr>
              <w:t xml:space="preserve">470</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470.1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470.5</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470.6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470.7</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470.8</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470.9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blPrEx>
          <w:tblBorders>
            <w:insideV w:val="nil"/>
          </w:tblBorders>
        </w:tblPrEx>
        <w:tc>
          <w:tcPr>
            <w:gridSpan w:val="4"/>
            <w:tcW w:w="1701" w:type="dxa"/>
            <w:tcBorders>
              <w:left w:val="single" w:sz="4"/>
            </w:tcBorders>
          </w:tcPr>
          <w:bookmarkStart w:id="22666" w:name="P22666"/>
          <w:bookmarkEnd w:id="22666"/>
          <w:p>
            <w:pPr>
              <w:pStyle w:val="0"/>
              <w:outlineLvl w:val="5"/>
            </w:pPr>
            <w:r>
              <w:rPr>
                <w:sz w:val="24"/>
              </w:rPr>
              <w:t xml:space="preserve">Подраздел 2.32.1.</w:t>
            </w:r>
          </w:p>
        </w:tc>
        <w:tc>
          <w:tcPr>
            <w:gridSpan w:val="6"/>
            <w:tcW w:w="7370" w:type="dxa"/>
            <w:tcBorders>
              <w:right w:val="single" w:sz="4"/>
            </w:tcBorders>
          </w:tcPr>
          <w:p>
            <w:pPr>
              <w:pStyle w:val="0"/>
            </w:pPr>
            <w:r>
              <w:rPr>
                <w:sz w:val="24"/>
              </w:rPr>
              <w:t xml:space="preserve">Права требования, стоимость которых признана равной нулю</w:t>
            </w:r>
          </w:p>
        </w:tc>
      </w:tr>
      <w:tr>
        <w:tc>
          <w:tcPr>
            <w:tcW w:w="907" w:type="dxa"/>
          </w:tcPr>
          <w:bookmarkStart w:id="22668" w:name="P22668"/>
          <w:bookmarkEnd w:id="22668"/>
          <w:p>
            <w:pPr>
              <w:pStyle w:val="0"/>
            </w:pPr>
            <w:r>
              <w:rPr>
                <w:sz w:val="24"/>
              </w:rPr>
              <w:t xml:space="preserve">471</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471.1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471.2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471.3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471.4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471.5</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471.6</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471.7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471.8</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471.9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c>
          <w:tcPr>
            <w:tcW w:w="907" w:type="dxa"/>
          </w:tcPr>
          <w:bookmarkStart w:id="22708" w:name="P22708"/>
          <w:bookmarkEnd w:id="22708"/>
          <w:p>
            <w:pPr>
              <w:pStyle w:val="0"/>
            </w:pPr>
            <w:r>
              <w:rPr>
                <w:sz w:val="24"/>
              </w:rPr>
              <w:t xml:space="preserve">472</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472.1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472.2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472.3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472.4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472.5</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472.6</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472.8</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472.9</w:t>
            </w:r>
          </w:p>
        </w:tc>
        <w:tc>
          <w:tcPr>
            <w:gridSpan w:val="7"/>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948" w:type="dxa"/>
          </w:tcPr>
          <w:p>
            <w:pPr>
              <w:pStyle w:val="0"/>
            </w:pPr>
            <w:r>
              <w:rPr>
                <w:sz w:val="24"/>
              </w:rPr>
              <w:t xml:space="preserve">dim-int:PravaTrebVChUplStrPrDlyaPriobrInvPaevPoDogDolStrZhAxis</w:t>
            </w:r>
          </w:p>
        </w:tc>
      </w:tr>
      <w:tr>
        <w:tblPrEx>
          <w:tblBorders>
            <w:insideV w:val="nil"/>
          </w:tblBorders>
        </w:tblPrEx>
        <w:tc>
          <w:tcPr>
            <w:gridSpan w:val="6"/>
            <w:tcW w:w="2109" w:type="dxa"/>
            <w:tcBorders>
              <w:left w:val="single" w:sz="4"/>
            </w:tcBorders>
          </w:tcPr>
          <w:bookmarkStart w:id="22748" w:name="P22748"/>
          <w:bookmarkEnd w:id="22748"/>
          <w:p>
            <w:pPr>
              <w:pStyle w:val="0"/>
              <w:outlineLvl w:val="6"/>
            </w:pPr>
            <w:r>
              <w:rPr>
                <w:sz w:val="24"/>
              </w:rPr>
              <w:t xml:space="preserve">Подраздел 2.32.1.1.</w:t>
            </w:r>
          </w:p>
        </w:tc>
        <w:tc>
          <w:tcPr>
            <w:gridSpan w:val="4"/>
            <w:tcW w:w="6962" w:type="dxa"/>
            <w:tcBorders>
              <w:right w:val="single" w:sz="4"/>
            </w:tcBorders>
          </w:tcPr>
          <w:p>
            <w:pPr>
              <w:pStyle w:val="0"/>
            </w:pPr>
            <w:r>
              <w:rPr>
                <w:sz w:val="24"/>
              </w:rPr>
              <w:t xml:space="preserve">По отдельным контрагентам</w:t>
            </w:r>
          </w:p>
        </w:tc>
      </w:tr>
      <w:tr>
        <w:tc>
          <w:tcPr>
            <w:tcW w:w="907" w:type="dxa"/>
          </w:tcPr>
          <w:bookmarkStart w:id="22750" w:name="P22750"/>
          <w:bookmarkEnd w:id="22750"/>
          <w:p>
            <w:pPr>
              <w:pStyle w:val="0"/>
            </w:pPr>
            <w:r>
              <w:rPr>
                <w:sz w:val="24"/>
              </w:rPr>
              <w:t xml:space="preserve">473</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473.1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473.3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6"/>
            <w:tcW w:w="2109" w:type="dxa"/>
            <w:tcBorders>
              <w:left w:val="single" w:sz="4"/>
            </w:tcBorders>
          </w:tcPr>
          <w:bookmarkStart w:id="22766" w:name="P22766"/>
          <w:bookmarkEnd w:id="22766"/>
          <w:p>
            <w:pPr>
              <w:pStyle w:val="0"/>
              <w:outlineLvl w:val="4"/>
            </w:pPr>
            <w:r>
              <w:rPr>
                <w:sz w:val="24"/>
              </w:rPr>
              <w:t xml:space="preserve">Подраздел 2.33.</w:t>
            </w:r>
          </w:p>
        </w:tc>
        <w:tc>
          <w:tcPr>
            <w:gridSpan w:val="4"/>
            <w:tcW w:w="6962" w:type="dxa"/>
            <w:tcBorders>
              <w:right w:val="single" w:sz="4"/>
            </w:tcBorders>
          </w:tcPr>
          <w:p>
            <w:pPr>
              <w:pStyle w:val="0"/>
              <w:jc w:val="both"/>
            </w:pPr>
            <w:r>
              <w:rPr>
                <w:sz w:val="24"/>
              </w:rPr>
              <w:t xml:space="preserve">Прочие права требования</w:t>
            </w:r>
          </w:p>
        </w:tc>
      </w:tr>
      <w:tr>
        <w:tc>
          <w:tcPr>
            <w:tcW w:w="907" w:type="dxa"/>
          </w:tcPr>
          <w:p>
            <w:pPr>
              <w:pStyle w:val="0"/>
            </w:pPr>
            <w:r>
              <w:rPr>
                <w:sz w:val="24"/>
              </w:rPr>
              <w:t xml:space="preserve">474</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474.1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474.5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474.7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474.8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474.9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475</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475.1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475.5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475.7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475.8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475.9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475.10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2856" w:name="P22856"/>
          <w:bookmarkEnd w:id="22856"/>
          <w:p>
            <w:pPr>
              <w:pStyle w:val="0"/>
            </w:pPr>
            <w:r>
              <w:rPr>
                <w:sz w:val="24"/>
              </w:rPr>
              <w:t xml:space="preserve">476</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476.1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476.5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476.7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476.8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476.9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476.10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476.11</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2904" w:name="P22904"/>
          <w:bookmarkEnd w:id="22904"/>
          <w:p>
            <w:pPr>
              <w:pStyle w:val="0"/>
            </w:pPr>
            <w:r>
              <w:rPr>
                <w:sz w:val="24"/>
              </w:rPr>
              <w:t xml:space="preserve">477</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477.1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477.5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477.6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477.7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477.8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477.9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477.10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2948" w:name="P22948"/>
          <w:bookmarkEnd w:id="22948"/>
          <w:p>
            <w:pPr>
              <w:pStyle w:val="0"/>
            </w:pPr>
            <w:r>
              <w:rPr>
                <w:sz w:val="24"/>
              </w:rPr>
              <w:t xml:space="preserve">478</w:t>
            </w:r>
          </w:p>
        </w:tc>
        <w:tc>
          <w:tcPr>
            <w:gridSpan w:val="7"/>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ins-dic:RiskAktPeredStrIEnumerator</w:t>
            </w:r>
          </w:p>
        </w:tc>
      </w:tr>
      <w:tr>
        <w:tc>
          <w:tcPr>
            <w:tcW w:w="907" w:type="dxa"/>
          </w:tcPr>
          <w:p>
            <w:pPr>
              <w:pStyle w:val="0"/>
            </w:pPr>
            <w:r>
              <w:rPr>
                <w:sz w:val="24"/>
              </w:rPr>
              <w:t xml:space="preserve">478.1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478.5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478.6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478.7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478.8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478.9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478.10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2992" w:name="P22992"/>
          <w:bookmarkEnd w:id="22992"/>
          <w:p>
            <w:pPr>
              <w:pStyle w:val="0"/>
            </w:pPr>
            <w:r>
              <w:rPr>
                <w:sz w:val="24"/>
              </w:rPr>
              <w:t xml:space="preserve">479</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479.1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479.2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479.3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479.4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479.5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479.6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479.7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479.8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479.9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479.10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036" w:name="P23036"/>
          <w:bookmarkEnd w:id="23036"/>
          <w:p>
            <w:pPr>
              <w:pStyle w:val="0"/>
            </w:pPr>
            <w:r>
              <w:rPr>
                <w:sz w:val="24"/>
              </w:rPr>
              <w:t xml:space="preserve">480</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480.1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480.5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480.6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480.7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480.8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480.9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480.10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080" w:name="P23080"/>
          <w:bookmarkEnd w:id="23080"/>
          <w:p>
            <w:pPr>
              <w:pStyle w:val="0"/>
            </w:pPr>
            <w:r>
              <w:rPr>
                <w:sz w:val="24"/>
              </w:rPr>
              <w:t xml:space="preserve">481</w:t>
            </w:r>
          </w:p>
        </w:tc>
        <w:tc>
          <w:tcPr>
            <w:gridSpan w:val="7"/>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481.1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dim-int:lDFondDepRaspTaxis</w:t>
            </w:r>
          </w:p>
        </w:tc>
      </w:tr>
      <w:tr>
        <w:tc>
          <w:tcPr>
            <w:tcW w:w="907" w:type="dxa"/>
          </w:tcPr>
          <w:p>
            <w:pPr>
              <w:pStyle w:val="0"/>
            </w:pPr>
            <w:r>
              <w:rPr>
                <w:sz w:val="24"/>
              </w:rPr>
              <w:t xml:space="preserve">481.7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481.8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481.9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481.10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124" w:name="P23124"/>
          <w:bookmarkEnd w:id="23124"/>
          <w:p>
            <w:pPr>
              <w:pStyle w:val="0"/>
            </w:pPr>
            <w:r>
              <w:rPr>
                <w:sz w:val="24"/>
              </w:rPr>
              <w:t xml:space="preserve">482</w:t>
            </w:r>
          </w:p>
        </w:tc>
        <w:tc>
          <w:tcPr>
            <w:gridSpan w:val="7"/>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482.1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482.7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482.8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482.9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482.10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168" w:name="P23168"/>
          <w:bookmarkEnd w:id="23168"/>
          <w:p>
            <w:pPr>
              <w:pStyle w:val="0"/>
            </w:pPr>
            <w:r>
              <w:rPr>
                <w:sz w:val="24"/>
              </w:rPr>
              <w:t xml:space="preserve">483</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483.1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483.7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483.8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483.9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483.10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212" w:name="P23212"/>
          <w:bookmarkEnd w:id="23212"/>
          <w:p>
            <w:pPr>
              <w:pStyle w:val="0"/>
            </w:pPr>
            <w:r>
              <w:rPr>
                <w:sz w:val="24"/>
              </w:rPr>
              <w:t xml:space="preserve">484</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484.1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484.7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484.8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484.9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484.10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256" w:name="P23256"/>
          <w:bookmarkEnd w:id="23256"/>
          <w:p>
            <w:pPr>
              <w:pStyle w:val="0"/>
            </w:pPr>
            <w:r>
              <w:rPr>
                <w:sz w:val="24"/>
              </w:rPr>
              <w:t xml:space="preserve">485</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485.1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485.5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485.6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485.7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485.8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485.9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 P3.1_710_PAxis</w:t>
            </w:r>
          </w:p>
        </w:tc>
      </w:tr>
      <w:tr>
        <w:tc>
          <w:tcPr>
            <w:tcW w:w="907" w:type="dxa"/>
          </w:tcPr>
          <w:p>
            <w:pPr>
              <w:pStyle w:val="0"/>
            </w:pPr>
            <w:r>
              <w:rPr>
                <w:sz w:val="24"/>
              </w:rPr>
              <w:t xml:space="preserve">485.10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300" w:name="P23300"/>
          <w:bookmarkEnd w:id="23300"/>
          <w:p>
            <w:pPr>
              <w:pStyle w:val="0"/>
            </w:pPr>
            <w:r>
              <w:rPr>
                <w:sz w:val="24"/>
              </w:rPr>
              <w:t xml:space="preserve">486</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486.1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486.5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486.6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486.7</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p>
            <w:pPr>
              <w:pStyle w:val="0"/>
            </w:pPr>
            <w:r>
              <w:rPr>
                <w:sz w:val="24"/>
              </w:rPr>
              <w:t xml:space="preserve">486.8</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486.9</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486.10</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3344" w:name="P23344"/>
          <w:bookmarkEnd w:id="23344"/>
          <w:p>
            <w:pPr>
              <w:pStyle w:val="0"/>
              <w:outlineLvl w:val="5"/>
            </w:pPr>
            <w:r>
              <w:rPr>
                <w:sz w:val="24"/>
              </w:rPr>
              <w:t xml:space="preserve">Подраздел 2.33.1.</w:t>
            </w:r>
          </w:p>
        </w:tc>
        <w:tc>
          <w:tcPr>
            <w:gridSpan w:val="4"/>
            <w:tcW w:w="6962" w:type="dxa"/>
            <w:tcBorders>
              <w:right w:val="single" w:sz="4"/>
            </w:tcBorders>
          </w:tcPr>
          <w:p>
            <w:pPr>
              <w:pStyle w:val="0"/>
            </w:pPr>
            <w:r>
              <w:rPr>
                <w:sz w:val="24"/>
              </w:rPr>
              <w:t xml:space="preserve">Права требования, стоимость которых признана равной нулю</w:t>
            </w:r>
          </w:p>
        </w:tc>
      </w:tr>
      <w:tr>
        <w:tc>
          <w:tcPr>
            <w:tcW w:w="907" w:type="dxa"/>
          </w:tcPr>
          <w:p>
            <w:pPr>
              <w:pStyle w:val="0"/>
            </w:pPr>
            <w:r>
              <w:rPr>
                <w:sz w:val="24"/>
              </w:rPr>
              <w:t xml:space="preserve">487</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487.1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487.2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487.3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487.4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487.5</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487.6</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487.8</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c>
          <w:tcPr>
            <w:tcW w:w="907" w:type="dxa"/>
          </w:tcPr>
          <w:bookmarkStart w:id="23382" w:name="P23382"/>
          <w:bookmarkEnd w:id="23382"/>
          <w:p>
            <w:pPr>
              <w:pStyle w:val="0"/>
            </w:pPr>
            <w:r>
              <w:rPr>
                <w:sz w:val="24"/>
              </w:rPr>
              <w:t xml:space="preserve">488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488.1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488.2</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488.3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488.4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488.5</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488.6</w:t>
            </w:r>
          </w:p>
        </w:tc>
        <w:tc>
          <w:tcPr>
            <w:gridSpan w:val="7"/>
            <w:tcW w:w="2608" w:type="dxa"/>
          </w:tcPr>
          <w:p>
            <w:pPr>
              <w:pStyle w:val="0"/>
            </w:pPr>
            <w:r>
              <w:rPr>
                <w:sz w:val="24"/>
              </w:rPr>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488.7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488.8</w:t>
            </w:r>
          </w:p>
        </w:tc>
        <w:tc>
          <w:tcPr>
            <w:gridSpan w:val="7"/>
            <w:tcW w:w="2608" w:type="dxa"/>
          </w:tcPr>
          <w:p>
            <w:pPr>
              <w:pStyle w:val="0"/>
            </w:pPr>
            <w:r>
              <w:rPr>
                <w:sz w:val="24"/>
              </w:rPr>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948" w:type="dxa"/>
          </w:tcPr>
          <w:p>
            <w:pPr>
              <w:pStyle w:val="0"/>
            </w:pPr>
            <w:r>
              <w:rPr>
                <w:sz w:val="24"/>
              </w:rPr>
              <w:t xml:space="preserve">dim-int:AktivSootvTrebPp7921P792_781PAxis</w:t>
            </w:r>
          </w:p>
        </w:tc>
      </w:tr>
      <w:tr>
        <w:tblPrEx>
          <w:tblBorders>
            <w:insideV w:val="nil"/>
          </w:tblBorders>
        </w:tblPrEx>
        <w:tc>
          <w:tcPr>
            <w:gridSpan w:val="6"/>
            <w:tcW w:w="2109" w:type="dxa"/>
            <w:tcBorders>
              <w:left w:val="single" w:sz="4"/>
            </w:tcBorders>
          </w:tcPr>
          <w:bookmarkStart w:id="23418" w:name="P23418"/>
          <w:bookmarkEnd w:id="23418"/>
          <w:p>
            <w:pPr>
              <w:pStyle w:val="0"/>
              <w:outlineLvl w:val="4"/>
            </w:pPr>
            <w:r>
              <w:rPr>
                <w:sz w:val="24"/>
              </w:rPr>
              <w:t xml:space="preserve">Подраздел 2.34.</w:t>
            </w:r>
          </w:p>
        </w:tc>
        <w:tc>
          <w:tcPr>
            <w:gridSpan w:val="4"/>
            <w:tcW w:w="6962" w:type="dxa"/>
            <w:tcBorders>
              <w:right w:val="single" w:sz="4"/>
            </w:tcBorders>
          </w:tcPr>
          <w:p>
            <w:pPr>
              <w:pStyle w:val="0"/>
              <w:jc w:val="both"/>
            </w:pPr>
            <w:r>
              <w:rPr>
                <w:sz w:val="24"/>
              </w:rPr>
              <w:t xml:space="preserve">Доля перестраховщиков в страховых резервах</w:t>
            </w:r>
          </w:p>
        </w:tc>
      </w:tr>
      <w:tr>
        <w:tc>
          <w:tcPr>
            <w:tcW w:w="907" w:type="dxa"/>
          </w:tcPr>
          <w:bookmarkStart w:id="23420" w:name="P23420"/>
          <w:bookmarkEnd w:id="23420"/>
          <w:p>
            <w:pPr>
              <w:pStyle w:val="0"/>
            </w:pPr>
            <w:r>
              <w:rPr>
                <w:sz w:val="24"/>
              </w:rPr>
              <w:t xml:space="preserve">489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489.1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489.2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489.3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489.4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489.5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489.6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489.7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489.8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489.9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489.10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489.11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489.12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489.13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489.14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489.15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489.16</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3488" w:name="P23488"/>
          <w:bookmarkEnd w:id="23488"/>
          <w:p>
            <w:pPr>
              <w:pStyle w:val="0"/>
            </w:pPr>
            <w:r>
              <w:rPr>
                <w:sz w:val="24"/>
              </w:rPr>
              <w:t xml:space="preserve">490</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490.1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490.5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490.6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490.7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490.8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490.9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490.10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490.11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490.12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490.13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490.14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490.15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552" w:name="P23552"/>
          <w:bookmarkEnd w:id="23552"/>
          <w:p>
            <w:pPr>
              <w:pStyle w:val="0"/>
            </w:pPr>
            <w:r>
              <w:rPr>
                <w:sz w:val="24"/>
              </w:rPr>
              <w:t xml:space="preserve">491</w:t>
            </w:r>
          </w:p>
        </w:tc>
        <w:tc>
          <w:tcPr>
            <w:gridSpan w:val="7"/>
            <w:tcW w:w="2608" w:type="dxa"/>
          </w:tcPr>
          <w:p>
            <w:pPr>
              <w:pStyle w:val="0"/>
            </w:pPr>
            <w:r>
              <w:rPr>
                <w:sz w:val="24"/>
              </w:rPr>
              <w:t xml:space="preserve">Цена возмещения при дефолте актива</w:t>
            </w:r>
          </w:p>
        </w:tc>
        <w:tc>
          <w:tcPr>
            <w:tcW w:w="2608" w:type="dxa"/>
          </w:tcPr>
          <w:p>
            <w:pPr>
              <w:pStyle w:val="0"/>
            </w:pPr>
            <w:r>
              <w:rPr>
                <w:sz w:val="24"/>
              </w:rPr>
            </w:r>
          </w:p>
        </w:tc>
        <w:tc>
          <w:tcPr>
            <w:tcW w:w="2948" w:type="dxa"/>
          </w:tcPr>
          <w:p>
            <w:pPr>
              <w:pStyle w:val="0"/>
            </w:pPr>
            <w:r>
              <w:rPr>
                <w:sz w:val="24"/>
              </w:rPr>
              <w:t xml:space="preserve">ins-dic:CzenVozmDefolt</w:t>
            </w:r>
          </w:p>
        </w:tc>
      </w:tr>
      <w:tr>
        <w:tc>
          <w:tcPr>
            <w:tcW w:w="907" w:type="dxa"/>
          </w:tcPr>
          <w:p>
            <w:pPr>
              <w:pStyle w:val="0"/>
            </w:pPr>
            <w:r>
              <w:rPr>
                <w:sz w:val="24"/>
              </w:rPr>
              <w:t xml:space="preserve">491.1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491.5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491.6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491.7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491.8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491.9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491.10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491.11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491.12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491.13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491.14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491.15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616" w:name="P23616"/>
          <w:bookmarkEnd w:id="23616"/>
          <w:p>
            <w:pPr>
              <w:pStyle w:val="0"/>
            </w:pPr>
            <w:r>
              <w:rPr>
                <w:sz w:val="24"/>
              </w:rPr>
              <w:t xml:space="preserve">492</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492.1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492.5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492.6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492.7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492.8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 ия</w:t>
            </w:r>
          </w:p>
        </w:tc>
        <w:tc>
          <w:tcPr>
            <w:tcW w:w="2948" w:type="dxa"/>
          </w:tcPr>
          <w:p>
            <w:pPr>
              <w:pStyle w:val="0"/>
            </w:pPr>
            <w:r>
              <w:rPr>
                <w:sz w:val="24"/>
              </w:rPr>
              <w:t xml:space="preserve">dim-int:StrDogZhNezhAxis</w:t>
            </w:r>
          </w:p>
        </w:tc>
      </w:tr>
      <w:tr>
        <w:tc>
          <w:tcPr>
            <w:tcW w:w="907" w:type="dxa"/>
          </w:tcPr>
          <w:p>
            <w:pPr>
              <w:pStyle w:val="0"/>
            </w:pPr>
            <w:r>
              <w:rPr>
                <w:sz w:val="24"/>
              </w:rPr>
              <w:t xml:space="preserve">492.9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492.10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492.11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492.12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492.13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492.14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492.15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680" w:name="P23680"/>
          <w:bookmarkEnd w:id="23680"/>
          <w:p>
            <w:pPr>
              <w:pStyle w:val="0"/>
            </w:pPr>
            <w:r>
              <w:rPr>
                <w:sz w:val="24"/>
              </w:rPr>
              <w:t xml:space="preserve">493</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493.1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493.5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493.6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493.7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493.8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493.9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493.10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493.11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493.12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493.13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493.14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493.15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744" w:name="P23744"/>
          <w:bookmarkEnd w:id="23744"/>
          <w:p>
            <w:pPr>
              <w:pStyle w:val="0"/>
            </w:pPr>
            <w:r>
              <w:rPr>
                <w:sz w:val="24"/>
              </w:rPr>
              <w:t xml:space="preserve">494</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494.1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494.5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494.6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494.7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494.8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494.9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494.10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494.11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494.12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494.13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494.14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494.15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808" w:name="P23808"/>
          <w:bookmarkEnd w:id="23808"/>
          <w:p>
            <w:pPr>
              <w:pStyle w:val="0"/>
            </w:pPr>
            <w:r>
              <w:rPr>
                <w:sz w:val="24"/>
              </w:rPr>
              <w:t xml:space="preserve">495</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495.1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495.3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495.5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495.6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495.7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495.8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495.9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495.10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495.11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495.12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495.13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495.14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495.15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3872" w:name="P23872"/>
          <w:bookmarkEnd w:id="23872"/>
          <w:p>
            <w:pPr>
              <w:pStyle w:val="0"/>
            </w:pPr>
            <w:r>
              <w:rPr>
                <w:sz w:val="24"/>
              </w:rPr>
              <w:t xml:space="preserve">496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496.1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496.3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496.5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496.6</w:t>
            </w:r>
          </w:p>
        </w:tc>
        <w:tc>
          <w:tcPr>
            <w:gridSpan w:val="7"/>
            <w:tcW w:w="2608" w:type="dxa"/>
          </w:tcPr>
          <w:p>
            <w:pPr>
              <w:pStyle w:val="0"/>
            </w:pPr>
            <w:r>
              <w:rPr>
                <w:sz w:val="24"/>
              </w:rPr>
            </w:r>
          </w:p>
        </w:tc>
        <w:tc>
          <w:tcPr>
            <w:tcW w:w="2608" w:type="dxa"/>
          </w:tcPr>
          <w:p>
            <w:pPr>
              <w:pStyle w:val="0"/>
            </w:pPr>
            <w:r>
              <w:rPr>
                <w:sz w:val="24"/>
              </w:rPr>
              <w:t xml:space="preserve">Наличие залога</w:t>
            </w:r>
          </w:p>
        </w:tc>
        <w:tc>
          <w:tcPr>
            <w:tcW w:w="2948" w:type="dxa"/>
          </w:tcPr>
          <w:p>
            <w:pPr>
              <w:pStyle w:val="0"/>
            </w:pPr>
            <w:r>
              <w:rPr>
                <w:sz w:val="24"/>
              </w:rPr>
              <w:t xml:space="preserve">dim-int:NalichZalogAxis</w:t>
            </w:r>
          </w:p>
        </w:tc>
      </w:tr>
      <w:tr>
        <w:tc>
          <w:tcPr>
            <w:tcW w:w="907" w:type="dxa"/>
          </w:tcPr>
          <w:p>
            <w:pPr>
              <w:pStyle w:val="0"/>
            </w:pPr>
            <w:r>
              <w:rPr>
                <w:sz w:val="24"/>
              </w:rPr>
              <w:t xml:space="preserve">496.7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496.8</w:t>
            </w:r>
          </w:p>
        </w:tc>
        <w:tc>
          <w:tcPr>
            <w:gridSpan w:val="7"/>
            <w:tcW w:w="2608" w:type="dxa"/>
          </w:tcPr>
          <w:p>
            <w:pPr>
              <w:pStyle w:val="0"/>
            </w:pPr>
            <w:r>
              <w:rPr>
                <w:sz w:val="24"/>
              </w:rPr>
            </w:r>
          </w:p>
        </w:tc>
        <w:tc>
          <w:tcPr>
            <w:tcW w:w="2608" w:type="dxa"/>
          </w:tcPr>
          <w:p>
            <w:pPr>
              <w:pStyle w:val="0"/>
            </w:pPr>
            <w:r>
              <w:rPr>
                <w:sz w:val="24"/>
              </w:rPr>
              <w:t xml:space="preserve">Вид договора страхования, перестрахования</w:t>
            </w:r>
          </w:p>
        </w:tc>
        <w:tc>
          <w:tcPr>
            <w:tcW w:w="2948" w:type="dxa"/>
          </w:tcPr>
          <w:p>
            <w:pPr>
              <w:pStyle w:val="0"/>
            </w:pPr>
            <w:r>
              <w:rPr>
                <w:sz w:val="24"/>
              </w:rPr>
              <w:t xml:space="preserve">dim-int:StrDogZhNezhAxis</w:t>
            </w:r>
          </w:p>
        </w:tc>
      </w:tr>
      <w:tr>
        <w:tc>
          <w:tcPr>
            <w:tcW w:w="907" w:type="dxa"/>
          </w:tcPr>
          <w:p>
            <w:pPr>
              <w:pStyle w:val="0"/>
            </w:pPr>
            <w:r>
              <w:rPr>
                <w:sz w:val="24"/>
              </w:rPr>
              <w:t xml:space="preserve">496.9</w:t>
            </w:r>
          </w:p>
        </w:tc>
        <w:tc>
          <w:tcPr>
            <w:gridSpan w:val="7"/>
            <w:tcW w:w="2608" w:type="dxa"/>
          </w:tcPr>
          <w:p>
            <w:pPr>
              <w:pStyle w:val="0"/>
            </w:pPr>
            <w:r>
              <w:rPr>
                <w:sz w:val="24"/>
              </w:rPr>
            </w:r>
          </w:p>
        </w:tc>
        <w:tc>
          <w:tcPr>
            <w:tcW w:w="2608" w:type="dxa"/>
          </w:tcPr>
          <w:p>
            <w:pPr>
              <w:pStyle w:val="0"/>
            </w:pPr>
            <w:r>
              <w:rPr>
                <w:sz w:val="24"/>
              </w:rPr>
              <w:t xml:space="preserve">Доля перестраховщиков во вспомогательной величине ЗНУ</w:t>
            </w:r>
          </w:p>
        </w:tc>
        <w:tc>
          <w:tcPr>
            <w:tcW w:w="2948" w:type="dxa"/>
          </w:tcPr>
          <w:p>
            <w:pPr>
              <w:pStyle w:val="0"/>
            </w:pPr>
            <w:r>
              <w:rPr>
                <w:sz w:val="24"/>
              </w:rPr>
              <w:t xml:space="preserve">dim-int:DZNUAxis</w:t>
            </w:r>
          </w:p>
        </w:tc>
      </w:tr>
      <w:tr>
        <w:tc>
          <w:tcPr>
            <w:tcW w:w="907" w:type="dxa"/>
          </w:tcPr>
          <w:p>
            <w:pPr>
              <w:pStyle w:val="0"/>
            </w:pPr>
            <w:r>
              <w:rPr>
                <w:sz w:val="24"/>
              </w:rPr>
              <w:t xml:space="preserve">496.10</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948" w:type="dxa"/>
          </w:tcPr>
          <w:p>
            <w:pPr>
              <w:pStyle w:val="0"/>
            </w:pPr>
            <w:r>
              <w:rPr>
                <w:sz w:val="24"/>
              </w:rPr>
              <w:t xml:space="preserve">dim-int:AktDogOsopoAxis</w:t>
            </w:r>
          </w:p>
        </w:tc>
      </w:tr>
      <w:tr>
        <w:tc>
          <w:tcPr>
            <w:tcW w:w="907" w:type="dxa"/>
          </w:tcPr>
          <w:p>
            <w:pPr>
              <w:pStyle w:val="0"/>
            </w:pPr>
            <w:r>
              <w:rPr>
                <w:sz w:val="24"/>
              </w:rPr>
              <w:t xml:space="preserve">496.11</w:t>
            </w:r>
          </w:p>
        </w:tc>
        <w:tc>
          <w:tcPr>
            <w:gridSpan w:val="7"/>
            <w:tcW w:w="2608" w:type="dxa"/>
          </w:tcPr>
          <w:p>
            <w:pPr>
              <w:pStyle w:val="0"/>
            </w:pPr>
            <w:r>
              <w:rPr>
                <w:sz w:val="24"/>
              </w:rPr>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948" w:type="dxa"/>
          </w:tcPr>
          <w:p>
            <w:pPr>
              <w:pStyle w:val="0"/>
            </w:pPr>
            <w:r>
              <w:rPr>
                <w:sz w:val="24"/>
              </w:rPr>
              <w:t xml:space="preserve">dim-int:AktDogOsgopAxis</w:t>
            </w:r>
          </w:p>
        </w:tc>
      </w:tr>
      <w:tr>
        <w:tc>
          <w:tcPr>
            <w:tcW w:w="907" w:type="dxa"/>
          </w:tcPr>
          <w:p>
            <w:pPr>
              <w:pStyle w:val="0"/>
            </w:pPr>
            <w:r>
              <w:rPr>
                <w:sz w:val="24"/>
              </w:rPr>
              <w:t xml:space="preserve">496.12</w:t>
            </w:r>
          </w:p>
        </w:tc>
        <w:tc>
          <w:tcPr>
            <w:gridSpan w:val="7"/>
            <w:tcW w:w="2608" w:type="dxa"/>
          </w:tcPr>
          <w:p>
            <w:pPr>
              <w:pStyle w:val="0"/>
            </w:pPr>
            <w:r>
              <w:rPr>
                <w:sz w:val="24"/>
              </w:rPr>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948" w:type="dxa"/>
          </w:tcPr>
          <w:p>
            <w:pPr>
              <w:pStyle w:val="0"/>
            </w:pPr>
            <w:r>
              <w:rPr>
                <w:sz w:val="24"/>
              </w:rPr>
              <w:t xml:space="preserve">dim-int:AktDogUk311216Axis</w:t>
            </w:r>
          </w:p>
        </w:tc>
      </w:tr>
      <w:tr>
        <w:tc>
          <w:tcPr>
            <w:tcW w:w="907" w:type="dxa"/>
          </w:tcPr>
          <w:p>
            <w:pPr>
              <w:pStyle w:val="0"/>
            </w:pPr>
            <w:r>
              <w:rPr>
                <w:sz w:val="24"/>
              </w:rPr>
              <w:t xml:space="preserve">496.13</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496.14</w:t>
            </w:r>
          </w:p>
        </w:tc>
        <w:tc>
          <w:tcPr>
            <w:gridSpan w:val="7"/>
            <w:tcW w:w="2608" w:type="dxa"/>
          </w:tcPr>
          <w:p>
            <w:pPr>
              <w:pStyle w:val="0"/>
            </w:pPr>
            <w:r>
              <w:rPr>
                <w:sz w:val="24"/>
              </w:rPr>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496.15</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3936" w:name="P23936"/>
          <w:bookmarkEnd w:id="23936"/>
          <w:p>
            <w:pPr>
              <w:pStyle w:val="0"/>
              <w:outlineLvl w:val="4"/>
            </w:pPr>
            <w:r>
              <w:rPr>
                <w:sz w:val="24"/>
              </w:rPr>
              <w:t xml:space="preserve">Подраздел 2.35.</w:t>
            </w:r>
          </w:p>
        </w:tc>
        <w:tc>
          <w:tcPr>
            <w:gridSpan w:val="4"/>
            <w:tcW w:w="6962" w:type="dxa"/>
            <w:tcBorders>
              <w:right w:val="single" w:sz="4"/>
            </w:tcBorders>
          </w:tcPr>
          <w:p>
            <w:pPr>
              <w:pStyle w:val="0"/>
            </w:pPr>
            <w:r>
              <w:rPr>
                <w:sz w:val="24"/>
              </w:rPr>
              <w:t xml:space="preserve">Средства обязательного медицинского страхования, не учитываемые при определении величины собственных средств (кроме прав требования)</w:t>
            </w:r>
          </w:p>
        </w:tc>
      </w:tr>
      <w:tr>
        <w:tc>
          <w:tcPr>
            <w:tcW w:w="907" w:type="dxa"/>
          </w:tcPr>
          <w:p>
            <w:pPr>
              <w:pStyle w:val="0"/>
            </w:pPr>
            <w:r>
              <w:rPr>
                <w:sz w:val="24"/>
              </w:rPr>
              <w:t xml:space="preserve">497</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497.1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497.3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498</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498.1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bookmarkStart w:id="23970" w:name="P23970"/>
          <w:bookmarkEnd w:id="23970"/>
          <w:p>
            <w:pPr>
              <w:pStyle w:val="0"/>
            </w:pPr>
            <w:r>
              <w:rPr>
                <w:sz w:val="24"/>
              </w:rPr>
              <w:t xml:space="preserve">499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499.1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499.2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499.3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blPrEx>
          <w:tblBorders>
            <w:insideV w:val="nil"/>
          </w:tblBorders>
        </w:tblPrEx>
        <w:tc>
          <w:tcPr>
            <w:gridSpan w:val="6"/>
            <w:tcW w:w="2109" w:type="dxa"/>
            <w:tcBorders>
              <w:left w:val="single" w:sz="4"/>
            </w:tcBorders>
          </w:tcPr>
          <w:bookmarkStart w:id="23986" w:name="P23986"/>
          <w:bookmarkEnd w:id="23986"/>
          <w:p>
            <w:pPr>
              <w:pStyle w:val="0"/>
              <w:outlineLvl w:val="5"/>
            </w:pPr>
            <w:r>
              <w:rPr>
                <w:sz w:val="24"/>
              </w:rPr>
              <w:t xml:space="preserve">Подраздел 2.35.1.</w:t>
            </w:r>
          </w:p>
        </w:tc>
        <w:tc>
          <w:tcPr>
            <w:gridSpan w:val="4"/>
            <w:tcW w:w="6962" w:type="dxa"/>
            <w:tcBorders>
              <w:right w:val="single" w:sz="4"/>
            </w:tcBorders>
          </w:tcPr>
          <w:p>
            <w:pPr>
              <w:pStyle w:val="0"/>
            </w:pPr>
            <w:r>
              <w:rPr>
                <w:sz w:val="24"/>
              </w:rPr>
              <w:t xml:space="preserve">Права требования по обязательному медицинскому страхованию</w:t>
            </w:r>
          </w:p>
        </w:tc>
      </w:tr>
      <w:tr>
        <w:tc>
          <w:tcPr>
            <w:tcW w:w="907" w:type="dxa"/>
          </w:tcPr>
          <w:bookmarkStart w:id="23988" w:name="P23988"/>
          <w:bookmarkEnd w:id="23988"/>
          <w:p>
            <w:pPr>
              <w:pStyle w:val="0"/>
            </w:pPr>
            <w:r>
              <w:rPr>
                <w:sz w:val="24"/>
              </w:rPr>
              <w:t xml:space="preserve">500</w:t>
            </w:r>
          </w:p>
        </w:tc>
        <w:tc>
          <w:tcPr>
            <w:gridSpan w:val="7"/>
            <w:tcW w:w="2608" w:type="dxa"/>
          </w:tcPr>
          <w:p>
            <w:pPr>
              <w:pStyle w:val="0"/>
            </w:pPr>
            <w:r>
              <w:rPr>
                <w:sz w:val="24"/>
              </w:rPr>
              <w:t xml:space="preserve">Стоимость согласно условиям договора</w:t>
            </w:r>
          </w:p>
        </w:tc>
        <w:tc>
          <w:tcPr>
            <w:tcW w:w="2608" w:type="dxa"/>
          </w:tcPr>
          <w:p>
            <w:pPr>
              <w:pStyle w:val="0"/>
            </w:pPr>
            <w:r>
              <w:rPr>
                <w:sz w:val="24"/>
              </w:rPr>
            </w:r>
          </w:p>
        </w:tc>
        <w:tc>
          <w:tcPr>
            <w:tcW w:w="2948" w:type="dxa"/>
          </w:tcPr>
          <w:p>
            <w:pPr>
              <w:pStyle w:val="0"/>
            </w:pPr>
            <w:r>
              <w:rPr>
                <w:sz w:val="24"/>
              </w:rPr>
              <w:t xml:space="preserve">ins-dic:StoimostSoglasUslovDogovora</w:t>
            </w:r>
          </w:p>
        </w:tc>
      </w:tr>
      <w:tr>
        <w:tc>
          <w:tcPr>
            <w:tcW w:w="907" w:type="dxa"/>
          </w:tcPr>
          <w:p>
            <w:pPr>
              <w:pStyle w:val="0"/>
            </w:pPr>
            <w:r>
              <w:rPr>
                <w:sz w:val="24"/>
              </w:rPr>
              <w:t xml:space="preserve">500.1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500.2</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500.3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500.4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501</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501.1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501.2</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501.3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501.4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4028" w:name="P24028"/>
          <w:bookmarkEnd w:id="24028"/>
          <w:p>
            <w:pPr>
              <w:pStyle w:val="0"/>
            </w:pPr>
            <w:r>
              <w:rPr>
                <w:sz w:val="24"/>
              </w:rPr>
              <w:t xml:space="preserve">502</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502.1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502.2</w:t>
            </w:r>
          </w:p>
        </w:tc>
        <w:tc>
          <w:tcPr>
            <w:gridSpan w:val="7"/>
            <w:tcW w:w="2608" w:type="dxa"/>
          </w:tcPr>
          <w:p>
            <w:pPr>
              <w:pStyle w:val="0"/>
            </w:pPr>
            <w:r>
              <w:rPr>
                <w:sz w:val="24"/>
              </w:rPr>
            </w:r>
          </w:p>
        </w:tc>
        <w:tc>
          <w:tcPr>
            <w:tcW w:w="2608" w:type="dxa"/>
          </w:tcPr>
          <w:p>
            <w:pPr>
              <w:pStyle w:val="0"/>
            </w:pPr>
            <w:r>
              <w:rPr>
                <w:sz w:val="24"/>
              </w:rPr>
              <w:t xml:space="preserve">Вид прав требования</w:t>
            </w:r>
          </w:p>
        </w:tc>
        <w:tc>
          <w:tcPr>
            <w:tcW w:w="2948" w:type="dxa"/>
          </w:tcPr>
          <w:p>
            <w:pPr>
              <w:pStyle w:val="0"/>
            </w:pPr>
            <w:r>
              <w:rPr>
                <w:sz w:val="24"/>
              </w:rPr>
              <w:t xml:space="preserve">dim-int:VidPravTrebovanijAxis</w:t>
            </w:r>
          </w:p>
        </w:tc>
      </w:tr>
      <w:tr>
        <w:tc>
          <w:tcPr>
            <w:tcW w:w="907" w:type="dxa"/>
          </w:tcPr>
          <w:p>
            <w:pPr>
              <w:pStyle w:val="0"/>
            </w:pPr>
            <w:r>
              <w:rPr>
                <w:sz w:val="24"/>
              </w:rPr>
              <w:t xml:space="preserve">502.3</w:t>
            </w:r>
          </w:p>
        </w:tc>
        <w:tc>
          <w:tcPr>
            <w:gridSpan w:val="7"/>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r>
        <w:tc>
          <w:tcPr>
            <w:tcW w:w="907" w:type="dxa"/>
          </w:tcPr>
          <w:p>
            <w:pPr>
              <w:pStyle w:val="0"/>
            </w:pPr>
            <w:r>
              <w:rPr>
                <w:sz w:val="24"/>
              </w:rPr>
              <w:t xml:space="preserve">502.4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6"/>
            <w:tcW w:w="2109" w:type="dxa"/>
            <w:tcBorders>
              <w:left w:val="single" w:sz="4"/>
            </w:tcBorders>
          </w:tcPr>
          <w:bookmarkStart w:id="24048" w:name="P24048"/>
          <w:bookmarkEnd w:id="24048"/>
          <w:p>
            <w:pPr>
              <w:pStyle w:val="0"/>
              <w:outlineLvl w:val="4"/>
            </w:pPr>
            <w:r>
              <w:rPr>
                <w:sz w:val="24"/>
              </w:rPr>
              <w:t xml:space="preserve">Подраздел 2.36.</w:t>
            </w:r>
          </w:p>
        </w:tc>
        <w:tc>
          <w:tcPr>
            <w:gridSpan w:val="4"/>
            <w:tcW w:w="6962" w:type="dxa"/>
            <w:tcBorders>
              <w:right w:val="single" w:sz="4"/>
            </w:tcBorders>
          </w:tcPr>
          <w:p>
            <w:pPr>
              <w:pStyle w:val="0"/>
            </w:pPr>
            <w:r>
              <w:rPr>
                <w:sz w:val="24"/>
              </w:rPr>
              <w:t xml:space="preserve">Товары, подпадающие под исключение, предусмотренное требованиями к финансовой устойчивости и платежеспособности страховщиков</w:t>
            </w:r>
          </w:p>
        </w:tc>
      </w:tr>
      <w:tr>
        <w:tc>
          <w:tcPr>
            <w:tcW w:w="907" w:type="dxa"/>
          </w:tcPr>
          <w:p>
            <w:pPr>
              <w:pStyle w:val="0"/>
            </w:pPr>
            <w:r>
              <w:rPr>
                <w:sz w:val="24"/>
              </w:rPr>
              <w:t xml:space="preserve">503</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503.1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503.2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503.3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503.4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503.5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503.6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503.7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503.8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503.9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503.10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503.11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098" w:name="P24098"/>
          <w:bookmarkEnd w:id="24098"/>
          <w:p>
            <w:pPr>
              <w:pStyle w:val="0"/>
            </w:pPr>
            <w:r>
              <w:rPr>
                <w:sz w:val="24"/>
              </w:rPr>
              <w:t xml:space="preserve">504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504.1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504.2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504.3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504.4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504.5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504.6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504.7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504.8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504.9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504.10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504.11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504.12</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4150" w:name="P24150"/>
          <w:bookmarkEnd w:id="24150"/>
          <w:p>
            <w:pPr>
              <w:pStyle w:val="0"/>
            </w:pPr>
            <w:r>
              <w:rPr>
                <w:sz w:val="24"/>
              </w:rPr>
              <w:t xml:space="preserve">505</w:t>
            </w:r>
          </w:p>
        </w:tc>
        <w:tc>
          <w:tcPr>
            <w:gridSpan w:val="7"/>
            <w:tcW w:w="2608" w:type="dxa"/>
          </w:tcPr>
          <w:p>
            <w:pPr>
              <w:pStyle w:val="0"/>
            </w:pPr>
            <w:r>
              <w:rPr>
                <w:sz w:val="24"/>
              </w:rPr>
              <w:t xml:space="preserve">Дата определения стоимости актива</w:t>
            </w:r>
          </w:p>
        </w:tc>
        <w:tc>
          <w:tcPr>
            <w:tcW w:w="2608" w:type="dxa"/>
          </w:tcPr>
          <w:p>
            <w:pPr>
              <w:pStyle w:val="0"/>
            </w:pPr>
            <w:r>
              <w:rPr>
                <w:sz w:val="24"/>
              </w:rPr>
            </w:r>
          </w:p>
        </w:tc>
        <w:tc>
          <w:tcPr>
            <w:tcW w:w="2948" w:type="dxa"/>
          </w:tcPr>
          <w:p>
            <w:pPr>
              <w:pStyle w:val="0"/>
            </w:pPr>
            <w:r>
              <w:rPr>
                <w:sz w:val="24"/>
              </w:rPr>
              <w:t xml:space="preserve">ins-dic:DataOpredeleniyaStoimostiAktiva</w:t>
            </w:r>
          </w:p>
        </w:tc>
      </w:tr>
      <w:tr>
        <w:tc>
          <w:tcPr>
            <w:tcW w:w="907" w:type="dxa"/>
          </w:tcPr>
          <w:p>
            <w:pPr>
              <w:pStyle w:val="0"/>
            </w:pPr>
            <w:r>
              <w:rPr>
                <w:sz w:val="24"/>
              </w:rPr>
              <w:t xml:space="preserve">505.1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505.2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505.3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505.4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505.5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505.6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505.7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505.8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505.9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505.10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505.11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198" w:name="P24198"/>
          <w:bookmarkEnd w:id="24198"/>
          <w:p>
            <w:pPr>
              <w:pStyle w:val="0"/>
            </w:pPr>
            <w:r>
              <w:rPr>
                <w:sz w:val="24"/>
              </w:rPr>
              <w:t xml:space="preserve">506</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506.1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506.2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506.3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506.4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506.5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506.6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506.7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506.8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506.9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506.10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506.11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246" w:name="P24246"/>
          <w:bookmarkEnd w:id="24246"/>
          <w:p>
            <w:pPr>
              <w:pStyle w:val="0"/>
            </w:pPr>
            <w:r>
              <w:rPr>
                <w:sz w:val="24"/>
              </w:rPr>
              <w:t xml:space="preserve">507</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507.1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507.2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507.3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507.4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507.5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507.6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507.7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507.8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507.9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507.10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507.11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294" w:name="P24294"/>
          <w:bookmarkEnd w:id="24294"/>
          <w:p>
            <w:pPr>
              <w:pStyle w:val="0"/>
            </w:pPr>
            <w:r>
              <w:rPr>
                <w:sz w:val="24"/>
              </w:rPr>
              <w:t xml:space="preserve">508</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508.1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508.2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508.3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508.4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508.5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508.6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508.7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508.8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508.9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508.10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508.11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342" w:name="P24342"/>
          <w:bookmarkEnd w:id="24342"/>
          <w:p>
            <w:pPr>
              <w:pStyle w:val="0"/>
            </w:pPr>
            <w:r>
              <w:rPr>
                <w:sz w:val="24"/>
              </w:rPr>
              <w:t xml:space="preserve">509</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509.1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509.2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509.3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509.4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509.5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509.6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509.7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509.8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509.9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509.10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509.11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390" w:name="P24390"/>
          <w:bookmarkEnd w:id="24390"/>
          <w:p>
            <w:pPr>
              <w:pStyle w:val="0"/>
            </w:pPr>
            <w:r>
              <w:rPr>
                <w:sz w:val="24"/>
              </w:rPr>
              <w:t xml:space="preserve">510</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510.1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510.2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510.3</w:t>
            </w:r>
          </w:p>
        </w:tc>
        <w:tc>
          <w:tcPr>
            <w:gridSpan w:val="7"/>
            <w:tcW w:w="2608" w:type="dxa"/>
          </w:tcPr>
          <w:p>
            <w:pPr>
              <w:pStyle w:val="0"/>
            </w:pPr>
            <w:r>
              <w:rPr>
                <w:sz w:val="24"/>
              </w:rPr>
            </w:r>
          </w:p>
        </w:tc>
        <w:tc>
          <w:tcPr>
            <w:tcW w:w="2608" w:type="dxa"/>
          </w:tcPr>
          <w:p>
            <w:pPr>
              <w:pStyle w:val="0"/>
            </w:pPr>
            <w:r>
              <w:rPr>
                <w:sz w:val="24"/>
              </w:rPr>
              <w:t xml:space="preserve">Товар - аффинированное золото</w:t>
            </w:r>
          </w:p>
        </w:tc>
        <w:tc>
          <w:tcPr>
            <w:tcW w:w="2948" w:type="dxa"/>
          </w:tcPr>
          <w:p>
            <w:pPr>
              <w:pStyle w:val="0"/>
            </w:pPr>
            <w:r>
              <w:rPr>
                <w:sz w:val="24"/>
              </w:rPr>
              <w:t xml:space="preserve">dim-int:TovarAffinirZolotoAxis</w:t>
            </w:r>
          </w:p>
        </w:tc>
      </w:tr>
      <w:tr>
        <w:tc>
          <w:tcPr>
            <w:tcW w:w="907" w:type="dxa"/>
          </w:tcPr>
          <w:p>
            <w:pPr>
              <w:pStyle w:val="0"/>
            </w:pPr>
            <w:r>
              <w:rPr>
                <w:sz w:val="24"/>
              </w:rPr>
              <w:t xml:space="preserve">510.4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510.5</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510.6</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510.7</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510.8</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510.9</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510.10</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510.11</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4438" w:name="P24438"/>
          <w:bookmarkEnd w:id="24438"/>
          <w:p>
            <w:pPr>
              <w:pStyle w:val="0"/>
              <w:outlineLvl w:val="4"/>
            </w:pPr>
            <w:r>
              <w:rPr>
                <w:sz w:val="24"/>
              </w:rPr>
              <w:t xml:space="preserve">Подраздел 2.37.</w:t>
            </w:r>
          </w:p>
        </w:tc>
        <w:tc>
          <w:tcPr>
            <w:gridSpan w:val="4"/>
            <w:tcW w:w="6962" w:type="dxa"/>
            <w:tcBorders>
              <w:right w:val="single" w:sz="4"/>
            </w:tcBorders>
          </w:tcPr>
          <w:p>
            <w:pPr>
              <w:pStyle w:val="0"/>
            </w:pPr>
            <w:r>
              <w:rPr>
                <w:sz w:val="24"/>
              </w:rPr>
              <w:t xml:space="preserve">Недвижимое имущество, соответствующее требованиям к финансовой устойчивости и платежеспособности страховщиков</w:t>
            </w:r>
          </w:p>
        </w:tc>
      </w:tr>
      <w:tr>
        <w:tc>
          <w:tcPr>
            <w:tcW w:w="907" w:type="dxa"/>
          </w:tcPr>
          <w:bookmarkStart w:id="24440" w:name="P24440"/>
          <w:bookmarkEnd w:id="24440"/>
          <w:p>
            <w:pPr>
              <w:pStyle w:val="0"/>
            </w:pPr>
            <w:r>
              <w:rPr>
                <w:sz w:val="24"/>
              </w:rPr>
              <w:t xml:space="preserve">511</w:t>
            </w:r>
          </w:p>
        </w:tc>
        <w:tc>
          <w:tcPr>
            <w:gridSpan w:val="7"/>
            <w:tcW w:w="2608" w:type="dxa"/>
          </w:tcPr>
          <w:p>
            <w:pPr>
              <w:pStyle w:val="0"/>
            </w:pPr>
            <w:r>
              <w:rPr>
                <w:sz w:val="24"/>
              </w:rPr>
              <w:t xml:space="preserve">Наименование и назначение объекта недвижимости</w:t>
            </w:r>
          </w:p>
        </w:tc>
        <w:tc>
          <w:tcPr>
            <w:tcW w:w="2608" w:type="dxa"/>
          </w:tcPr>
          <w:p>
            <w:pPr>
              <w:pStyle w:val="0"/>
            </w:pPr>
            <w:r>
              <w:rPr>
                <w:sz w:val="24"/>
              </w:rPr>
            </w:r>
          </w:p>
        </w:tc>
        <w:tc>
          <w:tcPr>
            <w:tcW w:w="2948" w:type="dxa"/>
          </w:tcPr>
          <w:p>
            <w:pPr>
              <w:pStyle w:val="0"/>
            </w:pPr>
            <w:r>
              <w:rPr>
                <w:sz w:val="24"/>
              </w:rPr>
              <w:t xml:space="preserve">nfo-dic:NaimNaznObektNedv</w:t>
            </w:r>
          </w:p>
        </w:tc>
      </w:tr>
      <w:tr>
        <w:tc>
          <w:tcPr>
            <w:tcW w:w="907" w:type="dxa"/>
          </w:tcPr>
          <w:p>
            <w:pPr>
              <w:pStyle w:val="0"/>
            </w:pPr>
            <w:r>
              <w:rPr>
                <w:sz w:val="24"/>
              </w:rPr>
              <w:t xml:space="preserve">511.1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511.2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511.3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511.4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511.5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511.7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472" w:name="P24472"/>
          <w:bookmarkEnd w:id="24472"/>
          <w:p>
            <w:pPr>
              <w:pStyle w:val="0"/>
            </w:pPr>
            <w:r>
              <w:rPr>
                <w:sz w:val="24"/>
              </w:rPr>
              <w:t xml:space="preserve">512</w:t>
            </w:r>
          </w:p>
        </w:tc>
        <w:tc>
          <w:tcPr>
            <w:gridSpan w:val="7"/>
            <w:tcW w:w="2608" w:type="dxa"/>
          </w:tcPr>
          <w:p>
            <w:pPr>
              <w:pStyle w:val="0"/>
            </w:pPr>
            <w:r>
              <w:rPr>
                <w:sz w:val="24"/>
              </w:rPr>
              <w:t xml:space="preserve">Адрес (местоположение) объекта недвижимости</w:t>
            </w:r>
          </w:p>
        </w:tc>
        <w:tc>
          <w:tcPr>
            <w:tcW w:w="2608" w:type="dxa"/>
          </w:tcPr>
          <w:p>
            <w:pPr>
              <w:pStyle w:val="0"/>
            </w:pPr>
            <w:r>
              <w:rPr>
                <w:sz w:val="24"/>
              </w:rPr>
            </w:r>
          </w:p>
        </w:tc>
        <w:tc>
          <w:tcPr>
            <w:tcW w:w="2948" w:type="dxa"/>
          </w:tcPr>
          <w:p>
            <w:pPr>
              <w:pStyle w:val="0"/>
            </w:pPr>
            <w:r>
              <w:rPr>
                <w:sz w:val="24"/>
              </w:rPr>
              <w:t xml:space="preserve">nfo-dic:AdresObektNedv</w:t>
            </w:r>
          </w:p>
        </w:tc>
      </w:tr>
      <w:tr>
        <w:tc>
          <w:tcPr>
            <w:tcW w:w="907" w:type="dxa"/>
          </w:tcPr>
          <w:p>
            <w:pPr>
              <w:pStyle w:val="0"/>
            </w:pPr>
            <w:r>
              <w:rPr>
                <w:sz w:val="24"/>
              </w:rPr>
              <w:t xml:space="preserve">512.1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512.2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512.3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512.4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512.5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504" w:name="P24504"/>
          <w:bookmarkEnd w:id="24504"/>
          <w:p>
            <w:pPr>
              <w:pStyle w:val="0"/>
            </w:pPr>
            <w:r>
              <w:rPr>
                <w:sz w:val="24"/>
              </w:rPr>
              <w:t xml:space="preserve">513</w:t>
            </w:r>
          </w:p>
        </w:tc>
        <w:tc>
          <w:tcPr>
            <w:gridSpan w:val="7"/>
            <w:tcW w:w="2608" w:type="dxa"/>
          </w:tcPr>
          <w:p>
            <w:pPr>
              <w:pStyle w:val="0"/>
            </w:pPr>
            <w:r>
              <w:rPr>
                <w:sz w:val="24"/>
              </w:rPr>
              <w:t xml:space="preserve">Категория вещей, в том числе недвижимости</w:t>
            </w:r>
          </w:p>
        </w:tc>
        <w:tc>
          <w:tcPr>
            <w:tcW w:w="2608" w:type="dxa"/>
          </w:tcPr>
          <w:p>
            <w:pPr>
              <w:pStyle w:val="0"/>
            </w:pPr>
            <w:r>
              <w:rPr>
                <w:sz w:val="24"/>
              </w:rPr>
            </w:r>
          </w:p>
        </w:tc>
        <w:tc>
          <w:tcPr>
            <w:tcW w:w="2948" w:type="dxa"/>
          </w:tcPr>
          <w:p>
            <w:pPr>
              <w:pStyle w:val="0"/>
            </w:pPr>
            <w:r>
              <w:rPr>
                <w:sz w:val="24"/>
              </w:rPr>
              <w:t xml:space="preserve">ins-dic:KatVeshhEnumerator</w:t>
            </w:r>
          </w:p>
        </w:tc>
      </w:tr>
      <w:tr>
        <w:tc>
          <w:tcPr>
            <w:tcW w:w="907" w:type="dxa"/>
          </w:tcPr>
          <w:p>
            <w:pPr>
              <w:pStyle w:val="0"/>
            </w:pPr>
            <w:r>
              <w:rPr>
                <w:sz w:val="24"/>
              </w:rPr>
              <w:t xml:space="preserve">513.1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513.2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513.3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513.4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513.5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513.7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514</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514.1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514.2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514.3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514.4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514.5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568" w:name="P24568"/>
          <w:bookmarkEnd w:id="24568"/>
          <w:p>
            <w:pPr>
              <w:pStyle w:val="0"/>
            </w:pPr>
            <w:r>
              <w:rPr>
                <w:sz w:val="24"/>
              </w:rPr>
              <w:t xml:space="preserve">515</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515.1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515.2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515.3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515.4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515.5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515.8</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4604" w:name="P24604"/>
          <w:bookmarkEnd w:id="24604"/>
          <w:p>
            <w:pPr>
              <w:pStyle w:val="0"/>
            </w:pPr>
            <w:r>
              <w:rPr>
                <w:sz w:val="24"/>
              </w:rPr>
              <w:t xml:space="preserve">516</w:t>
            </w:r>
          </w:p>
        </w:tc>
        <w:tc>
          <w:tcPr>
            <w:gridSpan w:val="7"/>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ins-dic:RiskAktPeredStrlEnumerator</w:t>
            </w:r>
          </w:p>
        </w:tc>
      </w:tr>
      <w:tr>
        <w:tc>
          <w:tcPr>
            <w:tcW w:w="907" w:type="dxa"/>
          </w:tcPr>
          <w:p>
            <w:pPr>
              <w:pStyle w:val="0"/>
            </w:pPr>
            <w:r>
              <w:rPr>
                <w:sz w:val="24"/>
              </w:rPr>
              <w:t xml:space="preserve">516.1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516.2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516.3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dim-int:IdDoveriteInogoUpravlyayushhegoTaxis</w:t>
            </w:r>
          </w:p>
        </w:tc>
      </w:tr>
      <w:tr>
        <w:tc>
          <w:tcPr>
            <w:tcW w:w="907" w:type="dxa"/>
          </w:tcPr>
          <w:p>
            <w:pPr>
              <w:pStyle w:val="0"/>
            </w:pPr>
            <w:r>
              <w:rPr>
                <w:sz w:val="24"/>
              </w:rPr>
              <w:t xml:space="preserve">516.4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516.5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516.6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516.7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636" w:name="P24636"/>
          <w:bookmarkEnd w:id="24636"/>
          <w:p>
            <w:pPr>
              <w:pStyle w:val="0"/>
            </w:pPr>
            <w:r>
              <w:rPr>
                <w:sz w:val="24"/>
              </w:rPr>
              <w:t xml:space="preserve">517</w:t>
            </w:r>
          </w:p>
        </w:tc>
        <w:tc>
          <w:tcPr>
            <w:gridSpan w:val="7"/>
            <w:tcW w:w="2608" w:type="dxa"/>
          </w:tcPr>
          <w:p>
            <w:pPr>
              <w:pStyle w:val="0"/>
            </w:pPr>
            <w:r>
              <w:rPr>
                <w:sz w:val="24"/>
              </w:rPr>
              <w:t xml:space="preserve">Дата принятия к учету</w:t>
            </w:r>
          </w:p>
        </w:tc>
        <w:tc>
          <w:tcPr>
            <w:tcW w:w="2608" w:type="dxa"/>
          </w:tcPr>
          <w:p>
            <w:pPr>
              <w:pStyle w:val="0"/>
            </w:pPr>
            <w:r>
              <w:rPr>
                <w:sz w:val="24"/>
              </w:rPr>
            </w:r>
          </w:p>
        </w:tc>
        <w:tc>
          <w:tcPr>
            <w:tcW w:w="2948" w:type="dxa"/>
          </w:tcPr>
          <w:p>
            <w:pPr>
              <w:pStyle w:val="0"/>
            </w:pPr>
            <w:r>
              <w:rPr>
                <w:sz w:val="24"/>
              </w:rPr>
              <w:t xml:space="preserve">nfo-dic:DatPrinUch</w:t>
            </w:r>
          </w:p>
        </w:tc>
      </w:tr>
      <w:tr>
        <w:tc>
          <w:tcPr>
            <w:tcW w:w="907" w:type="dxa"/>
          </w:tcPr>
          <w:p>
            <w:pPr>
              <w:pStyle w:val="0"/>
            </w:pPr>
            <w:r>
              <w:rPr>
                <w:sz w:val="24"/>
              </w:rPr>
              <w:t xml:space="preserve">517.1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517.2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517.3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517.4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517.5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517.6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517.7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668" w:name="P24668"/>
          <w:bookmarkEnd w:id="24668"/>
          <w:p>
            <w:pPr>
              <w:pStyle w:val="0"/>
            </w:pPr>
            <w:r>
              <w:rPr>
                <w:sz w:val="24"/>
              </w:rPr>
              <w:t xml:space="preserve">518</w:t>
            </w:r>
          </w:p>
        </w:tc>
        <w:tc>
          <w:tcPr>
            <w:gridSpan w:val="7"/>
            <w:tcW w:w="2608" w:type="dxa"/>
          </w:tcPr>
          <w:p>
            <w:pPr>
              <w:pStyle w:val="0"/>
            </w:pPr>
            <w:r>
              <w:rPr>
                <w:sz w:val="24"/>
              </w:rPr>
              <w:t xml:space="preserve">Рыночная стоимость</w:t>
            </w:r>
          </w:p>
        </w:tc>
        <w:tc>
          <w:tcPr>
            <w:tcW w:w="2608" w:type="dxa"/>
          </w:tcPr>
          <w:p>
            <w:pPr>
              <w:pStyle w:val="0"/>
            </w:pPr>
            <w:r>
              <w:rPr>
                <w:sz w:val="24"/>
              </w:rPr>
            </w:r>
          </w:p>
        </w:tc>
        <w:tc>
          <w:tcPr>
            <w:tcW w:w="2948" w:type="dxa"/>
          </w:tcPr>
          <w:p>
            <w:pPr>
              <w:pStyle w:val="0"/>
            </w:pPr>
            <w:r>
              <w:rPr>
                <w:sz w:val="24"/>
              </w:rPr>
              <w:t xml:space="preserve">nfo-dic:RynStoim</w:t>
            </w:r>
          </w:p>
        </w:tc>
      </w:tr>
      <w:tr>
        <w:tc>
          <w:tcPr>
            <w:tcW w:w="907" w:type="dxa"/>
          </w:tcPr>
          <w:p>
            <w:pPr>
              <w:pStyle w:val="0"/>
            </w:pPr>
            <w:r>
              <w:rPr>
                <w:sz w:val="24"/>
              </w:rPr>
              <w:t xml:space="preserve">518.1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518.2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518.3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518.4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518.5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518.6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518.7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700" w:name="P24700"/>
          <w:bookmarkEnd w:id="24700"/>
          <w:p>
            <w:pPr>
              <w:pStyle w:val="0"/>
            </w:pPr>
            <w:r>
              <w:rPr>
                <w:sz w:val="24"/>
              </w:rPr>
              <w:t xml:space="preserve">519</w:t>
            </w:r>
          </w:p>
        </w:tc>
        <w:tc>
          <w:tcPr>
            <w:gridSpan w:val="7"/>
            <w:tcW w:w="2608" w:type="dxa"/>
          </w:tcPr>
          <w:p>
            <w:pPr>
              <w:pStyle w:val="0"/>
            </w:pPr>
            <w:r>
              <w:rPr>
                <w:sz w:val="24"/>
              </w:rPr>
              <w:t xml:space="preserve">Дата регистрации права собственности</w:t>
            </w:r>
          </w:p>
        </w:tc>
        <w:tc>
          <w:tcPr>
            <w:tcW w:w="2608" w:type="dxa"/>
          </w:tcPr>
          <w:p>
            <w:pPr>
              <w:pStyle w:val="0"/>
            </w:pPr>
            <w:r>
              <w:rPr>
                <w:sz w:val="24"/>
              </w:rPr>
            </w:r>
          </w:p>
        </w:tc>
        <w:tc>
          <w:tcPr>
            <w:tcW w:w="2948" w:type="dxa"/>
          </w:tcPr>
          <w:p>
            <w:pPr>
              <w:pStyle w:val="0"/>
            </w:pPr>
            <w:r>
              <w:rPr>
                <w:sz w:val="24"/>
              </w:rPr>
              <w:t xml:space="preserve">ins-dic:Data_Reg_Prava_Sobstv</w:t>
            </w:r>
          </w:p>
        </w:tc>
      </w:tr>
      <w:tr>
        <w:tc>
          <w:tcPr>
            <w:tcW w:w="907" w:type="dxa"/>
          </w:tcPr>
          <w:p>
            <w:pPr>
              <w:pStyle w:val="0"/>
            </w:pPr>
            <w:r>
              <w:rPr>
                <w:sz w:val="24"/>
              </w:rPr>
              <w:t xml:space="preserve">519.1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519.2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519.3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519.4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519.5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519.6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519.7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732" w:name="P24732"/>
          <w:bookmarkEnd w:id="24732"/>
          <w:p>
            <w:pPr>
              <w:pStyle w:val="0"/>
            </w:pPr>
            <w:r>
              <w:rPr>
                <w:sz w:val="24"/>
              </w:rPr>
              <w:t xml:space="preserve">520</w:t>
            </w:r>
          </w:p>
        </w:tc>
        <w:tc>
          <w:tcPr>
            <w:gridSpan w:val="7"/>
            <w:tcW w:w="2608" w:type="dxa"/>
          </w:tcPr>
          <w:p>
            <w:pPr>
              <w:pStyle w:val="0"/>
            </w:pPr>
            <w:r>
              <w:rPr>
                <w:sz w:val="24"/>
              </w:rPr>
              <w:t xml:space="preserve">Форма оплаты объекта недвижимости при покупке</w:t>
            </w:r>
          </w:p>
        </w:tc>
        <w:tc>
          <w:tcPr>
            <w:tcW w:w="2608" w:type="dxa"/>
          </w:tcPr>
          <w:p>
            <w:pPr>
              <w:pStyle w:val="0"/>
            </w:pPr>
            <w:r>
              <w:rPr>
                <w:sz w:val="24"/>
              </w:rPr>
            </w:r>
          </w:p>
        </w:tc>
        <w:tc>
          <w:tcPr>
            <w:tcW w:w="2948" w:type="dxa"/>
          </w:tcPr>
          <w:p>
            <w:pPr>
              <w:pStyle w:val="0"/>
            </w:pPr>
            <w:r>
              <w:rPr>
                <w:sz w:val="24"/>
              </w:rPr>
              <w:t xml:space="preserve">nfo-dic:FormOplPokupObektNedv</w:t>
            </w:r>
          </w:p>
        </w:tc>
      </w:tr>
      <w:tr>
        <w:tc>
          <w:tcPr>
            <w:tcW w:w="907" w:type="dxa"/>
          </w:tcPr>
          <w:p>
            <w:pPr>
              <w:pStyle w:val="0"/>
            </w:pPr>
            <w:r>
              <w:rPr>
                <w:sz w:val="24"/>
              </w:rPr>
              <w:t xml:space="preserve">520.1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520.2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520.3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520.4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520.5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520.6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520.7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764" w:name="P24764"/>
          <w:bookmarkEnd w:id="24764"/>
          <w:p>
            <w:pPr>
              <w:pStyle w:val="0"/>
            </w:pPr>
            <w:r>
              <w:rPr>
                <w:sz w:val="24"/>
              </w:rPr>
              <w:t xml:space="preserve">521</w:t>
            </w:r>
          </w:p>
        </w:tc>
        <w:tc>
          <w:tcPr>
            <w:gridSpan w:val="7"/>
            <w:tcW w:w="2608" w:type="dxa"/>
          </w:tcPr>
          <w:p>
            <w:pPr>
              <w:pStyle w:val="0"/>
            </w:pPr>
            <w:r>
              <w:rPr>
                <w:sz w:val="24"/>
              </w:rPr>
              <w:t xml:space="preserve">Задолженность по оплате объекта недвижимости</w:t>
            </w:r>
          </w:p>
        </w:tc>
        <w:tc>
          <w:tcPr>
            <w:tcW w:w="2608" w:type="dxa"/>
          </w:tcPr>
          <w:p>
            <w:pPr>
              <w:pStyle w:val="0"/>
            </w:pPr>
            <w:r>
              <w:rPr>
                <w:sz w:val="24"/>
              </w:rPr>
            </w:r>
          </w:p>
        </w:tc>
        <w:tc>
          <w:tcPr>
            <w:tcW w:w="2948" w:type="dxa"/>
          </w:tcPr>
          <w:p>
            <w:pPr>
              <w:pStyle w:val="0"/>
            </w:pPr>
            <w:r>
              <w:rPr>
                <w:sz w:val="24"/>
              </w:rPr>
              <w:t xml:space="preserve">nfo-dic:ZadolzhOplObNedv</w:t>
            </w:r>
          </w:p>
        </w:tc>
      </w:tr>
      <w:tr>
        <w:tc>
          <w:tcPr>
            <w:tcW w:w="907" w:type="dxa"/>
          </w:tcPr>
          <w:p>
            <w:pPr>
              <w:pStyle w:val="0"/>
            </w:pPr>
            <w:r>
              <w:rPr>
                <w:sz w:val="24"/>
              </w:rPr>
              <w:t xml:space="preserve">521.1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521.2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521.3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521.4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521.5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521.6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521.7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796" w:name="P24796"/>
          <w:bookmarkEnd w:id="24796"/>
          <w:p>
            <w:pPr>
              <w:pStyle w:val="0"/>
            </w:pPr>
            <w:r>
              <w:rPr>
                <w:sz w:val="24"/>
              </w:rPr>
              <w:t xml:space="preserve">522</w:t>
            </w:r>
          </w:p>
        </w:tc>
        <w:tc>
          <w:tcPr>
            <w:gridSpan w:val="7"/>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522.1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522.2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522.3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522.4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522.5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522.6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522.7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828" w:name="P24828"/>
          <w:bookmarkEnd w:id="24828"/>
          <w:p>
            <w:pPr>
              <w:pStyle w:val="0"/>
            </w:pPr>
            <w:r>
              <w:rPr>
                <w:sz w:val="24"/>
              </w:rPr>
              <w:t xml:space="preserve">523</w:t>
            </w:r>
          </w:p>
        </w:tc>
        <w:tc>
          <w:tcPr>
            <w:gridSpan w:val="7"/>
            <w:tcW w:w="2608" w:type="dxa"/>
          </w:tcPr>
          <w:p>
            <w:pPr>
              <w:pStyle w:val="0"/>
            </w:pPr>
            <w:r>
              <w:rPr>
                <w:sz w:val="24"/>
              </w:rPr>
              <w:t xml:space="preserve">Дата определения стоимости актива</w:t>
            </w:r>
          </w:p>
        </w:tc>
        <w:tc>
          <w:tcPr>
            <w:tcW w:w="2608" w:type="dxa"/>
          </w:tcPr>
          <w:p>
            <w:pPr>
              <w:pStyle w:val="0"/>
            </w:pPr>
            <w:r>
              <w:rPr>
                <w:sz w:val="24"/>
              </w:rPr>
            </w:r>
          </w:p>
        </w:tc>
        <w:tc>
          <w:tcPr>
            <w:tcW w:w="2948" w:type="dxa"/>
          </w:tcPr>
          <w:p>
            <w:pPr>
              <w:pStyle w:val="0"/>
            </w:pPr>
            <w:r>
              <w:rPr>
                <w:sz w:val="24"/>
              </w:rPr>
              <w:t xml:space="preserve">ins-dic:DataOpredeleniyaStoimostiAktiva</w:t>
            </w:r>
          </w:p>
        </w:tc>
      </w:tr>
      <w:tr>
        <w:tc>
          <w:tcPr>
            <w:tcW w:w="907" w:type="dxa"/>
          </w:tcPr>
          <w:p>
            <w:pPr>
              <w:pStyle w:val="0"/>
            </w:pPr>
            <w:r>
              <w:rPr>
                <w:sz w:val="24"/>
              </w:rPr>
              <w:t xml:space="preserve">523.1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523.2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523.3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523.4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523.5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523.6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523.7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860" w:name="P24860"/>
          <w:bookmarkEnd w:id="24860"/>
          <w:p>
            <w:pPr>
              <w:pStyle w:val="0"/>
            </w:pPr>
            <w:r>
              <w:rPr>
                <w:sz w:val="24"/>
              </w:rPr>
              <w:t xml:space="preserve">524</w:t>
            </w:r>
          </w:p>
        </w:tc>
        <w:tc>
          <w:tcPr>
            <w:gridSpan w:val="7"/>
            <w:tcW w:w="2608" w:type="dxa"/>
          </w:tcPr>
          <w:p>
            <w:pPr>
              <w:pStyle w:val="0"/>
            </w:pPr>
            <w:r>
              <w:rPr>
                <w:sz w:val="24"/>
              </w:rPr>
              <w:t xml:space="preserve">Влияние риска изменения цен на недвижимость</w:t>
            </w:r>
          </w:p>
        </w:tc>
        <w:tc>
          <w:tcPr>
            <w:tcW w:w="2608" w:type="dxa"/>
          </w:tcPr>
          <w:p>
            <w:pPr>
              <w:pStyle w:val="0"/>
            </w:pPr>
            <w:r>
              <w:rPr>
                <w:sz w:val="24"/>
              </w:rPr>
            </w:r>
          </w:p>
        </w:tc>
        <w:tc>
          <w:tcPr>
            <w:tcW w:w="2948" w:type="dxa"/>
          </w:tcPr>
          <w:p>
            <w:pPr>
              <w:pStyle w:val="0"/>
            </w:pPr>
            <w:r>
              <w:rPr>
                <w:sz w:val="24"/>
              </w:rPr>
              <w:t xml:space="preserve">ins-dic:VlRiskIzmCzenNedv</w:t>
            </w:r>
          </w:p>
        </w:tc>
      </w:tr>
      <w:tr>
        <w:tc>
          <w:tcPr>
            <w:tcW w:w="907" w:type="dxa"/>
          </w:tcPr>
          <w:p>
            <w:pPr>
              <w:pStyle w:val="0"/>
            </w:pPr>
            <w:r>
              <w:rPr>
                <w:sz w:val="24"/>
              </w:rPr>
              <w:t xml:space="preserve">524.1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524.2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524.3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524.4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524.5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524.6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524.7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4892" w:name="P24892"/>
          <w:bookmarkEnd w:id="24892"/>
          <w:p>
            <w:pPr>
              <w:pStyle w:val="0"/>
            </w:pPr>
            <w:r>
              <w:rPr>
                <w:sz w:val="24"/>
              </w:rPr>
              <w:t xml:space="preserve">525</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525.1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525.2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525.3</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525.4</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525.5</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525.6</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525.7</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6"/>
            <w:tcW w:w="2109" w:type="dxa"/>
            <w:tcBorders>
              <w:left w:val="single" w:sz="4"/>
            </w:tcBorders>
          </w:tcPr>
          <w:bookmarkStart w:id="24924" w:name="P24924"/>
          <w:bookmarkEnd w:id="24924"/>
          <w:p>
            <w:pPr>
              <w:pStyle w:val="0"/>
              <w:outlineLvl w:val="4"/>
            </w:pPr>
            <w:r>
              <w:rPr>
                <w:sz w:val="24"/>
              </w:rPr>
              <w:t xml:space="preserve">Подраздел 2.38.</w:t>
            </w:r>
          </w:p>
        </w:tc>
        <w:tc>
          <w:tcPr>
            <w:gridSpan w:val="4"/>
            <w:tcW w:w="6962" w:type="dxa"/>
            <w:tcBorders>
              <w:right w:val="single" w:sz="4"/>
            </w:tcBorders>
          </w:tcPr>
          <w:p>
            <w:pPr>
              <w:pStyle w:val="0"/>
            </w:pPr>
            <w:r>
              <w:rPr>
                <w:sz w:val="24"/>
              </w:rPr>
              <w:t xml:space="preserve">Вещи, кроме наличных денег, отдельных видов недвижимого имущества и прав аренды на земельные участки, товаров, подпадающих под исключение, предусмотренное требованиями к финансовой устойчивости и платежеспособности страховщиков, документарных облигаций и акций</w:t>
            </w:r>
          </w:p>
        </w:tc>
      </w:tr>
      <w:tr>
        <w:tc>
          <w:tcPr>
            <w:tcW w:w="907" w:type="dxa"/>
          </w:tcPr>
          <w:p>
            <w:pPr>
              <w:pStyle w:val="0"/>
            </w:pPr>
            <w:r>
              <w:rPr>
                <w:sz w:val="24"/>
              </w:rPr>
              <w:t xml:space="preserve">526</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526.1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526.2</w:t>
            </w:r>
          </w:p>
        </w:tc>
        <w:tc>
          <w:tcPr>
            <w:gridSpan w:val="7"/>
            <w:tcW w:w="2608" w:type="dxa"/>
          </w:tcPr>
          <w:p>
            <w:pPr>
              <w:pStyle w:val="0"/>
            </w:pPr>
            <w:r>
              <w:rPr>
                <w:sz w:val="24"/>
              </w:rPr>
            </w:r>
          </w:p>
        </w:tc>
        <w:tc>
          <w:tcPr>
            <w:tcW w:w="2608" w:type="dxa"/>
          </w:tcPr>
          <w:p>
            <w:pPr>
              <w:pStyle w:val="0"/>
            </w:pPr>
            <w:r>
              <w:rPr>
                <w:sz w:val="24"/>
              </w:rPr>
              <w:t xml:space="preserve">Категория вещей, в том числе недвижимости</w:t>
            </w:r>
          </w:p>
        </w:tc>
        <w:tc>
          <w:tcPr>
            <w:tcW w:w="2948" w:type="dxa"/>
          </w:tcPr>
          <w:p>
            <w:pPr>
              <w:pStyle w:val="0"/>
            </w:pPr>
            <w:r>
              <w:rPr>
                <w:sz w:val="24"/>
              </w:rPr>
              <w:t xml:space="preserve">dim-int:KatVeshhAxis</w:t>
            </w:r>
          </w:p>
        </w:tc>
      </w:tr>
      <w:tr>
        <w:tc>
          <w:tcPr>
            <w:tcW w:w="907" w:type="dxa"/>
          </w:tcPr>
          <w:p>
            <w:pPr>
              <w:pStyle w:val="0"/>
            </w:pPr>
            <w:r>
              <w:rPr>
                <w:sz w:val="24"/>
              </w:rPr>
              <w:t xml:space="preserve">526.3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526.4</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bookmarkStart w:id="24946" w:name="P24946"/>
          <w:bookmarkEnd w:id="24946"/>
          <w:p>
            <w:pPr>
              <w:pStyle w:val="0"/>
            </w:pPr>
            <w:r>
              <w:rPr>
                <w:sz w:val="24"/>
              </w:rPr>
              <w:t xml:space="preserve">527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527.1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527.2</w:t>
            </w:r>
          </w:p>
        </w:tc>
        <w:tc>
          <w:tcPr>
            <w:gridSpan w:val="7"/>
            <w:tcW w:w="2608" w:type="dxa"/>
          </w:tcPr>
          <w:p>
            <w:pPr>
              <w:pStyle w:val="0"/>
            </w:pPr>
            <w:r>
              <w:rPr>
                <w:sz w:val="24"/>
              </w:rPr>
            </w:r>
          </w:p>
        </w:tc>
        <w:tc>
          <w:tcPr>
            <w:tcW w:w="2608" w:type="dxa"/>
          </w:tcPr>
          <w:p>
            <w:pPr>
              <w:pStyle w:val="0"/>
            </w:pPr>
            <w:r>
              <w:rPr>
                <w:sz w:val="24"/>
              </w:rPr>
              <w:t xml:space="preserve">Категория вещей, в том числе недвижимости</w:t>
            </w:r>
          </w:p>
        </w:tc>
        <w:tc>
          <w:tcPr>
            <w:tcW w:w="2948" w:type="dxa"/>
          </w:tcPr>
          <w:p>
            <w:pPr>
              <w:pStyle w:val="0"/>
            </w:pPr>
            <w:r>
              <w:rPr>
                <w:sz w:val="24"/>
              </w:rPr>
              <w:t xml:space="preserve">dim-int:KatVeshhAxis</w:t>
            </w:r>
          </w:p>
        </w:tc>
      </w:tr>
      <w:tr>
        <w:tc>
          <w:tcPr>
            <w:tcW w:w="907" w:type="dxa"/>
          </w:tcPr>
          <w:p>
            <w:pPr>
              <w:pStyle w:val="0"/>
            </w:pPr>
            <w:r>
              <w:rPr>
                <w:sz w:val="24"/>
              </w:rPr>
              <w:t xml:space="preserve">527.3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527.4</w:t>
            </w:r>
          </w:p>
        </w:tc>
        <w:tc>
          <w:tcPr>
            <w:gridSpan w:val="7"/>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blPrEx>
          <w:tblBorders>
            <w:insideV w:val="nil"/>
          </w:tblBorders>
        </w:tblPrEx>
        <w:tc>
          <w:tcPr>
            <w:gridSpan w:val="6"/>
            <w:tcW w:w="2109" w:type="dxa"/>
            <w:tcBorders>
              <w:left w:val="single" w:sz="4"/>
            </w:tcBorders>
          </w:tcPr>
          <w:bookmarkStart w:id="24966" w:name="P24966"/>
          <w:bookmarkEnd w:id="24966"/>
          <w:p>
            <w:pPr>
              <w:pStyle w:val="0"/>
              <w:outlineLvl w:val="4"/>
            </w:pPr>
            <w:r>
              <w:rPr>
                <w:sz w:val="24"/>
              </w:rPr>
              <w:t xml:space="preserve">Подраздел 2.39.</w:t>
            </w:r>
          </w:p>
        </w:tc>
        <w:tc>
          <w:tcPr>
            <w:gridSpan w:val="4"/>
            <w:tcW w:w="6962" w:type="dxa"/>
            <w:tcBorders>
              <w:right w:val="single" w:sz="4"/>
            </w:tcBorders>
          </w:tcPr>
          <w:p>
            <w:pPr>
              <w:pStyle w:val="0"/>
            </w:pPr>
            <w:r>
              <w:rPr>
                <w:sz w:val="24"/>
              </w:rPr>
              <w:t xml:space="preserve">Права пользования по договору аренды</w:t>
            </w:r>
          </w:p>
        </w:tc>
      </w:tr>
      <w:tr>
        <w:tc>
          <w:tcPr>
            <w:tcW w:w="907" w:type="dxa"/>
          </w:tcPr>
          <w:p>
            <w:pPr>
              <w:pStyle w:val="0"/>
            </w:pPr>
            <w:r>
              <w:rPr>
                <w:sz w:val="24"/>
              </w:rPr>
              <w:t xml:space="preserve">528</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528.1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528.3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528.4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529</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529.1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529.2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529.3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529.4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bookmarkStart w:id="25008" w:name="P25008"/>
          <w:bookmarkEnd w:id="25008"/>
          <w:p>
            <w:pPr>
              <w:pStyle w:val="0"/>
            </w:pPr>
            <w:r>
              <w:rPr>
                <w:sz w:val="24"/>
              </w:rPr>
              <w:t xml:space="preserve">530</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530.1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530.2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530.3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530.4</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blPrEx>
          <w:tblBorders>
            <w:insideV w:val="nil"/>
          </w:tblBorders>
        </w:tblPrEx>
        <w:tc>
          <w:tcPr>
            <w:gridSpan w:val="6"/>
            <w:tcW w:w="2109" w:type="dxa"/>
            <w:tcBorders>
              <w:left w:val="single" w:sz="4"/>
            </w:tcBorders>
          </w:tcPr>
          <w:bookmarkStart w:id="25028" w:name="P25028"/>
          <w:bookmarkEnd w:id="25028"/>
          <w:p>
            <w:pPr>
              <w:pStyle w:val="0"/>
              <w:outlineLvl w:val="4"/>
            </w:pPr>
            <w:r>
              <w:rPr>
                <w:sz w:val="24"/>
              </w:rPr>
              <w:t xml:space="preserve">Подраздел 2.40.</w:t>
            </w:r>
          </w:p>
        </w:tc>
        <w:tc>
          <w:tcPr>
            <w:gridSpan w:val="4"/>
            <w:tcW w:w="6962" w:type="dxa"/>
            <w:tcBorders>
              <w:right w:val="single" w:sz="4"/>
            </w:tcBorders>
          </w:tcPr>
          <w:p>
            <w:pPr>
              <w:pStyle w:val="0"/>
              <w:jc w:val="both"/>
            </w:pPr>
            <w:r>
              <w:rPr>
                <w:sz w:val="24"/>
              </w:rPr>
              <w:t xml:space="preserve">Прочие активы</w:t>
            </w:r>
          </w:p>
        </w:tc>
      </w:tr>
      <w:tr>
        <w:tc>
          <w:tcPr>
            <w:tcW w:w="907" w:type="dxa"/>
          </w:tcPr>
          <w:p>
            <w:pPr>
              <w:pStyle w:val="0"/>
            </w:pPr>
            <w:r>
              <w:rPr>
                <w:sz w:val="24"/>
              </w:rPr>
              <w:t xml:space="preserve">531</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531.1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531.2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531.3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531.4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531.5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531.6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531.7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531.8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531.9</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531.10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531.11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531.12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5082" w:name="P25082"/>
          <w:bookmarkEnd w:id="25082"/>
          <w:p>
            <w:pPr>
              <w:pStyle w:val="0"/>
            </w:pPr>
            <w:r>
              <w:rPr>
                <w:sz w:val="24"/>
              </w:rPr>
              <w:t xml:space="preserve">532</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532.1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532.2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532.3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532.4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532.5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532.6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532.7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532.8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532.9</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532.10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532.11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532.12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532.13</w:t>
            </w:r>
          </w:p>
        </w:tc>
        <w:tc>
          <w:tcPr>
            <w:gridSpan w:val="7"/>
            <w:tcW w:w="2608" w:type="dxa"/>
          </w:tcPr>
          <w:p>
            <w:pPr>
              <w:pStyle w:val="0"/>
            </w:pPr>
            <w:r>
              <w:rPr>
                <w:sz w:val="24"/>
              </w:rPr>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948" w:type="dxa"/>
          </w:tcPr>
          <w:p>
            <w:pPr>
              <w:pStyle w:val="0"/>
            </w:pPr>
            <w:r>
              <w:rPr>
                <w:sz w:val="24"/>
              </w:rPr>
              <w:t xml:space="preserve">dim-int:St_A_Invest_Stredstva_Sr_Ss_Axis</w:t>
            </w:r>
          </w:p>
        </w:tc>
      </w:tr>
      <w:tr>
        <w:tc>
          <w:tcPr>
            <w:tcW w:w="907" w:type="dxa"/>
          </w:tcPr>
          <w:bookmarkStart w:id="25138" w:name="P25138"/>
          <w:bookmarkEnd w:id="25138"/>
          <w:p>
            <w:pPr>
              <w:pStyle w:val="0"/>
            </w:pPr>
            <w:r>
              <w:rPr>
                <w:sz w:val="24"/>
              </w:rPr>
              <w:t xml:space="preserve">533</w:t>
            </w:r>
          </w:p>
        </w:tc>
        <w:tc>
          <w:tcPr>
            <w:gridSpan w:val="7"/>
            <w:tcW w:w="2608" w:type="dxa"/>
          </w:tcPr>
          <w:p>
            <w:pPr>
              <w:pStyle w:val="0"/>
            </w:pPr>
            <w:r>
              <w:rPr>
                <w:sz w:val="24"/>
              </w:rPr>
              <w:t xml:space="preserve">Актив является цифровым финансовым активом, цифровой валютой</w:t>
            </w:r>
          </w:p>
        </w:tc>
        <w:tc>
          <w:tcPr>
            <w:tcW w:w="2608" w:type="dxa"/>
          </w:tcPr>
          <w:p>
            <w:pPr>
              <w:pStyle w:val="0"/>
            </w:pPr>
            <w:r>
              <w:rPr>
                <w:sz w:val="24"/>
              </w:rPr>
            </w:r>
          </w:p>
        </w:tc>
        <w:tc>
          <w:tcPr>
            <w:tcW w:w="2948" w:type="dxa"/>
          </w:tcPr>
          <w:p>
            <w:pPr>
              <w:pStyle w:val="0"/>
            </w:pPr>
            <w:r>
              <w:rPr>
                <w:sz w:val="24"/>
              </w:rPr>
              <w:t xml:space="preserve">ins-dic:AktivYavlCzifrFinAktivCzifrValyutojEnumerator</w:t>
            </w:r>
          </w:p>
        </w:tc>
      </w:tr>
      <w:tr>
        <w:tc>
          <w:tcPr>
            <w:tcW w:w="907" w:type="dxa"/>
          </w:tcPr>
          <w:p>
            <w:pPr>
              <w:pStyle w:val="0"/>
            </w:pPr>
            <w:r>
              <w:rPr>
                <w:sz w:val="24"/>
              </w:rPr>
              <w:t xml:space="preserve">533.1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533.2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533.3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533.4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533.5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533.6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533.7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533.8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533.9</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533.10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533.11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533.12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c>
          <w:tcPr>
            <w:tcW w:w="907" w:type="dxa"/>
          </w:tcPr>
          <w:bookmarkStart w:id="25190" w:name="P25190"/>
          <w:bookmarkEnd w:id="25190"/>
          <w:p>
            <w:pPr>
              <w:pStyle w:val="0"/>
            </w:pPr>
            <w:r>
              <w:rPr>
                <w:sz w:val="24"/>
              </w:rPr>
              <w:t xml:space="preserve">534</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534.1</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534.2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534.3</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534.4</w:t>
            </w:r>
          </w:p>
        </w:tc>
        <w:tc>
          <w:tcPr>
            <w:gridSpan w:val="7"/>
            <w:tcW w:w="2608" w:type="dxa"/>
          </w:tcPr>
          <w:p>
            <w:pPr>
              <w:pStyle w:val="0"/>
            </w:pPr>
            <w:r>
              <w:rPr>
                <w:sz w:val="24"/>
              </w:rPr>
            </w:r>
          </w:p>
        </w:tc>
        <w:tc>
          <w:tcPr>
            <w:tcW w:w="2608" w:type="dxa"/>
          </w:tcPr>
          <w:p>
            <w:pPr>
              <w:pStyle w:val="0"/>
            </w:pPr>
            <w:r>
              <w:rPr>
                <w:sz w:val="24"/>
              </w:rPr>
              <w:t xml:space="preserve">Идентификатор доверительного управляющего</w:t>
            </w:r>
          </w:p>
        </w:tc>
        <w:tc>
          <w:tcPr>
            <w:tcW w:w="2948" w:type="dxa"/>
          </w:tcPr>
          <w:p>
            <w:pPr>
              <w:pStyle w:val="0"/>
            </w:pPr>
            <w:r>
              <w:rPr>
                <w:sz w:val="24"/>
              </w:rPr>
              <w:t xml:space="preserve">dim-int:IdDoveritelnogoUpravlyayushhegoTaxis</w:t>
            </w:r>
          </w:p>
        </w:tc>
      </w:tr>
      <w:tr>
        <w:tc>
          <w:tcPr>
            <w:tcW w:w="907" w:type="dxa"/>
          </w:tcPr>
          <w:p>
            <w:pPr>
              <w:pStyle w:val="0"/>
            </w:pPr>
            <w:r>
              <w:rPr>
                <w:sz w:val="24"/>
              </w:rPr>
              <w:t xml:space="preserve">534.5</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534.6</w:t>
            </w:r>
          </w:p>
        </w:tc>
        <w:tc>
          <w:tcPr>
            <w:gridSpan w:val="7"/>
            <w:tcW w:w="2608" w:type="dxa"/>
          </w:tcPr>
          <w:p>
            <w:pPr>
              <w:pStyle w:val="0"/>
            </w:pPr>
            <w:r>
              <w:rPr>
                <w:sz w:val="24"/>
              </w:rPr>
            </w:r>
          </w:p>
        </w:tc>
        <w:tc>
          <w:tcPr>
            <w:tcW w:w="2608" w:type="dxa"/>
          </w:tcPr>
          <w:p>
            <w:pPr>
              <w:pStyle w:val="0"/>
            </w:pPr>
            <w:r>
              <w:rPr>
                <w:sz w:val="24"/>
              </w:rPr>
              <w:t xml:space="preserve">Идентификатор фонда или депозитарной расписки</w:t>
            </w:r>
          </w:p>
        </w:tc>
        <w:tc>
          <w:tcPr>
            <w:tcW w:w="2948" w:type="dxa"/>
          </w:tcPr>
          <w:p>
            <w:pPr>
              <w:pStyle w:val="0"/>
            </w:pPr>
            <w:r>
              <w:rPr>
                <w:sz w:val="24"/>
              </w:rPr>
              <w:t xml:space="preserve">dim-int:IDFondDepRaspTaxis</w:t>
            </w:r>
          </w:p>
        </w:tc>
      </w:tr>
      <w:tr>
        <w:tc>
          <w:tcPr>
            <w:tcW w:w="907" w:type="dxa"/>
          </w:tcPr>
          <w:p>
            <w:pPr>
              <w:pStyle w:val="0"/>
            </w:pPr>
            <w:r>
              <w:rPr>
                <w:sz w:val="24"/>
              </w:rPr>
              <w:t xml:space="preserve">534.7</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534.8</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p>
            <w:pPr>
              <w:pStyle w:val="0"/>
            </w:pPr>
            <w:r>
              <w:rPr>
                <w:sz w:val="24"/>
              </w:rPr>
              <w:t xml:space="preserve">534.9</w:t>
            </w:r>
          </w:p>
        </w:tc>
        <w:tc>
          <w:tcPr>
            <w:gridSpan w:val="7"/>
            <w:tcW w:w="2608" w:type="dxa"/>
          </w:tcPr>
          <w:p>
            <w:pPr>
              <w:pStyle w:val="0"/>
            </w:pPr>
            <w:r>
              <w:rPr>
                <w:sz w:val="24"/>
              </w:rPr>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948" w:type="dxa"/>
          </w:tcPr>
          <w:p>
            <w:pPr>
              <w:pStyle w:val="0"/>
            </w:pPr>
            <w:r>
              <w:rPr>
                <w:sz w:val="24"/>
              </w:rPr>
              <w:t xml:space="preserve">dim-int:GarPoruchSootvPunkt318Axis</w:t>
            </w:r>
          </w:p>
        </w:tc>
      </w:tr>
      <w:tr>
        <w:tc>
          <w:tcPr>
            <w:tcW w:w="907" w:type="dxa"/>
          </w:tcPr>
          <w:p>
            <w:pPr>
              <w:pStyle w:val="0"/>
            </w:pPr>
            <w:r>
              <w:rPr>
                <w:sz w:val="24"/>
              </w:rPr>
              <w:t xml:space="preserve">534.10</w:t>
            </w:r>
          </w:p>
        </w:tc>
        <w:tc>
          <w:tcPr>
            <w:gridSpan w:val="7"/>
            <w:tcW w:w="2608" w:type="dxa"/>
          </w:tcPr>
          <w:p>
            <w:pPr>
              <w:pStyle w:val="0"/>
            </w:pPr>
            <w:r>
              <w:rPr>
                <w:sz w:val="24"/>
              </w:rPr>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534.11</w:t>
            </w:r>
          </w:p>
        </w:tc>
        <w:tc>
          <w:tcPr>
            <w:gridSpan w:val="7"/>
            <w:tcW w:w="2608" w:type="dxa"/>
          </w:tcPr>
          <w:p>
            <w:pPr>
              <w:pStyle w:val="0"/>
            </w:pPr>
            <w:r>
              <w:rPr>
                <w:sz w:val="24"/>
              </w:rPr>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534.12</w:t>
            </w:r>
          </w:p>
        </w:tc>
        <w:tc>
          <w:tcPr>
            <w:gridSpan w:val="7"/>
            <w:tcW w:w="2608" w:type="dxa"/>
          </w:tcPr>
          <w:p>
            <w:pPr>
              <w:pStyle w:val="0"/>
            </w:pPr>
            <w:r>
              <w:rPr>
                <w:sz w:val="24"/>
              </w:rPr>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948" w:type="dxa"/>
          </w:tcPr>
          <w:p>
            <w:pPr>
              <w:pStyle w:val="0"/>
            </w:pPr>
            <w:r>
              <w:rPr>
                <w:sz w:val="24"/>
              </w:rPr>
              <w:t xml:space="preserve">dim-int:AktivSootvTrebPp3.1.25P3.1_710PAxis</w:t>
            </w:r>
          </w:p>
        </w:tc>
      </w:tr>
      <w:tr>
        <w:tblPrEx>
          <w:tblBorders>
            <w:insideV w:val="nil"/>
          </w:tblBorders>
        </w:tblPrEx>
        <w:tc>
          <w:tcPr>
            <w:gridSpan w:val="2"/>
            <w:tcW w:w="1124" w:type="dxa"/>
            <w:tcBorders>
              <w:left w:val="single" w:sz="4"/>
            </w:tcBorders>
          </w:tcPr>
          <w:bookmarkStart w:id="25242" w:name="P25242"/>
          <w:bookmarkEnd w:id="25242"/>
          <w:p>
            <w:pPr>
              <w:pStyle w:val="0"/>
              <w:outlineLvl w:val="3"/>
            </w:pPr>
            <w:r>
              <w:rPr>
                <w:sz w:val="24"/>
              </w:rPr>
              <w:t xml:space="preserve">Раздел 3.</w:t>
            </w:r>
          </w:p>
        </w:tc>
        <w:tc>
          <w:tcPr>
            <w:gridSpan w:val="8"/>
            <w:tcW w:w="7947" w:type="dxa"/>
            <w:tcBorders>
              <w:right w:val="single" w:sz="4"/>
            </w:tcBorders>
          </w:tcPr>
          <w:p>
            <w:pPr>
              <w:pStyle w:val="0"/>
              <w:jc w:val="both"/>
            </w:pPr>
            <w:r>
              <w:rPr>
                <w:sz w:val="24"/>
              </w:rPr>
              <w:t xml:space="preserve">Отдельные виды обязательств</w:t>
            </w:r>
          </w:p>
        </w:tc>
      </w:tr>
      <w:tr>
        <w:tblPrEx>
          <w:tblBorders>
            <w:insideV w:val="nil"/>
          </w:tblBorders>
        </w:tblPrEx>
        <w:tc>
          <w:tcPr>
            <w:gridSpan w:val="4"/>
            <w:tcW w:w="1701" w:type="dxa"/>
            <w:tcBorders>
              <w:left w:val="single" w:sz="4"/>
            </w:tcBorders>
          </w:tcPr>
          <w:bookmarkStart w:id="25244" w:name="P25244"/>
          <w:bookmarkEnd w:id="25244"/>
          <w:p>
            <w:pPr>
              <w:pStyle w:val="0"/>
              <w:outlineLvl w:val="4"/>
            </w:pPr>
            <w:r>
              <w:rPr>
                <w:sz w:val="24"/>
              </w:rPr>
              <w:t xml:space="preserve">Подраздел 3.1.</w:t>
            </w:r>
          </w:p>
        </w:tc>
        <w:tc>
          <w:tcPr>
            <w:gridSpan w:val="6"/>
            <w:tcW w:w="7370" w:type="dxa"/>
            <w:tcBorders>
              <w:right w:val="single" w:sz="4"/>
            </w:tcBorders>
          </w:tcPr>
          <w:p>
            <w:pPr>
              <w:pStyle w:val="0"/>
            </w:pPr>
            <w:r>
              <w:rPr>
                <w:sz w:val="24"/>
              </w:rPr>
              <w:t xml:space="preserve">Обязательства, возникшие в результате заключения страховщиком срочных сделок</w:t>
            </w:r>
          </w:p>
        </w:tc>
      </w:tr>
      <w:tr>
        <w:tc>
          <w:tcPr>
            <w:tcW w:w="907" w:type="dxa"/>
          </w:tcPr>
          <w:bookmarkStart w:id="25246" w:name="P25246"/>
          <w:bookmarkEnd w:id="25246"/>
          <w:p>
            <w:pPr>
              <w:pStyle w:val="0"/>
            </w:pPr>
            <w:r>
              <w:rPr>
                <w:sz w:val="24"/>
              </w:rPr>
              <w:t xml:space="preserve">535</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535.1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535.2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535.3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535.4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535.5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535.6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535.7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278" w:name="P25278"/>
          <w:bookmarkEnd w:id="25278"/>
          <w:p>
            <w:pPr>
              <w:pStyle w:val="0"/>
            </w:pPr>
            <w:r>
              <w:rPr>
                <w:sz w:val="24"/>
              </w:rPr>
              <w:t xml:space="preserve">536</w:t>
            </w:r>
          </w:p>
        </w:tc>
        <w:tc>
          <w:tcPr>
            <w:gridSpan w:val="7"/>
            <w:tcW w:w="2608" w:type="dxa"/>
          </w:tcPr>
          <w:p>
            <w:pPr>
              <w:pStyle w:val="0"/>
            </w:pPr>
            <w:r>
              <w:rPr>
                <w:sz w:val="24"/>
              </w:rPr>
              <w:t xml:space="preserve">Код классификации финансовых инструментов (CFI)</w:t>
            </w:r>
          </w:p>
        </w:tc>
        <w:tc>
          <w:tcPr>
            <w:tcW w:w="2608" w:type="dxa"/>
          </w:tcPr>
          <w:p>
            <w:pPr>
              <w:pStyle w:val="0"/>
            </w:pPr>
            <w:r>
              <w:rPr>
                <w:sz w:val="24"/>
              </w:rPr>
            </w:r>
          </w:p>
        </w:tc>
        <w:tc>
          <w:tcPr>
            <w:tcW w:w="2948" w:type="dxa"/>
          </w:tcPr>
          <w:p>
            <w:pPr>
              <w:pStyle w:val="0"/>
            </w:pPr>
            <w:r>
              <w:rPr>
                <w:sz w:val="24"/>
              </w:rPr>
              <w:t xml:space="preserve">ins-dic:Kod_Klass_Fininst</w:t>
            </w:r>
          </w:p>
        </w:tc>
      </w:tr>
      <w:tr>
        <w:tc>
          <w:tcPr>
            <w:tcW w:w="907" w:type="dxa"/>
          </w:tcPr>
          <w:p>
            <w:pPr>
              <w:pStyle w:val="0"/>
            </w:pPr>
            <w:r>
              <w:rPr>
                <w:sz w:val="24"/>
              </w:rPr>
              <w:t xml:space="preserve">536.1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536.2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536.3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536.4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536.5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536.6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536.7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 SootvSGl1_710PAxis</w:t>
            </w:r>
          </w:p>
        </w:tc>
      </w:tr>
      <w:tr>
        <w:tc>
          <w:tcPr>
            <w:tcW w:w="907" w:type="dxa"/>
          </w:tcPr>
          <w:p>
            <w:pPr>
              <w:pStyle w:val="0"/>
            </w:pPr>
            <w:r>
              <w:rPr>
                <w:sz w:val="24"/>
              </w:rPr>
              <w:t xml:space="preserve">537</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537.1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537.2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537.3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537.4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537.5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537.6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537.7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342" w:name="P25342"/>
          <w:bookmarkEnd w:id="25342"/>
          <w:p>
            <w:pPr>
              <w:pStyle w:val="0"/>
            </w:pPr>
            <w:r>
              <w:rPr>
                <w:sz w:val="24"/>
              </w:rPr>
              <w:t xml:space="preserve">538</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538.1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538.2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538.3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538.4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538.5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538.6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538.7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374" w:name="P25374"/>
          <w:bookmarkEnd w:id="25374"/>
          <w:p>
            <w:pPr>
              <w:pStyle w:val="0"/>
            </w:pPr>
            <w:r>
              <w:rPr>
                <w:sz w:val="24"/>
              </w:rPr>
              <w:t xml:space="preserve">539</w:t>
            </w:r>
          </w:p>
        </w:tc>
        <w:tc>
          <w:tcPr>
            <w:gridSpan w:val="7"/>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539.1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539.2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539.3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539.4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539.5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539.6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539.7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406" w:name="P25406"/>
          <w:bookmarkEnd w:id="25406"/>
          <w:p>
            <w:pPr>
              <w:pStyle w:val="0"/>
            </w:pPr>
            <w:r>
              <w:rPr>
                <w:sz w:val="24"/>
              </w:rPr>
              <w:t xml:space="preserve">540</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540.1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540.3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540.5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540.6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540.7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438" w:name="P25438"/>
          <w:bookmarkEnd w:id="25438"/>
          <w:p>
            <w:pPr>
              <w:pStyle w:val="0"/>
            </w:pPr>
            <w:r>
              <w:rPr>
                <w:sz w:val="24"/>
              </w:rPr>
              <w:t xml:space="preserve">541</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541.1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541.3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541.5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541.6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541.7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470" w:name="P25470"/>
          <w:bookmarkEnd w:id="25470"/>
          <w:p>
            <w:pPr>
              <w:pStyle w:val="0"/>
            </w:pPr>
            <w:r>
              <w:rPr>
                <w:sz w:val="24"/>
              </w:rPr>
              <w:t xml:space="preserve">542</w:t>
            </w:r>
          </w:p>
        </w:tc>
        <w:tc>
          <w:tcPr>
            <w:gridSpan w:val="7"/>
            <w:tcW w:w="2608" w:type="dxa"/>
          </w:tcPr>
          <w:p>
            <w:pPr>
              <w:pStyle w:val="0"/>
            </w:pPr>
            <w:r>
              <w:rPr>
                <w:sz w:val="24"/>
              </w:rPr>
              <w:t xml:space="preserve">Влияние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ins-dic:VlRiskIzmKredSpred</w:t>
            </w:r>
          </w:p>
        </w:tc>
      </w:tr>
      <w:tr>
        <w:tc>
          <w:tcPr>
            <w:tcW w:w="907" w:type="dxa"/>
          </w:tcPr>
          <w:p>
            <w:pPr>
              <w:pStyle w:val="0"/>
            </w:pPr>
            <w:r>
              <w:rPr>
                <w:sz w:val="24"/>
              </w:rPr>
              <w:t xml:space="preserve">542.1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542.3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542.5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542.6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542.7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502" w:name="P25502"/>
          <w:bookmarkEnd w:id="25502"/>
          <w:p>
            <w:pPr>
              <w:pStyle w:val="0"/>
            </w:pPr>
            <w:r>
              <w:rPr>
                <w:sz w:val="24"/>
              </w:rPr>
              <w:t xml:space="preserve">543</w:t>
            </w:r>
          </w:p>
        </w:tc>
        <w:tc>
          <w:tcPr>
            <w:gridSpan w:val="7"/>
            <w:tcW w:w="2608" w:type="dxa"/>
          </w:tcPr>
          <w:p>
            <w:pPr>
              <w:pStyle w:val="0"/>
            </w:pPr>
            <w:r>
              <w:rPr>
                <w:sz w:val="24"/>
              </w:rPr>
              <w:t xml:space="preserve">Влияние риска изменения стоимости акций (увеличение стоимости)</w:t>
            </w:r>
          </w:p>
        </w:tc>
        <w:tc>
          <w:tcPr>
            <w:tcW w:w="2608" w:type="dxa"/>
          </w:tcPr>
          <w:p>
            <w:pPr>
              <w:pStyle w:val="0"/>
            </w:pPr>
            <w:r>
              <w:rPr>
                <w:sz w:val="24"/>
              </w:rPr>
            </w:r>
          </w:p>
        </w:tc>
        <w:tc>
          <w:tcPr>
            <w:tcW w:w="2948" w:type="dxa"/>
          </w:tcPr>
          <w:p>
            <w:pPr>
              <w:pStyle w:val="0"/>
            </w:pPr>
            <w:r>
              <w:rPr>
                <w:sz w:val="24"/>
              </w:rPr>
              <w:t xml:space="preserve">ins-dic:VlRiskIzmStoimAkczUvelichStoim</w:t>
            </w:r>
          </w:p>
        </w:tc>
      </w:tr>
      <w:tr>
        <w:tc>
          <w:tcPr>
            <w:tcW w:w="907" w:type="dxa"/>
          </w:tcPr>
          <w:p>
            <w:pPr>
              <w:pStyle w:val="0"/>
            </w:pPr>
            <w:r>
              <w:rPr>
                <w:sz w:val="24"/>
              </w:rPr>
              <w:t xml:space="preserve">543.1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543.3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543.5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543.6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543.7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534" w:name="P25534"/>
          <w:bookmarkEnd w:id="25534"/>
          <w:p>
            <w:pPr>
              <w:pStyle w:val="0"/>
            </w:pPr>
            <w:r>
              <w:rPr>
                <w:sz w:val="24"/>
              </w:rPr>
              <w:t xml:space="preserve">544</w:t>
            </w:r>
          </w:p>
        </w:tc>
        <w:tc>
          <w:tcPr>
            <w:gridSpan w:val="7"/>
            <w:tcW w:w="2608" w:type="dxa"/>
          </w:tcPr>
          <w:p>
            <w:pPr>
              <w:pStyle w:val="0"/>
            </w:pPr>
            <w:r>
              <w:rPr>
                <w:sz w:val="24"/>
              </w:rPr>
              <w:t xml:space="preserve">Влияние риска изменения стоимости акций (снижение стоимости)</w:t>
            </w:r>
          </w:p>
        </w:tc>
        <w:tc>
          <w:tcPr>
            <w:tcW w:w="2608" w:type="dxa"/>
          </w:tcPr>
          <w:p>
            <w:pPr>
              <w:pStyle w:val="0"/>
            </w:pPr>
            <w:r>
              <w:rPr>
                <w:sz w:val="24"/>
              </w:rPr>
            </w:r>
          </w:p>
        </w:tc>
        <w:tc>
          <w:tcPr>
            <w:tcW w:w="2948" w:type="dxa"/>
          </w:tcPr>
          <w:p>
            <w:pPr>
              <w:pStyle w:val="0"/>
            </w:pPr>
            <w:r>
              <w:rPr>
                <w:sz w:val="24"/>
              </w:rPr>
              <w:t xml:space="preserve">ins-dic:VlRiskIzmStoimAkczSnizhStoim</w:t>
            </w:r>
          </w:p>
        </w:tc>
      </w:tr>
      <w:tr>
        <w:tc>
          <w:tcPr>
            <w:tcW w:w="907" w:type="dxa"/>
          </w:tcPr>
          <w:p>
            <w:pPr>
              <w:pStyle w:val="0"/>
            </w:pPr>
            <w:r>
              <w:rPr>
                <w:sz w:val="24"/>
              </w:rPr>
              <w:t xml:space="preserve">544.1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544.3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544.5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544.6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544.7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566" w:name="P25566"/>
          <w:bookmarkEnd w:id="25566"/>
          <w:p>
            <w:pPr>
              <w:pStyle w:val="0"/>
            </w:pPr>
            <w:r>
              <w:rPr>
                <w:sz w:val="24"/>
              </w:rPr>
              <w:t xml:space="preserve">545</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545.1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545.3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545.5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545.6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545.7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598" w:name="P25598"/>
          <w:bookmarkEnd w:id="25598"/>
          <w:p>
            <w:pPr>
              <w:pStyle w:val="0"/>
            </w:pPr>
            <w:r>
              <w:rPr>
                <w:sz w:val="24"/>
              </w:rPr>
              <w:t xml:space="preserve">546</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546.1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546.3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546.5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546.6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546.7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630" w:name="P25630"/>
          <w:bookmarkEnd w:id="25630"/>
          <w:p>
            <w:pPr>
              <w:pStyle w:val="0"/>
            </w:pPr>
            <w:r>
              <w:rPr>
                <w:sz w:val="24"/>
              </w:rPr>
              <w:t xml:space="preserve">547</w:t>
            </w:r>
          </w:p>
        </w:tc>
        <w:tc>
          <w:tcPr>
            <w:gridSpan w:val="7"/>
            <w:tcW w:w="2608" w:type="dxa"/>
          </w:tcPr>
          <w:p>
            <w:pPr>
              <w:pStyle w:val="0"/>
            </w:pPr>
            <w:r>
              <w:rPr>
                <w:sz w:val="24"/>
              </w:rPr>
              <w:t xml:space="preserve">Влияние риска изменения цен на недвижимость</w:t>
            </w:r>
          </w:p>
        </w:tc>
        <w:tc>
          <w:tcPr>
            <w:tcW w:w="2608" w:type="dxa"/>
          </w:tcPr>
          <w:p>
            <w:pPr>
              <w:pStyle w:val="0"/>
            </w:pPr>
            <w:r>
              <w:rPr>
                <w:sz w:val="24"/>
              </w:rPr>
            </w:r>
          </w:p>
        </w:tc>
        <w:tc>
          <w:tcPr>
            <w:tcW w:w="2948" w:type="dxa"/>
          </w:tcPr>
          <w:p>
            <w:pPr>
              <w:pStyle w:val="0"/>
            </w:pPr>
            <w:r>
              <w:rPr>
                <w:sz w:val="24"/>
              </w:rPr>
              <w:t xml:space="preserve">ins-dic:VlRiskIzmCzenNedv</w:t>
            </w:r>
          </w:p>
        </w:tc>
      </w:tr>
      <w:tr>
        <w:tc>
          <w:tcPr>
            <w:tcW w:w="907" w:type="dxa"/>
          </w:tcPr>
          <w:p>
            <w:pPr>
              <w:pStyle w:val="0"/>
            </w:pPr>
            <w:r>
              <w:rPr>
                <w:sz w:val="24"/>
              </w:rPr>
              <w:t xml:space="preserve">547.1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547.3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547.5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547.6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547.7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662" w:name="P25662"/>
          <w:bookmarkEnd w:id="25662"/>
          <w:p>
            <w:pPr>
              <w:pStyle w:val="0"/>
            </w:pPr>
            <w:r>
              <w:rPr>
                <w:sz w:val="24"/>
              </w:rPr>
              <w:t xml:space="preserve">548</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548.1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548.3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548.4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548.5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548.6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548.7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694" w:name="P25694"/>
          <w:bookmarkEnd w:id="25694"/>
          <w:p>
            <w:pPr>
              <w:pStyle w:val="0"/>
            </w:pPr>
            <w:r>
              <w:rPr>
                <w:sz w:val="24"/>
              </w:rPr>
              <w:t xml:space="preserve">549</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549.1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549.2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549.3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549.4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549.5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549.6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549.7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 SootvSGl1_710PAxis</w:t>
            </w:r>
          </w:p>
        </w:tc>
      </w:tr>
      <w:tr>
        <w:tc>
          <w:tcPr>
            <w:tcW w:w="907" w:type="dxa"/>
          </w:tcPr>
          <w:bookmarkStart w:id="25726" w:name="P25726"/>
          <w:bookmarkEnd w:id="25726"/>
          <w:p>
            <w:pPr>
              <w:pStyle w:val="0"/>
            </w:pPr>
            <w:r>
              <w:rPr>
                <w:sz w:val="24"/>
              </w:rPr>
              <w:t xml:space="preserve">550</w:t>
            </w:r>
          </w:p>
        </w:tc>
        <w:tc>
          <w:tcPr>
            <w:gridSpan w:val="7"/>
            <w:tcW w:w="2608" w:type="dxa"/>
          </w:tcPr>
          <w:p>
            <w:pPr>
              <w:pStyle w:val="0"/>
            </w:pPr>
            <w:r>
              <w:rPr>
                <w:sz w:val="24"/>
              </w:rPr>
              <w:t xml:space="preserve">Вид рынка ценных бумаг, на котором обращается ценная бумага</w:t>
            </w:r>
          </w:p>
        </w:tc>
        <w:tc>
          <w:tcPr>
            <w:tcW w:w="2608" w:type="dxa"/>
          </w:tcPr>
          <w:p>
            <w:pPr>
              <w:pStyle w:val="0"/>
            </w:pPr>
            <w:r>
              <w:rPr>
                <w:sz w:val="24"/>
              </w:rPr>
            </w:r>
          </w:p>
        </w:tc>
        <w:tc>
          <w:tcPr>
            <w:tcW w:w="2948" w:type="dxa"/>
          </w:tcPr>
          <w:p>
            <w:pPr>
              <w:pStyle w:val="0"/>
            </w:pPr>
            <w:r>
              <w:rPr>
                <w:sz w:val="24"/>
              </w:rPr>
              <w:t xml:space="preserve">ins-dic:VidRynkaCBEnumerator</w:t>
            </w:r>
          </w:p>
        </w:tc>
      </w:tr>
      <w:tr>
        <w:tc>
          <w:tcPr>
            <w:tcW w:w="907" w:type="dxa"/>
          </w:tcPr>
          <w:p>
            <w:pPr>
              <w:pStyle w:val="0"/>
            </w:pPr>
            <w:r>
              <w:rPr>
                <w:sz w:val="24"/>
              </w:rPr>
              <w:t xml:space="preserve">550.1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550.3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550.4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550.5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550.6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550.7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758" w:name="P25758"/>
          <w:bookmarkEnd w:id="25758"/>
          <w:p>
            <w:pPr>
              <w:pStyle w:val="0"/>
            </w:pPr>
            <w:r>
              <w:rPr>
                <w:sz w:val="24"/>
              </w:rPr>
              <w:t xml:space="preserve">551</w:t>
            </w:r>
          </w:p>
        </w:tc>
        <w:tc>
          <w:tcPr>
            <w:gridSpan w:val="7"/>
            <w:tcW w:w="2608" w:type="dxa"/>
          </w:tcPr>
          <w:p>
            <w:pPr>
              <w:pStyle w:val="0"/>
            </w:pPr>
            <w:r>
              <w:rPr>
                <w:sz w:val="24"/>
              </w:rPr>
              <w:t xml:space="preserve">Направление сделки</w:t>
            </w:r>
          </w:p>
        </w:tc>
        <w:tc>
          <w:tcPr>
            <w:tcW w:w="2608" w:type="dxa"/>
          </w:tcPr>
          <w:p>
            <w:pPr>
              <w:pStyle w:val="0"/>
            </w:pPr>
            <w:r>
              <w:rPr>
                <w:sz w:val="24"/>
              </w:rPr>
            </w:r>
          </w:p>
        </w:tc>
        <w:tc>
          <w:tcPr>
            <w:tcW w:w="2948" w:type="dxa"/>
          </w:tcPr>
          <w:p>
            <w:pPr>
              <w:pStyle w:val="0"/>
            </w:pPr>
            <w:r>
              <w:rPr>
                <w:sz w:val="24"/>
              </w:rPr>
              <w:t xml:space="preserve">ins-dic:NaprSdelkiEnumerator</w:t>
            </w:r>
          </w:p>
        </w:tc>
      </w:tr>
      <w:tr>
        <w:tc>
          <w:tcPr>
            <w:tcW w:w="907" w:type="dxa"/>
          </w:tcPr>
          <w:p>
            <w:pPr>
              <w:pStyle w:val="0"/>
            </w:pPr>
            <w:r>
              <w:rPr>
                <w:sz w:val="24"/>
              </w:rPr>
              <w:t xml:space="preserve">551.1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551.3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551.4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551.5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551.6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551.7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790" w:name="P25790"/>
          <w:bookmarkEnd w:id="25790"/>
          <w:p>
            <w:pPr>
              <w:pStyle w:val="0"/>
            </w:pPr>
            <w:r>
              <w:rPr>
                <w:sz w:val="24"/>
              </w:rPr>
              <w:t xml:space="preserve">552</w:t>
            </w:r>
          </w:p>
        </w:tc>
        <w:tc>
          <w:tcPr>
            <w:gridSpan w:val="7"/>
            <w:tcW w:w="2608" w:type="dxa"/>
          </w:tcPr>
          <w:p>
            <w:pPr>
              <w:pStyle w:val="0"/>
            </w:pPr>
            <w:r>
              <w:rPr>
                <w:sz w:val="24"/>
              </w:rPr>
              <w:t xml:space="preserve">Описание существенных условий договора (для своп-договора)</w:t>
            </w:r>
          </w:p>
        </w:tc>
        <w:tc>
          <w:tcPr>
            <w:tcW w:w="2608" w:type="dxa"/>
          </w:tcPr>
          <w:p>
            <w:pPr>
              <w:pStyle w:val="0"/>
            </w:pPr>
            <w:r>
              <w:rPr>
                <w:sz w:val="24"/>
              </w:rPr>
            </w:r>
          </w:p>
        </w:tc>
        <w:tc>
          <w:tcPr>
            <w:tcW w:w="2948" w:type="dxa"/>
          </w:tcPr>
          <w:p>
            <w:pPr>
              <w:pStyle w:val="0"/>
            </w:pPr>
            <w:r>
              <w:rPr>
                <w:sz w:val="24"/>
              </w:rPr>
              <w:t xml:space="preserve">ins-dic:SushhUslDog</w:t>
            </w:r>
          </w:p>
        </w:tc>
      </w:tr>
      <w:tr>
        <w:tc>
          <w:tcPr>
            <w:tcW w:w="907" w:type="dxa"/>
          </w:tcPr>
          <w:p>
            <w:pPr>
              <w:pStyle w:val="0"/>
            </w:pPr>
            <w:r>
              <w:rPr>
                <w:sz w:val="24"/>
              </w:rPr>
              <w:t xml:space="preserve">552.1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552.3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552.4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552.5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552.6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552.7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822" w:name="P25822"/>
          <w:bookmarkEnd w:id="25822"/>
          <w:p>
            <w:pPr>
              <w:pStyle w:val="0"/>
            </w:pPr>
            <w:r>
              <w:rPr>
                <w:sz w:val="24"/>
              </w:rPr>
              <w:t xml:space="preserve">553</w:t>
            </w:r>
          </w:p>
        </w:tc>
        <w:tc>
          <w:tcPr>
            <w:gridSpan w:val="7"/>
            <w:tcW w:w="2608" w:type="dxa"/>
          </w:tcPr>
          <w:p>
            <w:pPr>
              <w:pStyle w:val="0"/>
            </w:pPr>
            <w:r>
              <w:rPr>
                <w:sz w:val="24"/>
              </w:rPr>
              <w:t xml:space="preserve">Суммарная справедливая стоимость лотов</w:t>
            </w:r>
          </w:p>
        </w:tc>
        <w:tc>
          <w:tcPr>
            <w:tcW w:w="2608" w:type="dxa"/>
          </w:tcPr>
          <w:p>
            <w:pPr>
              <w:pStyle w:val="0"/>
            </w:pPr>
            <w:r>
              <w:rPr>
                <w:sz w:val="24"/>
              </w:rPr>
            </w:r>
          </w:p>
        </w:tc>
        <w:tc>
          <w:tcPr>
            <w:tcW w:w="2948" w:type="dxa"/>
          </w:tcPr>
          <w:p>
            <w:pPr>
              <w:pStyle w:val="0"/>
            </w:pPr>
            <w:r>
              <w:rPr>
                <w:sz w:val="24"/>
              </w:rPr>
              <w:t xml:space="preserve">ins-dic:SummSprStoimLot</w:t>
            </w:r>
          </w:p>
        </w:tc>
      </w:tr>
      <w:tr>
        <w:tc>
          <w:tcPr>
            <w:tcW w:w="907" w:type="dxa"/>
          </w:tcPr>
          <w:p>
            <w:pPr>
              <w:pStyle w:val="0"/>
            </w:pPr>
            <w:r>
              <w:rPr>
                <w:sz w:val="24"/>
              </w:rPr>
              <w:t xml:space="preserve">553.1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553.3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553.4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553.5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553.6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553.7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854" w:name="P25854"/>
          <w:bookmarkEnd w:id="25854"/>
          <w:p>
            <w:pPr>
              <w:pStyle w:val="0"/>
            </w:pPr>
            <w:r>
              <w:rPr>
                <w:sz w:val="24"/>
              </w:rPr>
              <w:t xml:space="preserve">554</w:t>
            </w:r>
          </w:p>
        </w:tc>
        <w:tc>
          <w:tcPr>
            <w:gridSpan w:val="7"/>
            <w:tcW w:w="2608" w:type="dxa"/>
          </w:tcPr>
          <w:p>
            <w:pPr>
              <w:pStyle w:val="0"/>
            </w:pPr>
            <w:r>
              <w:rPr>
                <w:sz w:val="24"/>
              </w:rPr>
              <w:t xml:space="preserve">Стоимость зависит от изменения стоимости аффинированного золота</w:t>
            </w:r>
          </w:p>
        </w:tc>
        <w:tc>
          <w:tcPr>
            <w:tcW w:w="2608" w:type="dxa"/>
          </w:tcPr>
          <w:p>
            <w:pPr>
              <w:pStyle w:val="0"/>
            </w:pPr>
            <w:r>
              <w:rPr>
                <w:sz w:val="24"/>
              </w:rPr>
            </w:r>
          </w:p>
        </w:tc>
        <w:tc>
          <w:tcPr>
            <w:tcW w:w="2948" w:type="dxa"/>
          </w:tcPr>
          <w:p>
            <w:pPr>
              <w:pStyle w:val="0"/>
            </w:pPr>
            <w:r>
              <w:rPr>
                <w:sz w:val="24"/>
              </w:rPr>
              <w:t xml:space="preserve">ins-dic:StoimZavisOtIzmStoimAffZolotaEnumerator</w:t>
            </w:r>
          </w:p>
        </w:tc>
      </w:tr>
      <w:tr>
        <w:tc>
          <w:tcPr>
            <w:tcW w:w="907" w:type="dxa"/>
          </w:tcPr>
          <w:p>
            <w:pPr>
              <w:pStyle w:val="0"/>
            </w:pPr>
            <w:r>
              <w:rPr>
                <w:sz w:val="24"/>
              </w:rPr>
              <w:t xml:space="preserve">554.1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554.3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554.5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554.6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554.7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886" w:name="P25886"/>
          <w:bookmarkEnd w:id="25886"/>
          <w:p>
            <w:pPr>
              <w:pStyle w:val="0"/>
            </w:pPr>
            <w:r>
              <w:rPr>
                <w:sz w:val="24"/>
              </w:rPr>
              <w:t xml:space="preserve">555</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555.1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555.3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555.5</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555.6</w:t>
            </w:r>
          </w:p>
        </w:tc>
        <w:tc>
          <w:tcPr>
            <w:gridSpan w:val="7"/>
            <w:tcW w:w="2608" w:type="dxa"/>
          </w:tcPr>
          <w:p>
            <w:pPr>
              <w:pStyle w:val="0"/>
            </w:pPr>
            <w:r>
              <w:rPr>
                <w:sz w:val="24"/>
              </w:rPr>
            </w:r>
          </w:p>
        </w:tc>
        <w:tc>
          <w:tcPr>
            <w:tcW w:w="2608" w:type="dxa"/>
          </w:tcPr>
          <w:p>
            <w:pPr>
              <w:pStyle w:val="0"/>
            </w:pPr>
            <w:r>
              <w:rPr>
                <w:sz w:val="24"/>
              </w:rPr>
              <w:t xml:space="preserve">Вид структурной сделки</w:t>
            </w:r>
          </w:p>
        </w:tc>
        <w:tc>
          <w:tcPr>
            <w:tcW w:w="2948" w:type="dxa"/>
          </w:tcPr>
          <w:p>
            <w:pPr>
              <w:pStyle w:val="0"/>
            </w:pPr>
            <w:r>
              <w:rPr>
                <w:sz w:val="24"/>
              </w:rPr>
              <w:t xml:space="preserve">dim-int:VidStrSdelkiAxis</w:t>
            </w:r>
          </w:p>
        </w:tc>
      </w:tr>
      <w:tr>
        <w:tc>
          <w:tcPr>
            <w:tcW w:w="907" w:type="dxa"/>
          </w:tcPr>
          <w:p>
            <w:pPr>
              <w:pStyle w:val="0"/>
            </w:pPr>
            <w:r>
              <w:rPr>
                <w:sz w:val="24"/>
              </w:rPr>
              <w:t xml:space="preserve">555.7</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5918" w:name="P25918"/>
          <w:bookmarkEnd w:id="25918"/>
          <w:p>
            <w:pPr>
              <w:pStyle w:val="0"/>
              <w:outlineLvl w:val="5"/>
            </w:pPr>
            <w:r>
              <w:rPr>
                <w:sz w:val="24"/>
              </w:rPr>
              <w:t xml:space="preserve">Подраздел 3.1.1.</w:t>
            </w:r>
          </w:p>
        </w:tc>
        <w:tc>
          <w:tcPr>
            <w:gridSpan w:val="6"/>
            <w:tcW w:w="7370" w:type="dxa"/>
            <w:tcBorders>
              <w:right w:val="single" w:sz="4"/>
            </w:tcBorders>
          </w:tcPr>
          <w:p>
            <w:pPr>
              <w:pStyle w:val="0"/>
            </w:pPr>
            <w:r>
              <w:rPr>
                <w:sz w:val="24"/>
              </w:rPr>
              <w:t xml:space="preserve">Базисные активы по срочной сделке или активы, от которых зависит поток по облигации</w:t>
            </w:r>
          </w:p>
        </w:tc>
      </w:tr>
      <w:tr>
        <w:tc>
          <w:tcPr>
            <w:tcW w:w="907" w:type="dxa"/>
          </w:tcPr>
          <w:bookmarkStart w:id="25920" w:name="P25920"/>
          <w:bookmarkEnd w:id="25920"/>
          <w:p>
            <w:pPr>
              <w:pStyle w:val="0"/>
            </w:pPr>
            <w:r>
              <w:rPr>
                <w:sz w:val="24"/>
              </w:rPr>
              <w:t xml:space="preserve">556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556.1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556.2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556.3</w:t>
            </w:r>
          </w:p>
        </w:tc>
        <w:tc>
          <w:tcPr>
            <w:gridSpan w:val="7"/>
            <w:tcW w:w="2608" w:type="dxa"/>
          </w:tcPr>
          <w:p>
            <w:pPr>
              <w:pStyle w:val="0"/>
            </w:pPr>
            <w:r>
              <w:rPr>
                <w:sz w:val="24"/>
              </w:rPr>
            </w:r>
          </w:p>
        </w:tc>
        <w:tc>
          <w:tcPr>
            <w:tcW w:w="2608" w:type="dxa"/>
          </w:tcPr>
          <w:p>
            <w:pPr>
              <w:pStyle w:val="0"/>
            </w:pPr>
            <w:r>
              <w:rPr>
                <w:sz w:val="24"/>
              </w:rPr>
              <w:t xml:space="preserve">Вид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dim-int:VidBazAktSrSdelZavPotStrOblAxis</w:t>
            </w:r>
          </w:p>
        </w:tc>
      </w:tr>
      <w:tr>
        <w:tc>
          <w:tcPr>
            <w:tcW w:w="907" w:type="dxa"/>
          </w:tcPr>
          <w:p>
            <w:pPr>
              <w:pStyle w:val="0"/>
            </w:pPr>
            <w:r>
              <w:rPr>
                <w:sz w:val="24"/>
              </w:rPr>
              <w:t xml:space="preserve">556.4</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базисному активу по срочной сделке или активу, от которого зависит поток по облигации</w:t>
            </w:r>
          </w:p>
        </w:tc>
        <w:tc>
          <w:tcPr>
            <w:tcW w:w="2948" w:type="dxa"/>
          </w:tcPr>
          <w:p>
            <w:pPr>
              <w:pStyle w:val="0"/>
            </w:pPr>
            <w:r>
              <w:rPr>
                <w:sz w:val="24"/>
              </w:rPr>
              <w:t xml:space="preserve">dim-int:IDKtragBazAktStStrObITaxis</w:t>
            </w:r>
          </w:p>
        </w:tc>
      </w:tr>
      <w:tr>
        <w:tc>
          <w:tcPr>
            <w:tcW w:w="907" w:type="dxa"/>
          </w:tcPr>
          <w:p>
            <w:pPr>
              <w:pStyle w:val="0"/>
            </w:pPr>
            <w:r>
              <w:rPr>
                <w:sz w:val="24"/>
              </w:rPr>
              <w:t xml:space="preserve">556.5</w:t>
            </w:r>
          </w:p>
        </w:tc>
        <w:tc>
          <w:tcPr>
            <w:gridSpan w:val="7"/>
            <w:tcW w:w="2608" w:type="dxa"/>
          </w:tcPr>
          <w:p>
            <w:pPr>
              <w:pStyle w:val="0"/>
            </w:pPr>
            <w:r>
              <w:rPr>
                <w:sz w:val="24"/>
              </w:rPr>
            </w:r>
          </w:p>
        </w:tc>
        <w:tc>
          <w:tcPr>
            <w:tcW w:w="2608" w:type="dxa"/>
          </w:tcPr>
          <w:p>
            <w:pPr>
              <w:pStyle w:val="0"/>
            </w:pPr>
            <w:r>
              <w:rPr>
                <w:sz w:val="24"/>
              </w:rPr>
              <w:t xml:space="preserve">Идентификатор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dim-int:IDBazAktPotStrOblTaxis</w:t>
            </w:r>
          </w:p>
        </w:tc>
      </w:tr>
      <w:tr>
        <w:tc>
          <w:tcPr>
            <w:tcW w:w="907" w:type="dxa"/>
          </w:tcPr>
          <w:p>
            <w:pPr>
              <w:pStyle w:val="0"/>
            </w:pPr>
            <w:r>
              <w:rPr>
                <w:sz w:val="24"/>
              </w:rPr>
              <w:t xml:space="preserve">556.6</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25948" w:name="P25948"/>
          <w:bookmarkEnd w:id="25948"/>
          <w:p>
            <w:pPr>
              <w:pStyle w:val="0"/>
              <w:outlineLvl w:val="4"/>
            </w:pPr>
            <w:r>
              <w:rPr>
                <w:sz w:val="24"/>
              </w:rPr>
              <w:t xml:space="preserve">Подраздел 3.2.</w:t>
            </w:r>
          </w:p>
        </w:tc>
        <w:tc>
          <w:tcPr>
            <w:gridSpan w:val="6"/>
            <w:tcW w:w="7370" w:type="dxa"/>
            <w:tcBorders>
              <w:right w:val="single" w:sz="4"/>
            </w:tcBorders>
          </w:tcPr>
          <w:p>
            <w:pPr>
              <w:pStyle w:val="0"/>
              <w:jc w:val="both"/>
            </w:pPr>
            <w:r>
              <w:rPr>
                <w:sz w:val="24"/>
              </w:rPr>
              <w:t xml:space="preserve">Выпущенные долговые ценные бумаги</w:t>
            </w:r>
          </w:p>
        </w:tc>
      </w:tr>
      <w:tr>
        <w:tc>
          <w:tcPr>
            <w:tcW w:w="907" w:type="dxa"/>
          </w:tcPr>
          <w:bookmarkStart w:id="25950" w:name="P25950"/>
          <w:bookmarkEnd w:id="25950"/>
          <w:p>
            <w:pPr>
              <w:pStyle w:val="0"/>
            </w:pPr>
            <w:r>
              <w:rPr>
                <w:sz w:val="24"/>
              </w:rPr>
              <w:t xml:space="preserve">557</w:t>
            </w:r>
          </w:p>
        </w:tc>
        <w:tc>
          <w:tcPr>
            <w:gridSpan w:val="7"/>
            <w:tcW w:w="2608" w:type="dxa"/>
          </w:tcPr>
          <w:p>
            <w:pPr>
              <w:pStyle w:val="0"/>
            </w:pPr>
            <w:r>
              <w:rPr>
                <w:sz w:val="24"/>
              </w:rPr>
              <w:t xml:space="preserve">Код ISIN ценной бумаги</w:t>
            </w:r>
          </w:p>
        </w:tc>
        <w:tc>
          <w:tcPr>
            <w:tcW w:w="2608" w:type="dxa"/>
          </w:tcPr>
          <w:p>
            <w:pPr>
              <w:pStyle w:val="0"/>
            </w:pPr>
            <w:r>
              <w:rPr>
                <w:sz w:val="24"/>
              </w:rPr>
            </w:r>
          </w:p>
        </w:tc>
        <w:tc>
          <w:tcPr>
            <w:tcW w:w="2948" w:type="dxa"/>
          </w:tcPr>
          <w:p>
            <w:pPr>
              <w:pStyle w:val="0"/>
            </w:pPr>
            <w:r>
              <w:rPr>
                <w:sz w:val="24"/>
              </w:rPr>
              <w:t xml:space="preserve">ins-dic:Kod_Isin_Czb</w:t>
            </w:r>
          </w:p>
        </w:tc>
      </w:tr>
      <w:tr>
        <w:tc>
          <w:tcPr>
            <w:tcW w:w="907" w:type="dxa"/>
          </w:tcPr>
          <w:p>
            <w:pPr>
              <w:pStyle w:val="0"/>
            </w:pPr>
            <w:r>
              <w:rPr>
                <w:sz w:val="24"/>
              </w:rPr>
              <w:t xml:space="preserve">557.1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557.2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557.3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557.4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558</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558.1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558.2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558.3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558.4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5990" w:name="P25990"/>
          <w:bookmarkEnd w:id="25990"/>
          <w:p>
            <w:pPr>
              <w:pStyle w:val="0"/>
            </w:pPr>
            <w:r>
              <w:rPr>
                <w:sz w:val="24"/>
              </w:rPr>
              <w:t xml:space="preserve">559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559.1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559.2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559.3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559.4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010" w:name="P26010"/>
          <w:bookmarkEnd w:id="26010"/>
          <w:p>
            <w:pPr>
              <w:pStyle w:val="0"/>
            </w:pPr>
            <w:r>
              <w:rPr>
                <w:sz w:val="24"/>
              </w:rPr>
              <w:t xml:space="preserve">560</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560.1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560.2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560.3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560.4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030" w:name="P26030"/>
          <w:bookmarkEnd w:id="26030"/>
          <w:p>
            <w:pPr>
              <w:pStyle w:val="0"/>
            </w:pPr>
            <w:r>
              <w:rPr>
                <w:sz w:val="24"/>
              </w:rPr>
              <w:t xml:space="preserve">561</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561.1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561.2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561.3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561.4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050" w:name="P26050"/>
          <w:bookmarkEnd w:id="26050"/>
          <w:p>
            <w:pPr>
              <w:pStyle w:val="0"/>
            </w:pPr>
            <w:r>
              <w:rPr>
                <w:sz w:val="24"/>
              </w:rPr>
              <w:t xml:space="preserve">562</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562.1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562.2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562.3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562.4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6070" w:name="P26070"/>
          <w:bookmarkEnd w:id="26070"/>
          <w:p>
            <w:pPr>
              <w:pStyle w:val="0"/>
              <w:outlineLvl w:val="4"/>
            </w:pPr>
            <w:r>
              <w:rPr>
                <w:sz w:val="24"/>
              </w:rPr>
              <w:t xml:space="preserve">Подраздел 3.3.</w:t>
            </w:r>
          </w:p>
        </w:tc>
        <w:tc>
          <w:tcPr>
            <w:gridSpan w:val="6"/>
            <w:tcW w:w="7370" w:type="dxa"/>
            <w:tcBorders>
              <w:right w:val="single" w:sz="4"/>
            </w:tcBorders>
          </w:tcPr>
          <w:p>
            <w:pPr>
              <w:pStyle w:val="0"/>
            </w:pPr>
            <w:r>
              <w:rPr>
                <w:sz w:val="24"/>
              </w:rPr>
              <w:t xml:space="preserve">Займы и прочие привлеченные средства (кроме субординированных займов, выпущенных долговых ценных бумаг)</w:t>
            </w:r>
          </w:p>
        </w:tc>
      </w:tr>
      <w:tr>
        <w:tc>
          <w:tcPr>
            <w:tcW w:w="907" w:type="dxa"/>
          </w:tcPr>
          <w:p>
            <w:pPr>
              <w:pStyle w:val="0"/>
            </w:pPr>
            <w:r>
              <w:rPr>
                <w:sz w:val="24"/>
              </w:rPr>
              <w:t xml:space="preserve">563</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563.1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563.3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563.4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563.5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096" w:name="P26096"/>
          <w:bookmarkEnd w:id="26096"/>
          <w:p>
            <w:pPr>
              <w:pStyle w:val="0"/>
            </w:pPr>
            <w:r>
              <w:rPr>
                <w:sz w:val="24"/>
              </w:rPr>
              <w:t xml:space="preserve">564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564.1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564.3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564.4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564.5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120" w:name="P26120"/>
          <w:bookmarkEnd w:id="26120"/>
          <w:p>
            <w:pPr>
              <w:pStyle w:val="0"/>
            </w:pPr>
            <w:r>
              <w:rPr>
                <w:sz w:val="24"/>
              </w:rPr>
              <w:t xml:space="preserve">565</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565.1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565.3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565.4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565.5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144" w:name="P26144"/>
          <w:bookmarkEnd w:id="26144"/>
          <w:p>
            <w:pPr>
              <w:pStyle w:val="0"/>
            </w:pPr>
            <w:r>
              <w:rPr>
                <w:sz w:val="24"/>
              </w:rPr>
              <w:t xml:space="preserve">566</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566.1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566.3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566.4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566.5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168" w:name="P26168"/>
          <w:bookmarkEnd w:id="26168"/>
          <w:p>
            <w:pPr>
              <w:pStyle w:val="0"/>
            </w:pPr>
            <w:r>
              <w:rPr>
                <w:sz w:val="24"/>
              </w:rPr>
              <w:t xml:space="preserve">567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567.1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567.3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567.4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567.5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6192" w:name="P26192"/>
          <w:bookmarkEnd w:id="26192"/>
          <w:p>
            <w:pPr>
              <w:pStyle w:val="0"/>
              <w:outlineLvl w:val="4"/>
            </w:pPr>
            <w:r>
              <w:rPr>
                <w:sz w:val="24"/>
              </w:rPr>
              <w:t xml:space="preserve">Подраздел 3.4.</w:t>
            </w:r>
          </w:p>
        </w:tc>
        <w:tc>
          <w:tcPr>
            <w:gridSpan w:val="6"/>
            <w:tcW w:w="7370" w:type="dxa"/>
            <w:tcBorders>
              <w:right w:val="single" w:sz="4"/>
            </w:tcBorders>
          </w:tcPr>
          <w:p>
            <w:pPr>
              <w:pStyle w:val="0"/>
              <w:jc w:val="both"/>
            </w:pPr>
            <w:r>
              <w:rPr>
                <w:sz w:val="24"/>
              </w:rPr>
              <w:t xml:space="preserve">Субординированные займы</w:t>
            </w:r>
          </w:p>
        </w:tc>
      </w:tr>
      <w:tr>
        <w:tc>
          <w:tcPr>
            <w:tcW w:w="907" w:type="dxa"/>
          </w:tcPr>
          <w:p>
            <w:pPr>
              <w:pStyle w:val="0"/>
            </w:pPr>
            <w:r>
              <w:rPr>
                <w:sz w:val="24"/>
              </w:rPr>
              <w:t xml:space="preserve">568</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568.1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568.3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568.4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568.5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218" w:name="P26218"/>
          <w:bookmarkEnd w:id="26218"/>
          <w:p>
            <w:pPr>
              <w:pStyle w:val="0"/>
            </w:pPr>
            <w:r>
              <w:rPr>
                <w:sz w:val="24"/>
              </w:rPr>
              <w:t xml:space="preserve">569</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569.1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569.2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569.3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569.4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569.5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242" w:name="P26242"/>
          <w:bookmarkEnd w:id="26242"/>
          <w:p>
            <w:pPr>
              <w:pStyle w:val="0"/>
            </w:pPr>
            <w:r>
              <w:rPr>
                <w:sz w:val="24"/>
              </w:rPr>
              <w:t xml:space="preserve">570</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570.1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dm-int:KlassObAxis</w:t>
            </w:r>
          </w:p>
        </w:tc>
      </w:tr>
      <w:tr>
        <w:tc>
          <w:tcPr>
            <w:tcW w:w="907" w:type="dxa"/>
          </w:tcPr>
          <w:p>
            <w:pPr>
              <w:pStyle w:val="0"/>
            </w:pPr>
            <w:r>
              <w:rPr>
                <w:sz w:val="24"/>
              </w:rPr>
              <w:t xml:space="preserve">570.2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570.3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570.4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570.5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266" w:name="P26266"/>
          <w:bookmarkEnd w:id="26266"/>
          <w:p>
            <w:pPr>
              <w:pStyle w:val="0"/>
            </w:pPr>
            <w:r>
              <w:rPr>
                <w:sz w:val="24"/>
              </w:rPr>
              <w:t xml:space="preserve">571</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571.1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571.3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571.4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dim-int:Kod_VaiyutyAxis</w:t>
            </w:r>
          </w:p>
        </w:tc>
      </w:tr>
      <w:tr>
        <w:tc>
          <w:tcPr>
            <w:tcW w:w="907" w:type="dxa"/>
          </w:tcPr>
          <w:p>
            <w:pPr>
              <w:pStyle w:val="0"/>
            </w:pPr>
            <w:r>
              <w:rPr>
                <w:sz w:val="24"/>
              </w:rPr>
              <w:t xml:space="preserve">571.5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290" w:name="P26290"/>
          <w:bookmarkEnd w:id="26290"/>
          <w:p>
            <w:pPr>
              <w:pStyle w:val="0"/>
            </w:pPr>
            <w:r>
              <w:rPr>
                <w:sz w:val="24"/>
              </w:rPr>
              <w:t xml:space="preserve">572</w:t>
            </w:r>
          </w:p>
        </w:tc>
        <w:tc>
          <w:tcPr>
            <w:gridSpan w:val="7"/>
            <w:tcW w:w="2608" w:type="dxa"/>
          </w:tcPr>
          <w:p>
            <w:pPr>
              <w:pStyle w:val="0"/>
            </w:pPr>
            <w:r>
              <w:rPr>
                <w:sz w:val="24"/>
              </w:rPr>
              <w:t xml:space="preserve">Включен в расчет нормативного соотношения собственных средств (капитала) и принятых обязательств</w:t>
            </w:r>
          </w:p>
        </w:tc>
        <w:tc>
          <w:tcPr>
            <w:tcW w:w="2608" w:type="dxa"/>
          </w:tcPr>
          <w:p>
            <w:pPr>
              <w:pStyle w:val="0"/>
            </w:pPr>
            <w:r>
              <w:rPr>
                <w:sz w:val="24"/>
              </w:rPr>
            </w:r>
          </w:p>
        </w:tc>
        <w:tc>
          <w:tcPr>
            <w:tcW w:w="2948" w:type="dxa"/>
          </w:tcPr>
          <w:p>
            <w:pPr>
              <w:pStyle w:val="0"/>
            </w:pPr>
            <w:r>
              <w:rPr>
                <w:sz w:val="24"/>
              </w:rPr>
              <w:t xml:space="preserve">ins-dic:VklRaschNormSootnSSKapPrinObyazEnumerator</w:t>
            </w:r>
          </w:p>
        </w:tc>
      </w:tr>
      <w:tr>
        <w:tc>
          <w:tcPr>
            <w:tcW w:w="907" w:type="dxa"/>
          </w:tcPr>
          <w:p>
            <w:pPr>
              <w:pStyle w:val="0"/>
            </w:pPr>
            <w:r>
              <w:rPr>
                <w:sz w:val="24"/>
              </w:rPr>
              <w:t xml:space="preserve">572.1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572.2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572.3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572.4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572.5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314" w:name="P26314"/>
          <w:bookmarkEnd w:id="26314"/>
          <w:p>
            <w:pPr>
              <w:pStyle w:val="0"/>
            </w:pPr>
            <w:r>
              <w:rPr>
                <w:sz w:val="24"/>
              </w:rPr>
              <w:t xml:space="preserve">573</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573.1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573.3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573.4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573.5</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6338" w:name="P26338"/>
          <w:bookmarkEnd w:id="26338"/>
          <w:p>
            <w:pPr>
              <w:pStyle w:val="0"/>
              <w:outlineLvl w:val="4"/>
            </w:pPr>
            <w:r>
              <w:rPr>
                <w:sz w:val="24"/>
              </w:rPr>
              <w:t xml:space="preserve">Подраздел 3.5.</w:t>
            </w:r>
          </w:p>
        </w:tc>
        <w:tc>
          <w:tcPr>
            <w:gridSpan w:val="6"/>
            <w:tcW w:w="7370" w:type="dxa"/>
            <w:tcBorders>
              <w:right w:val="single" w:sz="4"/>
            </w:tcBorders>
          </w:tcPr>
          <w:p>
            <w:pPr>
              <w:pStyle w:val="0"/>
              <w:jc w:val="both"/>
            </w:pPr>
            <w:r>
              <w:rPr>
                <w:sz w:val="24"/>
              </w:rPr>
              <w:t xml:space="preserve">Страховые резервы по страхованию жизни</w:t>
            </w:r>
          </w:p>
        </w:tc>
      </w:tr>
      <w:tr>
        <w:tc>
          <w:tcPr>
            <w:tcW w:w="907" w:type="dxa"/>
          </w:tcPr>
          <w:bookmarkStart w:id="26340" w:name="P26340"/>
          <w:bookmarkEnd w:id="26340"/>
          <w:p>
            <w:pPr>
              <w:pStyle w:val="0"/>
            </w:pPr>
            <w:r>
              <w:rPr>
                <w:sz w:val="24"/>
              </w:rPr>
              <w:t xml:space="preserve">574</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574.1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574.2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352" w:name="P26352"/>
          <w:bookmarkEnd w:id="26352"/>
          <w:p>
            <w:pPr>
              <w:pStyle w:val="0"/>
            </w:pPr>
            <w:r>
              <w:rPr>
                <w:sz w:val="24"/>
              </w:rPr>
              <w:t xml:space="preserve">575</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575.1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575.2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364" w:name="P26364"/>
          <w:bookmarkEnd w:id="26364"/>
          <w:p>
            <w:pPr>
              <w:pStyle w:val="0"/>
            </w:pPr>
            <w:r>
              <w:rPr>
                <w:sz w:val="24"/>
              </w:rPr>
              <w:t xml:space="preserve">576</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576.1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576.2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376" w:name="P26376"/>
          <w:bookmarkEnd w:id="26376"/>
          <w:p>
            <w:pPr>
              <w:pStyle w:val="0"/>
            </w:pPr>
            <w:r>
              <w:rPr>
                <w:sz w:val="24"/>
              </w:rPr>
              <w:t xml:space="preserve">577</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577.1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577.2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388" w:name="P26388"/>
          <w:bookmarkEnd w:id="26388"/>
          <w:p>
            <w:pPr>
              <w:pStyle w:val="0"/>
            </w:pPr>
            <w:r>
              <w:rPr>
                <w:sz w:val="24"/>
              </w:rPr>
              <w:t xml:space="preserve">578</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578.1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578.2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400" w:name="P26400"/>
          <w:bookmarkEnd w:id="26400"/>
          <w:p>
            <w:pPr>
              <w:pStyle w:val="0"/>
            </w:pPr>
            <w:r>
              <w:rPr>
                <w:sz w:val="24"/>
              </w:rPr>
              <w:t xml:space="preserve">579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579.1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579.2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26412" w:name="P26412"/>
          <w:bookmarkEnd w:id="26412"/>
          <w:p>
            <w:pPr>
              <w:pStyle w:val="0"/>
              <w:outlineLvl w:val="5"/>
            </w:pPr>
            <w:r>
              <w:rPr>
                <w:sz w:val="24"/>
              </w:rPr>
              <w:t xml:space="preserve">Подраздел 3.5.1.</w:t>
            </w:r>
          </w:p>
        </w:tc>
        <w:tc>
          <w:tcPr>
            <w:gridSpan w:val="6"/>
            <w:tcW w:w="7370" w:type="dxa"/>
            <w:tcBorders>
              <w:right w:val="single" w:sz="4"/>
            </w:tcBorders>
          </w:tcPr>
          <w:p>
            <w:pPr>
              <w:pStyle w:val="0"/>
              <w:jc w:val="both"/>
            </w:pPr>
            <w:r>
              <w:rPr>
                <w:sz w:val="24"/>
              </w:rPr>
              <w:t xml:space="preserve">Резерв инвестиционных обязательств</w:t>
            </w:r>
          </w:p>
        </w:tc>
      </w:tr>
      <w:tr>
        <w:tc>
          <w:tcPr>
            <w:tcW w:w="907" w:type="dxa"/>
          </w:tcPr>
          <w:bookmarkStart w:id="26414" w:name="P26414"/>
          <w:bookmarkEnd w:id="26414"/>
          <w:p>
            <w:pPr>
              <w:pStyle w:val="0"/>
            </w:pPr>
            <w:r>
              <w:rPr>
                <w:sz w:val="24"/>
              </w:rPr>
              <w:t xml:space="preserve">580</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580.1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580.2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580.3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430" w:name="P26430"/>
          <w:bookmarkEnd w:id="26430"/>
          <w:p>
            <w:pPr>
              <w:pStyle w:val="0"/>
            </w:pPr>
            <w:r>
              <w:rPr>
                <w:sz w:val="24"/>
              </w:rPr>
              <w:t xml:space="preserve">581</w:t>
            </w:r>
          </w:p>
        </w:tc>
        <w:tc>
          <w:tcPr>
            <w:gridSpan w:val="7"/>
            <w:tcW w:w="2608" w:type="dxa"/>
          </w:tcPr>
          <w:p>
            <w:pPr>
              <w:pStyle w:val="0"/>
            </w:pPr>
            <w:r>
              <w:rPr>
                <w:sz w:val="24"/>
              </w:rPr>
              <w:t xml:space="preserve">Влияние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ins-dic:VlRiskIzmKredSpred</w:t>
            </w:r>
          </w:p>
        </w:tc>
      </w:tr>
      <w:tr>
        <w:tc>
          <w:tcPr>
            <w:tcW w:w="907" w:type="dxa"/>
          </w:tcPr>
          <w:p>
            <w:pPr>
              <w:pStyle w:val="0"/>
            </w:pPr>
            <w:r>
              <w:rPr>
                <w:sz w:val="24"/>
              </w:rPr>
              <w:t xml:space="preserve">581.1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581.2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581.3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446" w:name="P26446"/>
          <w:bookmarkEnd w:id="26446"/>
          <w:p>
            <w:pPr>
              <w:pStyle w:val="0"/>
            </w:pPr>
            <w:r>
              <w:rPr>
                <w:sz w:val="24"/>
              </w:rPr>
              <w:t xml:space="preserve">582</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582.1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582.2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582.3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462" w:name="P26462"/>
          <w:bookmarkEnd w:id="26462"/>
          <w:p>
            <w:pPr>
              <w:pStyle w:val="0"/>
            </w:pPr>
            <w:r>
              <w:rPr>
                <w:sz w:val="24"/>
              </w:rPr>
              <w:t xml:space="preserve">583</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583.1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583.2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583.3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478" w:name="P26478"/>
          <w:bookmarkEnd w:id="26478"/>
          <w:p>
            <w:pPr>
              <w:pStyle w:val="0"/>
            </w:pPr>
            <w:r>
              <w:rPr>
                <w:sz w:val="24"/>
              </w:rPr>
              <w:t xml:space="preserve">584</w:t>
            </w:r>
          </w:p>
        </w:tc>
        <w:tc>
          <w:tcPr>
            <w:gridSpan w:val="7"/>
            <w:tcW w:w="2608" w:type="dxa"/>
          </w:tcPr>
          <w:p>
            <w:pPr>
              <w:pStyle w:val="0"/>
            </w:pPr>
            <w:r>
              <w:rPr>
                <w:sz w:val="24"/>
              </w:rPr>
              <w:t xml:space="preserve">Влияние риска изменения стоимости акций (увеличение стоимости)</w:t>
            </w:r>
          </w:p>
        </w:tc>
        <w:tc>
          <w:tcPr>
            <w:tcW w:w="2608" w:type="dxa"/>
          </w:tcPr>
          <w:p>
            <w:pPr>
              <w:pStyle w:val="0"/>
            </w:pPr>
            <w:r>
              <w:rPr>
                <w:sz w:val="24"/>
              </w:rPr>
            </w:r>
          </w:p>
        </w:tc>
        <w:tc>
          <w:tcPr>
            <w:tcW w:w="2948" w:type="dxa"/>
          </w:tcPr>
          <w:p>
            <w:pPr>
              <w:pStyle w:val="0"/>
            </w:pPr>
            <w:r>
              <w:rPr>
                <w:sz w:val="24"/>
              </w:rPr>
              <w:t xml:space="preserve">ins-dic:VlRiskIzmStoimAkczUvelichStoim</w:t>
            </w:r>
          </w:p>
        </w:tc>
      </w:tr>
      <w:tr>
        <w:tc>
          <w:tcPr>
            <w:tcW w:w="907" w:type="dxa"/>
          </w:tcPr>
          <w:p>
            <w:pPr>
              <w:pStyle w:val="0"/>
            </w:pPr>
            <w:r>
              <w:rPr>
                <w:sz w:val="24"/>
              </w:rPr>
              <w:t xml:space="preserve">584.1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584.2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584.3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494" w:name="P26494"/>
          <w:bookmarkEnd w:id="26494"/>
          <w:p>
            <w:pPr>
              <w:pStyle w:val="0"/>
            </w:pPr>
            <w:r>
              <w:rPr>
                <w:sz w:val="24"/>
              </w:rPr>
              <w:t xml:space="preserve">585</w:t>
            </w:r>
          </w:p>
        </w:tc>
        <w:tc>
          <w:tcPr>
            <w:gridSpan w:val="7"/>
            <w:tcW w:w="2608" w:type="dxa"/>
          </w:tcPr>
          <w:p>
            <w:pPr>
              <w:pStyle w:val="0"/>
            </w:pPr>
            <w:r>
              <w:rPr>
                <w:sz w:val="24"/>
              </w:rPr>
              <w:t xml:space="preserve">Влияние риска изменения стоимости акций (снижение стоимости)</w:t>
            </w:r>
          </w:p>
        </w:tc>
        <w:tc>
          <w:tcPr>
            <w:tcW w:w="2608" w:type="dxa"/>
          </w:tcPr>
          <w:p>
            <w:pPr>
              <w:pStyle w:val="0"/>
            </w:pPr>
            <w:r>
              <w:rPr>
                <w:sz w:val="24"/>
              </w:rPr>
            </w:r>
          </w:p>
        </w:tc>
        <w:tc>
          <w:tcPr>
            <w:tcW w:w="2948" w:type="dxa"/>
          </w:tcPr>
          <w:p>
            <w:pPr>
              <w:pStyle w:val="0"/>
            </w:pPr>
            <w:r>
              <w:rPr>
                <w:sz w:val="24"/>
              </w:rPr>
              <w:t xml:space="preserve">ins-dic:VlRiskIzmStoimAkczSnizhStoim</w:t>
            </w:r>
          </w:p>
        </w:tc>
      </w:tr>
      <w:tr>
        <w:tc>
          <w:tcPr>
            <w:tcW w:w="907" w:type="dxa"/>
          </w:tcPr>
          <w:p>
            <w:pPr>
              <w:pStyle w:val="0"/>
            </w:pPr>
            <w:r>
              <w:rPr>
                <w:sz w:val="24"/>
              </w:rPr>
              <w:t xml:space="preserve">585.1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585.2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585.3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510" w:name="P26510"/>
          <w:bookmarkEnd w:id="26510"/>
          <w:p>
            <w:pPr>
              <w:pStyle w:val="0"/>
            </w:pPr>
            <w:r>
              <w:rPr>
                <w:sz w:val="24"/>
              </w:rPr>
              <w:t xml:space="preserve">586</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586.1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586.2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586.3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526" w:name="P26526"/>
          <w:bookmarkEnd w:id="26526"/>
          <w:p>
            <w:pPr>
              <w:pStyle w:val="0"/>
            </w:pPr>
            <w:r>
              <w:rPr>
                <w:sz w:val="24"/>
              </w:rPr>
              <w:t xml:space="preserve">587</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587.1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dim-int:KIassObAxis</w:t>
            </w:r>
          </w:p>
        </w:tc>
      </w:tr>
      <w:tr>
        <w:tc>
          <w:tcPr>
            <w:tcW w:w="907" w:type="dxa"/>
          </w:tcPr>
          <w:p>
            <w:pPr>
              <w:pStyle w:val="0"/>
            </w:pPr>
            <w:r>
              <w:rPr>
                <w:sz w:val="24"/>
              </w:rPr>
              <w:t xml:space="preserve">587.2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587.3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542" w:name="P26542"/>
          <w:bookmarkEnd w:id="26542"/>
          <w:p>
            <w:pPr>
              <w:pStyle w:val="0"/>
            </w:pPr>
            <w:r>
              <w:rPr>
                <w:sz w:val="24"/>
              </w:rPr>
              <w:t xml:space="preserve">588</w:t>
            </w:r>
          </w:p>
        </w:tc>
        <w:tc>
          <w:tcPr>
            <w:gridSpan w:val="7"/>
            <w:tcW w:w="2608" w:type="dxa"/>
          </w:tcPr>
          <w:p>
            <w:pPr>
              <w:pStyle w:val="0"/>
            </w:pPr>
            <w:r>
              <w:rPr>
                <w:sz w:val="24"/>
              </w:rPr>
              <w:t xml:space="preserve">Влияние риска изменения цен на недвижимость</w:t>
            </w:r>
          </w:p>
        </w:tc>
        <w:tc>
          <w:tcPr>
            <w:tcW w:w="2608" w:type="dxa"/>
          </w:tcPr>
          <w:p>
            <w:pPr>
              <w:pStyle w:val="0"/>
            </w:pPr>
            <w:r>
              <w:rPr>
                <w:sz w:val="24"/>
              </w:rPr>
            </w:r>
          </w:p>
        </w:tc>
        <w:tc>
          <w:tcPr>
            <w:tcW w:w="2948" w:type="dxa"/>
          </w:tcPr>
          <w:p>
            <w:pPr>
              <w:pStyle w:val="0"/>
            </w:pPr>
            <w:r>
              <w:rPr>
                <w:sz w:val="24"/>
              </w:rPr>
              <w:t xml:space="preserve">ins-dic:VlRiskIzmCzenNedv</w:t>
            </w:r>
          </w:p>
        </w:tc>
      </w:tr>
      <w:tr>
        <w:tc>
          <w:tcPr>
            <w:tcW w:w="907" w:type="dxa"/>
          </w:tcPr>
          <w:p>
            <w:pPr>
              <w:pStyle w:val="0"/>
            </w:pPr>
            <w:r>
              <w:rPr>
                <w:sz w:val="24"/>
              </w:rPr>
              <w:t xml:space="preserve">588.1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588.2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588.3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558" w:name="P26558"/>
          <w:bookmarkEnd w:id="26558"/>
          <w:p>
            <w:pPr>
              <w:pStyle w:val="0"/>
            </w:pPr>
            <w:r>
              <w:rPr>
                <w:sz w:val="24"/>
              </w:rPr>
              <w:t xml:space="preserve">589</w:t>
            </w:r>
          </w:p>
        </w:tc>
        <w:tc>
          <w:tcPr>
            <w:gridSpan w:val="7"/>
            <w:tcW w:w="2608" w:type="dxa"/>
          </w:tcPr>
          <w:p>
            <w:pPr>
              <w:pStyle w:val="0"/>
            </w:pPr>
            <w:r>
              <w:rPr>
                <w:sz w:val="24"/>
              </w:rPr>
              <w:t xml:space="preserve">Влияние риска изменения цен на иные активы (увеличение стоимости)</w:t>
            </w:r>
          </w:p>
        </w:tc>
        <w:tc>
          <w:tcPr>
            <w:tcW w:w="2608" w:type="dxa"/>
          </w:tcPr>
          <w:p>
            <w:pPr>
              <w:pStyle w:val="0"/>
            </w:pPr>
            <w:r>
              <w:rPr>
                <w:sz w:val="24"/>
              </w:rPr>
            </w:r>
          </w:p>
        </w:tc>
        <w:tc>
          <w:tcPr>
            <w:tcW w:w="2948" w:type="dxa"/>
          </w:tcPr>
          <w:p>
            <w:pPr>
              <w:pStyle w:val="0"/>
            </w:pPr>
            <w:r>
              <w:rPr>
                <w:sz w:val="24"/>
              </w:rPr>
              <w:t xml:space="preserve">ins-dic:VlRiskIzmCzenInAktUvelStoim</w:t>
            </w:r>
          </w:p>
        </w:tc>
      </w:tr>
      <w:tr>
        <w:tc>
          <w:tcPr>
            <w:tcW w:w="907" w:type="dxa"/>
          </w:tcPr>
          <w:p>
            <w:pPr>
              <w:pStyle w:val="0"/>
            </w:pPr>
            <w:r>
              <w:rPr>
                <w:sz w:val="24"/>
              </w:rPr>
              <w:t xml:space="preserve">589.1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589.2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589.3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574" w:name="P26574"/>
          <w:bookmarkEnd w:id="26574"/>
          <w:p>
            <w:pPr>
              <w:pStyle w:val="0"/>
            </w:pPr>
            <w:r>
              <w:rPr>
                <w:sz w:val="24"/>
              </w:rPr>
              <w:t xml:space="preserve">590</w:t>
            </w:r>
          </w:p>
        </w:tc>
        <w:tc>
          <w:tcPr>
            <w:gridSpan w:val="7"/>
            <w:tcW w:w="2608" w:type="dxa"/>
          </w:tcPr>
          <w:p>
            <w:pPr>
              <w:pStyle w:val="0"/>
            </w:pPr>
            <w:r>
              <w:rPr>
                <w:sz w:val="24"/>
              </w:rPr>
              <w:t xml:space="preserve">Влияние риска изменения цен на иные активы (снижение стоимости)</w:t>
            </w:r>
          </w:p>
        </w:tc>
        <w:tc>
          <w:tcPr>
            <w:tcW w:w="2608" w:type="dxa"/>
          </w:tcPr>
          <w:p>
            <w:pPr>
              <w:pStyle w:val="0"/>
            </w:pPr>
            <w:r>
              <w:rPr>
                <w:sz w:val="24"/>
              </w:rPr>
            </w:r>
          </w:p>
        </w:tc>
        <w:tc>
          <w:tcPr>
            <w:tcW w:w="2948" w:type="dxa"/>
          </w:tcPr>
          <w:p>
            <w:pPr>
              <w:pStyle w:val="0"/>
            </w:pPr>
            <w:r>
              <w:rPr>
                <w:sz w:val="24"/>
              </w:rPr>
              <w:t xml:space="preserve">ins-dic:VlRiskIzmCzenInAktSnizhStoim</w:t>
            </w:r>
          </w:p>
        </w:tc>
      </w:tr>
      <w:tr>
        <w:tc>
          <w:tcPr>
            <w:tcW w:w="907" w:type="dxa"/>
          </w:tcPr>
          <w:p>
            <w:pPr>
              <w:pStyle w:val="0"/>
            </w:pPr>
            <w:r>
              <w:rPr>
                <w:sz w:val="24"/>
              </w:rPr>
              <w:t xml:space="preserve">590.1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590.2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590.3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c>
          <w:tcPr>
            <w:tcW w:w="907" w:type="dxa"/>
          </w:tcPr>
          <w:bookmarkStart w:id="26590" w:name="P26590"/>
          <w:bookmarkEnd w:id="26590"/>
          <w:p>
            <w:pPr>
              <w:pStyle w:val="0"/>
            </w:pPr>
            <w:r>
              <w:rPr>
                <w:sz w:val="24"/>
              </w:rPr>
              <w:t xml:space="preserve">591</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591.1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591.2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591.3</w:t>
            </w:r>
          </w:p>
        </w:tc>
        <w:tc>
          <w:tcPr>
            <w:gridSpan w:val="7"/>
            <w:tcW w:w="2608" w:type="dxa"/>
          </w:tcPr>
          <w:p>
            <w:pPr>
              <w:pStyle w:val="0"/>
            </w:pPr>
            <w:r>
              <w:rPr>
                <w:sz w:val="24"/>
              </w:rPr>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948" w:type="dxa"/>
          </w:tcPr>
          <w:p>
            <w:pPr>
              <w:pStyle w:val="0"/>
            </w:pPr>
            <w:r>
              <w:rPr>
                <w:sz w:val="24"/>
              </w:rPr>
              <w:t xml:space="preserve">dim-int:RiskAktPeredStrlAxis</w:t>
            </w:r>
          </w:p>
        </w:tc>
      </w:tr>
      <w:tr>
        <w:tblPrEx>
          <w:tblBorders>
            <w:insideV w:val="nil"/>
          </w:tblBorders>
        </w:tblPrEx>
        <w:tc>
          <w:tcPr>
            <w:gridSpan w:val="4"/>
            <w:tcW w:w="1701" w:type="dxa"/>
            <w:tcBorders>
              <w:left w:val="single" w:sz="4"/>
            </w:tcBorders>
          </w:tcPr>
          <w:bookmarkStart w:id="26606" w:name="P26606"/>
          <w:bookmarkEnd w:id="26606"/>
          <w:p>
            <w:pPr>
              <w:pStyle w:val="0"/>
              <w:outlineLvl w:val="4"/>
            </w:pPr>
            <w:r>
              <w:rPr>
                <w:sz w:val="24"/>
              </w:rPr>
              <w:t xml:space="preserve">Подраздел 3.6.</w:t>
            </w:r>
          </w:p>
        </w:tc>
        <w:tc>
          <w:tcPr>
            <w:gridSpan w:val="6"/>
            <w:tcW w:w="7370" w:type="dxa"/>
            <w:tcBorders>
              <w:right w:val="single" w:sz="4"/>
            </w:tcBorders>
          </w:tcPr>
          <w:p>
            <w:pPr>
              <w:pStyle w:val="0"/>
            </w:pPr>
            <w:r>
              <w:rPr>
                <w:sz w:val="24"/>
              </w:rPr>
              <w:t xml:space="preserve">Страховые резервы по страхованию иному, чем страхование жизни</w:t>
            </w:r>
          </w:p>
        </w:tc>
      </w:tr>
      <w:tr>
        <w:tc>
          <w:tcPr>
            <w:tcW w:w="907" w:type="dxa"/>
          </w:tcPr>
          <w:bookmarkStart w:id="26608" w:name="P26608"/>
          <w:bookmarkEnd w:id="26608"/>
          <w:p>
            <w:pPr>
              <w:pStyle w:val="0"/>
            </w:pPr>
            <w:r>
              <w:rPr>
                <w:sz w:val="24"/>
              </w:rPr>
              <w:t xml:space="preserve">592</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592.1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592.2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620" w:name="P26620"/>
          <w:bookmarkEnd w:id="26620"/>
          <w:p>
            <w:pPr>
              <w:pStyle w:val="0"/>
            </w:pPr>
            <w:r>
              <w:rPr>
                <w:sz w:val="24"/>
              </w:rPr>
              <w:t xml:space="preserve">593</w:t>
            </w:r>
          </w:p>
        </w:tc>
        <w:tc>
          <w:tcPr>
            <w:gridSpan w:val="7"/>
            <w:tcW w:w="2608" w:type="dxa"/>
          </w:tcPr>
          <w:p>
            <w:pPr>
              <w:pStyle w:val="0"/>
            </w:pPr>
            <w:r>
              <w:rPr>
                <w:sz w:val="24"/>
              </w:rPr>
              <w:t xml:space="preserve">Влияние риска изменения процентных ставок (рост ставок)</w:t>
            </w:r>
          </w:p>
        </w:tc>
        <w:tc>
          <w:tcPr>
            <w:tcW w:w="2608" w:type="dxa"/>
          </w:tcPr>
          <w:p>
            <w:pPr>
              <w:pStyle w:val="0"/>
            </w:pPr>
            <w:r>
              <w:rPr>
                <w:sz w:val="24"/>
              </w:rPr>
            </w:r>
          </w:p>
        </w:tc>
        <w:tc>
          <w:tcPr>
            <w:tcW w:w="2948" w:type="dxa"/>
          </w:tcPr>
          <w:p>
            <w:pPr>
              <w:pStyle w:val="0"/>
            </w:pPr>
            <w:r>
              <w:rPr>
                <w:sz w:val="24"/>
              </w:rPr>
              <w:t xml:space="preserve">ins-dic:VlRiskRostProczStav</w:t>
            </w:r>
          </w:p>
        </w:tc>
      </w:tr>
      <w:tr>
        <w:tc>
          <w:tcPr>
            <w:tcW w:w="907" w:type="dxa"/>
          </w:tcPr>
          <w:p>
            <w:pPr>
              <w:pStyle w:val="0"/>
            </w:pPr>
            <w:r>
              <w:rPr>
                <w:sz w:val="24"/>
              </w:rPr>
              <w:t xml:space="preserve">593.1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593.2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632" w:name="P26632"/>
          <w:bookmarkEnd w:id="26632"/>
          <w:p>
            <w:pPr>
              <w:pStyle w:val="0"/>
            </w:pPr>
            <w:r>
              <w:rPr>
                <w:sz w:val="24"/>
              </w:rPr>
              <w:t xml:space="preserve">594</w:t>
            </w:r>
          </w:p>
        </w:tc>
        <w:tc>
          <w:tcPr>
            <w:gridSpan w:val="7"/>
            <w:tcW w:w="2608" w:type="dxa"/>
          </w:tcPr>
          <w:p>
            <w:pPr>
              <w:pStyle w:val="0"/>
            </w:pPr>
            <w:r>
              <w:rPr>
                <w:sz w:val="24"/>
              </w:rPr>
              <w:t xml:space="preserve">Влияние риска изменения процентных ставок (снижение ставок)</w:t>
            </w:r>
          </w:p>
        </w:tc>
        <w:tc>
          <w:tcPr>
            <w:tcW w:w="2608" w:type="dxa"/>
          </w:tcPr>
          <w:p>
            <w:pPr>
              <w:pStyle w:val="0"/>
            </w:pPr>
            <w:r>
              <w:rPr>
                <w:sz w:val="24"/>
              </w:rPr>
            </w:r>
          </w:p>
        </w:tc>
        <w:tc>
          <w:tcPr>
            <w:tcW w:w="2948" w:type="dxa"/>
          </w:tcPr>
          <w:p>
            <w:pPr>
              <w:pStyle w:val="0"/>
            </w:pPr>
            <w:r>
              <w:rPr>
                <w:sz w:val="24"/>
              </w:rPr>
              <w:t xml:space="preserve">ins-dic:VlRiskSnizhProczStav</w:t>
            </w:r>
          </w:p>
        </w:tc>
      </w:tr>
      <w:tr>
        <w:tc>
          <w:tcPr>
            <w:tcW w:w="907" w:type="dxa"/>
          </w:tcPr>
          <w:p>
            <w:pPr>
              <w:pStyle w:val="0"/>
            </w:pPr>
            <w:r>
              <w:rPr>
                <w:sz w:val="24"/>
              </w:rPr>
              <w:t xml:space="preserve">594.1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594.2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644" w:name="P26644"/>
          <w:bookmarkEnd w:id="26644"/>
          <w:p>
            <w:pPr>
              <w:pStyle w:val="0"/>
            </w:pPr>
            <w:r>
              <w:rPr>
                <w:sz w:val="24"/>
              </w:rPr>
              <w:t xml:space="preserve">595</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595.1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595.2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656" w:name="P26656"/>
          <w:bookmarkEnd w:id="26656"/>
          <w:p>
            <w:pPr>
              <w:pStyle w:val="0"/>
            </w:pPr>
            <w:r>
              <w:rPr>
                <w:sz w:val="24"/>
              </w:rPr>
              <w:t xml:space="preserve">596</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596.1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596.2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668" w:name="P26668"/>
          <w:bookmarkEnd w:id="26668"/>
          <w:p>
            <w:pPr>
              <w:pStyle w:val="0"/>
            </w:pPr>
            <w:r>
              <w:rPr>
                <w:sz w:val="24"/>
              </w:rPr>
              <w:t xml:space="preserve">597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597.1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597.2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26680" w:name="P26680"/>
          <w:bookmarkEnd w:id="26680"/>
          <w:p>
            <w:pPr>
              <w:pStyle w:val="0"/>
              <w:outlineLvl w:val="4"/>
            </w:pPr>
            <w:r>
              <w:rPr>
                <w:sz w:val="24"/>
              </w:rPr>
              <w:t xml:space="preserve">Подраздел 3.7.</w:t>
            </w:r>
          </w:p>
        </w:tc>
        <w:tc>
          <w:tcPr>
            <w:gridSpan w:val="6"/>
            <w:tcW w:w="7370" w:type="dxa"/>
            <w:tcBorders>
              <w:right w:val="single" w:sz="4"/>
            </w:tcBorders>
          </w:tcPr>
          <w:p>
            <w:pPr>
              <w:pStyle w:val="0"/>
            </w:pPr>
            <w:r>
              <w:rPr>
                <w:sz w:val="24"/>
              </w:rPr>
              <w:t xml:space="preserve">Обязательства по обязательному медицинскому страхованию, не учитываемые при определении величины собственных средств</w:t>
            </w:r>
          </w:p>
        </w:tc>
      </w:tr>
      <w:tr>
        <w:tc>
          <w:tcPr>
            <w:tcW w:w="907" w:type="dxa"/>
          </w:tcPr>
          <w:p>
            <w:pPr>
              <w:pStyle w:val="0"/>
            </w:pPr>
            <w:r>
              <w:rPr>
                <w:sz w:val="24"/>
              </w:rPr>
              <w:t xml:space="preserve">598</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598.1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598.2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598.3</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698" w:name="P26698"/>
          <w:bookmarkEnd w:id="26698"/>
          <w:p>
            <w:pPr>
              <w:pStyle w:val="0"/>
            </w:pPr>
            <w:r>
              <w:rPr>
                <w:sz w:val="24"/>
              </w:rPr>
              <w:t xml:space="preserve">599</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599.1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599.2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599.3</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6714" w:name="P26714"/>
          <w:bookmarkEnd w:id="26714"/>
          <w:p>
            <w:pPr>
              <w:pStyle w:val="0"/>
              <w:outlineLvl w:val="4"/>
            </w:pPr>
            <w:r>
              <w:rPr>
                <w:sz w:val="24"/>
              </w:rPr>
              <w:t xml:space="preserve">Подраздел 3.8.</w:t>
            </w:r>
          </w:p>
        </w:tc>
        <w:tc>
          <w:tcPr>
            <w:gridSpan w:val="6"/>
            <w:tcW w:w="7370" w:type="dxa"/>
            <w:tcBorders>
              <w:right w:val="single" w:sz="4"/>
            </w:tcBorders>
          </w:tcPr>
          <w:p>
            <w:pPr>
              <w:pStyle w:val="0"/>
            </w:pPr>
            <w:r>
              <w:rPr>
                <w:sz w:val="24"/>
              </w:rPr>
              <w:t xml:space="preserve">Обязательства инвестиционного фонда, включенные в состав обязательств страховщика</w:t>
            </w:r>
          </w:p>
        </w:tc>
      </w:tr>
      <w:tr>
        <w:tc>
          <w:tcPr>
            <w:tcW w:w="907" w:type="dxa"/>
          </w:tcPr>
          <w:p>
            <w:pPr>
              <w:pStyle w:val="0"/>
            </w:pPr>
            <w:r>
              <w:rPr>
                <w:sz w:val="24"/>
              </w:rPr>
              <w:t xml:space="preserve">600</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600.1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600.2</w:t>
            </w:r>
          </w:p>
        </w:tc>
        <w:tc>
          <w:tcPr>
            <w:gridSpan w:val="7"/>
            <w:tcW w:w="2608" w:type="dxa"/>
          </w:tcPr>
          <w:p>
            <w:pPr>
              <w:pStyle w:val="0"/>
            </w:pPr>
            <w:r>
              <w:rPr>
                <w:sz w:val="24"/>
              </w:rPr>
            </w:r>
          </w:p>
        </w:tc>
        <w:tc>
          <w:tcPr>
            <w:tcW w:w="2608" w:type="dxa"/>
          </w:tcPr>
          <w:p>
            <w:pPr>
              <w:pStyle w:val="0"/>
            </w:pPr>
            <w:r>
              <w:rPr>
                <w:sz w:val="24"/>
              </w:rPr>
              <w:t xml:space="preserve">Идентификатор инвестиционного фонда</w:t>
            </w:r>
          </w:p>
        </w:tc>
        <w:tc>
          <w:tcPr>
            <w:tcW w:w="2948" w:type="dxa"/>
          </w:tcPr>
          <w:p>
            <w:pPr>
              <w:pStyle w:val="0"/>
            </w:pPr>
            <w:r>
              <w:rPr>
                <w:sz w:val="24"/>
              </w:rPr>
              <w:t xml:space="preserve">dim-int:Rekv_Invest_FondaTaxis</w:t>
            </w:r>
          </w:p>
        </w:tc>
      </w:tr>
      <w:tr>
        <w:tc>
          <w:tcPr>
            <w:tcW w:w="907" w:type="dxa"/>
          </w:tcPr>
          <w:p>
            <w:pPr>
              <w:pStyle w:val="0"/>
            </w:pPr>
            <w:r>
              <w:rPr>
                <w:sz w:val="24"/>
              </w:rPr>
              <w:t xml:space="preserve">600.3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600.4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736" w:name="P26736"/>
          <w:bookmarkEnd w:id="26736"/>
          <w:p>
            <w:pPr>
              <w:pStyle w:val="0"/>
            </w:pPr>
            <w:r>
              <w:rPr>
                <w:sz w:val="24"/>
              </w:rPr>
              <w:t xml:space="preserve">601</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601.1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601.2</w:t>
            </w:r>
          </w:p>
        </w:tc>
        <w:tc>
          <w:tcPr>
            <w:gridSpan w:val="7"/>
            <w:tcW w:w="2608" w:type="dxa"/>
          </w:tcPr>
          <w:p>
            <w:pPr>
              <w:pStyle w:val="0"/>
            </w:pPr>
            <w:r>
              <w:rPr>
                <w:sz w:val="24"/>
              </w:rPr>
            </w:r>
          </w:p>
        </w:tc>
        <w:tc>
          <w:tcPr>
            <w:tcW w:w="2608" w:type="dxa"/>
          </w:tcPr>
          <w:p>
            <w:pPr>
              <w:pStyle w:val="0"/>
            </w:pPr>
            <w:r>
              <w:rPr>
                <w:sz w:val="24"/>
              </w:rPr>
              <w:t xml:space="preserve">Идентификатор инвестиционного фонда</w:t>
            </w:r>
          </w:p>
        </w:tc>
        <w:tc>
          <w:tcPr>
            <w:tcW w:w="2948" w:type="dxa"/>
          </w:tcPr>
          <w:p>
            <w:pPr>
              <w:pStyle w:val="0"/>
            </w:pPr>
            <w:r>
              <w:rPr>
                <w:sz w:val="24"/>
              </w:rPr>
              <w:t xml:space="preserve">dim-int:Rekv_Invest_FondaTaxis</w:t>
            </w:r>
          </w:p>
        </w:tc>
      </w:tr>
      <w:tr>
        <w:tc>
          <w:tcPr>
            <w:tcW w:w="907" w:type="dxa"/>
          </w:tcPr>
          <w:p>
            <w:pPr>
              <w:pStyle w:val="0"/>
            </w:pPr>
            <w:r>
              <w:rPr>
                <w:sz w:val="24"/>
              </w:rPr>
              <w:t xml:space="preserve">601.3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601.4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756" w:name="P26756"/>
          <w:bookmarkEnd w:id="26756"/>
          <w:p>
            <w:pPr>
              <w:pStyle w:val="0"/>
            </w:pPr>
            <w:r>
              <w:rPr>
                <w:sz w:val="24"/>
              </w:rPr>
              <w:t xml:space="preserve">602</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602.1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602.2</w:t>
            </w:r>
          </w:p>
        </w:tc>
        <w:tc>
          <w:tcPr>
            <w:gridSpan w:val="7"/>
            <w:tcW w:w="2608" w:type="dxa"/>
          </w:tcPr>
          <w:p>
            <w:pPr>
              <w:pStyle w:val="0"/>
            </w:pPr>
            <w:r>
              <w:rPr>
                <w:sz w:val="24"/>
              </w:rPr>
            </w:r>
          </w:p>
        </w:tc>
        <w:tc>
          <w:tcPr>
            <w:tcW w:w="2608" w:type="dxa"/>
          </w:tcPr>
          <w:p>
            <w:pPr>
              <w:pStyle w:val="0"/>
            </w:pPr>
            <w:r>
              <w:rPr>
                <w:sz w:val="24"/>
              </w:rPr>
              <w:t xml:space="preserve">Идентификатор инвестиционного фонда</w:t>
            </w:r>
          </w:p>
        </w:tc>
        <w:tc>
          <w:tcPr>
            <w:tcW w:w="2948" w:type="dxa"/>
          </w:tcPr>
          <w:p>
            <w:pPr>
              <w:pStyle w:val="0"/>
            </w:pPr>
            <w:r>
              <w:rPr>
                <w:sz w:val="24"/>
              </w:rPr>
              <w:t xml:space="preserve">dim-int:Rekv_Invest_FondaTaxis</w:t>
            </w:r>
          </w:p>
        </w:tc>
      </w:tr>
      <w:tr>
        <w:tc>
          <w:tcPr>
            <w:tcW w:w="907" w:type="dxa"/>
          </w:tcPr>
          <w:p>
            <w:pPr>
              <w:pStyle w:val="0"/>
            </w:pPr>
            <w:r>
              <w:rPr>
                <w:sz w:val="24"/>
              </w:rPr>
              <w:t xml:space="preserve">602.3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602.4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776" w:name="P26776"/>
          <w:bookmarkEnd w:id="26776"/>
          <w:p>
            <w:pPr>
              <w:pStyle w:val="0"/>
            </w:pPr>
            <w:r>
              <w:rPr>
                <w:sz w:val="24"/>
              </w:rPr>
              <w:t xml:space="preserve">603</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603.1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603.2</w:t>
            </w:r>
          </w:p>
        </w:tc>
        <w:tc>
          <w:tcPr>
            <w:gridSpan w:val="7"/>
            <w:tcW w:w="2608" w:type="dxa"/>
          </w:tcPr>
          <w:p>
            <w:pPr>
              <w:pStyle w:val="0"/>
            </w:pPr>
            <w:r>
              <w:rPr>
                <w:sz w:val="24"/>
              </w:rPr>
            </w:r>
          </w:p>
        </w:tc>
        <w:tc>
          <w:tcPr>
            <w:tcW w:w="2608" w:type="dxa"/>
          </w:tcPr>
          <w:p>
            <w:pPr>
              <w:pStyle w:val="0"/>
            </w:pPr>
            <w:r>
              <w:rPr>
                <w:sz w:val="24"/>
              </w:rPr>
              <w:t xml:space="preserve">Идентификатор инвестиционного фонда</w:t>
            </w:r>
          </w:p>
        </w:tc>
        <w:tc>
          <w:tcPr>
            <w:tcW w:w="2948" w:type="dxa"/>
          </w:tcPr>
          <w:p>
            <w:pPr>
              <w:pStyle w:val="0"/>
            </w:pPr>
            <w:r>
              <w:rPr>
                <w:sz w:val="24"/>
              </w:rPr>
              <w:t xml:space="preserve">dim-int:Rekv_Invest_FondaTaxis</w:t>
            </w:r>
          </w:p>
        </w:tc>
      </w:tr>
      <w:tr>
        <w:tc>
          <w:tcPr>
            <w:tcW w:w="907" w:type="dxa"/>
          </w:tcPr>
          <w:p>
            <w:pPr>
              <w:pStyle w:val="0"/>
            </w:pPr>
            <w:r>
              <w:rPr>
                <w:sz w:val="24"/>
              </w:rPr>
              <w:t xml:space="preserve">603.3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603.4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796" w:name="P26796"/>
          <w:bookmarkEnd w:id="26796"/>
          <w:p>
            <w:pPr>
              <w:pStyle w:val="0"/>
            </w:pPr>
            <w:r>
              <w:rPr>
                <w:sz w:val="24"/>
              </w:rPr>
              <w:t xml:space="preserve">604</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604.1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604.2</w:t>
            </w:r>
          </w:p>
        </w:tc>
        <w:tc>
          <w:tcPr>
            <w:gridSpan w:val="7"/>
            <w:tcW w:w="2608" w:type="dxa"/>
          </w:tcPr>
          <w:p>
            <w:pPr>
              <w:pStyle w:val="0"/>
            </w:pPr>
            <w:r>
              <w:rPr>
                <w:sz w:val="24"/>
              </w:rPr>
            </w:r>
          </w:p>
        </w:tc>
        <w:tc>
          <w:tcPr>
            <w:tcW w:w="2608" w:type="dxa"/>
          </w:tcPr>
          <w:p>
            <w:pPr>
              <w:pStyle w:val="0"/>
            </w:pPr>
            <w:r>
              <w:rPr>
                <w:sz w:val="24"/>
              </w:rPr>
              <w:t xml:space="preserve">Идентификатор инвестиционного фонда</w:t>
            </w:r>
          </w:p>
        </w:tc>
        <w:tc>
          <w:tcPr>
            <w:tcW w:w="2948" w:type="dxa"/>
          </w:tcPr>
          <w:p>
            <w:pPr>
              <w:pStyle w:val="0"/>
            </w:pPr>
            <w:r>
              <w:rPr>
                <w:sz w:val="24"/>
              </w:rPr>
              <w:t xml:space="preserve">dim-int:Rekv_Invest_FondaTaxis</w:t>
            </w:r>
          </w:p>
        </w:tc>
      </w:tr>
      <w:tr>
        <w:tc>
          <w:tcPr>
            <w:tcW w:w="907" w:type="dxa"/>
          </w:tcPr>
          <w:p>
            <w:pPr>
              <w:pStyle w:val="0"/>
            </w:pPr>
            <w:r>
              <w:rPr>
                <w:sz w:val="24"/>
              </w:rPr>
              <w:t xml:space="preserve">604.3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604.4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6816" w:name="P26816"/>
          <w:bookmarkEnd w:id="26816"/>
          <w:p>
            <w:pPr>
              <w:pStyle w:val="0"/>
              <w:outlineLvl w:val="4"/>
            </w:pPr>
            <w:r>
              <w:rPr>
                <w:sz w:val="24"/>
              </w:rPr>
              <w:t xml:space="preserve">Подраздел 3.9.</w:t>
            </w:r>
          </w:p>
        </w:tc>
        <w:tc>
          <w:tcPr>
            <w:gridSpan w:val="6"/>
            <w:tcW w:w="7370" w:type="dxa"/>
            <w:tcBorders>
              <w:right w:val="single" w:sz="4"/>
            </w:tcBorders>
          </w:tcPr>
          <w:p>
            <w:pPr>
              <w:pStyle w:val="0"/>
            </w:pPr>
            <w:r>
              <w:rPr>
                <w:sz w:val="24"/>
              </w:rPr>
              <w:t xml:space="preserve">Отложенные налоговые обязательства</w:t>
            </w:r>
          </w:p>
        </w:tc>
      </w:tr>
      <w:tr>
        <w:tc>
          <w:tcPr>
            <w:tcW w:w="907" w:type="dxa"/>
          </w:tcPr>
          <w:p>
            <w:pPr>
              <w:pStyle w:val="0"/>
            </w:pPr>
            <w:r>
              <w:rPr>
                <w:sz w:val="24"/>
              </w:rPr>
              <w:t xml:space="preserve">605</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605.1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605.2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830" w:name="P26830"/>
          <w:bookmarkEnd w:id="26830"/>
          <w:p>
            <w:pPr>
              <w:pStyle w:val="0"/>
            </w:pPr>
            <w:r>
              <w:rPr>
                <w:sz w:val="24"/>
              </w:rPr>
              <w:t xml:space="preserve">606</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606.1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606.2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842" w:name="P26842"/>
          <w:bookmarkEnd w:id="26842"/>
          <w:p>
            <w:pPr>
              <w:pStyle w:val="0"/>
            </w:pPr>
            <w:r>
              <w:rPr>
                <w:sz w:val="24"/>
              </w:rPr>
              <w:t xml:space="preserve">607</w:t>
            </w:r>
          </w:p>
        </w:tc>
        <w:tc>
          <w:tcPr>
            <w:gridSpan w:val="7"/>
            <w:tcW w:w="2608" w:type="dxa"/>
          </w:tcPr>
          <w:p>
            <w:pPr>
              <w:pStyle w:val="0"/>
            </w:pPr>
            <w:r>
              <w:rPr>
                <w:sz w:val="24"/>
              </w:rPr>
              <w:t xml:space="preserve">Величина ОНО</w:t>
            </w:r>
            <w:r>
              <w:rPr>
                <w:sz w:val="24"/>
                <w:vertAlign w:val="subscript"/>
              </w:rPr>
              <w:t xml:space="preserve">корр</w:t>
            </w:r>
          </w:p>
        </w:tc>
        <w:tc>
          <w:tcPr>
            <w:tcW w:w="2608" w:type="dxa"/>
          </w:tcPr>
          <w:p>
            <w:pPr>
              <w:pStyle w:val="0"/>
            </w:pPr>
            <w:r>
              <w:rPr>
                <w:sz w:val="24"/>
              </w:rPr>
            </w:r>
          </w:p>
        </w:tc>
        <w:tc>
          <w:tcPr>
            <w:tcW w:w="2948" w:type="dxa"/>
          </w:tcPr>
          <w:p>
            <w:pPr>
              <w:pStyle w:val="0"/>
            </w:pPr>
            <w:r>
              <w:rPr>
                <w:sz w:val="24"/>
              </w:rPr>
              <w:t xml:space="preserve">ins-dic:ONOKorrVSootvP4.4Polozh710P</w:t>
            </w:r>
          </w:p>
        </w:tc>
      </w:tr>
      <w:tr>
        <w:tc>
          <w:tcPr>
            <w:tcW w:w="907" w:type="dxa"/>
          </w:tcPr>
          <w:p>
            <w:pPr>
              <w:pStyle w:val="0"/>
            </w:pPr>
            <w:r>
              <w:rPr>
                <w:sz w:val="24"/>
              </w:rPr>
              <w:t xml:space="preserve">607.1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607.2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854" w:name="P26854"/>
          <w:bookmarkEnd w:id="26854"/>
          <w:p>
            <w:pPr>
              <w:pStyle w:val="0"/>
            </w:pPr>
            <w:r>
              <w:rPr>
                <w:sz w:val="24"/>
              </w:rPr>
              <w:t xml:space="preserve">608</w:t>
            </w:r>
          </w:p>
        </w:tc>
        <w:tc>
          <w:tcPr>
            <w:gridSpan w:val="7"/>
            <w:tcW w:w="2608" w:type="dxa"/>
          </w:tcPr>
          <w:p>
            <w:pPr>
              <w:pStyle w:val="0"/>
            </w:pPr>
            <w:r>
              <w:rPr>
                <w:sz w:val="24"/>
              </w:rPr>
              <w:t xml:space="preserve">Величина СО</w:t>
            </w:r>
            <w:r>
              <w:rPr>
                <w:sz w:val="24"/>
                <w:vertAlign w:val="subscript"/>
              </w:rPr>
              <w:t xml:space="preserve">рег</w:t>
            </w:r>
          </w:p>
        </w:tc>
        <w:tc>
          <w:tcPr>
            <w:tcW w:w="2608" w:type="dxa"/>
          </w:tcPr>
          <w:p>
            <w:pPr>
              <w:pStyle w:val="0"/>
            </w:pPr>
            <w:r>
              <w:rPr>
                <w:sz w:val="24"/>
              </w:rPr>
            </w:r>
          </w:p>
        </w:tc>
        <w:tc>
          <w:tcPr>
            <w:tcW w:w="2948" w:type="dxa"/>
          </w:tcPr>
          <w:p>
            <w:pPr>
              <w:pStyle w:val="0"/>
            </w:pPr>
            <w:r>
              <w:rPr>
                <w:sz w:val="24"/>
              </w:rPr>
              <w:t xml:space="preserve">ins-dic:SOregVSootvP4.4Polozh710P</w:t>
            </w:r>
          </w:p>
        </w:tc>
      </w:tr>
      <w:tr>
        <w:tc>
          <w:tcPr>
            <w:tcW w:w="907" w:type="dxa"/>
          </w:tcPr>
          <w:p>
            <w:pPr>
              <w:pStyle w:val="0"/>
            </w:pPr>
            <w:r>
              <w:rPr>
                <w:sz w:val="24"/>
              </w:rPr>
              <w:t xml:space="preserve">608.1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608.2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866" w:name="P26866"/>
          <w:bookmarkEnd w:id="26866"/>
          <w:p>
            <w:pPr>
              <w:pStyle w:val="0"/>
            </w:pPr>
            <w:r>
              <w:rPr>
                <w:sz w:val="24"/>
              </w:rPr>
              <w:t xml:space="preserve">609</w:t>
            </w:r>
          </w:p>
        </w:tc>
        <w:tc>
          <w:tcPr>
            <w:gridSpan w:val="7"/>
            <w:tcW w:w="2608" w:type="dxa"/>
          </w:tcPr>
          <w:p>
            <w:pPr>
              <w:pStyle w:val="0"/>
            </w:pPr>
            <w:r>
              <w:rPr>
                <w:sz w:val="24"/>
              </w:rPr>
              <w:t xml:space="preserve">Величина СО</w:t>
            </w:r>
            <w:r>
              <w:rPr>
                <w:sz w:val="24"/>
                <w:vertAlign w:val="subscript"/>
              </w:rPr>
              <w:t xml:space="preserve">отч</w:t>
            </w:r>
          </w:p>
        </w:tc>
        <w:tc>
          <w:tcPr>
            <w:tcW w:w="2608" w:type="dxa"/>
          </w:tcPr>
          <w:p>
            <w:pPr>
              <w:pStyle w:val="0"/>
            </w:pPr>
            <w:r>
              <w:rPr>
                <w:sz w:val="24"/>
              </w:rPr>
            </w:r>
          </w:p>
        </w:tc>
        <w:tc>
          <w:tcPr>
            <w:tcW w:w="2948" w:type="dxa"/>
          </w:tcPr>
          <w:p>
            <w:pPr>
              <w:pStyle w:val="0"/>
            </w:pPr>
            <w:r>
              <w:rPr>
                <w:sz w:val="24"/>
              </w:rPr>
              <w:t xml:space="preserve">ins-dic:SOotchVSootvP4.4Polozh710P</w:t>
            </w:r>
          </w:p>
        </w:tc>
      </w:tr>
      <w:tr>
        <w:tc>
          <w:tcPr>
            <w:tcW w:w="907" w:type="dxa"/>
          </w:tcPr>
          <w:p>
            <w:pPr>
              <w:pStyle w:val="0"/>
            </w:pPr>
            <w:r>
              <w:rPr>
                <w:sz w:val="24"/>
              </w:rPr>
              <w:t xml:space="preserve">609.1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609.2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878" w:name="P26878"/>
          <w:bookmarkEnd w:id="26878"/>
          <w:p>
            <w:pPr>
              <w:pStyle w:val="0"/>
            </w:pPr>
            <w:r>
              <w:rPr>
                <w:sz w:val="24"/>
              </w:rPr>
              <w:t xml:space="preserve">610</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610.1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610.2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890" w:name="P26890"/>
          <w:bookmarkEnd w:id="26890"/>
          <w:p>
            <w:pPr>
              <w:pStyle w:val="0"/>
            </w:pPr>
            <w:r>
              <w:rPr>
                <w:sz w:val="24"/>
              </w:rPr>
              <w:t xml:space="preserve">611</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611.1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611.2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6902" w:name="P26902"/>
          <w:bookmarkEnd w:id="26902"/>
          <w:p>
            <w:pPr>
              <w:pStyle w:val="0"/>
            </w:pPr>
            <w:r>
              <w:rPr>
                <w:sz w:val="24"/>
              </w:rPr>
              <w:t xml:space="preserve">612</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612.1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612.2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26914" w:name="P26914"/>
          <w:bookmarkEnd w:id="26914"/>
          <w:p>
            <w:pPr>
              <w:pStyle w:val="0"/>
              <w:outlineLvl w:val="4"/>
            </w:pPr>
            <w:r>
              <w:rPr>
                <w:sz w:val="24"/>
              </w:rPr>
              <w:t xml:space="preserve">Подраздел 3.10.</w:t>
            </w:r>
          </w:p>
        </w:tc>
        <w:tc>
          <w:tcPr>
            <w:gridSpan w:val="6"/>
            <w:tcW w:w="7370" w:type="dxa"/>
            <w:tcBorders>
              <w:right w:val="single" w:sz="4"/>
            </w:tcBorders>
          </w:tcPr>
          <w:p>
            <w:pPr>
              <w:pStyle w:val="0"/>
            </w:pPr>
            <w:r>
              <w:rPr>
                <w:sz w:val="24"/>
              </w:rPr>
              <w:t xml:space="preserve">Обязательства по договору аренды</w:t>
            </w:r>
          </w:p>
        </w:tc>
      </w:tr>
      <w:tr>
        <w:tc>
          <w:tcPr>
            <w:tcW w:w="907" w:type="dxa"/>
          </w:tcPr>
          <w:p>
            <w:pPr>
              <w:pStyle w:val="0"/>
            </w:pPr>
            <w:r>
              <w:rPr>
                <w:sz w:val="24"/>
              </w:rPr>
              <w:t xml:space="preserve">613</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613.1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613.2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613.3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613.4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614</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614.1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614.3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614.4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956" w:name="P26956"/>
          <w:bookmarkEnd w:id="26956"/>
          <w:p>
            <w:pPr>
              <w:pStyle w:val="0"/>
            </w:pPr>
            <w:r>
              <w:rPr>
                <w:sz w:val="24"/>
              </w:rPr>
              <w:t xml:space="preserve">615</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615.1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615.3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615.4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6976" w:name="P26976"/>
          <w:bookmarkEnd w:id="26976"/>
          <w:p>
            <w:pPr>
              <w:pStyle w:val="0"/>
            </w:pPr>
            <w:r>
              <w:rPr>
                <w:sz w:val="24"/>
              </w:rPr>
              <w:t xml:space="preserve">616</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616.1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616.3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616.4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dim-int:ObyazPodlezhSummVSootvSGl1__710PAxis</w:t>
            </w:r>
          </w:p>
        </w:tc>
      </w:tr>
      <w:tr>
        <w:tc>
          <w:tcPr>
            <w:tcW w:w="907" w:type="dxa"/>
          </w:tcPr>
          <w:bookmarkStart w:id="26996" w:name="P26996"/>
          <w:bookmarkEnd w:id="26996"/>
          <w:p>
            <w:pPr>
              <w:pStyle w:val="0"/>
            </w:pPr>
            <w:r>
              <w:rPr>
                <w:sz w:val="24"/>
              </w:rPr>
              <w:t xml:space="preserve">617</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617.1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617.3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617.4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7016" w:name="P27016"/>
          <w:bookmarkEnd w:id="27016"/>
          <w:p>
            <w:pPr>
              <w:pStyle w:val="0"/>
            </w:pPr>
            <w:r>
              <w:rPr>
                <w:sz w:val="24"/>
              </w:rPr>
              <w:t xml:space="preserve">618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ins-dic:Primechanic</w:t>
            </w:r>
          </w:p>
        </w:tc>
      </w:tr>
      <w:tr>
        <w:tc>
          <w:tcPr>
            <w:tcW w:w="907" w:type="dxa"/>
          </w:tcPr>
          <w:p>
            <w:pPr>
              <w:pStyle w:val="0"/>
            </w:pPr>
            <w:r>
              <w:rPr>
                <w:sz w:val="24"/>
              </w:rPr>
              <w:t xml:space="preserve">618.1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618.3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618.4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7036" w:name="P27036"/>
          <w:bookmarkEnd w:id="27036"/>
          <w:p>
            <w:pPr>
              <w:pStyle w:val="0"/>
              <w:outlineLvl w:val="4"/>
            </w:pPr>
            <w:r>
              <w:rPr>
                <w:sz w:val="24"/>
              </w:rPr>
              <w:t xml:space="preserve">Подраздел 3.11.</w:t>
            </w:r>
          </w:p>
        </w:tc>
        <w:tc>
          <w:tcPr>
            <w:gridSpan w:val="6"/>
            <w:tcW w:w="7370" w:type="dxa"/>
            <w:tcBorders>
              <w:right w:val="single" w:sz="4"/>
            </w:tcBorders>
          </w:tcPr>
          <w:p>
            <w:pPr>
              <w:pStyle w:val="0"/>
            </w:pPr>
            <w:r>
              <w:rPr>
                <w:sz w:val="24"/>
              </w:rPr>
              <w:t xml:space="preserve">Прочие обязательства</w:t>
            </w:r>
          </w:p>
        </w:tc>
      </w:tr>
      <w:tr>
        <w:tc>
          <w:tcPr>
            <w:tcW w:w="907" w:type="dxa"/>
          </w:tcPr>
          <w:bookmarkStart w:id="27038" w:name="P27038"/>
          <w:bookmarkEnd w:id="27038"/>
          <w:p>
            <w:pPr>
              <w:pStyle w:val="0"/>
            </w:pPr>
            <w:r>
              <w:rPr>
                <w:sz w:val="24"/>
              </w:rPr>
              <w:t xml:space="preserve">619</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619.1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619.2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619.3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619.4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619.5</w:t>
            </w:r>
          </w:p>
        </w:tc>
        <w:tc>
          <w:tcPr>
            <w:gridSpan w:val="7"/>
            <w:tcW w:w="2608" w:type="dxa"/>
          </w:tcPr>
          <w:p>
            <w:pPr>
              <w:pStyle w:val="0"/>
            </w:pPr>
            <w:r>
              <w:rPr>
                <w:sz w:val="24"/>
              </w:rPr>
            </w:r>
          </w:p>
        </w:tc>
        <w:tc>
          <w:tcPr>
            <w:tcW w:w="2608" w:type="dxa"/>
          </w:tcPr>
          <w:p>
            <w:pPr>
              <w:pStyle w:val="0"/>
            </w:pPr>
            <w:r>
              <w:rPr>
                <w:sz w:val="24"/>
              </w:rPr>
              <w:t xml:space="preserve">Обязательство является выпущенным цифровым финансовым активом</w:t>
            </w:r>
          </w:p>
        </w:tc>
        <w:tc>
          <w:tcPr>
            <w:tcW w:w="2948" w:type="dxa"/>
          </w:tcPr>
          <w:p>
            <w:pPr>
              <w:pStyle w:val="0"/>
            </w:pPr>
            <w:r>
              <w:rPr>
                <w:sz w:val="24"/>
              </w:rPr>
              <w:t xml:space="preserve">dim-int:ObyazatelstvoYavlVypushhennymCzifrFinAktivomAxis</w:t>
            </w:r>
          </w:p>
        </w:tc>
      </w:tr>
      <w:tr>
        <w:tc>
          <w:tcPr>
            <w:tcW w:w="907" w:type="dxa"/>
          </w:tcPr>
          <w:p>
            <w:pPr>
              <w:pStyle w:val="0"/>
            </w:pPr>
            <w:r>
              <w:rPr>
                <w:sz w:val="24"/>
              </w:rPr>
              <w:t xml:space="preserve">619.6</w:t>
            </w:r>
          </w:p>
        </w:tc>
        <w:tc>
          <w:tcPr>
            <w:gridSpan w:val="7"/>
            <w:tcW w:w="2608" w:type="dxa"/>
          </w:tcPr>
          <w:p>
            <w:pPr>
              <w:pStyle w:val="0"/>
            </w:pPr>
            <w:r>
              <w:rPr>
                <w:sz w:val="24"/>
              </w:rPr>
            </w:r>
          </w:p>
        </w:tc>
        <w:tc>
          <w:tcPr>
            <w:tcW w:w="2608" w:type="dxa"/>
          </w:tcPr>
          <w:p>
            <w:pPr>
              <w:pStyle w:val="0"/>
            </w:pPr>
            <w:r>
              <w:rPr>
                <w:sz w:val="24"/>
              </w:rPr>
              <w:t xml:space="preserve">Обязательство по долевому страхованию жизни</w:t>
            </w:r>
          </w:p>
        </w:tc>
        <w:tc>
          <w:tcPr>
            <w:tcW w:w="2948" w:type="dxa"/>
          </w:tcPr>
          <w:p>
            <w:pPr>
              <w:pStyle w:val="0"/>
            </w:pPr>
            <w:r>
              <w:rPr>
                <w:sz w:val="24"/>
              </w:rPr>
              <w:t xml:space="preserve">dim-int:ObyazatelstvoPoDolevomuStraxovaniyuZHizniAxis</w:t>
            </w:r>
          </w:p>
        </w:tc>
      </w:tr>
      <w:tr>
        <w:tc>
          <w:tcPr>
            <w:tcW w:w="907" w:type="dxa"/>
          </w:tcPr>
          <w:bookmarkStart w:id="27066" w:name="P27066"/>
          <w:bookmarkEnd w:id="27066"/>
          <w:p>
            <w:pPr>
              <w:pStyle w:val="0"/>
            </w:pPr>
            <w:r>
              <w:rPr>
                <w:sz w:val="24"/>
              </w:rPr>
              <w:t xml:space="preserve">620</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620.1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620.2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620.3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620.4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620.5</w:t>
            </w:r>
          </w:p>
        </w:tc>
        <w:tc>
          <w:tcPr>
            <w:gridSpan w:val="7"/>
            <w:tcW w:w="2608" w:type="dxa"/>
          </w:tcPr>
          <w:p>
            <w:pPr>
              <w:pStyle w:val="0"/>
            </w:pPr>
            <w:r>
              <w:rPr>
                <w:sz w:val="24"/>
              </w:rPr>
            </w:r>
          </w:p>
        </w:tc>
        <w:tc>
          <w:tcPr>
            <w:tcW w:w="2608" w:type="dxa"/>
          </w:tcPr>
          <w:p>
            <w:pPr>
              <w:pStyle w:val="0"/>
            </w:pPr>
            <w:r>
              <w:rPr>
                <w:sz w:val="24"/>
              </w:rPr>
              <w:t xml:space="preserve">Обязательство является выпущенным цифровым финансовым активом</w:t>
            </w:r>
          </w:p>
        </w:tc>
        <w:tc>
          <w:tcPr>
            <w:tcW w:w="2948" w:type="dxa"/>
          </w:tcPr>
          <w:p>
            <w:pPr>
              <w:pStyle w:val="0"/>
            </w:pPr>
            <w:r>
              <w:rPr>
                <w:sz w:val="24"/>
              </w:rPr>
              <w:t xml:space="preserve">dim-int:ObyazatelstvoYavlVypushhennymCzifrFinAktivomAxis</w:t>
            </w:r>
          </w:p>
        </w:tc>
      </w:tr>
      <w:tr>
        <w:tc>
          <w:tcPr>
            <w:tcW w:w="907" w:type="dxa"/>
          </w:tcPr>
          <w:p>
            <w:pPr>
              <w:pStyle w:val="0"/>
            </w:pPr>
            <w:r>
              <w:rPr>
                <w:sz w:val="24"/>
              </w:rPr>
              <w:t xml:space="preserve">620.6</w:t>
            </w:r>
          </w:p>
        </w:tc>
        <w:tc>
          <w:tcPr>
            <w:gridSpan w:val="7"/>
            <w:tcW w:w="2608" w:type="dxa"/>
          </w:tcPr>
          <w:p>
            <w:pPr>
              <w:pStyle w:val="0"/>
            </w:pPr>
            <w:r>
              <w:rPr>
                <w:sz w:val="24"/>
              </w:rPr>
            </w:r>
          </w:p>
        </w:tc>
        <w:tc>
          <w:tcPr>
            <w:tcW w:w="2608" w:type="dxa"/>
          </w:tcPr>
          <w:p>
            <w:pPr>
              <w:pStyle w:val="0"/>
            </w:pPr>
            <w:r>
              <w:rPr>
                <w:sz w:val="24"/>
              </w:rPr>
              <w:t xml:space="preserve">Обязательство по долевому страхованию жизни</w:t>
            </w:r>
          </w:p>
        </w:tc>
        <w:tc>
          <w:tcPr>
            <w:tcW w:w="2948" w:type="dxa"/>
          </w:tcPr>
          <w:p>
            <w:pPr>
              <w:pStyle w:val="0"/>
            </w:pPr>
            <w:r>
              <w:rPr>
                <w:sz w:val="24"/>
              </w:rPr>
              <w:t xml:space="preserve">dim-int:ObyazatelstvoPoDolevomuStraxovaniyuZHizniAxis</w:t>
            </w:r>
          </w:p>
        </w:tc>
      </w:tr>
      <w:tr>
        <w:tc>
          <w:tcPr>
            <w:tcW w:w="907" w:type="dxa"/>
          </w:tcPr>
          <w:bookmarkStart w:id="27094" w:name="P27094"/>
          <w:bookmarkEnd w:id="27094"/>
          <w:p>
            <w:pPr>
              <w:pStyle w:val="0"/>
            </w:pPr>
            <w:r>
              <w:rPr>
                <w:sz w:val="24"/>
              </w:rPr>
              <w:t xml:space="preserve">621</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621.1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621.2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621.3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621.4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621.5</w:t>
            </w:r>
          </w:p>
        </w:tc>
        <w:tc>
          <w:tcPr>
            <w:gridSpan w:val="7"/>
            <w:tcW w:w="2608" w:type="dxa"/>
          </w:tcPr>
          <w:p>
            <w:pPr>
              <w:pStyle w:val="0"/>
            </w:pPr>
            <w:r>
              <w:rPr>
                <w:sz w:val="24"/>
              </w:rPr>
            </w:r>
          </w:p>
        </w:tc>
        <w:tc>
          <w:tcPr>
            <w:tcW w:w="2608" w:type="dxa"/>
          </w:tcPr>
          <w:p>
            <w:pPr>
              <w:pStyle w:val="0"/>
            </w:pPr>
            <w:r>
              <w:rPr>
                <w:sz w:val="24"/>
              </w:rPr>
              <w:t xml:space="preserve">Обязательство является выпущенным цифровым финансовым активом</w:t>
            </w:r>
          </w:p>
        </w:tc>
        <w:tc>
          <w:tcPr>
            <w:tcW w:w="2948" w:type="dxa"/>
          </w:tcPr>
          <w:p>
            <w:pPr>
              <w:pStyle w:val="0"/>
            </w:pPr>
            <w:r>
              <w:rPr>
                <w:sz w:val="24"/>
              </w:rPr>
              <w:t xml:space="preserve">dim-int:ObyazatelstvoYavlVypushhennymCzifrFinAktivomAxis</w:t>
            </w:r>
          </w:p>
        </w:tc>
      </w:tr>
      <w:tr>
        <w:tc>
          <w:tcPr>
            <w:tcW w:w="907" w:type="dxa"/>
          </w:tcPr>
          <w:p>
            <w:pPr>
              <w:pStyle w:val="0"/>
            </w:pPr>
            <w:r>
              <w:rPr>
                <w:sz w:val="24"/>
              </w:rPr>
              <w:t xml:space="preserve">621.6</w:t>
            </w:r>
          </w:p>
        </w:tc>
        <w:tc>
          <w:tcPr>
            <w:gridSpan w:val="7"/>
            <w:tcW w:w="2608" w:type="dxa"/>
          </w:tcPr>
          <w:p>
            <w:pPr>
              <w:pStyle w:val="0"/>
            </w:pPr>
            <w:r>
              <w:rPr>
                <w:sz w:val="24"/>
              </w:rPr>
            </w:r>
          </w:p>
        </w:tc>
        <w:tc>
          <w:tcPr>
            <w:tcW w:w="2608" w:type="dxa"/>
          </w:tcPr>
          <w:p>
            <w:pPr>
              <w:pStyle w:val="0"/>
            </w:pPr>
            <w:r>
              <w:rPr>
                <w:sz w:val="24"/>
              </w:rPr>
              <w:t xml:space="preserve">Обязательство по долевому страхованию жизни</w:t>
            </w:r>
          </w:p>
        </w:tc>
        <w:tc>
          <w:tcPr>
            <w:tcW w:w="2948" w:type="dxa"/>
          </w:tcPr>
          <w:p>
            <w:pPr>
              <w:pStyle w:val="0"/>
            </w:pPr>
            <w:r>
              <w:rPr>
                <w:sz w:val="24"/>
              </w:rPr>
              <w:t xml:space="preserve">dim-int:ObyazatelstvoPoDolevomuStraxovaniyuZHizniAxis</w:t>
            </w:r>
          </w:p>
        </w:tc>
      </w:tr>
      <w:tr>
        <w:tc>
          <w:tcPr>
            <w:tcW w:w="907" w:type="dxa"/>
          </w:tcPr>
          <w:bookmarkStart w:id="27122" w:name="P27122"/>
          <w:bookmarkEnd w:id="27122"/>
          <w:p>
            <w:pPr>
              <w:pStyle w:val="0"/>
            </w:pPr>
            <w:r>
              <w:rPr>
                <w:sz w:val="24"/>
              </w:rPr>
              <w:t xml:space="preserve">622</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622.1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622.2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622.3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622.4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622.5</w:t>
            </w:r>
          </w:p>
        </w:tc>
        <w:tc>
          <w:tcPr>
            <w:gridSpan w:val="7"/>
            <w:tcW w:w="2608" w:type="dxa"/>
          </w:tcPr>
          <w:p>
            <w:pPr>
              <w:pStyle w:val="0"/>
            </w:pPr>
            <w:r>
              <w:rPr>
                <w:sz w:val="24"/>
              </w:rPr>
            </w:r>
          </w:p>
        </w:tc>
        <w:tc>
          <w:tcPr>
            <w:tcW w:w="2608" w:type="dxa"/>
          </w:tcPr>
          <w:p>
            <w:pPr>
              <w:pStyle w:val="0"/>
            </w:pPr>
            <w:r>
              <w:rPr>
                <w:sz w:val="24"/>
              </w:rPr>
              <w:t xml:space="preserve">Обязательство является выпущенным цифровым финансовым активом</w:t>
            </w:r>
          </w:p>
        </w:tc>
        <w:tc>
          <w:tcPr>
            <w:tcW w:w="2948" w:type="dxa"/>
          </w:tcPr>
          <w:p>
            <w:pPr>
              <w:pStyle w:val="0"/>
            </w:pPr>
            <w:r>
              <w:rPr>
                <w:sz w:val="24"/>
              </w:rPr>
              <w:t xml:space="preserve">dim-int:ObyazatelstvoYavlVypushhennymCzifrFinAktivomAxis</w:t>
            </w:r>
          </w:p>
        </w:tc>
      </w:tr>
      <w:tr>
        <w:tc>
          <w:tcPr>
            <w:tcW w:w="907" w:type="dxa"/>
          </w:tcPr>
          <w:p>
            <w:pPr>
              <w:pStyle w:val="0"/>
            </w:pPr>
            <w:r>
              <w:rPr>
                <w:sz w:val="24"/>
              </w:rPr>
              <w:t xml:space="preserve">622.6</w:t>
            </w:r>
          </w:p>
        </w:tc>
        <w:tc>
          <w:tcPr>
            <w:gridSpan w:val="7"/>
            <w:tcW w:w="2608" w:type="dxa"/>
          </w:tcPr>
          <w:p>
            <w:pPr>
              <w:pStyle w:val="0"/>
            </w:pPr>
            <w:r>
              <w:rPr>
                <w:sz w:val="24"/>
              </w:rPr>
            </w:r>
          </w:p>
        </w:tc>
        <w:tc>
          <w:tcPr>
            <w:tcW w:w="2608" w:type="dxa"/>
          </w:tcPr>
          <w:p>
            <w:pPr>
              <w:pStyle w:val="0"/>
            </w:pPr>
            <w:r>
              <w:rPr>
                <w:sz w:val="24"/>
              </w:rPr>
              <w:t xml:space="preserve">Обязательство по долевому страхованию жизни</w:t>
            </w:r>
          </w:p>
        </w:tc>
        <w:tc>
          <w:tcPr>
            <w:tcW w:w="2948" w:type="dxa"/>
          </w:tcPr>
          <w:p>
            <w:pPr>
              <w:pStyle w:val="0"/>
            </w:pPr>
            <w:r>
              <w:rPr>
                <w:sz w:val="24"/>
              </w:rPr>
              <w:t xml:space="preserve">dim-int:ObyazatelstvoPoDolevomuStraxovaniyuZHizniAxis</w:t>
            </w:r>
          </w:p>
        </w:tc>
      </w:tr>
      <w:tr>
        <w:tc>
          <w:tcPr>
            <w:tcW w:w="907" w:type="dxa"/>
          </w:tcPr>
          <w:bookmarkStart w:id="27150" w:name="P27150"/>
          <w:bookmarkEnd w:id="27150"/>
          <w:p>
            <w:pPr>
              <w:pStyle w:val="0"/>
            </w:pPr>
            <w:r>
              <w:rPr>
                <w:sz w:val="24"/>
              </w:rPr>
              <w:t xml:space="preserve">623</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623.1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623.2</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623.3</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dim-int:Kod_ValyulyAxis</w:t>
            </w:r>
          </w:p>
        </w:tc>
      </w:tr>
      <w:tr>
        <w:tc>
          <w:tcPr>
            <w:tcW w:w="907" w:type="dxa"/>
          </w:tcPr>
          <w:p>
            <w:pPr>
              <w:pStyle w:val="0"/>
            </w:pPr>
            <w:r>
              <w:rPr>
                <w:sz w:val="24"/>
              </w:rPr>
              <w:t xml:space="preserve">623.4</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623.5</w:t>
            </w:r>
          </w:p>
        </w:tc>
        <w:tc>
          <w:tcPr>
            <w:gridSpan w:val="7"/>
            <w:tcW w:w="2608" w:type="dxa"/>
          </w:tcPr>
          <w:p>
            <w:pPr>
              <w:pStyle w:val="0"/>
            </w:pPr>
            <w:r>
              <w:rPr>
                <w:sz w:val="24"/>
              </w:rPr>
            </w:r>
          </w:p>
        </w:tc>
        <w:tc>
          <w:tcPr>
            <w:tcW w:w="2608" w:type="dxa"/>
          </w:tcPr>
          <w:p>
            <w:pPr>
              <w:pStyle w:val="0"/>
            </w:pPr>
            <w:r>
              <w:rPr>
                <w:sz w:val="24"/>
              </w:rPr>
              <w:t xml:space="preserve">Обязательство является выпущенным цифровым финансовым активом</w:t>
            </w:r>
          </w:p>
        </w:tc>
        <w:tc>
          <w:tcPr>
            <w:tcW w:w="2948" w:type="dxa"/>
          </w:tcPr>
          <w:p>
            <w:pPr>
              <w:pStyle w:val="0"/>
            </w:pPr>
            <w:r>
              <w:rPr>
                <w:sz w:val="24"/>
              </w:rPr>
              <w:t xml:space="preserve">dim-int:ObyazatelstvoYavlVypushhennymCzifrFinAktivomAxis</w:t>
            </w:r>
          </w:p>
        </w:tc>
      </w:tr>
      <w:tr>
        <w:tc>
          <w:tcPr>
            <w:tcW w:w="907" w:type="dxa"/>
          </w:tcPr>
          <w:p>
            <w:pPr>
              <w:pStyle w:val="0"/>
            </w:pPr>
            <w:r>
              <w:rPr>
                <w:sz w:val="24"/>
              </w:rPr>
              <w:t xml:space="preserve">623.6</w:t>
            </w:r>
          </w:p>
        </w:tc>
        <w:tc>
          <w:tcPr>
            <w:gridSpan w:val="7"/>
            <w:tcW w:w="2608" w:type="dxa"/>
          </w:tcPr>
          <w:p>
            <w:pPr>
              <w:pStyle w:val="0"/>
            </w:pPr>
            <w:r>
              <w:rPr>
                <w:sz w:val="24"/>
              </w:rPr>
            </w:r>
          </w:p>
        </w:tc>
        <w:tc>
          <w:tcPr>
            <w:tcW w:w="2608" w:type="dxa"/>
          </w:tcPr>
          <w:p>
            <w:pPr>
              <w:pStyle w:val="0"/>
            </w:pPr>
            <w:r>
              <w:rPr>
                <w:sz w:val="24"/>
              </w:rPr>
              <w:t xml:space="preserve">Обязательство по долевому страхованию жизни</w:t>
            </w:r>
          </w:p>
        </w:tc>
        <w:tc>
          <w:tcPr>
            <w:tcW w:w="2948" w:type="dxa"/>
          </w:tcPr>
          <w:p>
            <w:pPr>
              <w:pStyle w:val="0"/>
            </w:pPr>
            <w:r>
              <w:rPr>
                <w:sz w:val="24"/>
              </w:rPr>
              <w:t xml:space="preserve">dim-int:ObyazatelstvoPoDolevomuStraxovaniyuZHizniAxis</w:t>
            </w:r>
          </w:p>
        </w:tc>
      </w:tr>
      <w:tr>
        <w:tblPrEx>
          <w:tblBorders>
            <w:insideV w:val="nil"/>
          </w:tblBorders>
        </w:tblPrEx>
        <w:tc>
          <w:tcPr>
            <w:gridSpan w:val="4"/>
            <w:tcW w:w="1701" w:type="dxa"/>
            <w:tcBorders>
              <w:left w:val="single" w:sz="4"/>
            </w:tcBorders>
          </w:tcPr>
          <w:bookmarkStart w:id="27178" w:name="P27178"/>
          <w:bookmarkEnd w:id="27178"/>
          <w:p>
            <w:pPr>
              <w:pStyle w:val="0"/>
              <w:outlineLvl w:val="4"/>
            </w:pPr>
            <w:r>
              <w:rPr>
                <w:sz w:val="24"/>
              </w:rPr>
              <w:t xml:space="preserve">Подраздел 3.12.</w:t>
            </w:r>
          </w:p>
        </w:tc>
        <w:tc>
          <w:tcPr>
            <w:gridSpan w:val="6"/>
            <w:tcW w:w="7370" w:type="dxa"/>
            <w:tcBorders>
              <w:right w:val="single" w:sz="4"/>
            </w:tcBorders>
          </w:tcPr>
          <w:p>
            <w:pPr>
              <w:pStyle w:val="0"/>
            </w:pPr>
            <w:r>
              <w:rPr>
                <w:sz w:val="24"/>
              </w:rPr>
              <w:t xml:space="preserve">Выданные поручительства и независимые гарантии</w:t>
            </w:r>
          </w:p>
        </w:tc>
      </w:tr>
      <w:tr>
        <w:tc>
          <w:tcPr>
            <w:tcW w:w="907" w:type="dxa"/>
          </w:tcPr>
          <w:bookmarkStart w:id="27180" w:name="P27180"/>
          <w:bookmarkEnd w:id="27180"/>
          <w:p>
            <w:pPr>
              <w:pStyle w:val="0"/>
            </w:pPr>
            <w:r>
              <w:rPr>
                <w:sz w:val="24"/>
              </w:rPr>
              <w:t xml:space="preserve">624</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624.1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624.3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624.4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7200" w:name="P27200"/>
          <w:bookmarkEnd w:id="27200"/>
          <w:p>
            <w:pPr>
              <w:pStyle w:val="0"/>
            </w:pPr>
            <w:r>
              <w:rPr>
                <w:sz w:val="24"/>
              </w:rPr>
              <w:t xml:space="preserve">625</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625.1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625.3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625.4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7220" w:name="P27220"/>
          <w:bookmarkEnd w:id="27220"/>
          <w:p>
            <w:pPr>
              <w:pStyle w:val="0"/>
            </w:pPr>
            <w:r>
              <w:rPr>
                <w:sz w:val="24"/>
              </w:rPr>
              <w:t xml:space="preserve">626</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626.1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626.3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626.4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7240" w:name="P27240"/>
          <w:bookmarkEnd w:id="27240"/>
          <w:p>
            <w:pPr>
              <w:pStyle w:val="0"/>
            </w:pPr>
            <w:r>
              <w:rPr>
                <w:sz w:val="24"/>
              </w:rPr>
              <w:t xml:space="preserve">627</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627.1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627.3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627.4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bookmarkStart w:id="27260" w:name="P27260"/>
          <w:bookmarkEnd w:id="27260"/>
          <w:p>
            <w:pPr>
              <w:pStyle w:val="0"/>
            </w:pPr>
            <w:r>
              <w:rPr>
                <w:sz w:val="24"/>
              </w:rPr>
              <w:t xml:space="preserve">628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628.1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628.2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628.3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628.4</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blPrEx>
          <w:tblBorders>
            <w:insideV w:val="nil"/>
          </w:tblBorders>
        </w:tblPrEx>
        <w:tc>
          <w:tcPr>
            <w:gridSpan w:val="4"/>
            <w:tcW w:w="1701" w:type="dxa"/>
            <w:tcBorders>
              <w:left w:val="single" w:sz="4"/>
            </w:tcBorders>
          </w:tcPr>
          <w:bookmarkStart w:id="27280" w:name="P27280"/>
          <w:bookmarkEnd w:id="27280"/>
          <w:p>
            <w:pPr>
              <w:pStyle w:val="0"/>
              <w:outlineLvl w:val="4"/>
            </w:pPr>
            <w:r>
              <w:rPr>
                <w:sz w:val="24"/>
              </w:rPr>
              <w:t xml:space="preserve">Подраздел 3.13.</w:t>
            </w:r>
          </w:p>
        </w:tc>
        <w:tc>
          <w:tcPr>
            <w:gridSpan w:val="6"/>
            <w:tcW w:w="7370" w:type="dxa"/>
            <w:tcBorders>
              <w:right w:val="single" w:sz="4"/>
            </w:tcBorders>
          </w:tcPr>
          <w:p>
            <w:pPr>
              <w:pStyle w:val="0"/>
            </w:pPr>
            <w:r>
              <w:rPr>
                <w:sz w:val="24"/>
              </w:rPr>
              <w:t xml:space="preserve">Прочие внебалансовые обязательства</w:t>
            </w:r>
          </w:p>
        </w:tc>
      </w:tr>
      <w:tr>
        <w:tc>
          <w:tcPr>
            <w:tcW w:w="907" w:type="dxa"/>
          </w:tcPr>
          <w:p>
            <w:pPr>
              <w:pStyle w:val="0"/>
            </w:pPr>
            <w:r>
              <w:rPr>
                <w:sz w:val="24"/>
              </w:rPr>
              <w:t xml:space="preserve">629</w:t>
            </w:r>
          </w:p>
        </w:tc>
        <w:tc>
          <w:tcPr>
            <w:gridSpan w:val="7"/>
            <w:tcW w:w="2608" w:type="dxa"/>
          </w:tcPr>
          <w:p>
            <w:pPr>
              <w:pStyle w:val="0"/>
            </w:pPr>
            <w:r>
              <w:rPr>
                <w:sz w:val="24"/>
              </w:rPr>
              <w:t xml:space="preserve">Балансовая стоимость</w:t>
            </w:r>
          </w:p>
        </w:tc>
        <w:tc>
          <w:tcPr>
            <w:tcW w:w="2608" w:type="dxa"/>
          </w:tcPr>
          <w:p>
            <w:pPr>
              <w:pStyle w:val="0"/>
            </w:pPr>
            <w:r>
              <w:rPr>
                <w:sz w:val="24"/>
              </w:rPr>
            </w:r>
          </w:p>
        </w:tc>
        <w:tc>
          <w:tcPr>
            <w:tcW w:w="2948" w:type="dxa"/>
          </w:tcPr>
          <w:p>
            <w:pPr>
              <w:pStyle w:val="0"/>
            </w:pPr>
            <w:r>
              <w:rPr>
                <w:sz w:val="24"/>
              </w:rPr>
              <w:t xml:space="preserve">nfo-dic:StoimDanBukhUch</w:t>
            </w:r>
          </w:p>
        </w:tc>
      </w:tr>
      <w:tr>
        <w:tc>
          <w:tcPr>
            <w:tcW w:w="907" w:type="dxa"/>
          </w:tcPr>
          <w:p>
            <w:pPr>
              <w:pStyle w:val="0"/>
            </w:pPr>
            <w:r>
              <w:rPr>
                <w:sz w:val="24"/>
              </w:rPr>
              <w:t xml:space="preserve">629.1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629.2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629.3</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7298" w:name="P27298"/>
          <w:bookmarkEnd w:id="27298"/>
          <w:p>
            <w:pPr>
              <w:pStyle w:val="0"/>
            </w:pPr>
            <w:r>
              <w:rPr>
                <w:sz w:val="24"/>
              </w:rPr>
              <w:t xml:space="preserve">630</w:t>
            </w:r>
          </w:p>
        </w:tc>
        <w:tc>
          <w:tcPr>
            <w:gridSpan w:val="7"/>
            <w:tcW w:w="2608" w:type="dxa"/>
          </w:tcPr>
          <w:p>
            <w:pPr>
              <w:pStyle w:val="0"/>
            </w:pPr>
            <w:r>
              <w:rPr>
                <w:sz w:val="24"/>
              </w:rPr>
              <w:t xml:space="preserve">Стоимость,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ins-dic:StoimPolozh710P</w:t>
            </w:r>
          </w:p>
        </w:tc>
      </w:tr>
      <w:tr>
        <w:tc>
          <w:tcPr>
            <w:tcW w:w="907" w:type="dxa"/>
          </w:tcPr>
          <w:p>
            <w:pPr>
              <w:pStyle w:val="0"/>
            </w:pPr>
            <w:r>
              <w:rPr>
                <w:sz w:val="24"/>
              </w:rPr>
              <w:t xml:space="preserve">630.1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630.2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630.3</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7314" w:name="P27314"/>
          <w:bookmarkEnd w:id="27314"/>
          <w:p>
            <w:pPr>
              <w:pStyle w:val="0"/>
            </w:pPr>
            <w:r>
              <w:rPr>
                <w:sz w:val="24"/>
              </w:rPr>
              <w:t xml:space="preserve">631</w:t>
            </w:r>
          </w:p>
        </w:tc>
        <w:tc>
          <w:tcPr>
            <w:gridSpan w:val="7"/>
            <w:tcW w:w="2608" w:type="dxa"/>
          </w:tcPr>
          <w:p>
            <w:pPr>
              <w:pStyle w:val="0"/>
            </w:pPr>
            <w:r>
              <w:rPr>
                <w:sz w:val="24"/>
              </w:rPr>
              <w:t xml:space="preserve">Влияние риска изменения валютного курса (рост курса)</w:t>
            </w:r>
          </w:p>
        </w:tc>
        <w:tc>
          <w:tcPr>
            <w:tcW w:w="2608" w:type="dxa"/>
          </w:tcPr>
          <w:p>
            <w:pPr>
              <w:pStyle w:val="0"/>
            </w:pPr>
            <w:r>
              <w:rPr>
                <w:sz w:val="24"/>
              </w:rPr>
            </w:r>
          </w:p>
        </w:tc>
        <w:tc>
          <w:tcPr>
            <w:tcW w:w="2948" w:type="dxa"/>
          </w:tcPr>
          <w:p>
            <w:pPr>
              <w:pStyle w:val="0"/>
            </w:pPr>
            <w:r>
              <w:rPr>
                <w:sz w:val="24"/>
              </w:rPr>
              <w:t xml:space="preserve">ins-dic:VlRiskRostValKurs</w:t>
            </w:r>
          </w:p>
        </w:tc>
      </w:tr>
      <w:tr>
        <w:tc>
          <w:tcPr>
            <w:tcW w:w="907" w:type="dxa"/>
          </w:tcPr>
          <w:p>
            <w:pPr>
              <w:pStyle w:val="0"/>
            </w:pPr>
            <w:r>
              <w:rPr>
                <w:sz w:val="24"/>
              </w:rPr>
              <w:t xml:space="preserve">631.1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631.2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631.3</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7330" w:name="P27330"/>
          <w:bookmarkEnd w:id="27330"/>
          <w:p>
            <w:pPr>
              <w:pStyle w:val="0"/>
            </w:pPr>
            <w:r>
              <w:rPr>
                <w:sz w:val="24"/>
              </w:rPr>
              <w:t xml:space="preserve">632</w:t>
            </w:r>
          </w:p>
        </w:tc>
        <w:tc>
          <w:tcPr>
            <w:gridSpan w:val="7"/>
            <w:tcW w:w="2608" w:type="dxa"/>
          </w:tcPr>
          <w:p>
            <w:pPr>
              <w:pStyle w:val="0"/>
            </w:pPr>
            <w:r>
              <w:rPr>
                <w:sz w:val="24"/>
              </w:rPr>
              <w:t xml:space="preserve">Влияние риска изменения валютного курса (снижение курса)</w:t>
            </w:r>
          </w:p>
        </w:tc>
        <w:tc>
          <w:tcPr>
            <w:tcW w:w="2608" w:type="dxa"/>
          </w:tcPr>
          <w:p>
            <w:pPr>
              <w:pStyle w:val="0"/>
            </w:pPr>
            <w:r>
              <w:rPr>
                <w:sz w:val="24"/>
              </w:rPr>
            </w:r>
          </w:p>
        </w:tc>
        <w:tc>
          <w:tcPr>
            <w:tcW w:w="2948" w:type="dxa"/>
          </w:tcPr>
          <w:p>
            <w:pPr>
              <w:pStyle w:val="0"/>
            </w:pPr>
            <w:r>
              <w:rPr>
                <w:sz w:val="24"/>
              </w:rPr>
              <w:t xml:space="preserve">ins-dic:VlRiskSnizhValKurs</w:t>
            </w:r>
          </w:p>
        </w:tc>
      </w:tr>
      <w:tr>
        <w:tc>
          <w:tcPr>
            <w:tcW w:w="907" w:type="dxa"/>
          </w:tcPr>
          <w:p>
            <w:pPr>
              <w:pStyle w:val="0"/>
            </w:pPr>
            <w:r>
              <w:rPr>
                <w:sz w:val="24"/>
              </w:rPr>
              <w:t xml:space="preserve">632.1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632.2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632.3</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c>
          <w:tcPr>
            <w:tcW w:w="907" w:type="dxa"/>
          </w:tcPr>
          <w:bookmarkStart w:id="27346" w:name="P27346"/>
          <w:bookmarkEnd w:id="27346"/>
          <w:p>
            <w:pPr>
              <w:pStyle w:val="0"/>
            </w:pPr>
            <w:r>
              <w:rPr>
                <w:sz w:val="24"/>
              </w:rPr>
              <w:t xml:space="preserve">633</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633.1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633.2</w:t>
            </w:r>
          </w:p>
        </w:tc>
        <w:tc>
          <w:tcPr>
            <w:gridSpan w:val="7"/>
            <w:tcW w:w="2608" w:type="dxa"/>
          </w:tcPr>
          <w:p>
            <w:pPr>
              <w:pStyle w:val="0"/>
            </w:pPr>
            <w:r>
              <w:rPr>
                <w:sz w:val="24"/>
              </w:rPr>
            </w:r>
          </w:p>
        </w:tc>
        <w:tc>
          <w:tcPr>
            <w:tcW w:w="2608" w:type="dxa"/>
          </w:tcPr>
          <w:p>
            <w:pPr>
              <w:pStyle w:val="0"/>
            </w:pPr>
            <w:r>
              <w:rPr>
                <w:sz w:val="24"/>
              </w:rPr>
              <w:t xml:space="preserve">Код валюты</w:t>
            </w:r>
          </w:p>
        </w:tc>
        <w:tc>
          <w:tcPr>
            <w:tcW w:w="2948" w:type="dxa"/>
          </w:tcPr>
          <w:p>
            <w:pPr>
              <w:pStyle w:val="0"/>
            </w:pPr>
            <w:r>
              <w:rPr>
                <w:sz w:val="24"/>
              </w:rPr>
              <w:t xml:space="preserve">dim-int:Kod_ValyutyAxis</w:t>
            </w:r>
          </w:p>
        </w:tc>
      </w:tr>
      <w:tr>
        <w:tc>
          <w:tcPr>
            <w:tcW w:w="907" w:type="dxa"/>
          </w:tcPr>
          <w:p>
            <w:pPr>
              <w:pStyle w:val="0"/>
            </w:pPr>
            <w:r>
              <w:rPr>
                <w:sz w:val="24"/>
              </w:rPr>
              <w:t xml:space="preserve">633.3</w:t>
            </w:r>
          </w:p>
        </w:tc>
        <w:tc>
          <w:tcPr>
            <w:gridSpan w:val="7"/>
            <w:tcW w:w="2608" w:type="dxa"/>
          </w:tcPr>
          <w:p>
            <w:pPr>
              <w:pStyle w:val="0"/>
            </w:pPr>
            <w:r>
              <w:rPr>
                <w:sz w:val="24"/>
              </w:rPr>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dim-int:ObyazPodlezhSummVSootvSGl1_710PAxis</w:t>
            </w:r>
          </w:p>
        </w:tc>
      </w:tr>
      <w:tr>
        <w:tblPrEx>
          <w:tblBorders>
            <w:insideV w:val="nil"/>
          </w:tblBorders>
        </w:tblPrEx>
        <w:tc>
          <w:tcPr>
            <w:gridSpan w:val="4"/>
            <w:tcW w:w="1701" w:type="dxa"/>
            <w:tcBorders>
              <w:left w:val="single" w:sz="4"/>
            </w:tcBorders>
          </w:tcPr>
          <w:bookmarkStart w:id="27362" w:name="P27362"/>
          <w:bookmarkEnd w:id="27362"/>
          <w:p>
            <w:pPr>
              <w:pStyle w:val="0"/>
              <w:outlineLvl w:val="4"/>
            </w:pPr>
            <w:r>
              <w:rPr>
                <w:sz w:val="24"/>
              </w:rPr>
              <w:t xml:space="preserve">Подраздел 3.14.</w:t>
            </w:r>
          </w:p>
        </w:tc>
        <w:tc>
          <w:tcPr>
            <w:gridSpan w:val="6"/>
            <w:tcW w:w="7370" w:type="dxa"/>
            <w:tcBorders>
              <w:right w:val="single" w:sz="4"/>
            </w:tcBorders>
          </w:tcPr>
          <w:p>
            <w:pPr>
              <w:pStyle w:val="0"/>
            </w:pPr>
            <w:r>
              <w:rPr>
                <w:sz w:val="24"/>
              </w:rPr>
              <w:t xml:space="preserve">Дополнительные обязательства, возникающие в силу закона или заключенного договора</w:t>
            </w:r>
          </w:p>
        </w:tc>
      </w:tr>
      <w:tr>
        <w:tc>
          <w:tcPr>
            <w:tcW w:w="907" w:type="dxa"/>
          </w:tcPr>
          <w:bookmarkStart w:id="27364" w:name="P27364"/>
          <w:bookmarkEnd w:id="27364"/>
          <w:p>
            <w:pPr>
              <w:pStyle w:val="0"/>
            </w:pPr>
            <w:r>
              <w:rPr>
                <w:sz w:val="24"/>
              </w:rPr>
              <w:t xml:space="preserve">634</w:t>
            </w:r>
          </w:p>
        </w:tc>
        <w:tc>
          <w:tcPr>
            <w:gridSpan w:val="7"/>
            <w:tcW w:w="2608" w:type="dxa"/>
          </w:tcPr>
          <w:p>
            <w:pPr>
              <w:pStyle w:val="0"/>
            </w:pPr>
            <w:r>
              <w:rPr>
                <w:sz w:val="24"/>
              </w:rPr>
              <w:t xml:space="preserve">Вспомогательная величина P</w:t>
            </w:r>
            <w:r>
              <w:rPr>
                <w:sz w:val="24"/>
                <w:vertAlign w:val="subscript"/>
              </w:rPr>
              <w:t xml:space="preserve">m'(s)</w:t>
            </w:r>
          </w:p>
        </w:tc>
        <w:tc>
          <w:tcPr>
            <w:tcW w:w="2608" w:type="dxa"/>
          </w:tcPr>
          <w:p>
            <w:pPr>
              <w:pStyle w:val="0"/>
            </w:pPr>
            <w:r>
              <w:rPr>
                <w:sz w:val="24"/>
              </w:rPr>
            </w:r>
          </w:p>
        </w:tc>
        <w:tc>
          <w:tcPr>
            <w:tcW w:w="2948" w:type="dxa"/>
          </w:tcPr>
          <w:p>
            <w:pPr>
              <w:pStyle w:val="0"/>
            </w:pPr>
            <w:r>
              <w:rPr>
                <w:sz w:val="24"/>
              </w:rPr>
              <w:t xml:space="preserve">ins-dic:VspomogatVelichinaPm_s</w:t>
            </w:r>
          </w:p>
        </w:tc>
      </w:tr>
      <w:tr>
        <w:tc>
          <w:tcPr>
            <w:tcW w:w="907" w:type="dxa"/>
          </w:tcPr>
          <w:p>
            <w:pPr>
              <w:pStyle w:val="0"/>
            </w:pPr>
            <w:r>
              <w:rPr>
                <w:sz w:val="24"/>
              </w:rPr>
              <w:t xml:space="preserve">634.1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634.2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634.3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634.4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p>
            <w:pPr>
              <w:pStyle w:val="0"/>
            </w:pPr>
            <w:r>
              <w:rPr>
                <w:sz w:val="24"/>
              </w:rPr>
              <w:t xml:space="preserve">635</w:t>
            </w:r>
          </w:p>
        </w:tc>
        <w:tc>
          <w:tcPr>
            <w:gridSpan w:val="7"/>
            <w:tcW w:w="2608" w:type="dxa"/>
          </w:tcPr>
          <w:p>
            <w:pPr>
              <w:pStyle w:val="0"/>
            </w:pPr>
            <w:r>
              <w:rPr>
                <w:sz w:val="24"/>
              </w:rPr>
              <w:t xml:space="preserve">Дата возврата (погашения, оферты)</w:t>
            </w:r>
          </w:p>
        </w:tc>
        <w:tc>
          <w:tcPr>
            <w:tcW w:w="2608" w:type="dxa"/>
          </w:tcPr>
          <w:p>
            <w:pPr>
              <w:pStyle w:val="0"/>
            </w:pPr>
            <w:r>
              <w:rPr>
                <w:sz w:val="24"/>
              </w:rPr>
            </w:r>
          </w:p>
        </w:tc>
        <w:tc>
          <w:tcPr>
            <w:tcW w:w="2948" w:type="dxa"/>
          </w:tcPr>
          <w:p>
            <w:pPr>
              <w:pStyle w:val="0"/>
            </w:pPr>
            <w:r>
              <w:rPr>
                <w:sz w:val="24"/>
              </w:rPr>
              <w:t xml:space="preserve">nfo-dic:DataVozvrPogashOfert</w:t>
            </w:r>
          </w:p>
        </w:tc>
      </w:tr>
      <w:tr>
        <w:tc>
          <w:tcPr>
            <w:tcW w:w="907" w:type="dxa"/>
          </w:tcPr>
          <w:p>
            <w:pPr>
              <w:pStyle w:val="0"/>
            </w:pPr>
            <w:r>
              <w:rPr>
                <w:sz w:val="24"/>
              </w:rPr>
              <w:t xml:space="preserve">635.1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635.3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635.4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bookmarkStart w:id="27404" w:name="P27404"/>
          <w:bookmarkEnd w:id="27404"/>
          <w:p>
            <w:pPr>
              <w:pStyle w:val="0"/>
            </w:pPr>
            <w:r>
              <w:rPr>
                <w:sz w:val="24"/>
              </w:rPr>
              <w:t xml:space="preserve">636</w:t>
            </w:r>
          </w:p>
        </w:tc>
        <w:tc>
          <w:tcPr>
            <w:gridSpan w:val="7"/>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636.1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636.3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636.4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c>
          <w:tcPr>
            <w:tcW w:w="907" w:type="dxa"/>
          </w:tcPr>
          <w:bookmarkStart w:id="27424" w:name="P27424"/>
          <w:bookmarkEnd w:id="27424"/>
          <w:p>
            <w:pPr>
              <w:pStyle w:val="0"/>
            </w:pPr>
            <w:r>
              <w:rPr>
                <w:sz w:val="24"/>
              </w:rPr>
              <w:t xml:space="preserve">637</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637.1</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637.2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637.3</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637.4</w:t>
            </w:r>
          </w:p>
        </w:tc>
        <w:tc>
          <w:tcPr>
            <w:gridSpan w:val="7"/>
            <w:tcW w:w="2608" w:type="dxa"/>
          </w:tcPr>
          <w:p>
            <w:pPr>
              <w:pStyle w:val="0"/>
            </w:pPr>
            <w:r>
              <w:rPr>
                <w:sz w:val="24"/>
              </w:rPr>
            </w:r>
          </w:p>
        </w:tc>
        <w:tc>
          <w:tcPr>
            <w:tcW w:w="2608" w:type="dxa"/>
          </w:tcPr>
          <w:p>
            <w:pPr>
              <w:pStyle w:val="0"/>
            </w:pPr>
            <w:r>
              <w:rPr>
                <w:sz w:val="24"/>
              </w:rPr>
              <w:t xml:space="preserve">Идентификатор поручителя (гаранта)</w:t>
            </w:r>
          </w:p>
        </w:tc>
        <w:tc>
          <w:tcPr>
            <w:tcW w:w="2948" w:type="dxa"/>
          </w:tcPr>
          <w:p>
            <w:pPr>
              <w:pStyle w:val="0"/>
            </w:pPr>
            <w:r>
              <w:rPr>
                <w:sz w:val="24"/>
              </w:rPr>
              <w:t xml:space="preserve">dim-int:IDPoruchGarTaxis</w:t>
            </w:r>
          </w:p>
        </w:tc>
      </w:tr>
      <w:tr>
        <w:tblPrEx>
          <w:tblBorders>
            <w:insideV w:val="nil"/>
          </w:tblBorders>
        </w:tblPrEx>
        <w:tc>
          <w:tcPr>
            <w:gridSpan w:val="2"/>
            <w:tcW w:w="1124" w:type="dxa"/>
            <w:tcBorders>
              <w:left w:val="single" w:sz="4"/>
            </w:tcBorders>
          </w:tcPr>
          <w:bookmarkStart w:id="27444" w:name="P27444"/>
          <w:bookmarkEnd w:id="27444"/>
          <w:p>
            <w:pPr>
              <w:pStyle w:val="0"/>
              <w:outlineLvl w:val="3"/>
            </w:pPr>
            <w:r>
              <w:rPr>
                <w:sz w:val="24"/>
              </w:rPr>
              <w:t xml:space="preserve">Раздел 4.</w:t>
            </w:r>
          </w:p>
        </w:tc>
        <w:tc>
          <w:tcPr>
            <w:gridSpan w:val="8"/>
            <w:tcW w:w="7947" w:type="dxa"/>
            <w:tcBorders>
              <w:right w:val="single" w:sz="4"/>
            </w:tcBorders>
          </w:tcPr>
          <w:p>
            <w:pPr>
              <w:pStyle w:val="0"/>
            </w:pPr>
            <w:r>
              <w:rPr>
                <w:sz w:val="24"/>
              </w:rPr>
              <w:t xml:space="preserve">Оценка концентрационного риска</w:t>
            </w:r>
          </w:p>
        </w:tc>
      </w:tr>
      <w:tr>
        <w:tc>
          <w:tcPr>
            <w:tcW w:w="907" w:type="dxa"/>
          </w:tcPr>
          <w:bookmarkStart w:id="27446" w:name="P27446"/>
          <w:bookmarkEnd w:id="27446"/>
          <w:p>
            <w:pPr>
              <w:pStyle w:val="0"/>
            </w:pPr>
            <w:r>
              <w:rPr>
                <w:sz w:val="24"/>
              </w:rPr>
              <w:t xml:space="preserve">638</w:t>
            </w:r>
          </w:p>
        </w:tc>
        <w:tc>
          <w:tcPr>
            <w:gridSpan w:val="7"/>
            <w:tcW w:w="2608" w:type="dxa"/>
          </w:tcPr>
          <w:p>
            <w:pPr>
              <w:pStyle w:val="0"/>
            </w:pPr>
            <w:r>
              <w:rPr>
                <w:sz w:val="24"/>
              </w:rPr>
              <w:t xml:space="preserve">Стоимость активов для оценки концентрационного риска</w:t>
            </w:r>
          </w:p>
        </w:tc>
        <w:tc>
          <w:tcPr>
            <w:tcW w:w="2608" w:type="dxa"/>
          </w:tcPr>
          <w:p>
            <w:pPr>
              <w:pStyle w:val="0"/>
            </w:pPr>
            <w:r>
              <w:rPr>
                <w:sz w:val="24"/>
              </w:rPr>
            </w:r>
          </w:p>
        </w:tc>
        <w:tc>
          <w:tcPr>
            <w:tcW w:w="2948" w:type="dxa"/>
          </w:tcPr>
          <w:p>
            <w:pPr>
              <w:pStyle w:val="0"/>
            </w:pPr>
            <w:r>
              <w:rPr>
                <w:sz w:val="24"/>
              </w:rPr>
              <w:t xml:space="preserve">ins-dic:StoimAktRaschKonczRisk</w:t>
            </w:r>
          </w:p>
        </w:tc>
      </w:tr>
      <w:tr>
        <w:tc>
          <w:tcPr>
            <w:tcW w:w="907" w:type="dxa"/>
          </w:tcPr>
          <w:p>
            <w:pPr>
              <w:pStyle w:val="0"/>
            </w:pPr>
            <w:r>
              <w:rPr>
                <w:sz w:val="24"/>
              </w:rPr>
              <w:t xml:space="preserve">638.1</w:t>
            </w:r>
          </w:p>
        </w:tc>
        <w:tc>
          <w:tcPr>
            <w:gridSpan w:val="7"/>
            <w:tcW w:w="2608" w:type="dxa"/>
          </w:tcPr>
          <w:p>
            <w:pPr>
              <w:pStyle w:val="0"/>
            </w:pPr>
            <w:r>
              <w:rPr>
                <w:sz w:val="24"/>
              </w:rPr>
            </w:r>
          </w:p>
        </w:tc>
        <w:tc>
          <w:tcPr>
            <w:tcW w:w="2608" w:type="dxa"/>
          </w:tcPr>
          <w:p>
            <w:pPr>
              <w:pStyle w:val="0"/>
            </w:pPr>
            <w:r>
              <w:rPr>
                <w:sz w:val="24"/>
              </w:rPr>
              <w:t xml:space="preserve">Идентификатор обязанного лица</w:t>
            </w:r>
          </w:p>
        </w:tc>
        <w:tc>
          <w:tcPr>
            <w:tcW w:w="2948" w:type="dxa"/>
          </w:tcPr>
          <w:p>
            <w:pPr>
              <w:pStyle w:val="0"/>
            </w:pPr>
            <w:r>
              <w:rPr>
                <w:sz w:val="24"/>
              </w:rPr>
              <w:t xml:space="preserve">dim-int:IDObyazLiczTaxis</w:t>
            </w:r>
          </w:p>
        </w:tc>
      </w:tr>
      <w:tr>
        <w:tc>
          <w:tcPr>
            <w:tcW w:w="907" w:type="dxa"/>
          </w:tcPr>
          <w:bookmarkStart w:id="27454" w:name="P27454"/>
          <w:bookmarkEnd w:id="27454"/>
          <w:p>
            <w:pPr>
              <w:pStyle w:val="0"/>
            </w:pPr>
            <w:r>
              <w:rPr>
                <w:sz w:val="24"/>
              </w:rPr>
              <w:t xml:space="preserve">639</w:t>
            </w:r>
          </w:p>
        </w:tc>
        <w:tc>
          <w:tcPr>
            <w:gridSpan w:val="7"/>
            <w:tcW w:w="2608" w:type="dxa"/>
          </w:tcPr>
          <w:p>
            <w:pPr>
              <w:pStyle w:val="0"/>
            </w:pPr>
            <w:r>
              <w:rPr>
                <w:sz w:val="24"/>
              </w:rPr>
              <w:t xml:space="preserve">Стоимость прав требования в части уплаты страховых премий (взносов), учтенных в страховых резервах</w:t>
            </w:r>
          </w:p>
        </w:tc>
        <w:tc>
          <w:tcPr>
            <w:tcW w:w="2608" w:type="dxa"/>
          </w:tcPr>
          <w:p>
            <w:pPr>
              <w:pStyle w:val="0"/>
            </w:pPr>
            <w:r>
              <w:rPr>
                <w:sz w:val="24"/>
              </w:rPr>
            </w:r>
          </w:p>
        </w:tc>
        <w:tc>
          <w:tcPr>
            <w:tcW w:w="2948" w:type="dxa"/>
          </w:tcPr>
          <w:p>
            <w:pPr>
              <w:pStyle w:val="0"/>
            </w:pPr>
            <w:r>
              <w:rPr>
                <w:sz w:val="24"/>
              </w:rPr>
              <w:t xml:space="preserve">ins-dic:StPravTrebUplStraxPremVznosUchtVStraxRez</w:t>
            </w:r>
          </w:p>
        </w:tc>
      </w:tr>
      <w:tr>
        <w:tc>
          <w:tcPr>
            <w:tcW w:w="907" w:type="dxa"/>
          </w:tcPr>
          <w:p>
            <w:pPr>
              <w:pStyle w:val="0"/>
            </w:pPr>
            <w:r>
              <w:rPr>
                <w:sz w:val="24"/>
              </w:rPr>
              <w:t xml:space="preserve">639.1</w:t>
            </w:r>
          </w:p>
        </w:tc>
        <w:tc>
          <w:tcPr>
            <w:gridSpan w:val="7"/>
            <w:tcW w:w="2608" w:type="dxa"/>
          </w:tcPr>
          <w:p>
            <w:pPr>
              <w:pStyle w:val="0"/>
            </w:pPr>
            <w:r>
              <w:rPr>
                <w:sz w:val="24"/>
              </w:rPr>
            </w:r>
          </w:p>
        </w:tc>
        <w:tc>
          <w:tcPr>
            <w:tcW w:w="2608" w:type="dxa"/>
          </w:tcPr>
          <w:p>
            <w:pPr>
              <w:pStyle w:val="0"/>
            </w:pPr>
            <w:r>
              <w:rPr>
                <w:sz w:val="24"/>
              </w:rPr>
              <w:t xml:space="preserve">Идентификатор обязанного лица</w:t>
            </w:r>
          </w:p>
        </w:tc>
        <w:tc>
          <w:tcPr>
            <w:tcW w:w="2948" w:type="dxa"/>
          </w:tcPr>
          <w:p>
            <w:pPr>
              <w:pStyle w:val="0"/>
            </w:pPr>
            <w:r>
              <w:rPr>
                <w:sz w:val="24"/>
              </w:rPr>
              <w:t xml:space="preserve">dim-int:IDObyazLiczTaxis</w:t>
            </w:r>
          </w:p>
        </w:tc>
      </w:tr>
      <w:tr>
        <w:tc>
          <w:tcPr>
            <w:tcW w:w="907" w:type="dxa"/>
          </w:tcPr>
          <w:bookmarkStart w:id="27462" w:name="P27462"/>
          <w:bookmarkEnd w:id="27462"/>
          <w:p>
            <w:pPr>
              <w:pStyle w:val="0"/>
            </w:pPr>
            <w:r>
              <w:rPr>
                <w:sz w:val="24"/>
              </w:rPr>
              <w:t xml:space="preserve">640</w:t>
            </w:r>
          </w:p>
        </w:tc>
        <w:tc>
          <w:tcPr>
            <w:gridSpan w:val="7"/>
            <w:tcW w:w="2608" w:type="dxa"/>
          </w:tcPr>
          <w:p>
            <w:pPr>
              <w:pStyle w:val="0"/>
            </w:pPr>
            <w:r>
              <w:rPr>
                <w:sz w:val="24"/>
              </w:rPr>
              <w:t xml:space="preserve">Влияние концентрационного риска</w:t>
            </w:r>
          </w:p>
        </w:tc>
        <w:tc>
          <w:tcPr>
            <w:tcW w:w="2608" w:type="dxa"/>
          </w:tcPr>
          <w:p>
            <w:pPr>
              <w:pStyle w:val="0"/>
            </w:pPr>
            <w:r>
              <w:rPr>
                <w:sz w:val="24"/>
              </w:rPr>
            </w:r>
          </w:p>
        </w:tc>
        <w:tc>
          <w:tcPr>
            <w:tcW w:w="2948" w:type="dxa"/>
          </w:tcPr>
          <w:p>
            <w:pPr>
              <w:pStyle w:val="0"/>
            </w:pPr>
            <w:r>
              <w:rPr>
                <w:sz w:val="24"/>
              </w:rPr>
              <w:t xml:space="preserve">ins-dic:VlKonczRisk</w:t>
            </w:r>
          </w:p>
        </w:tc>
      </w:tr>
      <w:tr>
        <w:tc>
          <w:tcPr>
            <w:tcW w:w="907" w:type="dxa"/>
          </w:tcPr>
          <w:p>
            <w:pPr>
              <w:pStyle w:val="0"/>
            </w:pPr>
            <w:r>
              <w:rPr>
                <w:sz w:val="24"/>
              </w:rPr>
              <w:t xml:space="preserve">640.1</w:t>
            </w:r>
          </w:p>
        </w:tc>
        <w:tc>
          <w:tcPr>
            <w:gridSpan w:val="7"/>
            <w:tcW w:w="2608" w:type="dxa"/>
          </w:tcPr>
          <w:p>
            <w:pPr>
              <w:pStyle w:val="0"/>
            </w:pPr>
            <w:r>
              <w:rPr>
                <w:sz w:val="24"/>
              </w:rPr>
            </w:r>
          </w:p>
        </w:tc>
        <w:tc>
          <w:tcPr>
            <w:tcW w:w="2608" w:type="dxa"/>
          </w:tcPr>
          <w:p>
            <w:pPr>
              <w:pStyle w:val="0"/>
            </w:pPr>
            <w:r>
              <w:rPr>
                <w:sz w:val="24"/>
              </w:rPr>
              <w:t xml:space="preserve">Идентификатор обязанного лица</w:t>
            </w:r>
          </w:p>
        </w:tc>
        <w:tc>
          <w:tcPr>
            <w:tcW w:w="2948" w:type="dxa"/>
          </w:tcPr>
          <w:p>
            <w:pPr>
              <w:pStyle w:val="0"/>
            </w:pPr>
            <w:r>
              <w:rPr>
                <w:sz w:val="24"/>
              </w:rPr>
              <w:t xml:space="preserve">dim-int:IDObyazLiczTaxis</w:t>
            </w:r>
          </w:p>
        </w:tc>
      </w:tr>
      <w:tr>
        <w:tblPrEx>
          <w:tblBorders>
            <w:insideV w:val="nil"/>
          </w:tblBorders>
        </w:tblPrEx>
        <w:tc>
          <w:tcPr>
            <w:gridSpan w:val="2"/>
            <w:tcW w:w="1124" w:type="dxa"/>
            <w:tcBorders>
              <w:left w:val="single" w:sz="4"/>
            </w:tcBorders>
          </w:tcPr>
          <w:bookmarkStart w:id="27470" w:name="P27470"/>
          <w:bookmarkEnd w:id="27470"/>
          <w:p>
            <w:pPr>
              <w:pStyle w:val="0"/>
              <w:outlineLvl w:val="3"/>
            </w:pPr>
            <w:r>
              <w:rPr>
                <w:sz w:val="24"/>
              </w:rPr>
              <w:t xml:space="preserve">Раздел 5.</w:t>
            </w:r>
          </w:p>
        </w:tc>
        <w:tc>
          <w:tcPr>
            <w:gridSpan w:val="8"/>
            <w:tcW w:w="7947" w:type="dxa"/>
            <w:tcBorders>
              <w:right w:val="single" w:sz="4"/>
            </w:tcBorders>
          </w:tcPr>
          <w:p>
            <w:pPr>
              <w:pStyle w:val="0"/>
            </w:pPr>
            <w:r>
              <w:rPr>
                <w:sz w:val="24"/>
              </w:rPr>
              <w:t xml:space="preserve">Информация об оценщиках, осуществляющих оценку для определения стоимости актива</w:t>
            </w:r>
          </w:p>
        </w:tc>
      </w:tr>
      <w:tr>
        <w:tc>
          <w:tcPr>
            <w:tcW w:w="907" w:type="dxa"/>
          </w:tcPr>
          <w:bookmarkStart w:id="27472" w:name="P27472"/>
          <w:bookmarkEnd w:id="27472"/>
          <w:p>
            <w:pPr>
              <w:pStyle w:val="0"/>
            </w:pPr>
            <w:r>
              <w:rPr>
                <w:sz w:val="24"/>
              </w:rPr>
              <w:t xml:space="preserve">641</w:t>
            </w:r>
          </w:p>
        </w:tc>
        <w:tc>
          <w:tcPr>
            <w:gridSpan w:val="7"/>
            <w:tcW w:w="2608" w:type="dxa"/>
          </w:tcPr>
          <w:p>
            <w:pPr>
              <w:pStyle w:val="0"/>
            </w:pPr>
            <w:r>
              <w:rPr>
                <w:sz w:val="24"/>
              </w:rPr>
              <w:t xml:space="preserve">Полное наименование саморегулируемой организации оценщиков</w:t>
            </w:r>
          </w:p>
        </w:tc>
        <w:tc>
          <w:tcPr>
            <w:tcW w:w="2608" w:type="dxa"/>
          </w:tcPr>
          <w:p>
            <w:pPr>
              <w:pStyle w:val="0"/>
            </w:pPr>
            <w:r>
              <w:rPr>
                <w:sz w:val="24"/>
              </w:rPr>
            </w:r>
          </w:p>
        </w:tc>
        <w:tc>
          <w:tcPr>
            <w:tcW w:w="2948" w:type="dxa"/>
          </w:tcPr>
          <w:p>
            <w:pPr>
              <w:pStyle w:val="0"/>
            </w:pPr>
            <w:r>
              <w:rPr>
                <w:sz w:val="24"/>
              </w:rPr>
              <w:t xml:space="preserve">nfo-dic:PolnNaimSROOczensh</w:t>
            </w:r>
          </w:p>
        </w:tc>
      </w:tr>
      <w:tr>
        <w:tc>
          <w:tcPr>
            <w:tcW w:w="907" w:type="dxa"/>
          </w:tcPr>
          <w:p>
            <w:pPr>
              <w:pStyle w:val="0"/>
            </w:pPr>
            <w:r>
              <w:rPr>
                <w:sz w:val="24"/>
              </w:rPr>
              <w:t xml:space="preserve">641.1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641.2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bookmarkStart w:id="27484" w:name="P27484"/>
          <w:bookmarkEnd w:id="27484"/>
          <w:p>
            <w:pPr>
              <w:pStyle w:val="0"/>
            </w:pPr>
            <w:r>
              <w:rPr>
                <w:sz w:val="24"/>
              </w:rPr>
              <w:t xml:space="preserve">642</w:t>
            </w:r>
          </w:p>
        </w:tc>
        <w:tc>
          <w:tcPr>
            <w:gridSpan w:val="7"/>
            <w:tcW w:w="2608" w:type="dxa"/>
          </w:tcPr>
          <w:p>
            <w:pPr>
              <w:pStyle w:val="0"/>
            </w:pPr>
            <w:r>
              <w:rPr>
                <w:sz w:val="24"/>
              </w:rPr>
              <w:t xml:space="preserve">Номер оценщика в реестре членов саморегулируемой организации оценщиков</w:t>
            </w:r>
          </w:p>
        </w:tc>
        <w:tc>
          <w:tcPr>
            <w:tcW w:w="2608" w:type="dxa"/>
          </w:tcPr>
          <w:p>
            <w:pPr>
              <w:pStyle w:val="0"/>
            </w:pPr>
            <w:r>
              <w:rPr>
                <w:sz w:val="24"/>
              </w:rPr>
            </w:r>
          </w:p>
        </w:tc>
        <w:tc>
          <w:tcPr>
            <w:tcW w:w="2948" w:type="dxa"/>
          </w:tcPr>
          <w:p>
            <w:pPr>
              <w:pStyle w:val="0"/>
            </w:pPr>
            <w:r>
              <w:rPr>
                <w:sz w:val="24"/>
              </w:rPr>
              <w:t xml:space="preserve">nfo-dic:NomNezOczSROOczensh</w:t>
            </w:r>
          </w:p>
        </w:tc>
      </w:tr>
      <w:tr>
        <w:tc>
          <w:tcPr>
            <w:tcW w:w="907" w:type="dxa"/>
          </w:tcPr>
          <w:p>
            <w:pPr>
              <w:pStyle w:val="0"/>
            </w:pPr>
            <w:r>
              <w:rPr>
                <w:sz w:val="24"/>
              </w:rPr>
              <w:t xml:space="preserve">642.1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642.2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bookmarkStart w:id="27496" w:name="P27496"/>
          <w:bookmarkEnd w:id="27496"/>
          <w:p>
            <w:pPr>
              <w:pStyle w:val="0"/>
            </w:pPr>
            <w:r>
              <w:rPr>
                <w:sz w:val="24"/>
              </w:rPr>
              <w:t xml:space="preserve">643</w:t>
            </w:r>
          </w:p>
        </w:tc>
        <w:tc>
          <w:tcPr>
            <w:gridSpan w:val="7"/>
            <w:tcW w:w="2608" w:type="dxa"/>
          </w:tcPr>
          <w:p>
            <w:pPr>
              <w:pStyle w:val="0"/>
            </w:pPr>
            <w:r>
              <w:rPr>
                <w:sz w:val="24"/>
              </w:rPr>
              <w:t xml:space="preserve">Стаж осуществления оценочной деятельности</w:t>
            </w:r>
          </w:p>
        </w:tc>
        <w:tc>
          <w:tcPr>
            <w:tcW w:w="2608" w:type="dxa"/>
          </w:tcPr>
          <w:p>
            <w:pPr>
              <w:pStyle w:val="0"/>
            </w:pPr>
            <w:r>
              <w:rPr>
                <w:sz w:val="24"/>
              </w:rPr>
            </w:r>
          </w:p>
        </w:tc>
        <w:tc>
          <w:tcPr>
            <w:tcW w:w="2948" w:type="dxa"/>
          </w:tcPr>
          <w:p>
            <w:pPr>
              <w:pStyle w:val="0"/>
            </w:pPr>
            <w:r>
              <w:rPr>
                <w:sz w:val="24"/>
              </w:rPr>
              <w:t xml:space="preserve">nfo-dic:StazhOczDeyat</w:t>
            </w:r>
          </w:p>
        </w:tc>
      </w:tr>
      <w:tr>
        <w:tc>
          <w:tcPr>
            <w:tcW w:w="907" w:type="dxa"/>
          </w:tcPr>
          <w:p>
            <w:pPr>
              <w:pStyle w:val="0"/>
            </w:pPr>
            <w:r>
              <w:rPr>
                <w:sz w:val="24"/>
              </w:rPr>
              <w:t xml:space="preserve">643.1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643.2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bookmarkStart w:id="27508" w:name="P27508"/>
          <w:bookmarkEnd w:id="27508"/>
          <w:p>
            <w:pPr>
              <w:pStyle w:val="0"/>
            </w:pPr>
            <w:r>
              <w:rPr>
                <w:sz w:val="24"/>
              </w:rPr>
              <w:t xml:space="preserve">644</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644.1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договору на проведение оценки</w:t>
            </w:r>
          </w:p>
        </w:tc>
        <w:tc>
          <w:tcPr>
            <w:tcW w:w="2948" w:type="dxa"/>
          </w:tcPr>
          <w:p>
            <w:pPr>
              <w:pStyle w:val="0"/>
            </w:pPr>
            <w:r>
              <w:rPr>
                <w:sz w:val="24"/>
              </w:rPr>
              <w:t xml:space="preserve">dim-int:IDKontragentaPoDogNaProvedOczenkiTaxis</w:t>
            </w:r>
          </w:p>
        </w:tc>
      </w:tr>
      <w:tr>
        <w:tc>
          <w:tcPr>
            <w:tcW w:w="907" w:type="dxa"/>
          </w:tcPr>
          <w:p>
            <w:pPr>
              <w:pStyle w:val="0"/>
            </w:pPr>
            <w:r>
              <w:rPr>
                <w:sz w:val="24"/>
              </w:rPr>
              <w:t xml:space="preserve">644.2</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blPrEx>
          <w:tblBorders>
            <w:insideV w:val="nil"/>
          </w:tblBorders>
        </w:tblPrEx>
        <w:tc>
          <w:tcPr>
            <w:gridSpan w:val="2"/>
            <w:tcW w:w="1124" w:type="dxa"/>
            <w:tcBorders>
              <w:left w:val="single" w:sz="4"/>
            </w:tcBorders>
          </w:tcPr>
          <w:p>
            <w:pPr>
              <w:pStyle w:val="0"/>
              <w:outlineLvl w:val="3"/>
            </w:pPr>
            <w:r>
              <w:rPr>
                <w:sz w:val="24"/>
              </w:rPr>
              <w:t xml:space="preserve">Раздел 6.</w:t>
            </w:r>
          </w:p>
        </w:tc>
        <w:tc>
          <w:tcPr>
            <w:gridSpan w:val="8"/>
            <w:tcW w:w="7947" w:type="dxa"/>
            <w:tcBorders>
              <w:right w:val="single" w:sz="4"/>
            </w:tcBorders>
          </w:tcPr>
          <w:p>
            <w:pPr>
              <w:pStyle w:val="0"/>
            </w:pPr>
            <w:r>
              <w:rPr>
                <w:sz w:val="24"/>
              </w:rPr>
              <w:t xml:space="preserve">Информация о кредитных рейтингах</w:t>
            </w:r>
          </w:p>
        </w:tc>
      </w:tr>
      <w:tr>
        <w:tblPrEx>
          <w:tblBorders>
            <w:insideV w:val="nil"/>
          </w:tblBorders>
        </w:tblPrEx>
        <w:tc>
          <w:tcPr>
            <w:gridSpan w:val="4"/>
            <w:tcW w:w="1701" w:type="dxa"/>
            <w:tcBorders>
              <w:left w:val="single" w:sz="4"/>
            </w:tcBorders>
          </w:tcPr>
          <w:bookmarkStart w:id="27522" w:name="P27522"/>
          <w:bookmarkEnd w:id="27522"/>
          <w:p>
            <w:pPr>
              <w:pStyle w:val="0"/>
              <w:outlineLvl w:val="4"/>
            </w:pPr>
            <w:r>
              <w:rPr>
                <w:sz w:val="24"/>
              </w:rPr>
              <w:t xml:space="preserve">Подраздел 6.1.</w:t>
            </w:r>
          </w:p>
        </w:tc>
        <w:tc>
          <w:tcPr>
            <w:gridSpan w:val="6"/>
            <w:tcW w:w="7370" w:type="dxa"/>
            <w:tcBorders>
              <w:right w:val="single" w:sz="4"/>
            </w:tcBorders>
          </w:tcPr>
          <w:p>
            <w:pPr>
              <w:pStyle w:val="0"/>
            </w:pPr>
            <w:r>
              <w:rPr>
                <w:sz w:val="24"/>
              </w:rPr>
              <w:t xml:space="preserve">Информация о кредитных рейтингах контрагентов</w:t>
            </w:r>
          </w:p>
        </w:tc>
      </w:tr>
      <w:tr>
        <w:tc>
          <w:tcPr>
            <w:tcW w:w="907" w:type="dxa"/>
          </w:tcPr>
          <w:bookmarkStart w:id="27524" w:name="P27524"/>
          <w:bookmarkEnd w:id="27524"/>
          <w:p>
            <w:pPr>
              <w:pStyle w:val="0"/>
            </w:pPr>
            <w:r>
              <w:rPr>
                <w:sz w:val="24"/>
              </w:rPr>
              <w:t xml:space="preserve">645</w:t>
            </w:r>
          </w:p>
        </w:tc>
        <w:tc>
          <w:tcPr>
            <w:gridSpan w:val="7"/>
            <w:tcW w:w="2608" w:type="dxa"/>
          </w:tcPr>
          <w:p>
            <w:pPr>
              <w:pStyle w:val="0"/>
            </w:pPr>
            <w:r>
              <w:rPr>
                <w:sz w:val="24"/>
              </w:rPr>
              <w:t xml:space="preserve">Кредитный рейтинг контрагента</w:t>
            </w:r>
          </w:p>
        </w:tc>
        <w:tc>
          <w:tcPr>
            <w:tcW w:w="2608" w:type="dxa"/>
          </w:tcPr>
          <w:p>
            <w:pPr>
              <w:pStyle w:val="0"/>
            </w:pPr>
            <w:r>
              <w:rPr>
                <w:sz w:val="24"/>
              </w:rPr>
            </w:r>
          </w:p>
        </w:tc>
        <w:tc>
          <w:tcPr>
            <w:tcW w:w="2948" w:type="dxa"/>
          </w:tcPr>
          <w:p>
            <w:pPr>
              <w:pStyle w:val="0"/>
            </w:pPr>
            <w:r>
              <w:rPr>
                <w:sz w:val="24"/>
              </w:rPr>
              <w:t xml:space="preserve">nfo-dic:KreditnyjRejting</w:t>
            </w:r>
          </w:p>
        </w:tc>
      </w:tr>
      <w:tr>
        <w:tc>
          <w:tcPr>
            <w:tcW w:w="907" w:type="dxa"/>
          </w:tcPr>
          <w:p>
            <w:pPr>
              <w:pStyle w:val="0"/>
            </w:pPr>
            <w:r>
              <w:rPr>
                <w:sz w:val="24"/>
              </w:rPr>
              <w:t xml:space="preserve">645.1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645.2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базисному активу по срочной сделке или активу, от которого зависит поток по облигации</w:t>
            </w:r>
          </w:p>
        </w:tc>
        <w:tc>
          <w:tcPr>
            <w:tcW w:w="2948" w:type="dxa"/>
          </w:tcPr>
          <w:p>
            <w:pPr>
              <w:pStyle w:val="0"/>
            </w:pPr>
            <w:r>
              <w:rPr>
                <w:sz w:val="24"/>
              </w:rPr>
              <w:t xml:space="preserve">dim-int:IDKtragBazAktStStrOblTaxis</w:t>
            </w:r>
          </w:p>
        </w:tc>
      </w:tr>
      <w:tr>
        <w:tc>
          <w:tcPr>
            <w:tcW w:w="907" w:type="dxa"/>
          </w:tcPr>
          <w:p>
            <w:pPr>
              <w:pStyle w:val="0"/>
            </w:pPr>
            <w:r>
              <w:rPr>
                <w:sz w:val="24"/>
              </w:rPr>
              <w:t xml:space="preserve">645.3</w:t>
            </w:r>
          </w:p>
        </w:tc>
        <w:tc>
          <w:tcPr>
            <w:gridSpan w:val="7"/>
            <w:tcW w:w="2608" w:type="dxa"/>
          </w:tcPr>
          <w:p>
            <w:pPr>
              <w:pStyle w:val="0"/>
            </w:pPr>
            <w:r>
              <w:rPr>
                <w:sz w:val="24"/>
              </w:rPr>
            </w:r>
          </w:p>
        </w:tc>
        <w:tc>
          <w:tcPr>
            <w:tcW w:w="2608" w:type="dxa"/>
          </w:tcPr>
          <w:p>
            <w:pPr>
              <w:pStyle w:val="0"/>
            </w:pPr>
            <w:r>
              <w:rPr>
                <w:sz w:val="24"/>
              </w:rPr>
              <w:t xml:space="preserve">Идентификатор кредитного рейтингового агентства</w:t>
            </w:r>
          </w:p>
        </w:tc>
        <w:tc>
          <w:tcPr>
            <w:tcW w:w="2948" w:type="dxa"/>
          </w:tcPr>
          <w:p>
            <w:pPr>
              <w:pStyle w:val="0"/>
            </w:pPr>
            <w:r>
              <w:rPr>
                <w:sz w:val="24"/>
              </w:rPr>
              <w:t xml:space="preserve">dim-int:IdKreditnogoRejtingovogoAgentstvaTaxis</w:t>
            </w:r>
          </w:p>
        </w:tc>
      </w:tr>
      <w:tr>
        <w:tc>
          <w:tcPr>
            <w:tcW w:w="907" w:type="dxa"/>
          </w:tcPr>
          <w:bookmarkStart w:id="27540" w:name="P27540"/>
          <w:bookmarkEnd w:id="27540"/>
          <w:p>
            <w:pPr>
              <w:pStyle w:val="0"/>
            </w:pPr>
            <w:r>
              <w:rPr>
                <w:sz w:val="24"/>
              </w:rPr>
              <w:t xml:space="preserve">646</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646.1</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646.2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 по базисному активу по срочной сделке или активу, от которого зависит поток по облигации</w:t>
            </w:r>
          </w:p>
        </w:tc>
        <w:tc>
          <w:tcPr>
            <w:tcW w:w="2948" w:type="dxa"/>
          </w:tcPr>
          <w:p>
            <w:pPr>
              <w:pStyle w:val="0"/>
            </w:pPr>
            <w:r>
              <w:rPr>
                <w:sz w:val="24"/>
              </w:rPr>
              <w:t xml:space="preserve">dim-int:IDKtragBazAktStStrOblTaxis</w:t>
            </w:r>
          </w:p>
        </w:tc>
      </w:tr>
      <w:tr>
        <w:tc>
          <w:tcPr>
            <w:tcW w:w="907" w:type="dxa"/>
          </w:tcPr>
          <w:p>
            <w:pPr>
              <w:pStyle w:val="0"/>
            </w:pPr>
            <w:r>
              <w:rPr>
                <w:sz w:val="24"/>
              </w:rPr>
              <w:t xml:space="preserve">646.3</w:t>
            </w:r>
          </w:p>
        </w:tc>
        <w:tc>
          <w:tcPr>
            <w:gridSpan w:val="7"/>
            <w:tcW w:w="2608" w:type="dxa"/>
          </w:tcPr>
          <w:p>
            <w:pPr>
              <w:pStyle w:val="0"/>
            </w:pPr>
            <w:r>
              <w:rPr>
                <w:sz w:val="24"/>
              </w:rPr>
            </w:r>
          </w:p>
        </w:tc>
        <w:tc>
          <w:tcPr>
            <w:tcW w:w="2608" w:type="dxa"/>
          </w:tcPr>
          <w:p>
            <w:pPr>
              <w:pStyle w:val="0"/>
            </w:pPr>
            <w:r>
              <w:rPr>
                <w:sz w:val="24"/>
              </w:rPr>
              <w:t xml:space="preserve">Идентификатор кредитного рейтингового агентства</w:t>
            </w:r>
          </w:p>
        </w:tc>
        <w:tc>
          <w:tcPr>
            <w:tcW w:w="2948" w:type="dxa"/>
          </w:tcPr>
          <w:p>
            <w:pPr>
              <w:pStyle w:val="0"/>
            </w:pPr>
            <w:r>
              <w:rPr>
                <w:sz w:val="24"/>
              </w:rPr>
              <w:t xml:space="preserve">dim-int:IdKreditnogoRejtingovogoAgentstvaTaxis</w:t>
            </w:r>
          </w:p>
        </w:tc>
      </w:tr>
      <w:tr>
        <w:tblPrEx>
          <w:tblBorders>
            <w:insideV w:val="nil"/>
          </w:tblBorders>
        </w:tblPrEx>
        <w:tc>
          <w:tcPr>
            <w:gridSpan w:val="4"/>
            <w:tcW w:w="1701" w:type="dxa"/>
            <w:tcBorders>
              <w:left w:val="single" w:sz="4"/>
            </w:tcBorders>
          </w:tcPr>
          <w:bookmarkStart w:id="27556" w:name="P27556"/>
          <w:bookmarkEnd w:id="27556"/>
          <w:p>
            <w:pPr>
              <w:pStyle w:val="0"/>
              <w:outlineLvl w:val="4"/>
            </w:pPr>
            <w:r>
              <w:rPr>
                <w:sz w:val="24"/>
              </w:rPr>
              <w:t xml:space="preserve">Подраздел 6.2.</w:t>
            </w:r>
          </w:p>
        </w:tc>
        <w:tc>
          <w:tcPr>
            <w:gridSpan w:val="6"/>
            <w:tcW w:w="7370" w:type="dxa"/>
            <w:tcBorders>
              <w:right w:val="single" w:sz="4"/>
            </w:tcBorders>
          </w:tcPr>
          <w:p>
            <w:pPr>
              <w:pStyle w:val="0"/>
            </w:pPr>
            <w:r>
              <w:rPr>
                <w:sz w:val="24"/>
              </w:rPr>
              <w:t xml:space="preserve">Информация о кредитных рейтингах эмиссии</w:t>
            </w:r>
          </w:p>
        </w:tc>
      </w:tr>
      <w:tr>
        <w:tc>
          <w:tcPr>
            <w:tcW w:w="907" w:type="dxa"/>
          </w:tcPr>
          <w:bookmarkStart w:id="27558" w:name="P27558"/>
          <w:bookmarkEnd w:id="27558"/>
          <w:p>
            <w:pPr>
              <w:pStyle w:val="0"/>
            </w:pPr>
            <w:r>
              <w:rPr>
                <w:sz w:val="24"/>
              </w:rPr>
              <w:t xml:space="preserve">647</w:t>
            </w:r>
          </w:p>
        </w:tc>
        <w:tc>
          <w:tcPr>
            <w:gridSpan w:val="7"/>
            <w:tcW w:w="2608" w:type="dxa"/>
          </w:tcPr>
          <w:p>
            <w:pPr>
              <w:pStyle w:val="0"/>
            </w:pPr>
            <w:r>
              <w:rPr>
                <w:sz w:val="24"/>
              </w:rPr>
              <w:t xml:space="preserve">Кредитный рейтинг эмиссии</w:t>
            </w:r>
          </w:p>
        </w:tc>
        <w:tc>
          <w:tcPr>
            <w:tcW w:w="2608" w:type="dxa"/>
          </w:tcPr>
          <w:p>
            <w:pPr>
              <w:pStyle w:val="0"/>
            </w:pPr>
            <w:r>
              <w:rPr>
                <w:sz w:val="24"/>
              </w:rPr>
            </w:r>
          </w:p>
        </w:tc>
        <w:tc>
          <w:tcPr>
            <w:tcW w:w="2948" w:type="dxa"/>
          </w:tcPr>
          <w:p>
            <w:pPr>
              <w:pStyle w:val="0"/>
            </w:pPr>
            <w:r>
              <w:rPr>
                <w:sz w:val="24"/>
              </w:rPr>
              <w:t xml:space="preserve">nfo-dic:KreditnyjRejtingEmissii</w:t>
            </w:r>
          </w:p>
        </w:tc>
      </w:tr>
      <w:tr>
        <w:tc>
          <w:tcPr>
            <w:tcW w:w="907" w:type="dxa"/>
          </w:tcPr>
          <w:p>
            <w:pPr>
              <w:pStyle w:val="0"/>
            </w:pPr>
            <w:r>
              <w:rPr>
                <w:sz w:val="24"/>
              </w:rPr>
              <w:t xml:space="preserve">647.1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647.2</w:t>
            </w:r>
          </w:p>
        </w:tc>
        <w:tc>
          <w:tcPr>
            <w:gridSpan w:val="7"/>
            <w:tcW w:w="2608" w:type="dxa"/>
          </w:tcPr>
          <w:p>
            <w:pPr>
              <w:pStyle w:val="0"/>
            </w:pPr>
            <w:r>
              <w:rPr>
                <w:sz w:val="24"/>
              </w:rPr>
            </w:r>
          </w:p>
        </w:tc>
        <w:tc>
          <w:tcPr>
            <w:tcW w:w="2608" w:type="dxa"/>
          </w:tcPr>
          <w:p>
            <w:pPr>
              <w:pStyle w:val="0"/>
            </w:pPr>
            <w:r>
              <w:rPr>
                <w:sz w:val="24"/>
              </w:rPr>
              <w:t xml:space="preserve">Идентификатор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dim-int:IDBazAktPotStrOblTaxis</w:t>
            </w:r>
          </w:p>
        </w:tc>
      </w:tr>
      <w:tr>
        <w:tc>
          <w:tcPr>
            <w:tcW w:w="907" w:type="dxa"/>
          </w:tcPr>
          <w:p>
            <w:pPr>
              <w:pStyle w:val="0"/>
            </w:pPr>
            <w:r>
              <w:rPr>
                <w:sz w:val="24"/>
              </w:rPr>
              <w:t xml:space="preserve">647.3</w:t>
            </w:r>
          </w:p>
        </w:tc>
        <w:tc>
          <w:tcPr>
            <w:gridSpan w:val="7"/>
            <w:tcW w:w="2608" w:type="dxa"/>
          </w:tcPr>
          <w:p>
            <w:pPr>
              <w:pStyle w:val="0"/>
            </w:pPr>
            <w:r>
              <w:rPr>
                <w:sz w:val="24"/>
              </w:rPr>
            </w:r>
          </w:p>
        </w:tc>
        <w:tc>
          <w:tcPr>
            <w:tcW w:w="2608" w:type="dxa"/>
          </w:tcPr>
          <w:p>
            <w:pPr>
              <w:pStyle w:val="0"/>
            </w:pPr>
            <w:r>
              <w:rPr>
                <w:sz w:val="24"/>
              </w:rPr>
              <w:t xml:space="preserve">Идентификатор кредитного рейтингового агентства</w:t>
            </w:r>
          </w:p>
        </w:tc>
        <w:tc>
          <w:tcPr>
            <w:tcW w:w="2948" w:type="dxa"/>
          </w:tcPr>
          <w:p>
            <w:pPr>
              <w:pStyle w:val="0"/>
            </w:pPr>
            <w:r>
              <w:rPr>
                <w:sz w:val="24"/>
              </w:rPr>
              <w:t xml:space="preserve">dim-int:IdKreditnogoRejtingovogoAgentstvaTaxis</w:t>
            </w:r>
          </w:p>
        </w:tc>
      </w:tr>
      <w:tr>
        <w:tc>
          <w:tcPr>
            <w:tcW w:w="907" w:type="dxa"/>
          </w:tcPr>
          <w:bookmarkStart w:id="27574" w:name="P27574"/>
          <w:bookmarkEnd w:id="27574"/>
          <w:p>
            <w:pPr>
              <w:pStyle w:val="0"/>
            </w:pPr>
            <w:r>
              <w:rPr>
                <w:sz w:val="24"/>
              </w:rPr>
              <w:t xml:space="preserve">648</w:t>
            </w:r>
          </w:p>
        </w:tc>
        <w:tc>
          <w:tcPr>
            <w:gridSpan w:val="7"/>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648.1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648.2</w:t>
            </w:r>
          </w:p>
        </w:tc>
        <w:tc>
          <w:tcPr>
            <w:gridSpan w:val="7"/>
            <w:tcW w:w="2608" w:type="dxa"/>
          </w:tcPr>
          <w:p>
            <w:pPr>
              <w:pStyle w:val="0"/>
            </w:pPr>
            <w:r>
              <w:rPr>
                <w:sz w:val="24"/>
              </w:rPr>
            </w:r>
          </w:p>
        </w:tc>
        <w:tc>
          <w:tcPr>
            <w:tcW w:w="2608" w:type="dxa"/>
          </w:tcPr>
          <w:p>
            <w:pPr>
              <w:pStyle w:val="0"/>
            </w:pPr>
            <w:r>
              <w:rPr>
                <w:sz w:val="24"/>
              </w:rPr>
              <w:t xml:space="preserve">Идентификатор базисного актива по срочной сделке или актива, от которого зависит поток по облигации</w:t>
            </w:r>
          </w:p>
        </w:tc>
        <w:tc>
          <w:tcPr>
            <w:tcW w:w="2948" w:type="dxa"/>
          </w:tcPr>
          <w:p>
            <w:pPr>
              <w:pStyle w:val="0"/>
            </w:pPr>
            <w:r>
              <w:rPr>
                <w:sz w:val="24"/>
              </w:rPr>
              <w:t xml:space="preserve">dim-int:IDBazAktPotStrOblTaxis</w:t>
            </w:r>
          </w:p>
        </w:tc>
      </w:tr>
      <w:tr>
        <w:tc>
          <w:tcPr>
            <w:tcW w:w="907" w:type="dxa"/>
          </w:tcPr>
          <w:p>
            <w:pPr>
              <w:pStyle w:val="0"/>
            </w:pPr>
            <w:r>
              <w:rPr>
                <w:sz w:val="24"/>
              </w:rPr>
              <w:t xml:space="preserve">648.3</w:t>
            </w:r>
          </w:p>
        </w:tc>
        <w:tc>
          <w:tcPr>
            <w:gridSpan w:val="7"/>
            <w:tcW w:w="2608" w:type="dxa"/>
          </w:tcPr>
          <w:p>
            <w:pPr>
              <w:pStyle w:val="0"/>
            </w:pPr>
            <w:r>
              <w:rPr>
                <w:sz w:val="24"/>
              </w:rPr>
            </w:r>
          </w:p>
        </w:tc>
        <w:tc>
          <w:tcPr>
            <w:tcW w:w="2608" w:type="dxa"/>
          </w:tcPr>
          <w:p>
            <w:pPr>
              <w:pStyle w:val="0"/>
            </w:pPr>
            <w:r>
              <w:rPr>
                <w:sz w:val="24"/>
              </w:rPr>
              <w:t xml:space="preserve">Идентификатор кредитного рейтингового агентства</w:t>
            </w:r>
          </w:p>
        </w:tc>
        <w:tc>
          <w:tcPr>
            <w:tcW w:w="2948" w:type="dxa"/>
          </w:tcPr>
          <w:p>
            <w:pPr>
              <w:pStyle w:val="0"/>
            </w:pPr>
            <w:r>
              <w:rPr>
                <w:sz w:val="24"/>
              </w:rPr>
              <w:t xml:space="preserve">dim-int:IdKreditnogoRejtingovogoAgentstvaTaxis</w:t>
            </w:r>
          </w:p>
        </w:tc>
      </w:tr>
      <w:tr>
        <w:tblPrEx>
          <w:tblBorders>
            <w:insideV w:val="nil"/>
          </w:tblBorders>
        </w:tblPrEx>
        <w:tc>
          <w:tcPr>
            <w:gridSpan w:val="2"/>
            <w:tcW w:w="1124" w:type="dxa"/>
            <w:tcBorders>
              <w:left w:val="single" w:sz="4"/>
            </w:tcBorders>
          </w:tcPr>
          <w:bookmarkStart w:id="27590" w:name="P27590"/>
          <w:bookmarkEnd w:id="27590"/>
          <w:p>
            <w:pPr>
              <w:pStyle w:val="0"/>
              <w:outlineLvl w:val="3"/>
            </w:pPr>
            <w:r>
              <w:rPr>
                <w:sz w:val="24"/>
              </w:rPr>
              <w:t xml:space="preserve">Раздел 7.</w:t>
            </w:r>
          </w:p>
        </w:tc>
        <w:tc>
          <w:tcPr>
            <w:gridSpan w:val="8"/>
            <w:tcW w:w="7947" w:type="dxa"/>
            <w:tcBorders>
              <w:right w:val="single" w:sz="4"/>
            </w:tcBorders>
          </w:tcPr>
          <w:p>
            <w:pPr>
              <w:pStyle w:val="0"/>
            </w:pPr>
            <w:r>
              <w:rPr>
                <w:sz w:val="24"/>
              </w:rPr>
              <w:t xml:space="preserve">Залог</w:t>
            </w:r>
          </w:p>
        </w:tc>
      </w:tr>
      <w:tr>
        <w:tc>
          <w:tcPr>
            <w:tcW w:w="907" w:type="dxa"/>
          </w:tcPr>
          <w:p>
            <w:pPr>
              <w:pStyle w:val="0"/>
            </w:pPr>
            <w:r>
              <w:rPr>
                <w:sz w:val="24"/>
              </w:rPr>
              <w:t xml:space="preserve">649</w:t>
            </w:r>
          </w:p>
        </w:tc>
        <w:tc>
          <w:tcPr>
            <w:gridSpan w:val="7"/>
            <w:tcW w:w="2608" w:type="dxa"/>
          </w:tcPr>
          <w:p>
            <w:pPr>
              <w:pStyle w:val="0"/>
            </w:pPr>
            <w:r>
              <w:rPr>
                <w:sz w:val="24"/>
              </w:rPr>
              <w:t xml:space="preserve">Вид залога</w:t>
            </w:r>
          </w:p>
        </w:tc>
        <w:tc>
          <w:tcPr>
            <w:tcW w:w="2608" w:type="dxa"/>
          </w:tcPr>
          <w:p>
            <w:pPr>
              <w:pStyle w:val="0"/>
            </w:pPr>
            <w:r>
              <w:rPr>
                <w:sz w:val="24"/>
              </w:rPr>
            </w:r>
          </w:p>
        </w:tc>
        <w:tc>
          <w:tcPr>
            <w:tcW w:w="2948" w:type="dxa"/>
          </w:tcPr>
          <w:p>
            <w:pPr>
              <w:pStyle w:val="0"/>
            </w:pPr>
            <w:r>
              <w:rPr>
                <w:sz w:val="24"/>
              </w:rPr>
              <w:t xml:space="preserve">ins-dic:VidZalogEnumerator</w:t>
            </w:r>
          </w:p>
        </w:tc>
      </w:tr>
      <w:tr>
        <w:tc>
          <w:tcPr>
            <w:tcW w:w="907" w:type="dxa"/>
          </w:tcPr>
          <w:p>
            <w:pPr>
              <w:pStyle w:val="0"/>
            </w:pPr>
            <w:r>
              <w:rPr>
                <w:sz w:val="24"/>
              </w:rPr>
              <w:t xml:space="preserve">649.1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649.2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649.3</w:t>
            </w:r>
          </w:p>
        </w:tc>
        <w:tc>
          <w:tcPr>
            <w:gridSpan w:val="7"/>
            <w:tcW w:w="2608" w:type="dxa"/>
          </w:tcPr>
          <w:p>
            <w:pPr>
              <w:pStyle w:val="0"/>
            </w:pPr>
            <w:r>
              <w:rPr>
                <w:sz w:val="24"/>
              </w:rPr>
            </w:r>
          </w:p>
        </w:tc>
        <w:tc>
          <w:tcPr>
            <w:tcW w:w="2608" w:type="dxa"/>
          </w:tcPr>
          <w:p>
            <w:pPr>
              <w:pStyle w:val="0"/>
            </w:pPr>
            <w:r>
              <w:rPr>
                <w:sz w:val="24"/>
              </w:rPr>
              <w:t xml:space="preserve">Идентификатор актива, являющегося предметом залога</w:t>
            </w:r>
          </w:p>
        </w:tc>
        <w:tc>
          <w:tcPr>
            <w:tcW w:w="2948" w:type="dxa"/>
          </w:tcPr>
          <w:p>
            <w:pPr>
              <w:pStyle w:val="0"/>
            </w:pPr>
            <w:r>
              <w:rPr>
                <w:sz w:val="24"/>
              </w:rPr>
              <w:t xml:space="preserve">dim-int:IDAktivYavlZalogTaxis</w:t>
            </w:r>
          </w:p>
        </w:tc>
      </w:tr>
      <w:tr>
        <w:tc>
          <w:tcPr>
            <w:tcW w:w="907" w:type="dxa"/>
          </w:tcPr>
          <w:bookmarkStart w:id="27608" w:name="P27608"/>
          <w:bookmarkEnd w:id="27608"/>
          <w:p>
            <w:pPr>
              <w:pStyle w:val="0"/>
            </w:pPr>
            <w:r>
              <w:rPr>
                <w:sz w:val="24"/>
              </w:rPr>
              <w:t xml:space="preserve">650</w:t>
            </w:r>
          </w:p>
        </w:tc>
        <w:tc>
          <w:tcPr>
            <w:gridSpan w:val="7"/>
            <w:tcW w:w="2608" w:type="dxa"/>
          </w:tcPr>
          <w:p>
            <w:pPr>
              <w:pStyle w:val="0"/>
            </w:pPr>
            <w:r>
              <w:rPr>
                <w:sz w:val="24"/>
              </w:rPr>
              <w:t xml:space="preserve">Стоимость предмета залога</w:t>
            </w:r>
          </w:p>
        </w:tc>
        <w:tc>
          <w:tcPr>
            <w:tcW w:w="2608" w:type="dxa"/>
          </w:tcPr>
          <w:p>
            <w:pPr>
              <w:pStyle w:val="0"/>
            </w:pPr>
            <w:r>
              <w:rPr>
                <w:sz w:val="24"/>
              </w:rPr>
            </w:r>
          </w:p>
        </w:tc>
        <w:tc>
          <w:tcPr>
            <w:tcW w:w="2948" w:type="dxa"/>
          </w:tcPr>
          <w:p>
            <w:pPr>
              <w:pStyle w:val="0"/>
            </w:pPr>
            <w:r>
              <w:rPr>
                <w:sz w:val="24"/>
              </w:rPr>
              <w:t xml:space="preserve">ins-dic:StoimPredmZalog</w:t>
            </w:r>
          </w:p>
        </w:tc>
      </w:tr>
      <w:tr>
        <w:tc>
          <w:tcPr>
            <w:tcW w:w="907" w:type="dxa"/>
          </w:tcPr>
          <w:p>
            <w:pPr>
              <w:pStyle w:val="0"/>
            </w:pPr>
            <w:r>
              <w:rPr>
                <w:sz w:val="24"/>
              </w:rPr>
              <w:t xml:space="preserve">650.1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650.2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650.3</w:t>
            </w:r>
          </w:p>
        </w:tc>
        <w:tc>
          <w:tcPr>
            <w:gridSpan w:val="7"/>
            <w:tcW w:w="2608" w:type="dxa"/>
          </w:tcPr>
          <w:p>
            <w:pPr>
              <w:pStyle w:val="0"/>
            </w:pPr>
            <w:r>
              <w:rPr>
                <w:sz w:val="24"/>
              </w:rPr>
            </w:r>
          </w:p>
        </w:tc>
        <w:tc>
          <w:tcPr>
            <w:tcW w:w="2608" w:type="dxa"/>
          </w:tcPr>
          <w:p>
            <w:pPr>
              <w:pStyle w:val="0"/>
            </w:pPr>
            <w:r>
              <w:rPr>
                <w:sz w:val="24"/>
              </w:rPr>
              <w:t xml:space="preserve">Идентификатор актива, являющегося предметом залога</w:t>
            </w:r>
          </w:p>
        </w:tc>
        <w:tc>
          <w:tcPr>
            <w:tcW w:w="2948" w:type="dxa"/>
          </w:tcPr>
          <w:p>
            <w:pPr>
              <w:pStyle w:val="0"/>
            </w:pPr>
            <w:r>
              <w:rPr>
                <w:sz w:val="24"/>
              </w:rPr>
              <w:t xml:space="preserve">dim-int:IDAktivYavIZalogTaxis</w:t>
            </w:r>
          </w:p>
        </w:tc>
      </w:tr>
      <w:tr>
        <w:tc>
          <w:tcPr>
            <w:tcW w:w="907" w:type="dxa"/>
          </w:tcPr>
          <w:bookmarkStart w:id="27624" w:name="P27624"/>
          <w:bookmarkEnd w:id="27624"/>
          <w:p>
            <w:pPr>
              <w:pStyle w:val="0"/>
            </w:pPr>
            <w:r>
              <w:rPr>
                <w:sz w:val="24"/>
              </w:rPr>
              <w:t xml:space="preserve">651</w:t>
            </w:r>
          </w:p>
        </w:tc>
        <w:tc>
          <w:tcPr>
            <w:gridSpan w:val="7"/>
            <w:tcW w:w="2608" w:type="dxa"/>
          </w:tcPr>
          <w:p>
            <w:pPr>
              <w:pStyle w:val="0"/>
            </w:pPr>
            <w:r>
              <w:rPr>
                <w:sz w:val="24"/>
              </w:rPr>
              <w:t xml:space="preserve">Стоимость залога, если по активу предполагается дефолт</w:t>
            </w:r>
          </w:p>
        </w:tc>
        <w:tc>
          <w:tcPr>
            <w:tcW w:w="2608" w:type="dxa"/>
          </w:tcPr>
          <w:p>
            <w:pPr>
              <w:pStyle w:val="0"/>
            </w:pPr>
            <w:r>
              <w:rPr>
                <w:sz w:val="24"/>
              </w:rPr>
            </w:r>
          </w:p>
        </w:tc>
        <w:tc>
          <w:tcPr>
            <w:tcW w:w="2948" w:type="dxa"/>
          </w:tcPr>
          <w:p>
            <w:pPr>
              <w:pStyle w:val="0"/>
            </w:pPr>
            <w:r>
              <w:rPr>
                <w:sz w:val="24"/>
              </w:rPr>
              <w:t xml:space="preserve">ins-dic:StoimZalogPredpDefolt</w:t>
            </w:r>
          </w:p>
        </w:tc>
      </w:tr>
      <w:tr>
        <w:tc>
          <w:tcPr>
            <w:tcW w:w="907" w:type="dxa"/>
          </w:tcPr>
          <w:p>
            <w:pPr>
              <w:pStyle w:val="0"/>
            </w:pPr>
            <w:r>
              <w:rPr>
                <w:sz w:val="24"/>
              </w:rPr>
              <w:t xml:space="preserve">651.1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651.2</w:t>
            </w:r>
          </w:p>
        </w:tc>
        <w:tc>
          <w:tcPr>
            <w:gridSpan w:val="7"/>
            <w:tcW w:w="2608" w:type="dxa"/>
          </w:tcPr>
          <w:p>
            <w:pPr>
              <w:pStyle w:val="0"/>
            </w:pPr>
            <w:r>
              <w:rPr>
                <w:sz w:val="24"/>
              </w:rPr>
            </w:r>
          </w:p>
        </w:tc>
        <w:tc>
          <w:tcPr>
            <w:tcW w:w="2608" w:type="dxa"/>
          </w:tcPr>
          <w:p>
            <w:pPr>
              <w:pStyle w:val="0"/>
            </w:pPr>
            <w:r>
              <w:rPr>
                <w:sz w:val="24"/>
              </w:rPr>
              <w:t xml:space="preserve">Идентификатор контрагента</w:t>
            </w:r>
          </w:p>
        </w:tc>
        <w:tc>
          <w:tcPr>
            <w:tcW w:w="2948" w:type="dxa"/>
          </w:tcPr>
          <w:p>
            <w:pPr>
              <w:pStyle w:val="0"/>
            </w:pPr>
            <w:r>
              <w:rPr>
                <w:sz w:val="24"/>
              </w:rPr>
              <w:t xml:space="preserve">dim-int:ID_KontragentaTaxis</w:t>
            </w:r>
          </w:p>
        </w:tc>
      </w:tr>
      <w:tr>
        <w:tc>
          <w:tcPr>
            <w:tcW w:w="907" w:type="dxa"/>
          </w:tcPr>
          <w:p>
            <w:pPr>
              <w:pStyle w:val="0"/>
            </w:pPr>
            <w:r>
              <w:rPr>
                <w:sz w:val="24"/>
              </w:rPr>
              <w:t xml:space="preserve">651.3</w:t>
            </w:r>
          </w:p>
        </w:tc>
        <w:tc>
          <w:tcPr>
            <w:gridSpan w:val="7"/>
            <w:tcW w:w="2608" w:type="dxa"/>
          </w:tcPr>
          <w:p>
            <w:pPr>
              <w:pStyle w:val="0"/>
            </w:pPr>
            <w:r>
              <w:rPr>
                <w:sz w:val="24"/>
              </w:rPr>
            </w:r>
          </w:p>
        </w:tc>
        <w:tc>
          <w:tcPr>
            <w:tcW w:w="2608" w:type="dxa"/>
          </w:tcPr>
          <w:p>
            <w:pPr>
              <w:pStyle w:val="0"/>
            </w:pPr>
            <w:r>
              <w:rPr>
                <w:sz w:val="24"/>
              </w:rPr>
              <w:t xml:space="preserve">Идентификатор актива, являющегося предметом залога</w:t>
            </w:r>
          </w:p>
        </w:tc>
        <w:tc>
          <w:tcPr>
            <w:tcW w:w="2948" w:type="dxa"/>
          </w:tcPr>
          <w:p>
            <w:pPr>
              <w:pStyle w:val="0"/>
            </w:pPr>
            <w:r>
              <w:rPr>
                <w:sz w:val="24"/>
              </w:rPr>
              <w:t xml:space="preserve">dim-int:IDAktivYavlZalogTaxis</w:t>
            </w:r>
          </w:p>
        </w:tc>
      </w:tr>
      <w:tr>
        <w:tblPrEx>
          <w:tblBorders>
            <w:insideV w:val="nil"/>
          </w:tblBorders>
        </w:tblPrEx>
        <w:tc>
          <w:tcPr>
            <w:gridSpan w:val="2"/>
            <w:tcW w:w="1124" w:type="dxa"/>
            <w:tcBorders>
              <w:left w:val="single" w:sz="4"/>
            </w:tcBorders>
          </w:tcPr>
          <w:bookmarkStart w:id="27640" w:name="P27640"/>
          <w:bookmarkEnd w:id="27640"/>
          <w:p>
            <w:pPr>
              <w:pStyle w:val="0"/>
              <w:outlineLvl w:val="3"/>
            </w:pPr>
            <w:r>
              <w:rPr>
                <w:sz w:val="24"/>
              </w:rPr>
              <w:t xml:space="preserve">Раздел 8.</w:t>
            </w:r>
          </w:p>
        </w:tc>
        <w:tc>
          <w:tcPr>
            <w:gridSpan w:val="8"/>
            <w:tcW w:w="7947" w:type="dxa"/>
            <w:tcBorders>
              <w:right w:val="single" w:sz="4"/>
            </w:tcBorders>
          </w:tcPr>
          <w:p>
            <w:pPr>
              <w:pStyle w:val="0"/>
            </w:pPr>
            <w:r>
              <w:rPr>
                <w:sz w:val="24"/>
              </w:rPr>
              <w:t xml:space="preserve">Потоки по отдельным видам активов</w:t>
            </w:r>
          </w:p>
        </w:tc>
      </w:tr>
      <w:tr>
        <w:tc>
          <w:tcPr>
            <w:tcW w:w="907" w:type="dxa"/>
          </w:tcPr>
          <w:bookmarkStart w:id="27642" w:name="P27642"/>
          <w:bookmarkEnd w:id="27642"/>
          <w:p>
            <w:pPr>
              <w:pStyle w:val="0"/>
            </w:pPr>
            <w:r>
              <w:rPr>
                <w:sz w:val="24"/>
              </w:rPr>
              <w:t xml:space="preserve">652</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652.1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652.2</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652.3</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bookmarkStart w:id="27658" w:name="P27658"/>
          <w:bookmarkEnd w:id="27658"/>
          <w:p>
            <w:pPr>
              <w:pStyle w:val="0"/>
            </w:pPr>
            <w:r>
              <w:rPr>
                <w:sz w:val="24"/>
              </w:rPr>
              <w:t xml:space="preserve">653</w:t>
            </w:r>
          </w:p>
        </w:tc>
        <w:tc>
          <w:tcPr>
            <w:gridSpan w:val="7"/>
            <w:tcW w:w="2608" w:type="dxa"/>
          </w:tcPr>
          <w:p>
            <w:pPr>
              <w:pStyle w:val="0"/>
            </w:pPr>
            <w:r>
              <w:rPr>
                <w:sz w:val="24"/>
              </w:rPr>
              <w:t xml:space="preserve">Дата платежа</w:t>
            </w:r>
          </w:p>
        </w:tc>
        <w:tc>
          <w:tcPr>
            <w:tcW w:w="2608" w:type="dxa"/>
          </w:tcPr>
          <w:p>
            <w:pPr>
              <w:pStyle w:val="0"/>
            </w:pPr>
            <w:r>
              <w:rPr>
                <w:sz w:val="24"/>
              </w:rPr>
            </w:r>
          </w:p>
        </w:tc>
        <w:tc>
          <w:tcPr>
            <w:tcW w:w="2948" w:type="dxa"/>
          </w:tcPr>
          <w:p>
            <w:pPr>
              <w:pStyle w:val="0"/>
            </w:pPr>
            <w:r>
              <w:rPr>
                <w:sz w:val="24"/>
              </w:rPr>
              <w:t xml:space="preserve">nfo-dic:DataPlatezh</w:t>
            </w:r>
          </w:p>
        </w:tc>
      </w:tr>
      <w:tr>
        <w:tc>
          <w:tcPr>
            <w:tcW w:w="907" w:type="dxa"/>
          </w:tcPr>
          <w:p>
            <w:pPr>
              <w:pStyle w:val="0"/>
            </w:pPr>
            <w:r>
              <w:rPr>
                <w:sz w:val="24"/>
              </w:rPr>
              <w:t xml:space="preserve">653.1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653.2</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653.3</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bookmarkStart w:id="27674" w:name="P27674"/>
          <w:bookmarkEnd w:id="27674"/>
          <w:p>
            <w:pPr>
              <w:pStyle w:val="0"/>
            </w:pPr>
            <w:r>
              <w:rPr>
                <w:sz w:val="24"/>
              </w:rPr>
              <w:t xml:space="preserve">654</w:t>
            </w:r>
          </w:p>
        </w:tc>
        <w:tc>
          <w:tcPr>
            <w:gridSpan w:val="7"/>
            <w:tcW w:w="2608" w:type="dxa"/>
          </w:tcPr>
          <w:p>
            <w:pPr>
              <w:pStyle w:val="0"/>
            </w:pPr>
            <w:r>
              <w:rPr>
                <w:sz w:val="24"/>
              </w:rPr>
              <w:t xml:space="preserve">Сумма платежа</w:t>
            </w:r>
          </w:p>
        </w:tc>
        <w:tc>
          <w:tcPr>
            <w:tcW w:w="2608" w:type="dxa"/>
          </w:tcPr>
          <w:p>
            <w:pPr>
              <w:pStyle w:val="0"/>
            </w:pPr>
            <w:r>
              <w:rPr>
                <w:sz w:val="24"/>
              </w:rPr>
            </w:r>
          </w:p>
        </w:tc>
        <w:tc>
          <w:tcPr>
            <w:tcW w:w="2948" w:type="dxa"/>
          </w:tcPr>
          <w:p>
            <w:pPr>
              <w:pStyle w:val="0"/>
            </w:pPr>
            <w:r>
              <w:rPr>
                <w:sz w:val="24"/>
              </w:rPr>
              <w:t xml:space="preserve">nfo-dic:SumPlat</w:t>
            </w:r>
          </w:p>
        </w:tc>
      </w:tr>
      <w:tr>
        <w:tc>
          <w:tcPr>
            <w:tcW w:w="907" w:type="dxa"/>
          </w:tcPr>
          <w:p>
            <w:pPr>
              <w:pStyle w:val="0"/>
            </w:pPr>
            <w:r>
              <w:rPr>
                <w:sz w:val="24"/>
              </w:rPr>
              <w:t xml:space="preserve">654.1</w:t>
            </w:r>
          </w:p>
        </w:tc>
        <w:tc>
          <w:tcPr>
            <w:gridSpan w:val="7"/>
            <w:tcW w:w="2608" w:type="dxa"/>
          </w:tcPr>
          <w:p>
            <w:pPr>
              <w:pStyle w:val="0"/>
            </w:pPr>
            <w:r>
              <w:rPr>
                <w:sz w:val="24"/>
              </w:rPr>
            </w:r>
          </w:p>
        </w:tc>
        <w:tc>
          <w:tcPr>
            <w:tcW w:w="2608" w:type="dxa"/>
          </w:tcPr>
          <w:p>
            <w:pPr>
              <w:pStyle w:val="0"/>
            </w:pPr>
            <w:r>
              <w:rPr>
                <w:sz w:val="24"/>
              </w:rPr>
              <w:t xml:space="preserve">Идентификатор актива</w:t>
            </w:r>
          </w:p>
        </w:tc>
        <w:tc>
          <w:tcPr>
            <w:tcW w:w="2948" w:type="dxa"/>
          </w:tcPr>
          <w:p>
            <w:pPr>
              <w:pStyle w:val="0"/>
            </w:pPr>
            <w:r>
              <w:rPr>
                <w:sz w:val="24"/>
              </w:rPr>
              <w:t xml:space="preserve">dim-int:Identifikator_ATaxis</w:t>
            </w:r>
          </w:p>
        </w:tc>
      </w:tr>
      <w:tr>
        <w:tc>
          <w:tcPr>
            <w:tcW w:w="907" w:type="dxa"/>
          </w:tcPr>
          <w:p>
            <w:pPr>
              <w:pStyle w:val="0"/>
            </w:pPr>
            <w:r>
              <w:rPr>
                <w:sz w:val="24"/>
              </w:rPr>
              <w:t xml:space="preserve">654.2</w:t>
            </w:r>
          </w:p>
        </w:tc>
        <w:tc>
          <w:tcPr>
            <w:gridSpan w:val="7"/>
            <w:tcW w:w="2608" w:type="dxa"/>
          </w:tcPr>
          <w:p>
            <w:pPr>
              <w:pStyle w:val="0"/>
            </w:pPr>
            <w:r>
              <w:rPr>
                <w:sz w:val="24"/>
              </w:rPr>
            </w:r>
          </w:p>
        </w:tc>
        <w:tc>
          <w:tcPr>
            <w:tcW w:w="2608" w:type="dxa"/>
          </w:tcPr>
          <w:p>
            <w:pPr>
              <w:pStyle w:val="0"/>
            </w:pPr>
            <w:r>
              <w:rPr>
                <w:sz w:val="24"/>
              </w:rPr>
              <w:t xml:space="preserve">Вид актива</w:t>
            </w:r>
          </w:p>
        </w:tc>
        <w:tc>
          <w:tcPr>
            <w:tcW w:w="2948" w:type="dxa"/>
          </w:tcPr>
          <w:p>
            <w:pPr>
              <w:pStyle w:val="0"/>
            </w:pPr>
            <w:r>
              <w:rPr>
                <w:sz w:val="24"/>
              </w:rPr>
              <w:t xml:space="preserve">dim-int:KlassAktAxis</w:t>
            </w:r>
          </w:p>
        </w:tc>
      </w:tr>
      <w:tr>
        <w:tc>
          <w:tcPr>
            <w:tcW w:w="907" w:type="dxa"/>
          </w:tcPr>
          <w:p>
            <w:pPr>
              <w:pStyle w:val="0"/>
            </w:pPr>
            <w:r>
              <w:rPr>
                <w:sz w:val="24"/>
              </w:rPr>
              <w:t xml:space="preserve">654.3</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blPrEx>
          <w:tblBorders>
            <w:insideV w:val="nil"/>
          </w:tblBorders>
        </w:tblPrEx>
        <w:tc>
          <w:tcPr>
            <w:gridSpan w:val="2"/>
            <w:tcW w:w="1124" w:type="dxa"/>
            <w:tcBorders>
              <w:left w:val="single" w:sz="4"/>
            </w:tcBorders>
          </w:tcPr>
          <w:bookmarkStart w:id="27690" w:name="P27690"/>
          <w:bookmarkEnd w:id="27690"/>
          <w:p>
            <w:pPr>
              <w:pStyle w:val="0"/>
              <w:outlineLvl w:val="3"/>
            </w:pPr>
            <w:r>
              <w:rPr>
                <w:sz w:val="24"/>
              </w:rPr>
              <w:t xml:space="preserve">Раздел 9.</w:t>
            </w:r>
          </w:p>
        </w:tc>
        <w:tc>
          <w:tcPr>
            <w:gridSpan w:val="8"/>
            <w:tcW w:w="7947" w:type="dxa"/>
            <w:tcBorders>
              <w:right w:val="single" w:sz="4"/>
            </w:tcBorders>
          </w:tcPr>
          <w:p>
            <w:pPr>
              <w:pStyle w:val="0"/>
            </w:pPr>
            <w:r>
              <w:rPr>
                <w:sz w:val="24"/>
              </w:rPr>
              <w:t xml:space="preserve">Потоки по отдельным видам обязательств</w:t>
            </w:r>
          </w:p>
        </w:tc>
      </w:tr>
      <w:tr>
        <w:tc>
          <w:tcPr>
            <w:tcW w:w="907" w:type="dxa"/>
          </w:tcPr>
          <w:bookmarkStart w:id="27692" w:name="P27692"/>
          <w:bookmarkEnd w:id="27692"/>
          <w:p>
            <w:pPr>
              <w:pStyle w:val="0"/>
            </w:pPr>
            <w:r>
              <w:rPr>
                <w:sz w:val="24"/>
              </w:rPr>
              <w:t xml:space="preserve">655</w:t>
            </w:r>
          </w:p>
        </w:tc>
        <w:tc>
          <w:tcPr>
            <w:gridSpan w:val="7"/>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655.1</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655.2</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655.3</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bookmarkStart w:id="27708" w:name="P27708"/>
          <w:bookmarkEnd w:id="27708"/>
          <w:p>
            <w:pPr>
              <w:pStyle w:val="0"/>
            </w:pPr>
            <w:r>
              <w:rPr>
                <w:sz w:val="24"/>
              </w:rPr>
              <w:t xml:space="preserve">656</w:t>
            </w:r>
          </w:p>
        </w:tc>
        <w:tc>
          <w:tcPr>
            <w:gridSpan w:val="7"/>
            <w:tcW w:w="2608" w:type="dxa"/>
          </w:tcPr>
          <w:p>
            <w:pPr>
              <w:pStyle w:val="0"/>
            </w:pPr>
            <w:r>
              <w:rPr>
                <w:sz w:val="24"/>
              </w:rPr>
              <w:t xml:space="preserve">Дата платежа</w:t>
            </w:r>
          </w:p>
        </w:tc>
        <w:tc>
          <w:tcPr>
            <w:tcW w:w="2608" w:type="dxa"/>
          </w:tcPr>
          <w:p>
            <w:pPr>
              <w:pStyle w:val="0"/>
            </w:pPr>
            <w:r>
              <w:rPr>
                <w:sz w:val="24"/>
              </w:rPr>
            </w:r>
          </w:p>
        </w:tc>
        <w:tc>
          <w:tcPr>
            <w:tcW w:w="2948" w:type="dxa"/>
          </w:tcPr>
          <w:p>
            <w:pPr>
              <w:pStyle w:val="0"/>
            </w:pPr>
            <w:r>
              <w:rPr>
                <w:sz w:val="24"/>
              </w:rPr>
              <w:t xml:space="preserve">nfo-dic:DataPlatezh</w:t>
            </w:r>
          </w:p>
        </w:tc>
      </w:tr>
      <w:tr>
        <w:tc>
          <w:tcPr>
            <w:tcW w:w="907" w:type="dxa"/>
          </w:tcPr>
          <w:p>
            <w:pPr>
              <w:pStyle w:val="0"/>
            </w:pPr>
            <w:r>
              <w:rPr>
                <w:sz w:val="24"/>
              </w:rPr>
              <w:t xml:space="preserve">656.1</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656.2</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656.3</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c>
          <w:tcPr>
            <w:tcW w:w="907" w:type="dxa"/>
          </w:tcPr>
          <w:bookmarkStart w:id="27724" w:name="P27724"/>
          <w:bookmarkEnd w:id="27724"/>
          <w:p>
            <w:pPr>
              <w:pStyle w:val="0"/>
            </w:pPr>
            <w:r>
              <w:rPr>
                <w:sz w:val="24"/>
              </w:rPr>
              <w:t xml:space="preserve">657</w:t>
            </w:r>
          </w:p>
        </w:tc>
        <w:tc>
          <w:tcPr>
            <w:gridSpan w:val="7"/>
            <w:tcW w:w="2608" w:type="dxa"/>
          </w:tcPr>
          <w:p>
            <w:pPr>
              <w:pStyle w:val="0"/>
            </w:pPr>
            <w:r>
              <w:rPr>
                <w:sz w:val="24"/>
              </w:rPr>
              <w:t xml:space="preserve">Номинальная стоимость</w:t>
            </w:r>
          </w:p>
        </w:tc>
        <w:tc>
          <w:tcPr>
            <w:tcW w:w="2608" w:type="dxa"/>
          </w:tcPr>
          <w:p>
            <w:pPr>
              <w:pStyle w:val="0"/>
            </w:pPr>
            <w:r>
              <w:rPr>
                <w:sz w:val="24"/>
              </w:rPr>
            </w:r>
          </w:p>
        </w:tc>
        <w:tc>
          <w:tcPr>
            <w:tcW w:w="2948" w:type="dxa"/>
          </w:tcPr>
          <w:p>
            <w:pPr>
              <w:pStyle w:val="0"/>
            </w:pPr>
            <w:r>
              <w:rPr>
                <w:sz w:val="24"/>
              </w:rPr>
              <w:t xml:space="preserve">ins-dic:NomStoim</w:t>
            </w:r>
          </w:p>
        </w:tc>
      </w:tr>
      <w:tr>
        <w:tc>
          <w:tcPr>
            <w:tcW w:w="907" w:type="dxa"/>
          </w:tcPr>
          <w:p>
            <w:pPr>
              <w:pStyle w:val="0"/>
            </w:pPr>
            <w:r>
              <w:rPr>
                <w:sz w:val="24"/>
              </w:rPr>
              <w:t xml:space="preserve">657.1</w:t>
            </w:r>
          </w:p>
        </w:tc>
        <w:tc>
          <w:tcPr>
            <w:gridSpan w:val="7"/>
            <w:tcW w:w="2608" w:type="dxa"/>
          </w:tcPr>
          <w:p>
            <w:pPr>
              <w:pStyle w:val="0"/>
            </w:pPr>
            <w:r>
              <w:rPr>
                <w:sz w:val="24"/>
              </w:rPr>
            </w:r>
          </w:p>
        </w:tc>
        <w:tc>
          <w:tcPr>
            <w:tcW w:w="2608" w:type="dxa"/>
          </w:tcPr>
          <w:p>
            <w:pPr>
              <w:pStyle w:val="0"/>
            </w:pPr>
            <w:r>
              <w:rPr>
                <w:sz w:val="24"/>
              </w:rPr>
              <w:t xml:space="preserve">Идентификатор обязательства</w:t>
            </w:r>
          </w:p>
        </w:tc>
        <w:tc>
          <w:tcPr>
            <w:tcW w:w="2948" w:type="dxa"/>
          </w:tcPr>
          <w:p>
            <w:pPr>
              <w:pStyle w:val="0"/>
            </w:pPr>
            <w:r>
              <w:rPr>
                <w:sz w:val="24"/>
              </w:rPr>
              <w:t xml:space="preserve">dim-int:IDObyazTaxis</w:t>
            </w:r>
          </w:p>
        </w:tc>
      </w:tr>
      <w:tr>
        <w:tc>
          <w:tcPr>
            <w:tcW w:w="907" w:type="dxa"/>
          </w:tcPr>
          <w:p>
            <w:pPr>
              <w:pStyle w:val="0"/>
            </w:pPr>
            <w:r>
              <w:rPr>
                <w:sz w:val="24"/>
              </w:rPr>
              <w:t xml:space="preserve">657.2</w:t>
            </w:r>
          </w:p>
        </w:tc>
        <w:tc>
          <w:tcPr>
            <w:gridSpan w:val="7"/>
            <w:tcW w:w="2608" w:type="dxa"/>
          </w:tcPr>
          <w:p>
            <w:pPr>
              <w:pStyle w:val="0"/>
            </w:pPr>
            <w:r>
              <w:rPr>
                <w:sz w:val="24"/>
              </w:rPr>
            </w:r>
          </w:p>
        </w:tc>
        <w:tc>
          <w:tcPr>
            <w:tcW w:w="2608" w:type="dxa"/>
          </w:tcPr>
          <w:p>
            <w:pPr>
              <w:pStyle w:val="0"/>
            </w:pPr>
            <w:r>
              <w:rPr>
                <w:sz w:val="24"/>
              </w:rPr>
              <w:t xml:space="preserve">Вид обязательства</w:t>
            </w:r>
          </w:p>
        </w:tc>
        <w:tc>
          <w:tcPr>
            <w:tcW w:w="2948" w:type="dxa"/>
          </w:tcPr>
          <w:p>
            <w:pPr>
              <w:pStyle w:val="0"/>
            </w:pPr>
            <w:r>
              <w:rPr>
                <w:sz w:val="24"/>
              </w:rPr>
              <w:t xml:space="preserve">dim-int:KlassObAxis</w:t>
            </w:r>
          </w:p>
        </w:tc>
      </w:tr>
      <w:tr>
        <w:tc>
          <w:tcPr>
            <w:tcW w:w="907" w:type="dxa"/>
          </w:tcPr>
          <w:p>
            <w:pPr>
              <w:pStyle w:val="0"/>
            </w:pPr>
            <w:r>
              <w:rPr>
                <w:sz w:val="24"/>
              </w:rPr>
              <w:t xml:space="preserve">657.3</w:t>
            </w:r>
          </w:p>
        </w:tc>
        <w:tc>
          <w:tcPr>
            <w:gridSpan w:val="7"/>
            <w:tcW w:w="2608" w:type="dxa"/>
          </w:tcPr>
          <w:p>
            <w:pPr>
              <w:pStyle w:val="0"/>
            </w:pPr>
            <w:r>
              <w:rPr>
                <w:sz w:val="24"/>
              </w:rPr>
            </w:r>
          </w:p>
        </w:tc>
        <w:tc>
          <w:tcPr>
            <w:tcW w:w="2608" w:type="dxa"/>
          </w:tcPr>
          <w:p>
            <w:pPr>
              <w:pStyle w:val="0"/>
            </w:pPr>
            <w:r>
              <w:rPr>
                <w:sz w:val="24"/>
              </w:rPr>
              <w:t xml:space="preserve">Идентификатор платежа</w:t>
            </w:r>
          </w:p>
        </w:tc>
        <w:tc>
          <w:tcPr>
            <w:tcW w:w="2948" w:type="dxa"/>
          </w:tcPr>
          <w:p>
            <w:pPr>
              <w:pStyle w:val="0"/>
            </w:pPr>
            <w:r>
              <w:rPr>
                <w:sz w:val="24"/>
              </w:rPr>
              <w:t xml:space="preserve">dim-int:IDPlatezhTaxis</w:t>
            </w:r>
          </w:p>
        </w:tc>
      </w:tr>
      <w:tr>
        <w:tblPrEx>
          <w:tblBorders>
            <w:insideV w:val="nil"/>
          </w:tblBorders>
        </w:tblPrEx>
        <w:tc>
          <w:tcPr>
            <w:gridSpan w:val="2"/>
            <w:tcW w:w="1124" w:type="dxa"/>
            <w:tcBorders>
              <w:left w:val="single" w:sz="4"/>
            </w:tcBorders>
          </w:tcPr>
          <w:bookmarkStart w:id="27740" w:name="P27740"/>
          <w:bookmarkEnd w:id="27740"/>
          <w:p>
            <w:pPr>
              <w:pStyle w:val="0"/>
              <w:outlineLvl w:val="3"/>
            </w:pPr>
            <w:r>
              <w:rPr>
                <w:sz w:val="24"/>
              </w:rPr>
              <w:t xml:space="preserve">Раздел 10.</w:t>
            </w:r>
          </w:p>
        </w:tc>
        <w:tc>
          <w:tcPr>
            <w:gridSpan w:val="8"/>
            <w:tcW w:w="7947" w:type="dxa"/>
            <w:tcBorders>
              <w:right w:val="single" w:sz="4"/>
            </w:tcBorders>
          </w:tcPr>
          <w:p>
            <w:pPr>
              <w:pStyle w:val="0"/>
            </w:pPr>
            <w:r>
              <w:rPr>
                <w:sz w:val="24"/>
              </w:rPr>
              <w:t xml:space="preserve">Расчет соотношения совокупной стоимости активов (обязательств) к стоимости активов страховщика</w:t>
            </w:r>
          </w:p>
        </w:tc>
      </w:tr>
      <w:tr>
        <w:tc>
          <w:tcPr>
            <w:tcW w:w="907" w:type="dxa"/>
          </w:tcPr>
          <w:bookmarkStart w:id="27742" w:name="P27742"/>
          <w:bookmarkEnd w:id="27742"/>
          <w:p>
            <w:pPr>
              <w:pStyle w:val="0"/>
            </w:pPr>
            <w:r>
              <w:rPr>
                <w:sz w:val="24"/>
              </w:rPr>
              <w:t xml:space="preserve">658</w:t>
            </w:r>
          </w:p>
        </w:tc>
        <w:tc>
          <w:tcPr>
            <w:gridSpan w:val="7"/>
            <w:tcW w:w="2608" w:type="dxa"/>
          </w:tcPr>
          <w:p>
            <w:pPr>
              <w:pStyle w:val="0"/>
            </w:pPr>
            <w:r>
              <w:rPr>
                <w:sz w:val="24"/>
              </w:rPr>
              <w:t xml:space="preserve">Стоимость лотов срочных сделок</w:t>
            </w:r>
          </w:p>
        </w:tc>
        <w:tc>
          <w:tcPr>
            <w:tcW w:w="2608" w:type="dxa"/>
          </w:tcPr>
          <w:p>
            <w:pPr>
              <w:pStyle w:val="0"/>
            </w:pPr>
            <w:r>
              <w:rPr>
                <w:sz w:val="24"/>
              </w:rPr>
            </w:r>
          </w:p>
        </w:tc>
        <w:tc>
          <w:tcPr>
            <w:tcW w:w="2948" w:type="dxa"/>
          </w:tcPr>
          <w:p>
            <w:pPr>
              <w:pStyle w:val="0"/>
            </w:pPr>
            <w:r>
              <w:rPr>
                <w:sz w:val="24"/>
              </w:rPr>
              <w:t xml:space="preserve">ins-dic:StoimLotSrochSdel</w:t>
            </w:r>
          </w:p>
        </w:tc>
      </w:tr>
      <w:tr>
        <w:tc>
          <w:tcPr>
            <w:tcW w:w="907" w:type="dxa"/>
          </w:tcPr>
          <w:bookmarkStart w:id="27746" w:name="P27746"/>
          <w:bookmarkEnd w:id="27746"/>
          <w:p>
            <w:pPr>
              <w:pStyle w:val="0"/>
            </w:pPr>
            <w:r>
              <w:rPr>
                <w:sz w:val="24"/>
              </w:rPr>
              <w:t xml:space="preserve">659</w:t>
            </w:r>
          </w:p>
        </w:tc>
        <w:tc>
          <w:tcPr>
            <w:gridSpan w:val="7"/>
            <w:tcW w:w="2608" w:type="dxa"/>
          </w:tcPr>
          <w:p>
            <w:pPr>
              <w:pStyle w:val="0"/>
            </w:pPr>
            <w:r>
              <w:rPr>
                <w:sz w:val="24"/>
              </w:rPr>
              <w:t xml:space="preserve">Стоимость ценных бумаг (денежных средств), полученных по первой части договора репо</w:t>
            </w:r>
          </w:p>
        </w:tc>
        <w:tc>
          <w:tcPr>
            <w:tcW w:w="2608" w:type="dxa"/>
          </w:tcPr>
          <w:p>
            <w:pPr>
              <w:pStyle w:val="0"/>
            </w:pPr>
            <w:r>
              <w:rPr>
                <w:sz w:val="24"/>
              </w:rPr>
            </w:r>
          </w:p>
        </w:tc>
        <w:tc>
          <w:tcPr>
            <w:tcW w:w="2948" w:type="dxa"/>
          </w:tcPr>
          <w:p>
            <w:pPr>
              <w:pStyle w:val="0"/>
            </w:pPr>
            <w:r>
              <w:rPr>
                <w:sz w:val="24"/>
              </w:rPr>
              <w:t xml:space="preserve">ins-dic:Czb_Dogovorrepo</w:t>
            </w:r>
          </w:p>
        </w:tc>
      </w:tr>
      <w:tr>
        <w:tc>
          <w:tcPr>
            <w:tcW w:w="907" w:type="dxa"/>
          </w:tcPr>
          <w:bookmarkStart w:id="27750" w:name="P27750"/>
          <w:bookmarkEnd w:id="27750"/>
          <w:p>
            <w:pPr>
              <w:pStyle w:val="0"/>
            </w:pPr>
            <w:r>
              <w:rPr>
                <w:sz w:val="24"/>
              </w:rPr>
              <w:t xml:space="preserve">660</w:t>
            </w:r>
          </w:p>
        </w:tc>
        <w:tc>
          <w:tcPr>
            <w:gridSpan w:val="7"/>
            <w:tcW w:w="2608" w:type="dxa"/>
          </w:tcPr>
          <w:p>
            <w:pPr>
              <w:pStyle w:val="0"/>
            </w:pPr>
            <w:r>
              <w:rPr>
                <w:sz w:val="24"/>
              </w:rPr>
              <w:t xml:space="preserve">Привлеченные кредиты и займы (за исключением субординированных займов) с учетом процентов</w:t>
            </w:r>
          </w:p>
        </w:tc>
        <w:tc>
          <w:tcPr>
            <w:tcW w:w="2608" w:type="dxa"/>
          </w:tcPr>
          <w:p>
            <w:pPr>
              <w:pStyle w:val="0"/>
            </w:pPr>
            <w:r>
              <w:rPr>
                <w:sz w:val="24"/>
              </w:rPr>
            </w:r>
          </w:p>
        </w:tc>
        <w:tc>
          <w:tcPr>
            <w:tcW w:w="2948" w:type="dxa"/>
          </w:tcPr>
          <w:p>
            <w:pPr>
              <w:pStyle w:val="0"/>
            </w:pPr>
            <w:r>
              <w:rPr>
                <w:sz w:val="24"/>
              </w:rPr>
              <w:t xml:space="preserve">ins-dic:PrivlKrZajmIsklSubUchProcz</w:t>
            </w:r>
          </w:p>
        </w:tc>
      </w:tr>
      <w:tr>
        <w:tc>
          <w:tcPr>
            <w:tcW w:w="907" w:type="dxa"/>
          </w:tcPr>
          <w:bookmarkStart w:id="27754" w:name="P27754"/>
          <w:bookmarkEnd w:id="27754"/>
          <w:p>
            <w:pPr>
              <w:pStyle w:val="0"/>
            </w:pPr>
            <w:r>
              <w:rPr>
                <w:sz w:val="24"/>
              </w:rPr>
              <w:t xml:space="preserve">661</w:t>
            </w:r>
          </w:p>
        </w:tc>
        <w:tc>
          <w:tcPr>
            <w:gridSpan w:val="7"/>
            <w:tcW w:w="2608" w:type="dxa"/>
          </w:tcPr>
          <w:p>
            <w:pPr>
              <w:pStyle w:val="0"/>
            </w:pPr>
            <w:r>
              <w:rPr>
                <w:sz w:val="24"/>
              </w:rPr>
              <w:t xml:space="preserve">Стоимость выданных поручительств и независимых гарантий</w:t>
            </w:r>
          </w:p>
        </w:tc>
        <w:tc>
          <w:tcPr>
            <w:tcW w:w="2608" w:type="dxa"/>
          </w:tcPr>
          <w:p>
            <w:pPr>
              <w:pStyle w:val="0"/>
            </w:pPr>
            <w:r>
              <w:rPr>
                <w:sz w:val="24"/>
              </w:rPr>
            </w:r>
          </w:p>
        </w:tc>
        <w:tc>
          <w:tcPr>
            <w:tcW w:w="2948" w:type="dxa"/>
          </w:tcPr>
          <w:p>
            <w:pPr>
              <w:pStyle w:val="0"/>
            </w:pPr>
            <w:r>
              <w:rPr>
                <w:sz w:val="24"/>
              </w:rPr>
              <w:t xml:space="preserve">ins-dic:StoimVydPoruchINezavisGarantii</w:t>
            </w:r>
          </w:p>
        </w:tc>
      </w:tr>
      <w:tr>
        <w:tc>
          <w:tcPr>
            <w:tcW w:w="907" w:type="dxa"/>
          </w:tcPr>
          <w:bookmarkStart w:id="27758" w:name="P27758"/>
          <w:bookmarkEnd w:id="27758"/>
          <w:p>
            <w:pPr>
              <w:pStyle w:val="0"/>
            </w:pPr>
            <w:r>
              <w:rPr>
                <w:sz w:val="24"/>
              </w:rPr>
              <w:t xml:space="preserve">662</w:t>
            </w:r>
          </w:p>
        </w:tc>
        <w:tc>
          <w:tcPr>
            <w:gridSpan w:val="7"/>
            <w:tcW w:w="2608" w:type="dxa"/>
          </w:tcPr>
          <w:p>
            <w:pPr>
              <w:pStyle w:val="0"/>
            </w:pPr>
            <w:r>
              <w:rPr>
                <w:sz w:val="24"/>
              </w:rPr>
              <w:t xml:space="preserve">Стоимость выпущенных цифровых финансовых активов</w:t>
            </w:r>
          </w:p>
        </w:tc>
        <w:tc>
          <w:tcPr>
            <w:tcW w:w="2608" w:type="dxa"/>
          </w:tcPr>
          <w:p>
            <w:pPr>
              <w:pStyle w:val="0"/>
            </w:pPr>
            <w:r>
              <w:rPr>
                <w:sz w:val="24"/>
              </w:rPr>
            </w:r>
          </w:p>
        </w:tc>
        <w:tc>
          <w:tcPr>
            <w:tcW w:w="2948" w:type="dxa"/>
          </w:tcPr>
          <w:p>
            <w:pPr>
              <w:pStyle w:val="0"/>
            </w:pPr>
            <w:r>
              <w:rPr>
                <w:sz w:val="24"/>
              </w:rPr>
              <w:t xml:space="preserve">ins-dic:StoimostVypushhennyxCZifrovyxFinansovyxAktivov</w:t>
            </w:r>
          </w:p>
        </w:tc>
      </w:tr>
      <w:tr>
        <w:tc>
          <w:tcPr>
            <w:tcW w:w="907" w:type="dxa"/>
          </w:tcPr>
          <w:bookmarkStart w:id="27762" w:name="P27762"/>
          <w:bookmarkEnd w:id="27762"/>
          <w:p>
            <w:pPr>
              <w:pStyle w:val="0"/>
            </w:pPr>
            <w:r>
              <w:rPr>
                <w:sz w:val="24"/>
              </w:rPr>
              <w:t xml:space="preserve">663</w:t>
            </w:r>
          </w:p>
        </w:tc>
        <w:tc>
          <w:tcPr>
            <w:gridSpan w:val="7"/>
            <w:tcW w:w="2608" w:type="dxa"/>
          </w:tcPr>
          <w:p>
            <w:pPr>
              <w:pStyle w:val="0"/>
            </w:pPr>
            <w:r>
              <w:rPr>
                <w:sz w:val="24"/>
              </w:rPr>
              <w:t xml:space="preserve">Стоимость активов, определенная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ins-dic:StoimAktPolozh710P</w:t>
            </w:r>
          </w:p>
        </w:tc>
      </w:tr>
      <w:tr>
        <w:tc>
          <w:tcPr>
            <w:tcW w:w="907" w:type="dxa"/>
          </w:tcPr>
          <w:bookmarkStart w:id="27766" w:name="P27766"/>
          <w:bookmarkEnd w:id="27766"/>
          <w:p>
            <w:pPr>
              <w:pStyle w:val="0"/>
            </w:pPr>
            <w:r>
              <w:rPr>
                <w:sz w:val="24"/>
              </w:rPr>
              <w:t xml:space="preserve">664</w:t>
            </w:r>
          </w:p>
        </w:tc>
        <w:tc>
          <w:tcPr>
            <w:gridSpan w:val="7"/>
            <w:tcW w:w="2608" w:type="dxa"/>
          </w:tcPr>
          <w:p>
            <w:pPr>
              <w:pStyle w:val="0"/>
            </w:pPr>
            <w:r>
              <w:rPr>
                <w:sz w:val="24"/>
              </w:rPr>
              <w:t xml:space="preserve">Структурное соотношение</w:t>
            </w:r>
          </w:p>
        </w:tc>
        <w:tc>
          <w:tcPr>
            <w:tcW w:w="2608" w:type="dxa"/>
          </w:tcPr>
          <w:p>
            <w:pPr>
              <w:pStyle w:val="0"/>
            </w:pPr>
            <w:r>
              <w:rPr>
                <w:sz w:val="24"/>
              </w:rPr>
            </w:r>
          </w:p>
        </w:tc>
        <w:tc>
          <w:tcPr>
            <w:tcW w:w="2948" w:type="dxa"/>
          </w:tcPr>
          <w:p>
            <w:pPr>
              <w:pStyle w:val="0"/>
            </w:pPr>
            <w:r>
              <w:rPr>
                <w:sz w:val="24"/>
              </w:rPr>
              <w:t xml:space="preserve">ins-dic:StrukturSootnoshenie</w:t>
            </w:r>
          </w:p>
        </w:tc>
      </w:tr>
      <w:tr>
        <w:tblPrEx>
          <w:tblBorders>
            <w:insideV w:val="nil"/>
          </w:tblBorders>
        </w:tblPrEx>
        <w:tc>
          <w:tcPr>
            <w:gridSpan w:val="2"/>
            <w:tcW w:w="1124" w:type="dxa"/>
            <w:tcBorders>
              <w:left w:val="single" w:sz="4"/>
            </w:tcBorders>
          </w:tcPr>
          <w:bookmarkStart w:id="27770" w:name="P27770"/>
          <w:bookmarkEnd w:id="27770"/>
          <w:p>
            <w:pPr>
              <w:pStyle w:val="0"/>
              <w:outlineLvl w:val="3"/>
            </w:pPr>
            <w:r>
              <w:rPr>
                <w:sz w:val="24"/>
              </w:rPr>
              <w:t xml:space="preserve">Раздел 11.</w:t>
            </w:r>
          </w:p>
        </w:tc>
        <w:tc>
          <w:tcPr>
            <w:gridSpan w:val="8"/>
            <w:tcW w:w="7947" w:type="dxa"/>
            <w:tcBorders>
              <w:right w:val="single" w:sz="4"/>
            </w:tcBorders>
          </w:tcPr>
          <w:p>
            <w:pPr>
              <w:pStyle w:val="0"/>
            </w:pPr>
            <w:r>
              <w:rPr>
                <w:sz w:val="24"/>
              </w:rPr>
              <w:t xml:space="preserve">Финансовые активы и обязательства в разрезе валют и сроков, оставшихся до погашения активов и обязательств</w:t>
            </w:r>
          </w:p>
        </w:tc>
      </w:tr>
      <w:tr>
        <w:tblPrEx>
          <w:tblBorders>
            <w:insideV w:val="nil"/>
          </w:tblBorders>
        </w:tblPrEx>
        <w:tc>
          <w:tcPr>
            <w:gridSpan w:val="4"/>
            <w:tcW w:w="1701" w:type="dxa"/>
            <w:tcBorders>
              <w:left w:val="single" w:sz="4"/>
            </w:tcBorders>
          </w:tcPr>
          <w:p>
            <w:pPr>
              <w:pStyle w:val="0"/>
              <w:outlineLvl w:val="4"/>
            </w:pPr>
            <w:r>
              <w:rPr>
                <w:sz w:val="24"/>
              </w:rPr>
              <w:t xml:space="preserve">Подраздел 11.1.</w:t>
            </w:r>
          </w:p>
        </w:tc>
        <w:tc>
          <w:tcPr>
            <w:gridSpan w:val="6"/>
            <w:tcW w:w="7370" w:type="dxa"/>
            <w:tcBorders>
              <w:right w:val="single" w:sz="4"/>
            </w:tcBorders>
          </w:tcPr>
          <w:p>
            <w:pPr>
              <w:pStyle w:val="0"/>
            </w:pPr>
            <w:r>
              <w:rPr>
                <w:sz w:val="24"/>
              </w:rPr>
              <w:t xml:space="preserve">Для страховщика, имеющего лицензию на осуществление добровольного страхования жизни</w:t>
            </w:r>
          </w:p>
        </w:tc>
      </w:tr>
      <w:tr>
        <w:tblPrEx>
          <w:tblBorders>
            <w:insideV w:val="nil"/>
          </w:tblBorders>
        </w:tblPrEx>
        <w:tc>
          <w:tcPr>
            <w:gridSpan w:val="6"/>
            <w:tcW w:w="2109" w:type="dxa"/>
            <w:tcBorders>
              <w:left w:val="single" w:sz="4"/>
            </w:tcBorders>
          </w:tcPr>
          <w:p>
            <w:pPr>
              <w:pStyle w:val="0"/>
              <w:outlineLvl w:val="5"/>
            </w:pPr>
            <w:r>
              <w:rPr>
                <w:sz w:val="24"/>
              </w:rPr>
              <w:t xml:space="preserve">Подраздел 11.1.1.</w:t>
            </w:r>
          </w:p>
        </w:tc>
        <w:tc>
          <w:tcPr>
            <w:gridSpan w:val="4"/>
            <w:tcW w:w="6962" w:type="dxa"/>
            <w:tcBorders>
              <w:right w:val="single" w:sz="4"/>
            </w:tcBorders>
          </w:tcPr>
          <w:p>
            <w:pPr>
              <w:pStyle w:val="0"/>
            </w:pPr>
            <w:r>
              <w:rPr>
                <w:sz w:val="24"/>
              </w:rPr>
              <w:t xml:space="preserve">Финансовые активы</w:t>
            </w:r>
          </w:p>
        </w:tc>
      </w:tr>
      <w:tr>
        <w:tc>
          <w:tcPr>
            <w:tcW w:w="907" w:type="dxa"/>
          </w:tcPr>
          <w:bookmarkStart w:id="27776" w:name="P27776"/>
          <w:bookmarkEnd w:id="27776"/>
          <w:p>
            <w:pPr>
              <w:pStyle w:val="0"/>
            </w:pPr>
            <w:r>
              <w:rPr>
                <w:sz w:val="24"/>
              </w:rPr>
              <w:t xml:space="preserve">665</w:t>
            </w:r>
          </w:p>
        </w:tc>
        <w:tc>
          <w:tcPr>
            <w:gridSpan w:val="7"/>
            <w:tcW w:w="2608" w:type="dxa"/>
          </w:tcPr>
          <w:p>
            <w:pPr>
              <w:pStyle w:val="0"/>
            </w:pPr>
            <w:r>
              <w:rPr>
                <w:sz w:val="24"/>
              </w:rPr>
              <w:t xml:space="preserve">Денежные средства</w:t>
            </w:r>
          </w:p>
        </w:tc>
        <w:tc>
          <w:tcPr>
            <w:tcW w:w="2608" w:type="dxa"/>
          </w:tcPr>
          <w:p>
            <w:pPr>
              <w:pStyle w:val="0"/>
            </w:pPr>
            <w:r>
              <w:rPr>
                <w:sz w:val="24"/>
              </w:rPr>
            </w:r>
          </w:p>
        </w:tc>
        <w:tc>
          <w:tcPr>
            <w:tcW w:w="2948" w:type="dxa"/>
          </w:tcPr>
          <w:p>
            <w:pPr>
              <w:pStyle w:val="0"/>
            </w:pPr>
            <w:r>
              <w:rPr>
                <w:sz w:val="24"/>
              </w:rPr>
              <w:t xml:space="preserve">ifrs-ru:DenezhnyeSredstva</w:t>
            </w:r>
          </w:p>
        </w:tc>
      </w:tr>
      <w:tr>
        <w:tc>
          <w:tcPr>
            <w:tcW w:w="907" w:type="dxa"/>
          </w:tcPr>
          <w:p>
            <w:pPr>
              <w:pStyle w:val="0"/>
            </w:pPr>
            <w:r>
              <w:rPr>
                <w:sz w:val="24"/>
              </w:rPr>
              <w:t xml:space="preserve">665.1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665.2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788" w:name="P27788"/>
          <w:bookmarkEnd w:id="27788"/>
          <w:p>
            <w:pPr>
              <w:pStyle w:val="0"/>
            </w:pPr>
            <w:r>
              <w:rPr>
                <w:sz w:val="24"/>
              </w:rPr>
              <w:t xml:space="preserve">666</w:t>
            </w:r>
          </w:p>
        </w:tc>
        <w:tc>
          <w:tcPr>
            <w:gridSpan w:val="7"/>
            <w:tcW w:w="2608" w:type="dxa"/>
          </w:tcPr>
          <w:p>
            <w:pPr>
              <w:pStyle w:val="0"/>
            </w:pPr>
            <w:r>
              <w:rPr>
                <w:sz w:val="24"/>
              </w:rPr>
              <w:t xml:space="preserve">Финансовые активы,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ifrs-full:FinancialAssetsAtFairValueThroughProfitOrLoss</w:t>
            </w:r>
          </w:p>
        </w:tc>
      </w:tr>
      <w:tr>
        <w:tc>
          <w:tcPr>
            <w:tcW w:w="907" w:type="dxa"/>
          </w:tcPr>
          <w:p>
            <w:pPr>
              <w:pStyle w:val="0"/>
            </w:pPr>
            <w:r>
              <w:rPr>
                <w:sz w:val="24"/>
              </w:rPr>
              <w:t xml:space="preserve">666.1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666.2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800" w:name="P27800"/>
          <w:bookmarkEnd w:id="27800"/>
          <w:p>
            <w:pPr>
              <w:pStyle w:val="0"/>
            </w:pPr>
            <w:r>
              <w:rPr>
                <w:sz w:val="24"/>
              </w:rPr>
              <w:t xml:space="preserve">667</w:t>
            </w:r>
          </w:p>
        </w:tc>
        <w:tc>
          <w:tcPr>
            <w:gridSpan w:val="7"/>
            <w:tcW w:w="2608" w:type="dxa"/>
          </w:tcPr>
          <w:p>
            <w:pPr>
              <w:pStyle w:val="0"/>
            </w:pPr>
            <w:r>
              <w:rPr>
                <w:sz w:val="24"/>
              </w:rPr>
              <w:t xml:space="preserve">Финансовые активы, в обязательном порядке классифицируемые как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ifrs-full:FinancialAssetsAtFairValueThroughProfitOrLossMandatorilyMeasuredAtFairValue</w:t>
            </w:r>
          </w:p>
        </w:tc>
      </w:tr>
      <w:tr>
        <w:tc>
          <w:tcPr>
            <w:tcW w:w="907" w:type="dxa"/>
          </w:tcPr>
          <w:p>
            <w:pPr>
              <w:pStyle w:val="0"/>
            </w:pPr>
            <w:r>
              <w:rPr>
                <w:sz w:val="24"/>
              </w:rPr>
              <w:t xml:space="preserve">667.1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667.2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812" w:name="P27812"/>
          <w:bookmarkEnd w:id="27812"/>
          <w:p>
            <w:pPr>
              <w:pStyle w:val="0"/>
            </w:pPr>
            <w:r>
              <w:rPr>
                <w:sz w:val="24"/>
              </w:rPr>
              <w:t xml:space="preserve">668</w:t>
            </w:r>
          </w:p>
        </w:tc>
        <w:tc>
          <w:tcPr>
            <w:gridSpan w:val="7"/>
            <w:tcW w:w="2608" w:type="dxa"/>
          </w:tcPr>
          <w:p>
            <w:pPr>
              <w:pStyle w:val="0"/>
            </w:pPr>
            <w:r>
              <w:rPr>
                <w:sz w:val="24"/>
              </w:rPr>
              <w:t xml:space="preserve">Финансовые активы, классифицируемые как оцениваемые по справедливой стоимости через прибыль или убыток по усмотрению страховщика</w:t>
            </w:r>
          </w:p>
        </w:tc>
        <w:tc>
          <w:tcPr>
            <w:tcW w:w="2608" w:type="dxa"/>
          </w:tcPr>
          <w:p>
            <w:pPr>
              <w:pStyle w:val="0"/>
            </w:pPr>
            <w:r>
              <w:rPr>
                <w:sz w:val="24"/>
              </w:rPr>
            </w:r>
          </w:p>
        </w:tc>
        <w:tc>
          <w:tcPr>
            <w:tcW w:w="2948" w:type="dxa"/>
          </w:tcPr>
          <w:p>
            <w:pPr>
              <w:pStyle w:val="0"/>
            </w:pPr>
            <w:r>
              <w:rPr>
                <w:sz w:val="24"/>
              </w:rPr>
              <w:t xml:space="preserve">ifrs-full:FinancialAssetsAtFairValueThroughProfitOrLossDesignatedAsUponInitialRecognition</w:t>
            </w:r>
          </w:p>
        </w:tc>
      </w:tr>
      <w:tr>
        <w:tc>
          <w:tcPr>
            <w:tcW w:w="907" w:type="dxa"/>
          </w:tcPr>
          <w:p>
            <w:pPr>
              <w:pStyle w:val="0"/>
            </w:pPr>
            <w:r>
              <w:rPr>
                <w:sz w:val="24"/>
              </w:rPr>
              <w:t xml:space="preserve">668.1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668.2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824" w:name="P27824"/>
          <w:bookmarkEnd w:id="27824"/>
          <w:p>
            <w:pPr>
              <w:pStyle w:val="0"/>
            </w:pPr>
            <w:r>
              <w:rPr>
                <w:sz w:val="24"/>
              </w:rPr>
              <w:t xml:space="preserve">669</w:t>
            </w:r>
          </w:p>
        </w:tc>
        <w:tc>
          <w:tcPr>
            <w:gridSpan w:val="7"/>
            <w:tcW w:w="2608" w:type="dxa"/>
          </w:tcPr>
          <w:p>
            <w:pPr>
              <w:pStyle w:val="0"/>
            </w:pPr>
            <w:r>
              <w:rPr>
                <w:sz w:val="24"/>
              </w:rPr>
              <w:t xml:space="preserve">Финансовые активы, оцениваемые по справедливой стоимости через прочий совокупный доход</w:t>
            </w:r>
          </w:p>
        </w:tc>
        <w:tc>
          <w:tcPr>
            <w:tcW w:w="2608" w:type="dxa"/>
          </w:tcPr>
          <w:p>
            <w:pPr>
              <w:pStyle w:val="0"/>
            </w:pPr>
            <w:r>
              <w:rPr>
                <w:sz w:val="24"/>
              </w:rPr>
            </w:r>
          </w:p>
        </w:tc>
        <w:tc>
          <w:tcPr>
            <w:tcW w:w="2948" w:type="dxa"/>
          </w:tcPr>
          <w:p>
            <w:pPr>
              <w:pStyle w:val="0"/>
            </w:pPr>
            <w:r>
              <w:rPr>
                <w:sz w:val="24"/>
              </w:rPr>
              <w:t xml:space="preserve">ifrs-full:FinancialAssetsAtFairValueThroughOtherComprehensiveIncome</w:t>
            </w:r>
          </w:p>
        </w:tc>
      </w:tr>
      <w:tr>
        <w:tc>
          <w:tcPr>
            <w:tcW w:w="907" w:type="dxa"/>
          </w:tcPr>
          <w:p>
            <w:pPr>
              <w:pStyle w:val="0"/>
            </w:pPr>
            <w:r>
              <w:rPr>
                <w:sz w:val="24"/>
              </w:rPr>
              <w:t xml:space="preserve">669.1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669.2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836" w:name="P27836"/>
          <w:bookmarkEnd w:id="27836"/>
          <w:p>
            <w:pPr>
              <w:pStyle w:val="0"/>
            </w:pPr>
            <w:r>
              <w:rPr>
                <w:sz w:val="24"/>
              </w:rPr>
              <w:t xml:space="preserve">670</w:t>
            </w:r>
          </w:p>
        </w:tc>
        <w:tc>
          <w:tcPr>
            <w:gridSpan w:val="7"/>
            <w:tcW w:w="2608" w:type="dxa"/>
          </w:tcPr>
          <w:p>
            <w:pPr>
              <w:pStyle w:val="0"/>
            </w:pPr>
            <w:r>
              <w:rPr>
                <w:sz w:val="24"/>
              </w:rPr>
              <w:t xml:space="preserve">Долговые инструменты</w:t>
            </w:r>
          </w:p>
        </w:tc>
        <w:tc>
          <w:tcPr>
            <w:tcW w:w="2608" w:type="dxa"/>
          </w:tcPr>
          <w:p>
            <w:pPr>
              <w:pStyle w:val="0"/>
            </w:pPr>
            <w:r>
              <w:rPr>
                <w:sz w:val="24"/>
              </w:rPr>
            </w:r>
          </w:p>
        </w:tc>
        <w:tc>
          <w:tcPr>
            <w:tcW w:w="2948" w:type="dxa"/>
          </w:tcPr>
          <w:p>
            <w:pPr>
              <w:pStyle w:val="0"/>
            </w:pPr>
            <w:r>
              <w:rPr>
                <w:sz w:val="24"/>
              </w:rPr>
              <w:t xml:space="preserve">ifrs-ru:DolgovyeInstrumentyOczenivaemyePoSSCHerezPSD</w:t>
            </w:r>
          </w:p>
        </w:tc>
      </w:tr>
      <w:tr>
        <w:tc>
          <w:tcPr>
            <w:tcW w:w="907" w:type="dxa"/>
          </w:tcPr>
          <w:p>
            <w:pPr>
              <w:pStyle w:val="0"/>
            </w:pPr>
            <w:r>
              <w:rPr>
                <w:sz w:val="24"/>
              </w:rPr>
              <w:t xml:space="preserve">670.1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670.2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p>
            <w:pPr>
              <w:pStyle w:val="0"/>
            </w:pPr>
            <w:r>
              <w:rPr>
                <w:sz w:val="24"/>
              </w:rPr>
              <w:t xml:space="preserve">670.3</w:t>
            </w:r>
          </w:p>
        </w:tc>
        <w:tc>
          <w:tcPr>
            <w:gridSpan w:val="7"/>
            <w:tcW w:w="2608" w:type="dxa"/>
          </w:tcPr>
          <w:p>
            <w:pPr>
              <w:pStyle w:val="0"/>
            </w:pPr>
            <w:r>
              <w:rPr>
                <w:sz w:val="24"/>
              </w:rPr>
            </w:r>
          </w:p>
        </w:tc>
        <w:tc>
          <w:tcPr>
            <w:tcW w:w="2608" w:type="dxa"/>
          </w:tcPr>
          <w:p>
            <w:pPr>
              <w:pStyle w:val="0"/>
            </w:pPr>
            <w:r>
              <w:rPr>
                <w:sz w:val="24"/>
              </w:rPr>
              <w:t xml:space="preserve">Тип долговых инструментов</w:t>
            </w:r>
          </w:p>
        </w:tc>
        <w:tc>
          <w:tcPr>
            <w:tcW w:w="2948" w:type="dxa"/>
          </w:tcPr>
          <w:p>
            <w:pPr>
              <w:pStyle w:val="0"/>
            </w:pPr>
            <w:r>
              <w:rPr>
                <w:sz w:val="24"/>
              </w:rPr>
              <w:t xml:space="preserve">dim-int:TipDolgovyxInstrumentovAxis</w:t>
            </w:r>
          </w:p>
        </w:tc>
      </w:tr>
      <w:tr>
        <w:tc>
          <w:tcPr>
            <w:tcW w:w="907" w:type="dxa"/>
          </w:tcPr>
          <w:bookmarkStart w:id="27852" w:name="P27852"/>
          <w:bookmarkEnd w:id="27852"/>
          <w:p>
            <w:pPr>
              <w:pStyle w:val="0"/>
            </w:pPr>
            <w:r>
              <w:rPr>
                <w:sz w:val="24"/>
              </w:rPr>
              <w:t xml:space="preserve">671</w:t>
            </w:r>
          </w:p>
        </w:tc>
        <w:tc>
          <w:tcPr>
            <w:gridSpan w:val="7"/>
            <w:tcW w:w="2608" w:type="dxa"/>
          </w:tcPr>
          <w:p>
            <w:pPr>
              <w:pStyle w:val="0"/>
            </w:pPr>
            <w:r>
              <w:rPr>
                <w:sz w:val="24"/>
              </w:rPr>
              <w:t xml:space="preserve">Прочие долговые инструменты</w:t>
            </w:r>
          </w:p>
        </w:tc>
        <w:tc>
          <w:tcPr>
            <w:tcW w:w="2608" w:type="dxa"/>
          </w:tcPr>
          <w:p>
            <w:pPr>
              <w:pStyle w:val="0"/>
            </w:pPr>
            <w:r>
              <w:rPr>
                <w:sz w:val="24"/>
              </w:rPr>
            </w:r>
          </w:p>
        </w:tc>
        <w:tc>
          <w:tcPr>
            <w:tcW w:w="2948" w:type="dxa"/>
          </w:tcPr>
          <w:p>
            <w:pPr>
              <w:pStyle w:val="0"/>
            </w:pPr>
            <w:r>
              <w:rPr>
                <w:sz w:val="24"/>
              </w:rPr>
              <w:t xml:space="preserve">ins-dic:ProchieDolgovyeInstrumenty</w:t>
            </w:r>
          </w:p>
        </w:tc>
      </w:tr>
      <w:tr>
        <w:tc>
          <w:tcPr>
            <w:tcW w:w="907" w:type="dxa"/>
          </w:tcPr>
          <w:p>
            <w:pPr>
              <w:pStyle w:val="0"/>
            </w:pPr>
            <w:r>
              <w:rPr>
                <w:sz w:val="24"/>
              </w:rPr>
              <w:t xml:space="preserve">671.1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671.2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864" w:name="P27864"/>
          <w:bookmarkEnd w:id="27864"/>
          <w:p>
            <w:pPr>
              <w:pStyle w:val="0"/>
            </w:pPr>
            <w:r>
              <w:rPr>
                <w:sz w:val="24"/>
              </w:rPr>
              <w:t xml:space="preserve">672</w:t>
            </w:r>
          </w:p>
        </w:tc>
        <w:tc>
          <w:tcPr>
            <w:gridSpan w:val="7"/>
            <w:tcW w:w="2608" w:type="dxa"/>
          </w:tcPr>
          <w:p>
            <w:pPr>
              <w:pStyle w:val="0"/>
            </w:pPr>
            <w:r>
              <w:rPr>
                <w:sz w:val="24"/>
              </w:rPr>
              <w:t xml:space="preserve">Долевые инструменты</w:t>
            </w:r>
          </w:p>
        </w:tc>
        <w:tc>
          <w:tcPr>
            <w:tcW w:w="2608" w:type="dxa"/>
          </w:tcPr>
          <w:p>
            <w:pPr>
              <w:pStyle w:val="0"/>
            </w:pPr>
            <w:r>
              <w:rPr>
                <w:sz w:val="24"/>
              </w:rPr>
            </w:r>
          </w:p>
        </w:tc>
        <w:tc>
          <w:tcPr>
            <w:tcW w:w="2948" w:type="dxa"/>
          </w:tcPr>
          <w:p>
            <w:pPr>
              <w:pStyle w:val="0"/>
            </w:pPr>
            <w:r>
              <w:rPr>
                <w:sz w:val="24"/>
              </w:rPr>
              <w:t xml:space="preserve">ifrs-ru:DolevyeInstrumentyOczenivaemyePoSSCHerezPSD</w:t>
            </w:r>
          </w:p>
        </w:tc>
      </w:tr>
      <w:tr>
        <w:tc>
          <w:tcPr>
            <w:tcW w:w="907" w:type="dxa"/>
          </w:tcPr>
          <w:p>
            <w:pPr>
              <w:pStyle w:val="0"/>
            </w:pPr>
            <w:r>
              <w:rPr>
                <w:sz w:val="24"/>
              </w:rPr>
              <w:t xml:space="preserve">672.1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672.2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876" w:name="P27876"/>
          <w:bookmarkEnd w:id="27876"/>
          <w:p>
            <w:pPr>
              <w:pStyle w:val="0"/>
            </w:pPr>
            <w:r>
              <w:rPr>
                <w:sz w:val="24"/>
              </w:rPr>
              <w:t xml:space="preserve">673</w:t>
            </w:r>
          </w:p>
        </w:tc>
        <w:tc>
          <w:tcPr>
            <w:gridSpan w:val="7"/>
            <w:tcW w:w="2608" w:type="dxa"/>
          </w:tcPr>
          <w:p>
            <w:pPr>
              <w:pStyle w:val="0"/>
            </w:pPr>
            <w:r>
              <w:rPr>
                <w:sz w:val="24"/>
              </w:rPr>
              <w:t xml:space="preserve">Финансовые активы, оцениваемые по амортизированной стоимости</w:t>
            </w:r>
          </w:p>
        </w:tc>
        <w:tc>
          <w:tcPr>
            <w:tcW w:w="2608" w:type="dxa"/>
          </w:tcPr>
          <w:p>
            <w:pPr>
              <w:pStyle w:val="0"/>
            </w:pPr>
            <w:r>
              <w:rPr>
                <w:sz w:val="24"/>
              </w:rPr>
            </w:r>
          </w:p>
        </w:tc>
        <w:tc>
          <w:tcPr>
            <w:tcW w:w="2948" w:type="dxa"/>
          </w:tcPr>
          <w:p>
            <w:pPr>
              <w:pStyle w:val="0"/>
            </w:pPr>
            <w:r>
              <w:rPr>
                <w:sz w:val="24"/>
              </w:rPr>
              <w:t xml:space="preserve">ifrs-full:FinancialAssetsAtAmortisedCost</w:t>
            </w:r>
          </w:p>
        </w:tc>
      </w:tr>
      <w:tr>
        <w:tc>
          <w:tcPr>
            <w:tcW w:w="907" w:type="dxa"/>
          </w:tcPr>
          <w:p>
            <w:pPr>
              <w:pStyle w:val="0"/>
            </w:pPr>
            <w:r>
              <w:rPr>
                <w:sz w:val="24"/>
              </w:rPr>
              <w:t xml:space="preserve">673.1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673.2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888" w:name="P27888"/>
          <w:bookmarkEnd w:id="27888"/>
          <w:p>
            <w:pPr>
              <w:pStyle w:val="0"/>
            </w:pPr>
            <w:r>
              <w:rPr>
                <w:sz w:val="24"/>
              </w:rPr>
              <w:t xml:space="preserve">674</w:t>
            </w:r>
          </w:p>
        </w:tc>
        <w:tc>
          <w:tcPr>
            <w:gridSpan w:val="7"/>
            <w:tcW w:w="2608" w:type="dxa"/>
          </w:tcPr>
          <w:p>
            <w:pPr>
              <w:pStyle w:val="0"/>
            </w:pPr>
            <w:r>
              <w:rPr>
                <w:sz w:val="24"/>
              </w:rPr>
              <w:t xml:space="preserve">Депозиты и прочие размещенные средства в кредитных организациях и банках-нерезидентах</w:t>
            </w:r>
          </w:p>
        </w:tc>
        <w:tc>
          <w:tcPr>
            <w:tcW w:w="2608" w:type="dxa"/>
          </w:tcPr>
          <w:p>
            <w:pPr>
              <w:pStyle w:val="0"/>
            </w:pPr>
            <w:r>
              <w:rPr>
                <w:sz w:val="24"/>
              </w:rPr>
            </w:r>
          </w:p>
        </w:tc>
        <w:tc>
          <w:tcPr>
            <w:tcW w:w="2948" w:type="dxa"/>
          </w:tcPr>
          <w:p>
            <w:pPr>
              <w:pStyle w:val="0"/>
            </w:pPr>
            <w:r>
              <w:rPr>
                <w:sz w:val="24"/>
              </w:rPr>
              <w:t xml:space="preserve">ifrs-ru:DepProchRazmSredstvaVKOIBankaxNerez</w:t>
            </w:r>
          </w:p>
        </w:tc>
      </w:tr>
      <w:tr>
        <w:tc>
          <w:tcPr>
            <w:tcW w:w="907" w:type="dxa"/>
          </w:tcPr>
          <w:p>
            <w:pPr>
              <w:pStyle w:val="0"/>
            </w:pPr>
            <w:r>
              <w:rPr>
                <w:sz w:val="24"/>
              </w:rPr>
              <w:t xml:space="preserve">674.1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674.2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00" w:name="P27900"/>
          <w:bookmarkEnd w:id="27900"/>
          <w:p>
            <w:pPr>
              <w:pStyle w:val="0"/>
            </w:pPr>
            <w:r>
              <w:rPr>
                <w:sz w:val="24"/>
              </w:rPr>
              <w:t xml:space="preserve">675</w:t>
            </w:r>
          </w:p>
        </w:tc>
        <w:tc>
          <w:tcPr>
            <w:gridSpan w:val="7"/>
            <w:tcW w:w="2608" w:type="dxa"/>
          </w:tcPr>
          <w:p>
            <w:pPr>
              <w:pStyle w:val="0"/>
            </w:pPr>
            <w:r>
              <w:rPr>
                <w:sz w:val="24"/>
              </w:rPr>
              <w:t xml:space="preserve">Займы, прочие размещенные средства и прочая дебиторская задолженность</w:t>
            </w:r>
          </w:p>
        </w:tc>
        <w:tc>
          <w:tcPr>
            <w:tcW w:w="2608" w:type="dxa"/>
          </w:tcPr>
          <w:p>
            <w:pPr>
              <w:pStyle w:val="0"/>
            </w:pPr>
            <w:r>
              <w:rPr>
                <w:sz w:val="24"/>
              </w:rPr>
            </w:r>
          </w:p>
        </w:tc>
        <w:tc>
          <w:tcPr>
            <w:tcW w:w="2948" w:type="dxa"/>
          </w:tcPr>
          <w:p>
            <w:pPr>
              <w:pStyle w:val="0"/>
            </w:pPr>
            <w:r>
              <w:rPr>
                <w:sz w:val="24"/>
              </w:rPr>
              <w:t xml:space="preserve">ifrs-ru:ZajmPrRazmSrPrDZ</w:t>
            </w:r>
          </w:p>
        </w:tc>
      </w:tr>
      <w:tr>
        <w:tc>
          <w:tcPr>
            <w:tcW w:w="907" w:type="dxa"/>
          </w:tcPr>
          <w:p>
            <w:pPr>
              <w:pStyle w:val="0"/>
            </w:pPr>
            <w:r>
              <w:rPr>
                <w:sz w:val="24"/>
              </w:rPr>
              <w:t xml:space="preserve">675.1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675.2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12" w:name="P27912"/>
          <w:bookmarkEnd w:id="27912"/>
          <w:p>
            <w:pPr>
              <w:pStyle w:val="0"/>
            </w:pPr>
            <w:r>
              <w:rPr>
                <w:sz w:val="24"/>
              </w:rPr>
              <w:t xml:space="preserve">676</w:t>
            </w:r>
          </w:p>
        </w:tc>
        <w:tc>
          <w:tcPr>
            <w:gridSpan w:val="7"/>
            <w:tcW w:w="2608" w:type="dxa"/>
          </w:tcPr>
          <w:p>
            <w:pPr>
              <w:pStyle w:val="0"/>
            </w:pPr>
            <w:r>
              <w:rPr>
                <w:sz w:val="24"/>
              </w:rPr>
              <w:t xml:space="preserve">Активы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165"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ifrs-ru:AktPoPorDogStrVypPrinDogPerIFRS17</w:t>
            </w:r>
          </w:p>
        </w:tc>
      </w:tr>
      <w:tr>
        <w:tc>
          <w:tcPr>
            <w:tcW w:w="907" w:type="dxa"/>
          </w:tcPr>
          <w:p>
            <w:pPr>
              <w:pStyle w:val="0"/>
            </w:pPr>
            <w:r>
              <w:rPr>
                <w:sz w:val="24"/>
              </w:rPr>
              <w:t xml:space="preserve">676.1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676.2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24" w:name="P27924"/>
          <w:bookmarkEnd w:id="27924"/>
          <w:p>
            <w:pPr>
              <w:pStyle w:val="0"/>
            </w:pPr>
            <w:r>
              <w:rPr>
                <w:sz w:val="24"/>
              </w:rPr>
              <w:t xml:space="preserve">677</w:t>
            </w:r>
          </w:p>
        </w:tc>
        <w:tc>
          <w:tcPr>
            <w:gridSpan w:val="7"/>
            <w:tcW w:w="2608" w:type="dxa"/>
          </w:tcPr>
          <w:p>
            <w:pPr>
              <w:pStyle w:val="0"/>
            </w:pPr>
            <w:r>
              <w:rPr>
                <w:sz w:val="24"/>
              </w:rPr>
              <w:t xml:space="preserve">Активы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166"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ifrs-ru:AktPoPorUdPerDogPerIFRS17</w:t>
            </w:r>
          </w:p>
        </w:tc>
      </w:tr>
      <w:tr>
        <w:tc>
          <w:tcPr>
            <w:tcW w:w="907" w:type="dxa"/>
          </w:tcPr>
          <w:p>
            <w:pPr>
              <w:pStyle w:val="0"/>
            </w:pPr>
            <w:r>
              <w:rPr>
                <w:sz w:val="24"/>
              </w:rPr>
              <w:t xml:space="preserve">677.1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dim-int:Summa_Razrez_Ozhid_Srokov_PogashSo_Licz_Dszh_Axis</w:t>
            </w:r>
          </w:p>
        </w:tc>
      </w:tr>
      <w:tr>
        <w:tc>
          <w:tcPr>
            <w:tcW w:w="907" w:type="dxa"/>
          </w:tcPr>
          <w:p>
            <w:pPr>
              <w:pStyle w:val="0"/>
            </w:pPr>
            <w:r>
              <w:rPr>
                <w:sz w:val="24"/>
              </w:rPr>
              <w:t xml:space="preserve">677.2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36" w:name="P27936"/>
          <w:bookmarkEnd w:id="27936"/>
          <w:p>
            <w:pPr>
              <w:pStyle w:val="0"/>
            </w:pPr>
            <w:r>
              <w:rPr>
                <w:sz w:val="24"/>
              </w:rPr>
              <w:t xml:space="preserve">678</w:t>
            </w:r>
          </w:p>
        </w:tc>
        <w:tc>
          <w:tcPr>
            <w:gridSpan w:val="7"/>
            <w:tcW w:w="2608" w:type="dxa"/>
          </w:tcPr>
          <w:p>
            <w:pPr>
              <w:pStyle w:val="0"/>
            </w:pPr>
            <w:r>
              <w:rPr>
                <w:sz w:val="24"/>
              </w:rPr>
              <w:t xml:space="preserve">Активы (активы выбывающих групп), классифицированные как предназначенные для продажи</w:t>
            </w:r>
          </w:p>
        </w:tc>
        <w:tc>
          <w:tcPr>
            <w:tcW w:w="2608" w:type="dxa"/>
          </w:tcPr>
          <w:p>
            <w:pPr>
              <w:pStyle w:val="0"/>
            </w:pPr>
            <w:r>
              <w:rPr>
                <w:sz w:val="24"/>
              </w:rPr>
            </w:r>
          </w:p>
        </w:tc>
        <w:tc>
          <w:tcPr>
            <w:tcW w:w="2948" w:type="dxa"/>
          </w:tcPr>
          <w:p>
            <w:pPr>
              <w:pStyle w:val="0"/>
            </w:pPr>
            <w:r>
              <w:rPr>
                <w:sz w:val="24"/>
              </w:rPr>
              <w:t xml:space="preserve">ifrs-ru:AktivyVybGruppKlassKakPrednDlyaProd</w:t>
            </w:r>
          </w:p>
        </w:tc>
      </w:tr>
      <w:tr>
        <w:tc>
          <w:tcPr>
            <w:tcW w:w="907" w:type="dxa"/>
          </w:tcPr>
          <w:p>
            <w:pPr>
              <w:pStyle w:val="0"/>
            </w:pPr>
            <w:r>
              <w:rPr>
                <w:sz w:val="24"/>
              </w:rPr>
              <w:t xml:space="preserve">678.1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678.2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48" w:name="P27948"/>
          <w:bookmarkEnd w:id="27948"/>
          <w:p>
            <w:pPr>
              <w:pStyle w:val="0"/>
            </w:pPr>
            <w:r>
              <w:rPr>
                <w:sz w:val="24"/>
              </w:rPr>
              <w:t xml:space="preserve">679</w:t>
            </w:r>
          </w:p>
        </w:tc>
        <w:tc>
          <w:tcPr>
            <w:gridSpan w:val="7"/>
            <w:tcW w:w="2608" w:type="dxa"/>
          </w:tcPr>
          <w:p>
            <w:pPr>
              <w:pStyle w:val="0"/>
            </w:pPr>
            <w:r>
              <w:rPr>
                <w:sz w:val="24"/>
              </w:rPr>
              <w:t xml:space="preserve">Прочие финансовые активы</w:t>
            </w:r>
          </w:p>
        </w:tc>
        <w:tc>
          <w:tcPr>
            <w:tcW w:w="2608" w:type="dxa"/>
          </w:tcPr>
          <w:p>
            <w:pPr>
              <w:pStyle w:val="0"/>
            </w:pPr>
            <w:r>
              <w:rPr>
                <w:sz w:val="24"/>
              </w:rPr>
            </w:r>
          </w:p>
        </w:tc>
        <w:tc>
          <w:tcPr>
            <w:tcW w:w="2948" w:type="dxa"/>
          </w:tcPr>
          <w:p>
            <w:pPr>
              <w:pStyle w:val="0"/>
            </w:pPr>
            <w:r>
              <w:rPr>
                <w:sz w:val="24"/>
              </w:rPr>
              <w:t xml:space="preserve">ins-dic:Prochie_Finansovye_Aktivy</w:t>
            </w:r>
          </w:p>
        </w:tc>
      </w:tr>
      <w:tr>
        <w:tc>
          <w:tcPr>
            <w:tcW w:w="907" w:type="dxa"/>
          </w:tcPr>
          <w:p>
            <w:pPr>
              <w:pStyle w:val="0"/>
            </w:pPr>
            <w:r>
              <w:rPr>
                <w:sz w:val="24"/>
              </w:rPr>
              <w:t xml:space="preserve">679.1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679.2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60" w:name="P27960"/>
          <w:bookmarkEnd w:id="27960"/>
          <w:p>
            <w:pPr>
              <w:pStyle w:val="0"/>
            </w:pPr>
            <w:r>
              <w:rPr>
                <w:sz w:val="24"/>
              </w:rPr>
              <w:t xml:space="preserve">680</w:t>
            </w:r>
          </w:p>
        </w:tc>
        <w:tc>
          <w:tcPr>
            <w:gridSpan w:val="7"/>
            <w:tcW w:w="2608" w:type="dxa"/>
          </w:tcPr>
          <w:p>
            <w:pPr>
              <w:pStyle w:val="0"/>
            </w:pPr>
            <w:r>
              <w:rPr>
                <w:sz w:val="24"/>
              </w:rPr>
              <w:t xml:space="preserve">Итого финансовых активов</w:t>
            </w:r>
          </w:p>
        </w:tc>
        <w:tc>
          <w:tcPr>
            <w:tcW w:w="2608" w:type="dxa"/>
          </w:tcPr>
          <w:p>
            <w:pPr>
              <w:pStyle w:val="0"/>
            </w:pPr>
            <w:r>
              <w:rPr>
                <w:sz w:val="24"/>
              </w:rPr>
            </w:r>
          </w:p>
        </w:tc>
        <w:tc>
          <w:tcPr>
            <w:tcW w:w="2948" w:type="dxa"/>
          </w:tcPr>
          <w:p>
            <w:pPr>
              <w:pStyle w:val="0"/>
            </w:pPr>
            <w:r>
              <w:rPr>
                <w:sz w:val="24"/>
              </w:rPr>
              <w:t xml:space="preserve">ifrs-ru:FinansovyeAktivy</w:t>
            </w:r>
          </w:p>
        </w:tc>
      </w:tr>
      <w:tr>
        <w:tc>
          <w:tcPr>
            <w:tcW w:w="907" w:type="dxa"/>
          </w:tcPr>
          <w:p>
            <w:pPr>
              <w:pStyle w:val="0"/>
            </w:pPr>
            <w:r>
              <w:rPr>
                <w:sz w:val="24"/>
              </w:rPr>
              <w:t xml:space="preserve">680.1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680.2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blPrEx>
          <w:tblBorders>
            <w:insideV w:val="nil"/>
          </w:tblBorders>
        </w:tblPrEx>
        <w:tc>
          <w:tcPr>
            <w:gridSpan w:val="6"/>
            <w:tcW w:w="2109" w:type="dxa"/>
            <w:tcBorders>
              <w:left w:val="single" w:sz="4"/>
            </w:tcBorders>
          </w:tcPr>
          <w:p>
            <w:pPr>
              <w:pStyle w:val="0"/>
              <w:outlineLvl w:val="5"/>
            </w:pPr>
            <w:r>
              <w:rPr>
                <w:sz w:val="24"/>
              </w:rPr>
              <w:t xml:space="preserve">Подраздел 11.1.2.</w:t>
            </w:r>
          </w:p>
        </w:tc>
        <w:tc>
          <w:tcPr>
            <w:gridSpan w:val="4"/>
            <w:tcW w:w="6962" w:type="dxa"/>
            <w:tcBorders>
              <w:right w:val="single" w:sz="4"/>
            </w:tcBorders>
          </w:tcPr>
          <w:p>
            <w:pPr>
              <w:pStyle w:val="0"/>
            </w:pPr>
            <w:r>
              <w:rPr>
                <w:sz w:val="24"/>
              </w:rPr>
              <w:t xml:space="preserve">Обязательства</w:t>
            </w:r>
          </w:p>
        </w:tc>
      </w:tr>
      <w:tr>
        <w:tc>
          <w:tcPr>
            <w:tcW w:w="907" w:type="dxa"/>
          </w:tcPr>
          <w:bookmarkStart w:id="27974" w:name="P27974"/>
          <w:bookmarkEnd w:id="27974"/>
          <w:p>
            <w:pPr>
              <w:pStyle w:val="0"/>
            </w:pPr>
            <w:r>
              <w:rPr>
                <w:sz w:val="24"/>
              </w:rPr>
              <w:t xml:space="preserve">681</w:t>
            </w:r>
          </w:p>
        </w:tc>
        <w:tc>
          <w:tcPr>
            <w:gridSpan w:val="7"/>
            <w:tcW w:w="2608" w:type="dxa"/>
          </w:tcPr>
          <w:p>
            <w:pPr>
              <w:pStyle w:val="0"/>
            </w:pPr>
            <w:r>
              <w:rPr>
                <w:sz w:val="24"/>
              </w:rPr>
              <w:t xml:space="preserve">Финансовые обязательства,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ifrs-full:FinancialLiabilitiesAtFairValueThroughProfitOrLoss</w:t>
            </w:r>
          </w:p>
        </w:tc>
      </w:tr>
      <w:tr>
        <w:tc>
          <w:tcPr>
            <w:tcW w:w="907" w:type="dxa"/>
          </w:tcPr>
          <w:p>
            <w:pPr>
              <w:pStyle w:val="0"/>
            </w:pPr>
            <w:r>
              <w:rPr>
                <w:sz w:val="24"/>
              </w:rPr>
              <w:t xml:space="preserve">681.1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681.2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86" w:name="P27986"/>
          <w:bookmarkEnd w:id="27986"/>
          <w:p>
            <w:pPr>
              <w:pStyle w:val="0"/>
            </w:pPr>
            <w:r>
              <w:rPr>
                <w:sz w:val="24"/>
              </w:rPr>
              <w:t xml:space="preserve">682</w:t>
            </w:r>
          </w:p>
        </w:tc>
        <w:tc>
          <w:tcPr>
            <w:gridSpan w:val="7"/>
            <w:tcW w:w="2608" w:type="dxa"/>
          </w:tcPr>
          <w:p>
            <w:pPr>
              <w:pStyle w:val="0"/>
            </w:pPr>
            <w:r>
              <w:rPr>
                <w:sz w:val="24"/>
              </w:rPr>
              <w:t xml:space="preserve">Финансовые обязательства, в обязательном порядке классифицируемые как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ifrs-ru:FinObyazKlassCHerezPIUVObyazPor</w:t>
            </w:r>
          </w:p>
        </w:tc>
      </w:tr>
      <w:tr>
        <w:tc>
          <w:tcPr>
            <w:tcW w:w="907" w:type="dxa"/>
          </w:tcPr>
          <w:p>
            <w:pPr>
              <w:pStyle w:val="0"/>
            </w:pPr>
            <w:r>
              <w:rPr>
                <w:sz w:val="24"/>
              </w:rPr>
              <w:t xml:space="preserve">682.1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dim-int:Summa_Razrez_Ozhid_Srokov_PogashSo_Licz_Dszh_Axis</w:t>
            </w:r>
          </w:p>
        </w:tc>
      </w:tr>
      <w:tr>
        <w:tc>
          <w:tcPr>
            <w:tcW w:w="907" w:type="dxa"/>
          </w:tcPr>
          <w:p>
            <w:pPr>
              <w:pStyle w:val="0"/>
            </w:pPr>
            <w:r>
              <w:rPr>
                <w:sz w:val="24"/>
              </w:rPr>
              <w:t xml:space="preserve">682.2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7998" w:name="P27998"/>
          <w:bookmarkEnd w:id="27998"/>
          <w:p>
            <w:pPr>
              <w:pStyle w:val="0"/>
            </w:pPr>
            <w:r>
              <w:rPr>
                <w:sz w:val="24"/>
              </w:rPr>
              <w:t xml:space="preserve">683</w:t>
            </w:r>
          </w:p>
        </w:tc>
        <w:tc>
          <w:tcPr>
            <w:gridSpan w:val="7"/>
            <w:tcW w:w="2608" w:type="dxa"/>
          </w:tcPr>
          <w:p>
            <w:pPr>
              <w:pStyle w:val="0"/>
            </w:pPr>
            <w:r>
              <w:rPr>
                <w:sz w:val="24"/>
              </w:rPr>
              <w:t xml:space="preserve">Финансовые обязательства, классифицируемые как оцениваемые по справедливой стоимости через прибыль или убыток по усмотрению страховщика</w:t>
            </w:r>
          </w:p>
        </w:tc>
        <w:tc>
          <w:tcPr>
            <w:tcW w:w="2608" w:type="dxa"/>
          </w:tcPr>
          <w:p>
            <w:pPr>
              <w:pStyle w:val="0"/>
            </w:pPr>
            <w:r>
              <w:rPr>
                <w:sz w:val="24"/>
              </w:rPr>
            </w:r>
          </w:p>
        </w:tc>
        <w:tc>
          <w:tcPr>
            <w:tcW w:w="2948" w:type="dxa"/>
          </w:tcPr>
          <w:p>
            <w:pPr>
              <w:pStyle w:val="0"/>
            </w:pPr>
            <w:r>
              <w:rPr>
                <w:sz w:val="24"/>
              </w:rPr>
              <w:t xml:space="preserve">ifrs-full:FinancialLiabilitiesAtFairValueThroughProfitOrLossDesignatedAsUponInitialRecognition</w:t>
            </w:r>
          </w:p>
        </w:tc>
      </w:tr>
      <w:tr>
        <w:tc>
          <w:tcPr>
            <w:tcW w:w="907" w:type="dxa"/>
          </w:tcPr>
          <w:p>
            <w:pPr>
              <w:pStyle w:val="0"/>
            </w:pPr>
            <w:r>
              <w:rPr>
                <w:sz w:val="24"/>
              </w:rPr>
              <w:t xml:space="preserve">683.1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683.2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10" w:name="P28010"/>
          <w:bookmarkEnd w:id="28010"/>
          <w:p>
            <w:pPr>
              <w:pStyle w:val="0"/>
            </w:pPr>
            <w:r>
              <w:rPr>
                <w:sz w:val="24"/>
              </w:rPr>
              <w:t xml:space="preserve">684</w:t>
            </w:r>
          </w:p>
        </w:tc>
        <w:tc>
          <w:tcPr>
            <w:gridSpan w:val="7"/>
            <w:tcW w:w="2608" w:type="dxa"/>
          </w:tcPr>
          <w:p>
            <w:pPr>
              <w:pStyle w:val="0"/>
            </w:pPr>
            <w:r>
              <w:rPr>
                <w:sz w:val="24"/>
              </w:rPr>
              <w:t xml:space="preserve">Финансовые обязательства, оцениваемые по амортизированной стоимости</w:t>
            </w:r>
          </w:p>
        </w:tc>
        <w:tc>
          <w:tcPr>
            <w:tcW w:w="2608" w:type="dxa"/>
          </w:tcPr>
          <w:p>
            <w:pPr>
              <w:pStyle w:val="0"/>
            </w:pPr>
            <w:r>
              <w:rPr>
                <w:sz w:val="24"/>
              </w:rPr>
            </w:r>
          </w:p>
        </w:tc>
        <w:tc>
          <w:tcPr>
            <w:tcW w:w="2948" w:type="dxa"/>
          </w:tcPr>
          <w:p>
            <w:pPr>
              <w:pStyle w:val="0"/>
            </w:pPr>
            <w:r>
              <w:rPr>
                <w:sz w:val="24"/>
              </w:rPr>
              <w:t xml:space="preserve">ifrs-full:FinancialLiabilitiesAtAmortisedCost</w:t>
            </w:r>
          </w:p>
        </w:tc>
      </w:tr>
      <w:tr>
        <w:tc>
          <w:tcPr>
            <w:tcW w:w="907" w:type="dxa"/>
          </w:tcPr>
          <w:p>
            <w:pPr>
              <w:pStyle w:val="0"/>
            </w:pPr>
            <w:r>
              <w:rPr>
                <w:sz w:val="24"/>
              </w:rPr>
              <w:t xml:space="preserve">684.1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684.2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22" w:name="P28022"/>
          <w:bookmarkEnd w:id="28022"/>
          <w:p>
            <w:pPr>
              <w:pStyle w:val="0"/>
            </w:pPr>
            <w:r>
              <w:rPr>
                <w:sz w:val="24"/>
              </w:rPr>
              <w:t xml:space="preserve">685</w:t>
            </w:r>
          </w:p>
        </w:tc>
        <w:tc>
          <w:tcPr>
            <w:gridSpan w:val="7"/>
            <w:tcW w:w="2608" w:type="dxa"/>
          </w:tcPr>
          <w:p>
            <w:pPr>
              <w:pStyle w:val="0"/>
            </w:pPr>
            <w:r>
              <w:rPr>
                <w:sz w:val="24"/>
              </w:rPr>
              <w:t xml:space="preserve">Обязательства по договорам страхования</w:t>
            </w:r>
          </w:p>
        </w:tc>
        <w:tc>
          <w:tcPr>
            <w:tcW w:w="2608" w:type="dxa"/>
          </w:tcPr>
          <w:p>
            <w:pPr>
              <w:pStyle w:val="0"/>
            </w:pPr>
            <w:r>
              <w:rPr>
                <w:sz w:val="24"/>
              </w:rPr>
            </w:r>
          </w:p>
        </w:tc>
        <w:tc>
          <w:tcPr>
            <w:tcW w:w="2948" w:type="dxa"/>
          </w:tcPr>
          <w:p>
            <w:pPr>
              <w:pStyle w:val="0"/>
            </w:pPr>
            <w:r>
              <w:rPr>
                <w:sz w:val="24"/>
              </w:rPr>
              <w:t xml:space="preserve">ifrs-ru:ObPoDogStr</w:t>
            </w:r>
          </w:p>
        </w:tc>
      </w:tr>
      <w:tr>
        <w:tc>
          <w:tcPr>
            <w:tcW w:w="907" w:type="dxa"/>
          </w:tcPr>
          <w:p>
            <w:pPr>
              <w:pStyle w:val="0"/>
            </w:pPr>
            <w:r>
              <w:rPr>
                <w:sz w:val="24"/>
              </w:rPr>
              <w:t xml:space="preserve">685.1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685.2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34" w:name="P28034"/>
          <w:bookmarkEnd w:id="28034"/>
          <w:p>
            <w:pPr>
              <w:pStyle w:val="0"/>
            </w:pPr>
            <w:r>
              <w:rPr>
                <w:sz w:val="24"/>
              </w:rPr>
              <w:t xml:space="preserve">686</w:t>
            </w:r>
          </w:p>
        </w:tc>
        <w:tc>
          <w:tcPr>
            <w:gridSpan w:val="7"/>
            <w:tcW w:w="2608" w:type="dxa"/>
          </w:tcPr>
          <w:p>
            <w:pPr>
              <w:pStyle w:val="0"/>
            </w:pPr>
            <w:r>
              <w:rPr>
                <w:sz w:val="24"/>
              </w:rPr>
              <w:t xml:space="preserve">Кредиты, займы и прочие привлеченные средства</w:t>
            </w:r>
          </w:p>
        </w:tc>
        <w:tc>
          <w:tcPr>
            <w:tcW w:w="2608" w:type="dxa"/>
          </w:tcPr>
          <w:p>
            <w:pPr>
              <w:pStyle w:val="0"/>
            </w:pPr>
            <w:r>
              <w:rPr>
                <w:sz w:val="24"/>
              </w:rPr>
            </w:r>
          </w:p>
        </w:tc>
        <w:tc>
          <w:tcPr>
            <w:tcW w:w="2948" w:type="dxa"/>
          </w:tcPr>
          <w:p>
            <w:pPr>
              <w:pStyle w:val="0"/>
            </w:pPr>
            <w:r>
              <w:rPr>
                <w:sz w:val="24"/>
              </w:rPr>
              <w:t xml:space="preserve">ifrs-ru:KredZajmIProchPrivlSredstva</w:t>
            </w:r>
          </w:p>
        </w:tc>
      </w:tr>
      <w:tr>
        <w:tc>
          <w:tcPr>
            <w:tcW w:w="907" w:type="dxa"/>
          </w:tcPr>
          <w:p>
            <w:pPr>
              <w:pStyle w:val="0"/>
            </w:pPr>
            <w:r>
              <w:rPr>
                <w:sz w:val="24"/>
              </w:rPr>
              <w:t xml:space="preserve">686.1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686.2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46" w:name="P28046"/>
          <w:bookmarkEnd w:id="28046"/>
          <w:p>
            <w:pPr>
              <w:pStyle w:val="0"/>
            </w:pPr>
            <w:r>
              <w:rPr>
                <w:sz w:val="24"/>
              </w:rPr>
              <w:t xml:space="preserve">687</w:t>
            </w:r>
          </w:p>
        </w:tc>
        <w:tc>
          <w:tcPr>
            <w:gridSpan w:val="7"/>
            <w:tcW w:w="2608" w:type="dxa"/>
          </w:tcPr>
          <w:p>
            <w:pPr>
              <w:pStyle w:val="0"/>
            </w:pPr>
            <w:r>
              <w:rPr>
                <w:sz w:val="24"/>
              </w:rPr>
              <w:t xml:space="preserve">Выпущенные долговые ценные бумаги</w:t>
            </w:r>
          </w:p>
        </w:tc>
        <w:tc>
          <w:tcPr>
            <w:tcW w:w="2608" w:type="dxa"/>
          </w:tcPr>
          <w:p>
            <w:pPr>
              <w:pStyle w:val="0"/>
            </w:pPr>
            <w:r>
              <w:rPr>
                <w:sz w:val="24"/>
              </w:rPr>
            </w:r>
          </w:p>
        </w:tc>
        <w:tc>
          <w:tcPr>
            <w:tcW w:w="2948" w:type="dxa"/>
          </w:tcPr>
          <w:p>
            <w:pPr>
              <w:pStyle w:val="0"/>
            </w:pPr>
            <w:r>
              <w:rPr>
                <w:sz w:val="24"/>
              </w:rPr>
              <w:t xml:space="preserve">ifrs-ru:VypushhennyeDolgovyeCZennyeBumagi</w:t>
            </w:r>
          </w:p>
        </w:tc>
      </w:tr>
      <w:tr>
        <w:tc>
          <w:tcPr>
            <w:tcW w:w="907" w:type="dxa"/>
          </w:tcPr>
          <w:p>
            <w:pPr>
              <w:pStyle w:val="0"/>
            </w:pPr>
            <w:r>
              <w:rPr>
                <w:sz w:val="24"/>
              </w:rPr>
              <w:t xml:space="preserve">687.1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687.2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58" w:name="P28058"/>
          <w:bookmarkEnd w:id="28058"/>
          <w:p>
            <w:pPr>
              <w:pStyle w:val="0"/>
            </w:pPr>
            <w:r>
              <w:rPr>
                <w:sz w:val="24"/>
              </w:rPr>
              <w:t xml:space="preserve">688</w:t>
            </w:r>
          </w:p>
        </w:tc>
        <w:tc>
          <w:tcPr>
            <w:gridSpan w:val="7"/>
            <w:tcW w:w="2608" w:type="dxa"/>
          </w:tcPr>
          <w:p>
            <w:pPr>
              <w:pStyle w:val="0"/>
            </w:pPr>
            <w:r>
              <w:rPr>
                <w:sz w:val="24"/>
              </w:rPr>
              <w:t xml:space="preserve">Прочая кредиторская задолженность</w:t>
            </w:r>
          </w:p>
        </w:tc>
        <w:tc>
          <w:tcPr>
            <w:tcW w:w="2608" w:type="dxa"/>
          </w:tcPr>
          <w:p>
            <w:pPr>
              <w:pStyle w:val="0"/>
            </w:pPr>
            <w:r>
              <w:rPr>
                <w:sz w:val="24"/>
              </w:rPr>
            </w:r>
          </w:p>
        </w:tc>
        <w:tc>
          <w:tcPr>
            <w:tcW w:w="2948" w:type="dxa"/>
          </w:tcPr>
          <w:p>
            <w:pPr>
              <w:pStyle w:val="0"/>
            </w:pPr>
            <w:r>
              <w:rPr>
                <w:sz w:val="24"/>
              </w:rPr>
              <w:t xml:space="preserve">ifrs-ru:ProchayaKreditorskayaZadolzhennost</w:t>
            </w:r>
          </w:p>
        </w:tc>
      </w:tr>
      <w:tr>
        <w:tc>
          <w:tcPr>
            <w:tcW w:w="907" w:type="dxa"/>
          </w:tcPr>
          <w:p>
            <w:pPr>
              <w:pStyle w:val="0"/>
            </w:pPr>
            <w:r>
              <w:rPr>
                <w:sz w:val="24"/>
              </w:rPr>
              <w:t xml:space="preserve">688.1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dim-int:Summa_Razrez_Ozhid_Srokov_PogashSo_Licz_Dszh_Axis</w:t>
            </w:r>
          </w:p>
        </w:tc>
      </w:tr>
      <w:tr>
        <w:tc>
          <w:tcPr>
            <w:tcW w:w="907" w:type="dxa"/>
          </w:tcPr>
          <w:p>
            <w:pPr>
              <w:pStyle w:val="0"/>
            </w:pPr>
            <w:r>
              <w:rPr>
                <w:sz w:val="24"/>
              </w:rPr>
              <w:t xml:space="preserve">688.2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70" w:name="P28070"/>
          <w:bookmarkEnd w:id="28070"/>
          <w:p>
            <w:pPr>
              <w:pStyle w:val="0"/>
            </w:pPr>
            <w:r>
              <w:rPr>
                <w:sz w:val="24"/>
              </w:rPr>
              <w:t xml:space="preserve">689</w:t>
            </w:r>
          </w:p>
        </w:tc>
        <w:tc>
          <w:tcPr>
            <w:gridSpan w:val="7"/>
            <w:tcW w:w="2608" w:type="dxa"/>
          </w:tcPr>
          <w:p>
            <w:pPr>
              <w:pStyle w:val="0"/>
            </w:pPr>
            <w:r>
              <w:rPr>
                <w:sz w:val="24"/>
              </w:rPr>
              <w:t xml:space="preserve">Обязательства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167"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ifrs-ru:ObPoPorDogStrVypPrinDogPerIFRS17</w:t>
            </w:r>
          </w:p>
        </w:tc>
      </w:tr>
      <w:tr>
        <w:tc>
          <w:tcPr>
            <w:tcW w:w="907" w:type="dxa"/>
          </w:tcPr>
          <w:p>
            <w:pPr>
              <w:pStyle w:val="0"/>
            </w:pPr>
            <w:r>
              <w:rPr>
                <w:sz w:val="24"/>
              </w:rPr>
              <w:t xml:space="preserve">689.1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689.2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82" w:name="P28082"/>
          <w:bookmarkEnd w:id="28082"/>
          <w:p>
            <w:pPr>
              <w:pStyle w:val="0"/>
            </w:pPr>
            <w:r>
              <w:rPr>
                <w:sz w:val="24"/>
              </w:rPr>
              <w:t xml:space="preserve">690</w:t>
            </w:r>
          </w:p>
        </w:tc>
        <w:tc>
          <w:tcPr>
            <w:gridSpan w:val="7"/>
            <w:tcW w:w="2608" w:type="dxa"/>
          </w:tcPr>
          <w:p>
            <w:pPr>
              <w:pStyle w:val="0"/>
            </w:pPr>
            <w:r>
              <w:rPr>
                <w:sz w:val="24"/>
              </w:rPr>
              <w:t xml:space="preserve">Обязательства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168"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ifrs-ru:ObPoPorUdPerDogPerIFRS17</w:t>
            </w:r>
          </w:p>
        </w:tc>
      </w:tr>
      <w:tr>
        <w:tc>
          <w:tcPr>
            <w:tcW w:w="907" w:type="dxa"/>
          </w:tcPr>
          <w:p>
            <w:pPr>
              <w:pStyle w:val="0"/>
            </w:pPr>
            <w:r>
              <w:rPr>
                <w:sz w:val="24"/>
              </w:rPr>
              <w:t xml:space="preserve">690.1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690.2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094" w:name="P28094"/>
          <w:bookmarkEnd w:id="28094"/>
          <w:p>
            <w:pPr>
              <w:pStyle w:val="0"/>
            </w:pPr>
            <w:r>
              <w:rPr>
                <w:sz w:val="24"/>
              </w:rPr>
              <w:t xml:space="preserve">691</w:t>
            </w:r>
          </w:p>
        </w:tc>
        <w:tc>
          <w:tcPr>
            <w:gridSpan w:val="7"/>
            <w:tcW w:w="2608" w:type="dxa"/>
          </w:tcPr>
          <w:p>
            <w:pPr>
              <w:pStyle w:val="0"/>
            </w:pPr>
            <w:r>
              <w:rPr>
                <w:sz w:val="24"/>
              </w:rPr>
              <w:t xml:space="preserve">Обязательства выбывающих групп, классифицированных как предназначенные для продажи</w:t>
            </w:r>
          </w:p>
        </w:tc>
        <w:tc>
          <w:tcPr>
            <w:tcW w:w="2608" w:type="dxa"/>
          </w:tcPr>
          <w:p>
            <w:pPr>
              <w:pStyle w:val="0"/>
            </w:pPr>
            <w:r>
              <w:rPr>
                <w:sz w:val="24"/>
              </w:rPr>
            </w:r>
          </w:p>
        </w:tc>
        <w:tc>
          <w:tcPr>
            <w:tcW w:w="2948" w:type="dxa"/>
          </w:tcPr>
          <w:p>
            <w:pPr>
              <w:pStyle w:val="0"/>
            </w:pPr>
            <w:r>
              <w:rPr>
                <w:sz w:val="24"/>
              </w:rPr>
              <w:t xml:space="preserve">ifrs-full:LiabilitiesIncludedInDisposalGroupsClassifiedAsHeldForSale</w:t>
            </w:r>
          </w:p>
        </w:tc>
      </w:tr>
      <w:tr>
        <w:tc>
          <w:tcPr>
            <w:tcW w:w="907" w:type="dxa"/>
          </w:tcPr>
          <w:p>
            <w:pPr>
              <w:pStyle w:val="0"/>
            </w:pPr>
            <w:r>
              <w:rPr>
                <w:sz w:val="24"/>
              </w:rPr>
              <w:t xml:space="preserve">691.1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691.2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106" w:name="P28106"/>
          <w:bookmarkEnd w:id="28106"/>
          <w:p>
            <w:pPr>
              <w:pStyle w:val="0"/>
            </w:pPr>
            <w:r>
              <w:rPr>
                <w:sz w:val="24"/>
              </w:rPr>
              <w:t xml:space="preserve">692</w:t>
            </w:r>
          </w:p>
        </w:tc>
        <w:tc>
          <w:tcPr>
            <w:gridSpan w:val="7"/>
            <w:tcW w:w="2608" w:type="dxa"/>
          </w:tcPr>
          <w:p>
            <w:pPr>
              <w:pStyle w:val="0"/>
            </w:pPr>
            <w:r>
              <w:rPr>
                <w:sz w:val="24"/>
              </w:rPr>
              <w:t xml:space="preserve">Прочие обязательства</w:t>
            </w:r>
          </w:p>
        </w:tc>
        <w:tc>
          <w:tcPr>
            <w:tcW w:w="2608" w:type="dxa"/>
          </w:tcPr>
          <w:p>
            <w:pPr>
              <w:pStyle w:val="0"/>
            </w:pPr>
            <w:r>
              <w:rPr>
                <w:sz w:val="24"/>
              </w:rPr>
            </w:r>
          </w:p>
        </w:tc>
        <w:tc>
          <w:tcPr>
            <w:tcW w:w="2948" w:type="dxa"/>
          </w:tcPr>
          <w:p>
            <w:pPr>
              <w:pStyle w:val="0"/>
            </w:pPr>
            <w:r>
              <w:rPr>
                <w:sz w:val="24"/>
              </w:rPr>
              <w:t xml:space="preserve">ins-dic:ProchieObyazatelStvaVsego</w:t>
            </w:r>
          </w:p>
        </w:tc>
      </w:tr>
      <w:tr>
        <w:tc>
          <w:tcPr>
            <w:tcW w:w="907" w:type="dxa"/>
          </w:tcPr>
          <w:p>
            <w:pPr>
              <w:pStyle w:val="0"/>
            </w:pPr>
            <w:r>
              <w:rPr>
                <w:sz w:val="24"/>
              </w:rPr>
              <w:t xml:space="preserve">692.1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692.2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118" w:name="P28118"/>
          <w:bookmarkEnd w:id="28118"/>
          <w:p>
            <w:pPr>
              <w:pStyle w:val="0"/>
            </w:pPr>
            <w:r>
              <w:rPr>
                <w:sz w:val="24"/>
              </w:rPr>
              <w:t xml:space="preserve">693</w:t>
            </w:r>
          </w:p>
        </w:tc>
        <w:tc>
          <w:tcPr>
            <w:gridSpan w:val="7"/>
            <w:tcW w:w="2608" w:type="dxa"/>
          </w:tcPr>
          <w:p>
            <w:pPr>
              <w:pStyle w:val="0"/>
            </w:pPr>
            <w:r>
              <w:rPr>
                <w:sz w:val="24"/>
              </w:rPr>
              <w:t xml:space="preserve">Итого обязательств</w:t>
            </w:r>
          </w:p>
        </w:tc>
        <w:tc>
          <w:tcPr>
            <w:tcW w:w="2608" w:type="dxa"/>
          </w:tcPr>
          <w:p>
            <w:pPr>
              <w:pStyle w:val="0"/>
            </w:pPr>
            <w:r>
              <w:rPr>
                <w:sz w:val="24"/>
              </w:rPr>
            </w:r>
          </w:p>
        </w:tc>
        <w:tc>
          <w:tcPr>
            <w:tcW w:w="2948" w:type="dxa"/>
          </w:tcPr>
          <w:p>
            <w:pPr>
              <w:pStyle w:val="0"/>
            </w:pPr>
            <w:r>
              <w:rPr>
                <w:sz w:val="24"/>
              </w:rPr>
              <w:t xml:space="preserve">ifrs-full:Liabilities</w:t>
            </w:r>
          </w:p>
        </w:tc>
      </w:tr>
      <w:tr>
        <w:tc>
          <w:tcPr>
            <w:tcW w:w="907" w:type="dxa"/>
          </w:tcPr>
          <w:p>
            <w:pPr>
              <w:pStyle w:val="0"/>
            </w:pPr>
            <w:r>
              <w:rPr>
                <w:sz w:val="24"/>
              </w:rPr>
              <w:t xml:space="preserve">693.1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693.2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p>
            <w:pPr>
              <w:pStyle w:val="0"/>
            </w:pPr>
            <w:r>
              <w:rPr>
                <w:sz w:val="24"/>
              </w:rPr>
              <w:t xml:space="preserve">694</w:t>
            </w:r>
          </w:p>
        </w:tc>
        <w:tc>
          <w:tcPr>
            <w:gridSpan w:val="7"/>
            <w:tcW w:w="2608" w:type="dxa"/>
          </w:tcPr>
          <w:p>
            <w:pPr>
              <w:pStyle w:val="0"/>
            </w:pPr>
            <w:r>
              <w:rPr>
                <w:sz w:val="24"/>
              </w:rPr>
              <w:t xml:space="preserve">Чистый разрыв ликвидности (чистая балансовая позиция)</w:t>
            </w:r>
          </w:p>
        </w:tc>
        <w:tc>
          <w:tcPr>
            <w:tcW w:w="2608" w:type="dxa"/>
          </w:tcPr>
          <w:p>
            <w:pPr>
              <w:pStyle w:val="0"/>
            </w:pPr>
            <w:r>
              <w:rPr>
                <w:sz w:val="24"/>
              </w:rPr>
            </w:r>
          </w:p>
        </w:tc>
        <w:tc>
          <w:tcPr>
            <w:tcW w:w="2948" w:type="dxa"/>
          </w:tcPr>
          <w:p>
            <w:pPr>
              <w:pStyle w:val="0"/>
            </w:pPr>
            <w:r>
              <w:rPr>
                <w:sz w:val="24"/>
              </w:rPr>
              <w:t xml:space="preserve">ins-dic:Chistyj_Razryv_Likvidnosti_Chistaya_Balansovaya_Pozitsiya</w:t>
            </w:r>
          </w:p>
        </w:tc>
      </w:tr>
      <w:tr>
        <w:tc>
          <w:tcPr>
            <w:tcW w:w="907" w:type="dxa"/>
          </w:tcPr>
          <w:p>
            <w:pPr>
              <w:pStyle w:val="0"/>
            </w:pPr>
            <w:r>
              <w:rPr>
                <w:sz w:val="24"/>
              </w:rPr>
              <w:t xml:space="preserve">694.1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694.2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p>
            <w:pPr>
              <w:pStyle w:val="0"/>
            </w:pPr>
            <w:r>
              <w:rPr>
                <w:sz w:val="24"/>
              </w:rPr>
              <w:t xml:space="preserve">695</w:t>
            </w:r>
          </w:p>
        </w:tc>
        <w:tc>
          <w:tcPr>
            <w:gridSpan w:val="7"/>
            <w:tcW w:w="2608" w:type="dxa"/>
          </w:tcPr>
          <w:p>
            <w:pPr>
              <w:pStyle w:val="0"/>
            </w:pPr>
            <w:r>
              <w:rPr>
                <w:sz w:val="24"/>
              </w:rPr>
              <w:t xml:space="preserve">Совокупный разрыв ликвидности</w:t>
            </w:r>
          </w:p>
        </w:tc>
        <w:tc>
          <w:tcPr>
            <w:tcW w:w="2608" w:type="dxa"/>
          </w:tcPr>
          <w:p>
            <w:pPr>
              <w:pStyle w:val="0"/>
            </w:pPr>
            <w:r>
              <w:rPr>
                <w:sz w:val="24"/>
              </w:rPr>
            </w:r>
          </w:p>
        </w:tc>
        <w:tc>
          <w:tcPr>
            <w:tcW w:w="2948" w:type="dxa"/>
          </w:tcPr>
          <w:p>
            <w:pPr>
              <w:pStyle w:val="0"/>
            </w:pPr>
            <w:r>
              <w:rPr>
                <w:sz w:val="24"/>
              </w:rPr>
              <w:t xml:space="preserve">ins-dic:Sovokupnyj_Razryv_Likvidnosti</w:t>
            </w:r>
          </w:p>
        </w:tc>
      </w:tr>
      <w:tr>
        <w:tc>
          <w:tcPr>
            <w:tcW w:w="907" w:type="dxa"/>
          </w:tcPr>
          <w:p>
            <w:pPr>
              <w:pStyle w:val="0"/>
            </w:pPr>
            <w:r>
              <w:rPr>
                <w:sz w:val="24"/>
              </w:rPr>
              <w:t xml:space="preserve">695.1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948" w:type="dxa"/>
          </w:tcPr>
          <w:p>
            <w:pPr>
              <w:pStyle w:val="0"/>
            </w:pPr>
            <w:r>
              <w:rPr>
                <w:sz w:val="24"/>
              </w:rPr>
              <w:t xml:space="preserve">dim-int:Summa_Razrez_Ozhid_Srokov_Pogash_So_Licz_Dszh_Axis</w:t>
            </w:r>
          </w:p>
        </w:tc>
      </w:tr>
      <w:tr>
        <w:tc>
          <w:tcPr>
            <w:tcW w:w="907" w:type="dxa"/>
          </w:tcPr>
          <w:p>
            <w:pPr>
              <w:pStyle w:val="0"/>
            </w:pPr>
            <w:r>
              <w:rPr>
                <w:sz w:val="24"/>
              </w:rPr>
              <w:t xml:space="preserve">695.2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blPrEx>
          <w:tblBorders>
            <w:insideV w:val="nil"/>
          </w:tblBorders>
        </w:tblPrEx>
        <w:tc>
          <w:tcPr>
            <w:gridSpan w:val="4"/>
            <w:tcW w:w="1701" w:type="dxa"/>
            <w:tcBorders>
              <w:left w:val="single" w:sz="4"/>
            </w:tcBorders>
          </w:tcPr>
          <w:p>
            <w:pPr>
              <w:pStyle w:val="0"/>
              <w:outlineLvl w:val="4"/>
            </w:pPr>
            <w:r>
              <w:rPr>
                <w:sz w:val="24"/>
              </w:rPr>
              <w:t xml:space="preserve">Подраздел 11.2.</w:t>
            </w:r>
          </w:p>
        </w:tc>
        <w:tc>
          <w:tcPr>
            <w:gridSpan w:val="6"/>
            <w:tcW w:w="7370" w:type="dxa"/>
            <w:tcBorders>
              <w:right w:val="single" w:sz="4"/>
            </w:tcBorders>
          </w:tcPr>
          <w:p>
            <w:pPr>
              <w:pStyle w:val="0"/>
            </w:pPr>
            <w:r>
              <w:rPr>
                <w:sz w:val="24"/>
              </w:rPr>
              <w:t xml:space="preserve">Для страховщика, не имеющего лицензию на осуществление добровольного страхования жизни</w:t>
            </w:r>
          </w:p>
        </w:tc>
      </w:tr>
      <w:tr>
        <w:tblPrEx>
          <w:tblBorders>
            <w:insideV w:val="nil"/>
          </w:tblBorders>
        </w:tblPrEx>
        <w:tc>
          <w:tcPr>
            <w:gridSpan w:val="6"/>
            <w:tcW w:w="2109" w:type="dxa"/>
            <w:tcBorders>
              <w:left w:val="single" w:sz="4"/>
            </w:tcBorders>
          </w:tcPr>
          <w:p>
            <w:pPr>
              <w:pStyle w:val="0"/>
              <w:outlineLvl w:val="5"/>
            </w:pPr>
            <w:r>
              <w:rPr>
                <w:sz w:val="24"/>
              </w:rPr>
              <w:t xml:space="preserve">Подраздел 11.2.1.</w:t>
            </w:r>
          </w:p>
        </w:tc>
        <w:tc>
          <w:tcPr>
            <w:gridSpan w:val="4"/>
            <w:tcW w:w="6962" w:type="dxa"/>
            <w:tcBorders>
              <w:right w:val="single" w:sz="4"/>
            </w:tcBorders>
          </w:tcPr>
          <w:p>
            <w:pPr>
              <w:pStyle w:val="0"/>
            </w:pPr>
            <w:r>
              <w:rPr>
                <w:sz w:val="24"/>
              </w:rPr>
              <w:t xml:space="preserve">Финансовые активы</w:t>
            </w:r>
          </w:p>
        </w:tc>
      </w:tr>
      <w:tr>
        <w:tc>
          <w:tcPr>
            <w:tcW w:w="907" w:type="dxa"/>
          </w:tcPr>
          <w:bookmarkStart w:id="28158" w:name="P28158"/>
          <w:bookmarkEnd w:id="28158"/>
          <w:p>
            <w:pPr>
              <w:pStyle w:val="0"/>
            </w:pPr>
            <w:r>
              <w:rPr>
                <w:sz w:val="24"/>
              </w:rPr>
              <w:t xml:space="preserve">696</w:t>
            </w:r>
          </w:p>
        </w:tc>
        <w:tc>
          <w:tcPr>
            <w:gridSpan w:val="7"/>
            <w:tcW w:w="2608" w:type="dxa"/>
          </w:tcPr>
          <w:p>
            <w:pPr>
              <w:pStyle w:val="0"/>
            </w:pPr>
            <w:r>
              <w:rPr>
                <w:sz w:val="24"/>
              </w:rPr>
              <w:t xml:space="preserve">Денежные средства</w:t>
            </w:r>
          </w:p>
        </w:tc>
        <w:tc>
          <w:tcPr>
            <w:tcW w:w="2608" w:type="dxa"/>
          </w:tcPr>
          <w:p>
            <w:pPr>
              <w:pStyle w:val="0"/>
            </w:pPr>
            <w:r>
              <w:rPr>
                <w:sz w:val="24"/>
              </w:rPr>
            </w:r>
          </w:p>
        </w:tc>
        <w:tc>
          <w:tcPr>
            <w:tcW w:w="2948" w:type="dxa"/>
          </w:tcPr>
          <w:p>
            <w:pPr>
              <w:pStyle w:val="0"/>
            </w:pPr>
            <w:r>
              <w:rPr>
                <w:sz w:val="24"/>
              </w:rPr>
              <w:t xml:space="preserve">ifrs-ru:DenezhnyeSredstva</w:t>
            </w:r>
          </w:p>
        </w:tc>
      </w:tr>
      <w:tr>
        <w:tc>
          <w:tcPr>
            <w:tcW w:w="907" w:type="dxa"/>
          </w:tcPr>
          <w:p>
            <w:pPr>
              <w:pStyle w:val="0"/>
            </w:pPr>
            <w:r>
              <w:rPr>
                <w:sz w:val="24"/>
              </w:rPr>
              <w:t xml:space="preserve">696.1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696.2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170" w:name="P28170"/>
          <w:bookmarkEnd w:id="28170"/>
          <w:p>
            <w:pPr>
              <w:pStyle w:val="0"/>
            </w:pPr>
            <w:r>
              <w:rPr>
                <w:sz w:val="24"/>
              </w:rPr>
              <w:t xml:space="preserve">697</w:t>
            </w:r>
          </w:p>
        </w:tc>
        <w:tc>
          <w:tcPr>
            <w:gridSpan w:val="7"/>
            <w:tcW w:w="2608" w:type="dxa"/>
          </w:tcPr>
          <w:p>
            <w:pPr>
              <w:pStyle w:val="0"/>
            </w:pPr>
            <w:r>
              <w:rPr>
                <w:sz w:val="24"/>
              </w:rPr>
              <w:t xml:space="preserve">Финансовые активы,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ifrs-full:FinancialAssetsAtFairValueThroughProfitOrLoss</w:t>
            </w:r>
          </w:p>
        </w:tc>
      </w:tr>
      <w:tr>
        <w:tc>
          <w:tcPr>
            <w:tcW w:w="907" w:type="dxa"/>
          </w:tcPr>
          <w:p>
            <w:pPr>
              <w:pStyle w:val="0"/>
            </w:pPr>
            <w:r>
              <w:rPr>
                <w:sz w:val="24"/>
              </w:rPr>
              <w:t xml:space="preserve">697.1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697.2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182" w:name="P28182"/>
          <w:bookmarkEnd w:id="28182"/>
          <w:p>
            <w:pPr>
              <w:pStyle w:val="0"/>
            </w:pPr>
            <w:r>
              <w:rPr>
                <w:sz w:val="24"/>
              </w:rPr>
              <w:t xml:space="preserve">698</w:t>
            </w:r>
          </w:p>
        </w:tc>
        <w:tc>
          <w:tcPr>
            <w:gridSpan w:val="7"/>
            <w:tcW w:w="2608" w:type="dxa"/>
          </w:tcPr>
          <w:p>
            <w:pPr>
              <w:pStyle w:val="0"/>
            </w:pPr>
            <w:r>
              <w:rPr>
                <w:sz w:val="24"/>
              </w:rPr>
              <w:t xml:space="preserve">Финансовые активы, в обязательном порядке классифицируемые как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ifrs-full:FinancialAssetsAtFairValueThroughProfitOrLossMandatorilyMeasuredAtFairValue</w:t>
            </w:r>
          </w:p>
        </w:tc>
      </w:tr>
      <w:tr>
        <w:tc>
          <w:tcPr>
            <w:tcW w:w="907" w:type="dxa"/>
          </w:tcPr>
          <w:p>
            <w:pPr>
              <w:pStyle w:val="0"/>
            </w:pPr>
            <w:r>
              <w:rPr>
                <w:sz w:val="24"/>
              </w:rPr>
              <w:t xml:space="preserve">698.1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698.2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194" w:name="P28194"/>
          <w:bookmarkEnd w:id="28194"/>
          <w:p>
            <w:pPr>
              <w:pStyle w:val="0"/>
            </w:pPr>
            <w:r>
              <w:rPr>
                <w:sz w:val="24"/>
              </w:rPr>
              <w:t xml:space="preserve">699</w:t>
            </w:r>
          </w:p>
        </w:tc>
        <w:tc>
          <w:tcPr>
            <w:gridSpan w:val="7"/>
            <w:tcW w:w="2608" w:type="dxa"/>
          </w:tcPr>
          <w:p>
            <w:pPr>
              <w:pStyle w:val="0"/>
            </w:pPr>
            <w:r>
              <w:rPr>
                <w:sz w:val="24"/>
              </w:rPr>
              <w:t xml:space="preserve">Финансовые активы, классифицируемые как оцениваемые по справедливой стоимости через прибыль или убыток по усмотрению страховщика</w:t>
            </w:r>
          </w:p>
        </w:tc>
        <w:tc>
          <w:tcPr>
            <w:tcW w:w="2608" w:type="dxa"/>
          </w:tcPr>
          <w:p>
            <w:pPr>
              <w:pStyle w:val="0"/>
            </w:pPr>
            <w:r>
              <w:rPr>
                <w:sz w:val="24"/>
              </w:rPr>
            </w:r>
          </w:p>
        </w:tc>
        <w:tc>
          <w:tcPr>
            <w:tcW w:w="2948" w:type="dxa"/>
          </w:tcPr>
          <w:p>
            <w:pPr>
              <w:pStyle w:val="0"/>
            </w:pPr>
            <w:r>
              <w:rPr>
                <w:sz w:val="24"/>
              </w:rPr>
              <w:t xml:space="preserve">ifrs-full:FinancialAssetsAtFairValueThroughProfitOrLossDesignatedAsUponInitialRecognition</w:t>
            </w:r>
          </w:p>
        </w:tc>
      </w:tr>
      <w:tr>
        <w:tc>
          <w:tcPr>
            <w:tcW w:w="907" w:type="dxa"/>
          </w:tcPr>
          <w:p>
            <w:pPr>
              <w:pStyle w:val="0"/>
            </w:pPr>
            <w:r>
              <w:rPr>
                <w:sz w:val="24"/>
              </w:rPr>
              <w:t xml:space="preserve">699.1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699.2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206" w:name="P28206"/>
          <w:bookmarkEnd w:id="28206"/>
          <w:p>
            <w:pPr>
              <w:pStyle w:val="0"/>
            </w:pPr>
            <w:r>
              <w:rPr>
                <w:sz w:val="24"/>
              </w:rPr>
              <w:t xml:space="preserve">700</w:t>
            </w:r>
          </w:p>
        </w:tc>
        <w:tc>
          <w:tcPr>
            <w:gridSpan w:val="7"/>
            <w:tcW w:w="2608" w:type="dxa"/>
          </w:tcPr>
          <w:p>
            <w:pPr>
              <w:pStyle w:val="0"/>
            </w:pPr>
            <w:r>
              <w:rPr>
                <w:sz w:val="24"/>
              </w:rPr>
              <w:t xml:space="preserve">Финансовые активы, оцениваемые по справедливой стоимости через прочий совокупный доход</w:t>
            </w:r>
          </w:p>
        </w:tc>
        <w:tc>
          <w:tcPr>
            <w:tcW w:w="2608" w:type="dxa"/>
          </w:tcPr>
          <w:p>
            <w:pPr>
              <w:pStyle w:val="0"/>
            </w:pPr>
            <w:r>
              <w:rPr>
                <w:sz w:val="24"/>
              </w:rPr>
            </w:r>
          </w:p>
        </w:tc>
        <w:tc>
          <w:tcPr>
            <w:tcW w:w="2948" w:type="dxa"/>
          </w:tcPr>
          <w:p>
            <w:pPr>
              <w:pStyle w:val="0"/>
            </w:pPr>
            <w:r>
              <w:rPr>
                <w:sz w:val="24"/>
              </w:rPr>
              <w:t xml:space="preserve">ifrs-full:FinancialAssetsAtFairValueThroughOtherComprehensiveIncome</w:t>
            </w:r>
          </w:p>
        </w:tc>
      </w:tr>
      <w:tr>
        <w:tc>
          <w:tcPr>
            <w:tcW w:w="907" w:type="dxa"/>
          </w:tcPr>
          <w:p>
            <w:pPr>
              <w:pStyle w:val="0"/>
            </w:pPr>
            <w:r>
              <w:rPr>
                <w:sz w:val="24"/>
              </w:rPr>
              <w:t xml:space="preserve">700.1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700.2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218" w:name="P28218"/>
          <w:bookmarkEnd w:id="28218"/>
          <w:p>
            <w:pPr>
              <w:pStyle w:val="0"/>
            </w:pPr>
            <w:r>
              <w:rPr>
                <w:sz w:val="24"/>
              </w:rPr>
              <w:t xml:space="preserve">701</w:t>
            </w:r>
          </w:p>
        </w:tc>
        <w:tc>
          <w:tcPr>
            <w:gridSpan w:val="7"/>
            <w:tcW w:w="2608" w:type="dxa"/>
          </w:tcPr>
          <w:p>
            <w:pPr>
              <w:pStyle w:val="0"/>
            </w:pPr>
            <w:r>
              <w:rPr>
                <w:sz w:val="24"/>
              </w:rPr>
              <w:t xml:space="preserve">Долговые инструменты</w:t>
            </w:r>
          </w:p>
        </w:tc>
        <w:tc>
          <w:tcPr>
            <w:tcW w:w="2608" w:type="dxa"/>
          </w:tcPr>
          <w:p>
            <w:pPr>
              <w:pStyle w:val="0"/>
            </w:pPr>
            <w:r>
              <w:rPr>
                <w:sz w:val="24"/>
              </w:rPr>
            </w:r>
          </w:p>
        </w:tc>
        <w:tc>
          <w:tcPr>
            <w:tcW w:w="2948" w:type="dxa"/>
          </w:tcPr>
          <w:p>
            <w:pPr>
              <w:pStyle w:val="0"/>
            </w:pPr>
            <w:r>
              <w:rPr>
                <w:sz w:val="24"/>
              </w:rPr>
              <w:t xml:space="preserve">ifrs-ru:DolgovyeInstrumentyOczenivaemyePoSSCHerezPSD</w:t>
            </w:r>
          </w:p>
        </w:tc>
      </w:tr>
      <w:tr>
        <w:tc>
          <w:tcPr>
            <w:tcW w:w="907" w:type="dxa"/>
          </w:tcPr>
          <w:p>
            <w:pPr>
              <w:pStyle w:val="0"/>
            </w:pPr>
            <w:r>
              <w:rPr>
                <w:sz w:val="24"/>
              </w:rPr>
              <w:t xml:space="preserve">701.1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dim-int:Summa_Razrez_Ozhid_Srokov_Pogash_So_Bez_Licz_Pszh_Axis</w:t>
            </w:r>
          </w:p>
        </w:tc>
      </w:tr>
      <w:tr>
        <w:tc>
          <w:tcPr>
            <w:tcW w:w="907" w:type="dxa"/>
          </w:tcPr>
          <w:p>
            <w:pPr>
              <w:pStyle w:val="0"/>
            </w:pPr>
            <w:r>
              <w:rPr>
                <w:sz w:val="24"/>
              </w:rPr>
              <w:t xml:space="preserve">701.2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p>
            <w:pPr>
              <w:pStyle w:val="0"/>
            </w:pPr>
            <w:r>
              <w:rPr>
                <w:sz w:val="24"/>
              </w:rPr>
              <w:t xml:space="preserve">701.3</w:t>
            </w:r>
          </w:p>
        </w:tc>
        <w:tc>
          <w:tcPr>
            <w:gridSpan w:val="7"/>
            <w:tcW w:w="2608" w:type="dxa"/>
          </w:tcPr>
          <w:p>
            <w:pPr>
              <w:pStyle w:val="0"/>
            </w:pPr>
            <w:r>
              <w:rPr>
                <w:sz w:val="24"/>
              </w:rPr>
            </w:r>
          </w:p>
        </w:tc>
        <w:tc>
          <w:tcPr>
            <w:tcW w:w="2608" w:type="dxa"/>
          </w:tcPr>
          <w:p>
            <w:pPr>
              <w:pStyle w:val="0"/>
            </w:pPr>
            <w:r>
              <w:rPr>
                <w:sz w:val="24"/>
              </w:rPr>
              <w:t xml:space="preserve">Тип долговых инструментов</w:t>
            </w:r>
          </w:p>
        </w:tc>
        <w:tc>
          <w:tcPr>
            <w:tcW w:w="2948" w:type="dxa"/>
          </w:tcPr>
          <w:p>
            <w:pPr>
              <w:pStyle w:val="0"/>
            </w:pPr>
            <w:r>
              <w:rPr>
                <w:sz w:val="24"/>
              </w:rPr>
              <w:t xml:space="preserve">dim-int:TipDolgovyxInstrumentovAxis</w:t>
            </w:r>
          </w:p>
        </w:tc>
      </w:tr>
      <w:tr>
        <w:tc>
          <w:tcPr>
            <w:tcW w:w="907" w:type="dxa"/>
          </w:tcPr>
          <w:bookmarkStart w:id="28234" w:name="P28234"/>
          <w:bookmarkEnd w:id="28234"/>
          <w:p>
            <w:pPr>
              <w:pStyle w:val="0"/>
            </w:pPr>
            <w:r>
              <w:rPr>
                <w:sz w:val="24"/>
              </w:rPr>
              <w:t xml:space="preserve">702</w:t>
            </w:r>
          </w:p>
        </w:tc>
        <w:tc>
          <w:tcPr>
            <w:gridSpan w:val="7"/>
            <w:tcW w:w="2608" w:type="dxa"/>
          </w:tcPr>
          <w:p>
            <w:pPr>
              <w:pStyle w:val="0"/>
            </w:pPr>
            <w:r>
              <w:rPr>
                <w:sz w:val="24"/>
              </w:rPr>
              <w:t xml:space="preserve">Прочие долговые инструменты</w:t>
            </w:r>
          </w:p>
        </w:tc>
        <w:tc>
          <w:tcPr>
            <w:tcW w:w="2608" w:type="dxa"/>
          </w:tcPr>
          <w:p>
            <w:pPr>
              <w:pStyle w:val="0"/>
            </w:pPr>
            <w:r>
              <w:rPr>
                <w:sz w:val="24"/>
              </w:rPr>
            </w:r>
          </w:p>
        </w:tc>
        <w:tc>
          <w:tcPr>
            <w:tcW w:w="2948" w:type="dxa"/>
          </w:tcPr>
          <w:p>
            <w:pPr>
              <w:pStyle w:val="0"/>
            </w:pPr>
            <w:r>
              <w:rPr>
                <w:sz w:val="24"/>
              </w:rPr>
              <w:t xml:space="preserve">ins-dic:ProchieDolgovyeInstrumenty</w:t>
            </w:r>
          </w:p>
        </w:tc>
      </w:tr>
      <w:tr>
        <w:tc>
          <w:tcPr>
            <w:tcW w:w="907" w:type="dxa"/>
          </w:tcPr>
          <w:p>
            <w:pPr>
              <w:pStyle w:val="0"/>
            </w:pPr>
            <w:r>
              <w:rPr>
                <w:sz w:val="24"/>
              </w:rPr>
              <w:t xml:space="preserve">702.1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702.2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246" w:name="P28246"/>
          <w:bookmarkEnd w:id="28246"/>
          <w:p>
            <w:pPr>
              <w:pStyle w:val="0"/>
            </w:pPr>
            <w:r>
              <w:rPr>
                <w:sz w:val="24"/>
              </w:rPr>
              <w:t xml:space="preserve">703</w:t>
            </w:r>
          </w:p>
        </w:tc>
        <w:tc>
          <w:tcPr>
            <w:gridSpan w:val="7"/>
            <w:tcW w:w="2608" w:type="dxa"/>
          </w:tcPr>
          <w:p>
            <w:pPr>
              <w:pStyle w:val="0"/>
            </w:pPr>
            <w:r>
              <w:rPr>
                <w:sz w:val="24"/>
              </w:rPr>
              <w:t xml:space="preserve">Долевые инструменты</w:t>
            </w:r>
          </w:p>
        </w:tc>
        <w:tc>
          <w:tcPr>
            <w:tcW w:w="2608" w:type="dxa"/>
          </w:tcPr>
          <w:p>
            <w:pPr>
              <w:pStyle w:val="0"/>
            </w:pPr>
            <w:r>
              <w:rPr>
                <w:sz w:val="24"/>
              </w:rPr>
            </w:r>
          </w:p>
        </w:tc>
        <w:tc>
          <w:tcPr>
            <w:tcW w:w="2948" w:type="dxa"/>
          </w:tcPr>
          <w:p>
            <w:pPr>
              <w:pStyle w:val="0"/>
            </w:pPr>
            <w:r>
              <w:rPr>
                <w:sz w:val="24"/>
              </w:rPr>
              <w:t xml:space="preserve">ifrs-ru:DolevyeInstrumentyOczenivaemyePoSSCHerezPSD</w:t>
            </w:r>
          </w:p>
        </w:tc>
      </w:tr>
      <w:tr>
        <w:tc>
          <w:tcPr>
            <w:tcW w:w="907" w:type="dxa"/>
          </w:tcPr>
          <w:p>
            <w:pPr>
              <w:pStyle w:val="0"/>
            </w:pPr>
            <w:r>
              <w:rPr>
                <w:sz w:val="24"/>
              </w:rPr>
              <w:t xml:space="preserve">703.1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dim-int:Summa__Razrez_Ozhid_Srokov_Pogash_So_Bez_Licz_Dszh_Axis</w:t>
            </w:r>
          </w:p>
        </w:tc>
      </w:tr>
      <w:tr>
        <w:tc>
          <w:tcPr>
            <w:tcW w:w="907" w:type="dxa"/>
          </w:tcPr>
          <w:p>
            <w:pPr>
              <w:pStyle w:val="0"/>
            </w:pPr>
            <w:r>
              <w:rPr>
                <w:sz w:val="24"/>
              </w:rPr>
              <w:t xml:space="preserve">703.2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258" w:name="P28258"/>
          <w:bookmarkEnd w:id="28258"/>
          <w:p>
            <w:pPr>
              <w:pStyle w:val="0"/>
            </w:pPr>
            <w:r>
              <w:rPr>
                <w:sz w:val="24"/>
              </w:rPr>
              <w:t xml:space="preserve">704</w:t>
            </w:r>
          </w:p>
        </w:tc>
        <w:tc>
          <w:tcPr>
            <w:gridSpan w:val="7"/>
            <w:tcW w:w="2608" w:type="dxa"/>
          </w:tcPr>
          <w:p>
            <w:pPr>
              <w:pStyle w:val="0"/>
            </w:pPr>
            <w:r>
              <w:rPr>
                <w:sz w:val="24"/>
              </w:rPr>
              <w:t xml:space="preserve">Финансовые активы, оцениваемые по амортизированной стоимости</w:t>
            </w:r>
          </w:p>
        </w:tc>
        <w:tc>
          <w:tcPr>
            <w:tcW w:w="2608" w:type="dxa"/>
          </w:tcPr>
          <w:p>
            <w:pPr>
              <w:pStyle w:val="0"/>
            </w:pPr>
            <w:r>
              <w:rPr>
                <w:sz w:val="24"/>
              </w:rPr>
            </w:r>
          </w:p>
        </w:tc>
        <w:tc>
          <w:tcPr>
            <w:tcW w:w="2948" w:type="dxa"/>
          </w:tcPr>
          <w:p>
            <w:pPr>
              <w:pStyle w:val="0"/>
            </w:pPr>
            <w:r>
              <w:rPr>
                <w:sz w:val="24"/>
              </w:rPr>
              <w:t xml:space="preserve">ifrs-full:FinancialAssetsAtAmortisedCost</w:t>
            </w:r>
          </w:p>
        </w:tc>
      </w:tr>
      <w:tr>
        <w:tc>
          <w:tcPr>
            <w:tcW w:w="907" w:type="dxa"/>
          </w:tcPr>
          <w:p>
            <w:pPr>
              <w:pStyle w:val="0"/>
            </w:pPr>
            <w:r>
              <w:rPr>
                <w:sz w:val="24"/>
              </w:rPr>
              <w:t xml:space="preserve">704.1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704.2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270" w:name="P28270"/>
          <w:bookmarkEnd w:id="28270"/>
          <w:p>
            <w:pPr>
              <w:pStyle w:val="0"/>
            </w:pPr>
            <w:r>
              <w:rPr>
                <w:sz w:val="24"/>
              </w:rPr>
              <w:t xml:space="preserve">705</w:t>
            </w:r>
          </w:p>
        </w:tc>
        <w:tc>
          <w:tcPr>
            <w:gridSpan w:val="7"/>
            <w:tcW w:w="2608" w:type="dxa"/>
          </w:tcPr>
          <w:p>
            <w:pPr>
              <w:pStyle w:val="0"/>
            </w:pPr>
            <w:r>
              <w:rPr>
                <w:sz w:val="24"/>
              </w:rPr>
              <w:t xml:space="preserve">Депозиты и прочие размещенные средства в кредитных организациях и банках-нерезидентах</w:t>
            </w:r>
          </w:p>
        </w:tc>
        <w:tc>
          <w:tcPr>
            <w:tcW w:w="2608" w:type="dxa"/>
          </w:tcPr>
          <w:p>
            <w:pPr>
              <w:pStyle w:val="0"/>
            </w:pPr>
            <w:r>
              <w:rPr>
                <w:sz w:val="24"/>
              </w:rPr>
            </w:r>
          </w:p>
        </w:tc>
        <w:tc>
          <w:tcPr>
            <w:tcW w:w="2948" w:type="dxa"/>
          </w:tcPr>
          <w:p>
            <w:pPr>
              <w:pStyle w:val="0"/>
            </w:pPr>
            <w:r>
              <w:rPr>
                <w:sz w:val="24"/>
              </w:rPr>
              <w:t xml:space="preserve">ifrs-ru:DepProchRazmSredstvaVKOIBankaxNerez</w:t>
            </w:r>
          </w:p>
        </w:tc>
      </w:tr>
      <w:tr>
        <w:tc>
          <w:tcPr>
            <w:tcW w:w="907" w:type="dxa"/>
          </w:tcPr>
          <w:p>
            <w:pPr>
              <w:pStyle w:val="0"/>
            </w:pPr>
            <w:r>
              <w:rPr>
                <w:sz w:val="24"/>
              </w:rPr>
              <w:t xml:space="preserve">705.1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705.2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282" w:name="P28282"/>
          <w:bookmarkEnd w:id="28282"/>
          <w:p>
            <w:pPr>
              <w:pStyle w:val="0"/>
            </w:pPr>
            <w:r>
              <w:rPr>
                <w:sz w:val="24"/>
              </w:rPr>
              <w:t xml:space="preserve">706</w:t>
            </w:r>
          </w:p>
        </w:tc>
        <w:tc>
          <w:tcPr>
            <w:gridSpan w:val="7"/>
            <w:tcW w:w="2608" w:type="dxa"/>
          </w:tcPr>
          <w:p>
            <w:pPr>
              <w:pStyle w:val="0"/>
            </w:pPr>
            <w:r>
              <w:rPr>
                <w:sz w:val="24"/>
              </w:rPr>
              <w:t xml:space="preserve">Займы, прочие размещенные средства и прочая дебиторская задолженность</w:t>
            </w:r>
          </w:p>
        </w:tc>
        <w:tc>
          <w:tcPr>
            <w:tcW w:w="2608" w:type="dxa"/>
          </w:tcPr>
          <w:p>
            <w:pPr>
              <w:pStyle w:val="0"/>
            </w:pPr>
            <w:r>
              <w:rPr>
                <w:sz w:val="24"/>
              </w:rPr>
            </w:r>
          </w:p>
        </w:tc>
        <w:tc>
          <w:tcPr>
            <w:tcW w:w="2948" w:type="dxa"/>
          </w:tcPr>
          <w:p>
            <w:pPr>
              <w:pStyle w:val="0"/>
            </w:pPr>
            <w:r>
              <w:rPr>
                <w:sz w:val="24"/>
              </w:rPr>
              <w:t xml:space="preserve">ifrs-ru:ZajmPrRazmSrPrDZ</w:t>
            </w:r>
          </w:p>
        </w:tc>
      </w:tr>
      <w:tr>
        <w:tc>
          <w:tcPr>
            <w:tcW w:w="907" w:type="dxa"/>
          </w:tcPr>
          <w:p>
            <w:pPr>
              <w:pStyle w:val="0"/>
            </w:pPr>
            <w:r>
              <w:rPr>
                <w:sz w:val="24"/>
              </w:rPr>
              <w:t xml:space="preserve">706.1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706.2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294" w:name="P28294"/>
          <w:bookmarkEnd w:id="28294"/>
          <w:p>
            <w:pPr>
              <w:pStyle w:val="0"/>
            </w:pPr>
            <w:r>
              <w:rPr>
                <w:sz w:val="24"/>
              </w:rPr>
              <w:t xml:space="preserve">707</w:t>
            </w:r>
          </w:p>
        </w:tc>
        <w:tc>
          <w:tcPr>
            <w:gridSpan w:val="7"/>
            <w:tcW w:w="2608" w:type="dxa"/>
          </w:tcPr>
          <w:p>
            <w:pPr>
              <w:pStyle w:val="0"/>
            </w:pPr>
            <w:r>
              <w:rPr>
                <w:sz w:val="24"/>
              </w:rPr>
              <w:t xml:space="preserve">Дебиторская задолженность по договорам обязательного медицинского страхования</w:t>
            </w:r>
          </w:p>
        </w:tc>
        <w:tc>
          <w:tcPr>
            <w:tcW w:w="2608" w:type="dxa"/>
          </w:tcPr>
          <w:p>
            <w:pPr>
              <w:pStyle w:val="0"/>
            </w:pPr>
            <w:r>
              <w:rPr>
                <w:sz w:val="24"/>
              </w:rPr>
            </w:r>
          </w:p>
        </w:tc>
        <w:tc>
          <w:tcPr>
            <w:tcW w:w="2948" w:type="dxa"/>
          </w:tcPr>
          <w:p>
            <w:pPr>
              <w:pStyle w:val="0"/>
            </w:pPr>
            <w:r>
              <w:rPr>
                <w:sz w:val="24"/>
              </w:rPr>
              <w:t xml:space="preserve">ifrs-ru:DZPoDogOMS</w:t>
            </w:r>
          </w:p>
        </w:tc>
      </w:tr>
      <w:tr>
        <w:tc>
          <w:tcPr>
            <w:tcW w:w="907" w:type="dxa"/>
          </w:tcPr>
          <w:p>
            <w:pPr>
              <w:pStyle w:val="0"/>
            </w:pPr>
            <w:r>
              <w:rPr>
                <w:sz w:val="24"/>
              </w:rPr>
              <w:t xml:space="preserve">707.1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707.2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306" w:name="P28306"/>
          <w:bookmarkEnd w:id="28306"/>
          <w:p>
            <w:pPr>
              <w:pStyle w:val="0"/>
            </w:pPr>
            <w:r>
              <w:rPr>
                <w:sz w:val="24"/>
              </w:rPr>
              <w:t xml:space="preserve">708</w:t>
            </w:r>
          </w:p>
        </w:tc>
        <w:tc>
          <w:tcPr>
            <w:gridSpan w:val="7"/>
            <w:tcW w:w="2608" w:type="dxa"/>
          </w:tcPr>
          <w:p>
            <w:pPr>
              <w:pStyle w:val="0"/>
            </w:pPr>
            <w:r>
              <w:rPr>
                <w:sz w:val="24"/>
              </w:rPr>
              <w:t xml:space="preserve">Активы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169"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ifrs-ru:AktPoPorDogStrVypPrinDogPerIFRS17</w:t>
            </w:r>
          </w:p>
        </w:tc>
      </w:tr>
      <w:tr>
        <w:tc>
          <w:tcPr>
            <w:tcW w:w="907" w:type="dxa"/>
          </w:tcPr>
          <w:p>
            <w:pPr>
              <w:pStyle w:val="0"/>
            </w:pPr>
            <w:r>
              <w:rPr>
                <w:sz w:val="24"/>
              </w:rPr>
              <w:t xml:space="preserve">708.1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708.2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318" w:name="P28318"/>
          <w:bookmarkEnd w:id="28318"/>
          <w:p>
            <w:pPr>
              <w:pStyle w:val="0"/>
            </w:pPr>
            <w:r>
              <w:rPr>
                <w:sz w:val="24"/>
              </w:rPr>
              <w:t xml:space="preserve">709</w:t>
            </w:r>
          </w:p>
        </w:tc>
        <w:tc>
          <w:tcPr>
            <w:gridSpan w:val="7"/>
            <w:tcW w:w="2608" w:type="dxa"/>
          </w:tcPr>
          <w:p>
            <w:pPr>
              <w:pStyle w:val="0"/>
            </w:pPr>
            <w:r>
              <w:rPr>
                <w:sz w:val="24"/>
              </w:rPr>
              <w:t xml:space="preserve">Активы по портфелям договоров страхования, учитываемых на счетах бухгалтерского учета в соответствии с требованиями </w:t>
            </w:r>
            <w:hyperlink w:history="0" r:id="rId170"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ifrs-ru:AktPoPorDogStrIFRS17</w:t>
            </w:r>
          </w:p>
        </w:tc>
      </w:tr>
      <w:tr>
        <w:tc>
          <w:tcPr>
            <w:tcW w:w="907" w:type="dxa"/>
          </w:tcPr>
          <w:p>
            <w:pPr>
              <w:pStyle w:val="0"/>
            </w:pPr>
            <w:r>
              <w:rPr>
                <w:sz w:val="24"/>
              </w:rPr>
              <w:t xml:space="preserve">709.1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709.2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330" w:name="P28330"/>
          <w:bookmarkEnd w:id="28330"/>
          <w:p>
            <w:pPr>
              <w:pStyle w:val="0"/>
            </w:pPr>
            <w:r>
              <w:rPr>
                <w:sz w:val="24"/>
              </w:rPr>
              <w:t xml:space="preserve">710</w:t>
            </w:r>
          </w:p>
        </w:tc>
        <w:tc>
          <w:tcPr>
            <w:gridSpan w:val="7"/>
            <w:tcW w:w="2608" w:type="dxa"/>
          </w:tcPr>
          <w:p>
            <w:pPr>
              <w:pStyle w:val="0"/>
            </w:pPr>
            <w:r>
              <w:rPr>
                <w:sz w:val="24"/>
              </w:rPr>
              <w:t xml:space="preserve">Активы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171"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ifrs-ru:AktPoPorUdPerDogPerIFRS17</w:t>
            </w:r>
          </w:p>
        </w:tc>
      </w:tr>
      <w:tr>
        <w:tc>
          <w:tcPr>
            <w:tcW w:w="907" w:type="dxa"/>
          </w:tcPr>
          <w:p>
            <w:pPr>
              <w:pStyle w:val="0"/>
            </w:pPr>
            <w:r>
              <w:rPr>
                <w:sz w:val="24"/>
              </w:rPr>
              <w:t xml:space="preserve">710.1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710.2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342" w:name="P28342"/>
          <w:bookmarkEnd w:id="28342"/>
          <w:p>
            <w:pPr>
              <w:pStyle w:val="0"/>
            </w:pPr>
            <w:r>
              <w:rPr>
                <w:sz w:val="24"/>
              </w:rPr>
              <w:t xml:space="preserve">711</w:t>
            </w:r>
          </w:p>
        </w:tc>
        <w:tc>
          <w:tcPr>
            <w:gridSpan w:val="7"/>
            <w:tcW w:w="2608" w:type="dxa"/>
          </w:tcPr>
          <w:p>
            <w:pPr>
              <w:pStyle w:val="0"/>
            </w:pPr>
            <w:r>
              <w:rPr>
                <w:sz w:val="24"/>
              </w:rPr>
              <w:t xml:space="preserve">Активы (активы выбывающих групп), классифицированные как предназначенные для продажи</w:t>
            </w:r>
          </w:p>
        </w:tc>
        <w:tc>
          <w:tcPr>
            <w:tcW w:w="2608" w:type="dxa"/>
          </w:tcPr>
          <w:p>
            <w:pPr>
              <w:pStyle w:val="0"/>
            </w:pPr>
            <w:r>
              <w:rPr>
                <w:sz w:val="24"/>
              </w:rPr>
            </w:r>
          </w:p>
        </w:tc>
        <w:tc>
          <w:tcPr>
            <w:tcW w:w="2948" w:type="dxa"/>
          </w:tcPr>
          <w:p>
            <w:pPr>
              <w:pStyle w:val="0"/>
            </w:pPr>
            <w:r>
              <w:rPr>
                <w:sz w:val="24"/>
              </w:rPr>
              <w:t xml:space="preserve">ifrs-ru:AktivyVybGruppKlassKakPrednDlyaProd</w:t>
            </w:r>
          </w:p>
        </w:tc>
      </w:tr>
      <w:tr>
        <w:tc>
          <w:tcPr>
            <w:tcW w:w="907" w:type="dxa"/>
          </w:tcPr>
          <w:p>
            <w:pPr>
              <w:pStyle w:val="0"/>
            </w:pPr>
            <w:r>
              <w:rPr>
                <w:sz w:val="24"/>
              </w:rPr>
              <w:t xml:space="preserve">711.1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711.2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354" w:name="P28354"/>
          <w:bookmarkEnd w:id="28354"/>
          <w:p>
            <w:pPr>
              <w:pStyle w:val="0"/>
            </w:pPr>
            <w:r>
              <w:rPr>
                <w:sz w:val="24"/>
              </w:rPr>
              <w:t xml:space="preserve">712</w:t>
            </w:r>
          </w:p>
        </w:tc>
        <w:tc>
          <w:tcPr>
            <w:gridSpan w:val="7"/>
            <w:tcW w:w="2608" w:type="dxa"/>
          </w:tcPr>
          <w:p>
            <w:pPr>
              <w:pStyle w:val="0"/>
            </w:pPr>
            <w:r>
              <w:rPr>
                <w:sz w:val="24"/>
              </w:rPr>
              <w:t xml:space="preserve">Прочие финансовые активы</w:t>
            </w:r>
          </w:p>
        </w:tc>
        <w:tc>
          <w:tcPr>
            <w:tcW w:w="2608" w:type="dxa"/>
          </w:tcPr>
          <w:p>
            <w:pPr>
              <w:pStyle w:val="0"/>
            </w:pPr>
            <w:r>
              <w:rPr>
                <w:sz w:val="24"/>
              </w:rPr>
            </w:r>
          </w:p>
        </w:tc>
        <w:tc>
          <w:tcPr>
            <w:tcW w:w="2948" w:type="dxa"/>
          </w:tcPr>
          <w:p>
            <w:pPr>
              <w:pStyle w:val="0"/>
            </w:pPr>
            <w:r>
              <w:rPr>
                <w:sz w:val="24"/>
              </w:rPr>
              <w:t xml:space="preserve">ins-dic:Prochie_Finansovye_Aktivy</w:t>
            </w:r>
          </w:p>
        </w:tc>
      </w:tr>
      <w:tr>
        <w:tc>
          <w:tcPr>
            <w:tcW w:w="907" w:type="dxa"/>
          </w:tcPr>
          <w:p>
            <w:pPr>
              <w:pStyle w:val="0"/>
            </w:pPr>
            <w:r>
              <w:rPr>
                <w:sz w:val="24"/>
              </w:rPr>
              <w:t xml:space="preserve">712.1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712.2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366" w:name="P28366"/>
          <w:bookmarkEnd w:id="28366"/>
          <w:p>
            <w:pPr>
              <w:pStyle w:val="0"/>
            </w:pPr>
            <w:r>
              <w:rPr>
                <w:sz w:val="24"/>
              </w:rPr>
              <w:t xml:space="preserve">713</w:t>
            </w:r>
          </w:p>
        </w:tc>
        <w:tc>
          <w:tcPr>
            <w:gridSpan w:val="7"/>
            <w:tcW w:w="2608" w:type="dxa"/>
          </w:tcPr>
          <w:p>
            <w:pPr>
              <w:pStyle w:val="0"/>
            </w:pPr>
            <w:r>
              <w:rPr>
                <w:sz w:val="24"/>
              </w:rPr>
              <w:t xml:space="preserve">Итого финансовых активов</w:t>
            </w:r>
          </w:p>
        </w:tc>
        <w:tc>
          <w:tcPr>
            <w:tcW w:w="2608" w:type="dxa"/>
          </w:tcPr>
          <w:p>
            <w:pPr>
              <w:pStyle w:val="0"/>
            </w:pPr>
            <w:r>
              <w:rPr>
                <w:sz w:val="24"/>
              </w:rPr>
            </w:r>
          </w:p>
        </w:tc>
        <w:tc>
          <w:tcPr>
            <w:tcW w:w="2948" w:type="dxa"/>
          </w:tcPr>
          <w:p>
            <w:pPr>
              <w:pStyle w:val="0"/>
            </w:pPr>
            <w:r>
              <w:rPr>
                <w:sz w:val="24"/>
              </w:rPr>
              <w:t xml:space="preserve">ifrs-ru:FinansovyeAktivy</w:t>
            </w:r>
          </w:p>
        </w:tc>
      </w:tr>
      <w:tr>
        <w:tc>
          <w:tcPr>
            <w:tcW w:w="907" w:type="dxa"/>
          </w:tcPr>
          <w:p>
            <w:pPr>
              <w:pStyle w:val="0"/>
            </w:pPr>
            <w:r>
              <w:rPr>
                <w:sz w:val="24"/>
              </w:rPr>
              <w:t xml:space="preserve">713.1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713.2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blPrEx>
          <w:tblBorders>
            <w:insideV w:val="nil"/>
          </w:tblBorders>
        </w:tblPrEx>
        <w:tc>
          <w:tcPr>
            <w:gridSpan w:val="6"/>
            <w:tcW w:w="2109" w:type="dxa"/>
            <w:tcBorders>
              <w:left w:val="single" w:sz="4"/>
            </w:tcBorders>
          </w:tcPr>
          <w:p>
            <w:pPr>
              <w:pStyle w:val="0"/>
              <w:outlineLvl w:val="5"/>
            </w:pPr>
            <w:r>
              <w:rPr>
                <w:sz w:val="24"/>
              </w:rPr>
              <w:t xml:space="preserve">Подраздел 11.2.2.</w:t>
            </w:r>
          </w:p>
        </w:tc>
        <w:tc>
          <w:tcPr>
            <w:gridSpan w:val="4"/>
            <w:tcW w:w="6962" w:type="dxa"/>
            <w:tcBorders>
              <w:right w:val="single" w:sz="4"/>
            </w:tcBorders>
          </w:tcPr>
          <w:p>
            <w:pPr>
              <w:pStyle w:val="0"/>
            </w:pPr>
            <w:r>
              <w:rPr>
                <w:sz w:val="24"/>
              </w:rPr>
              <w:t xml:space="preserve">Обязательства</w:t>
            </w:r>
          </w:p>
        </w:tc>
      </w:tr>
      <w:tr>
        <w:tc>
          <w:tcPr>
            <w:tcW w:w="907" w:type="dxa"/>
          </w:tcPr>
          <w:bookmarkStart w:id="28380" w:name="P28380"/>
          <w:bookmarkEnd w:id="28380"/>
          <w:p>
            <w:pPr>
              <w:pStyle w:val="0"/>
            </w:pPr>
            <w:r>
              <w:rPr>
                <w:sz w:val="24"/>
              </w:rPr>
              <w:t xml:space="preserve">714</w:t>
            </w:r>
          </w:p>
        </w:tc>
        <w:tc>
          <w:tcPr>
            <w:gridSpan w:val="7"/>
            <w:tcW w:w="2608" w:type="dxa"/>
          </w:tcPr>
          <w:p>
            <w:pPr>
              <w:pStyle w:val="0"/>
            </w:pPr>
            <w:r>
              <w:rPr>
                <w:sz w:val="24"/>
              </w:rPr>
              <w:t xml:space="preserve">Финансовые обязательства,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ifrs-full:FinancialLiabilitiesAtFairValueThroughProfitOrLoss</w:t>
            </w:r>
          </w:p>
        </w:tc>
      </w:tr>
      <w:tr>
        <w:tc>
          <w:tcPr>
            <w:tcW w:w="907" w:type="dxa"/>
          </w:tcPr>
          <w:p>
            <w:pPr>
              <w:pStyle w:val="0"/>
            </w:pPr>
            <w:r>
              <w:rPr>
                <w:sz w:val="24"/>
              </w:rPr>
              <w:t xml:space="preserve">714.1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714.2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392" w:name="P28392"/>
          <w:bookmarkEnd w:id="28392"/>
          <w:p>
            <w:pPr>
              <w:pStyle w:val="0"/>
            </w:pPr>
            <w:r>
              <w:rPr>
                <w:sz w:val="24"/>
              </w:rPr>
              <w:t xml:space="preserve">715</w:t>
            </w:r>
          </w:p>
        </w:tc>
        <w:tc>
          <w:tcPr>
            <w:gridSpan w:val="7"/>
            <w:tcW w:w="2608" w:type="dxa"/>
          </w:tcPr>
          <w:p>
            <w:pPr>
              <w:pStyle w:val="0"/>
            </w:pPr>
            <w:r>
              <w:rPr>
                <w:sz w:val="24"/>
              </w:rPr>
              <w:t xml:space="preserve">Финансовые обязательства, в обязательном порядке классифицируемые как оцениваемые по справедливой стоимости через прибыль или убыток</w:t>
            </w:r>
          </w:p>
        </w:tc>
        <w:tc>
          <w:tcPr>
            <w:tcW w:w="2608" w:type="dxa"/>
          </w:tcPr>
          <w:p>
            <w:pPr>
              <w:pStyle w:val="0"/>
            </w:pPr>
            <w:r>
              <w:rPr>
                <w:sz w:val="24"/>
              </w:rPr>
            </w:r>
          </w:p>
        </w:tc>
        <w:tc>
          <w:tcPr>
            <w:tcW w:w="2948" w:type="dxa"/>
          </w:tcPr>
          <w:p>
            <w:pPr>
              <w:pStyle w:val="0"/>
            </w:pPr>
            <w:r>
              <w:rPr>
                <w:sz w:val="24"/>
              </w:rPr>
              <w:t xml:space="preserve">ifrs-ru:FinObyazKlassCHerezPIUVObyazPor</w:t>
            </w:r>
          </w:p>
        </w:tc>
      </w:tr>
      <w:tr>
        <w:tc>
          <w:tcPr>
            <w:tcW w:w="907" w:type="dxa"/>
          </w:tcPr>
          <w:p>
            <w:pPr>
              <w:pStyle w:val="0"/>
            </w:pPr>
            <w:r>
              <w:rPr>
                <w:sz w:val="24"/>
              </w:rPr>
              <w:t xml:space="preserve">715.1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715.2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04" w:name="P28404"/>
          <w:bookmarkEnd w:id="28404"/>
          <w:p>
            <w:pPr>
              <w:pStyle w:val="0"/>
            </w:pPr>
            <w:r>
              <w:rPr>
                <w:sz w:val="24"/>
              </w:rPr>
              <w:t xml:space="preserve">716</w:t>
            </w:r>
          </w:p>
        </w:tc>
        <w:tc>
          <w:tcPr>
            <w:gridSpan w:val="7"/>
            <w:tcW w:w="2608" w:type="dxa"/>
          </w:tcPr>
          <w:p>
            <w:pPr>
              <w:pStyle w:val="0"/>
            </w:pPr>
            <w:r>
              <w:rPr>
                <w:sz w:val="24"/>
              </w:rPr>
              <w:t xml:space="preserve">Финансовые обязательства, классифицируемые как оцениваемые по справедливой стоимости через прибыль или убыток по усмотрению страховщика</w:t>
            </w:r>
          </w:p>
        </w:tc>
        <w:tc>
          <w:tcPr>
            <w:tcW w:w="2608" w:type="dxa"/>
          </w:tcPr>
          <w:p>
            <w:pPr>
              <w:pStyle w:val="0"/>
            </w:pPr>
            <w:r>
              <w:rPr>
                <w:sz w:val="24"/>
              </w:rPr>
            </w:r>
          </w:p>
        </w:tc>
        <w:tc>
          <w:tcPr>
            <w:tcW w:w="2948" w:type="dxa"/>
          </w:tcPr>
          <w:p>
            <w:pPr>
              <w:pStyle w:val="0"/>
            </w:pPr>
            <w:r>
              <w:rPr>
                <w:sz w:val="24"/>
              </w:rPr>
              <w:t xml:space="preserve">ifrs-full:FinancialLiabilitiesAtFairValueThroughProfitOrLossDesignatedAsUponInitialRecognition</w:t>
            </w:r>
          </w:p>
        </w:tc>
      </w:tr>
      <w:tr>
        <w:tc>
          <w:tcPr>
            <w:tcW w:w="907" w:type="dxa"/>
          </w:tcPr>
          <w:p>
            <w:pPr>
              <w:pStyle w:val="0"/>
            </w:pPr>
            <w:r>
              <w:rPr>
                <w:sz w:val="24"/>
              </w:rPr>
              <w:t xml:space="preserve">716.1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716.2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16" w:name="P28416"/>
          <w:bookmarkEnd w:id="28416"/>
          <w:p>
            <w:pPr>
              <w:pStyle w:val="0"/>
            </w:pPr>
            <w:r>
              <w:rPr>
                <w:sz w:val="24"/>
              </w:rPr>
              <w:t xml:space="preserve">717</w:t>
            </w:r>
          </w:p>
        </w:tc>
        <w:tc>
          <w:tcPr>
            <w:gridSpan w:val="7"/>
            <w:tcW w:w="2608" w:type="dxa"/>
          </w:tcPr>
          <w:p>
            <w:pPr>
              <w:pStyle w:val="0"/>
            </w:pPr>
            <w:r>
              <w:rPr>
                <w:sz w:val="24"/>
              </w:rPr>
              <w:t xml:space="preserve">Финансовые обязательства, оцениваемые по амортизированной стоимости</w:t>
            </w:r>
          </w:p>
        </w:tc>
        <w:tc>
          <w:tcPr>
            <w:tcW w:w="2608" w:type="dxa"/>
          </w:tcPr>
          <w:p>
            <w:pPr>
              <w:pStyle w:val="0"/>
            </w:pPr>
            <w:r>
              <w:rPr>
                <w:sz w:val="24"/>
              </w:rPr>
            </w:r>
          </w:p>
        </w:tc>
        <w:tc>
          <w:tcPr>
            <w:tcW w:w="2948" w:type="dxa"/>
          </w:tcPr>
          <w:p>
            <w:pPr>
              <w:pStyle w:val="0"/>
            </w:pPr>
            <w:r>
              <w:rPr>
                <w:sz w:val="24"/>
              </w:rPr>
              <w:t xml:space="preserve">ifrs-full:FinancialLiabilitiesAtAmortisedCost</w:t>
            </w:r>
          </w:p>
        </w:tc>
      </w:tr>
      <w:tr>
        <w:tc>
          <w:tcPr>
            <w:tcW w:w="907" w:type="dxa"/>
          </w:tcPr>
          <w:p>
            <w:pPr>
              <w:pStyle w:val="0"/>
            </w:pPr>
            <w:r>
              <w:rPr>
                <w:sz w:val="24"/>
              </w:rPr>
              <w:t xml:space="preserve">717.1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717.2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28" w:name="P28428"/>
          <w:bookmarkEnd w:id="28428"/>
          <w:p>
            <w:pPr>
              <w:pStyle w:val="0"/>
            </w:pPr>
            <w:r>
              <w:rPr>
                <w:sz w:val="24"/>
              </w:rPr>
              <w:t xml:space="preserve">718</w:t>
            </w:r>
          </w:p>
        </w:tc>
        <w:tc>
          <w:tcPr>
            <w:gridSpan w:val="7"/>
            <w:tcW w:w="2608" w:type="dxa"/>
          </w:tcPr>
          <w:p>
            <w:pPr>
              <w:pStyle w:val="0"/>
            </w:pPr>
            <w:r>
              <w:rPr>
                <w:sz w:val="24"/>
              </w:rPr>
              <w:t xml:space="preserve">Обязательства по договорам страхования</w:t>
            </w:r>
          </w:p>
        </w:tc>
        <w:tc>
          <w:tcPr>
            <w:tcW w:w="2608" w:type="dxa"/>
          </w:tcPr>
          <w:p>
            <w:pPr>
              <w:pStyle w:val="0"/>
            </w:pPr>
            <w:r>
              <w:rPr>
                <w:sz w:val="24"/>
              </w:rPr>
            </w:r>
          </w:p>
        </w:tc>
        <w:tc>
          <w:tcPr>
            <w:tcW w:w="2948" w:type="dxa"/>
          </w:tcPr>
          <w:p>
            <w:pPr>
              <w:pStyle w:val="0"/>
            </w:pPr>
            <w:r>
              <w:rPr>
                <w:sz w:val="24"/>
              </w:rPr>
              <w:t xml:space="preserve">ifrs-ru:ObPoDogStr</w:t>
            </w:r>
          </w:p>
        </w:tc>
      </w:tr>
      <w:tr>
        <w:tc>
          <w:tcPr>
            <w:tcW w:w="907" w:type="dxa"/>
          </w:tcPr>
          <w:p>
            <w:pPr>
              <w:pStyle w:val="0"/>
            </w:pPr>
            <w:r>
              <w:rPr>
                <w:sz w:val="24"/>
              </w:rPr>
              <w:t xml:space="preserve">718.1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718.2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40" w:name="P28440"/>
          <w:bookmarkEnd w:id="28440"/>
          <w:p>
            <w:pPr>
              <w:pStyle w:val="0"/>
            </w:pPr>
            <w:r>
              <w:rPr>
                <w:sz w:val="24"/>
              </w:rPr>
              <w:t xml:space="preserve">719</w:t>
            </w:r>
          </w:p>
        </w:tc>
        <w:tc>
          <w:tcPr>
            <w:gridSpan w:val="7"/>
            <w:tcW w:w="2608" w:type="dxa"/>
          </w:tcPr>
          <w:p>
            <w:pPr>
              <w:pStyle w:val="0"/>
            </w:pPr>
            <w:r>
              <w:rPr>
                <w:sz w:val="24"/>
              </w:rPr>
              <w:t xml:space="preserve">Кредиты, займы и прочие привлеченные средства</w:t>
            </w:r>
          </w:p>
        </w:tc>
        <w:tc>
          <w:tcPr>
            <w:tcW w:w="2608" w:type="dxa"/>
          </w:tcPr>
          <w:p>
            <w:pPr>
              <w:pStyle w:val="0"/>
            </w:pPr>
            <w:r>
              <w:rPr>
                <w:sz w:val="24"/>
              </w:rPr>
            </w:r>
          </w:p>
        </w:tc>
        <w:tc>
          <w:tcPr>
            <w:tcW w:w="2948" w:type="dxa"/>
          </w:tcPr>
          <w:p>
            <w:pPr>
              <w:pStyle w:val="0"/>
            </w:pPr>
            <w:r>
              <w:rPr>
                <w:sz w:val="24"/>
              </w:rPr>
              <w:t xml:space="preserve">ifrs-ru:KredZajmIProchPrivlSredstva</w:t>
            </w:r>
          </w:p>
        </w:tc>
      </w:tr>
      <w:tr>
        <w:tc>
          <w:tcPr>
            <w:tcW w:w="907" w:type="dxa"/>
          </w:tcPr>
          <w:p>
            <w:pPr>
              <w:pStyle w:val="0"/>
            </w:pPr>
            <w:r>
              <w:rPr>
                <w:sz w:val="24"/>
              </w:rPr>
              <w:t xml:space="preserve">719.1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719.2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52" w:name="P28452"/>
          <w:bookmarkEnd w:id="28452"/>
          <w:p>
            <w:pPr>
              <w:pStyle w:val="0"/>
            </w:pPr>
            <w:r>
              <w:rPr>
                <w:sz w:val="24"/>
              </w:rPr>
              <w:t xml:space="preserve">720</w:t>
            </w:r>
          </w:p>
        </w:tc>
        <w:tc>
          <w:tcPr>
            <w:gridSpan w:val="7"/>
            <w:tcW w:w="2608" w:type="dxa"/>
          </w:tcPr>
          <w:p>
            <w:pPr>
              <w:pStyle w:val="0"/>
            </w:pPr>
            <w:r>
              <w:rPr>
                <w:sz w:val="24"/>
              </w:rPr>
              <w:t xml:space="preserve">Выпущенные долговые ценные бумаги</w:t>
            </w:r>
          </w:p>
        </w:tc>
        <w:tc>
          <w:tcPr>
            <w:tcW w:w="2608" w:type="dxa"/>
          </w:tcPr>
          <w:p>
            <w:pPr>
              <w:pStyle w:val="0"/>
            </w:pPr>
            <w:r>
              <w:rPr>
                <w:sz w:val="24"/>
              </w:rPr>
            </w:r>
          </w:p>
        </w:tc>
        <w:tc>
          <w:tcPr>
            <w:tcW w:w="2948" w:type="dxa"/>
          </w:tcPr>
          <w:p>
            <w:pPr>
              <w:pStyle w:val="0"/>
            </w:pPr>
            <w:r>
              <w:rPr>
                <w:sz w:val="24"/>
              </w:rPr>
              <w:t xml:space="preserve">ifrs-ru:VypushhennyeDolgovyeCZennyeBumagi</w:t>
            </w:r>
          </w:p>
        </w:tc>
      </w:tr>
      <w:tr>
        <w:tc>
          <w:tcPr>
            <w:tcW w:w="907" w:type="dxa"/>
          </w:tcPr>
          <w:p>
            <w:pPr>
              <w:pStyle w:val="0"/>
            </w:pPr>
            <w:r>
              <w:rPr>
                <w:sz w:val="24"/>
              </w:rPr>
              <w:t xml:space="preserve">720.1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720.2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64" w:name="P28464"/>
          <w:bookmarkEnd w:id="28464"/>
          <w:p>
            <w:pPr>
              <w:pStyle w:val="0"/>
            </w:pPr>
            <w:r>
              <w:rPr>
                <w:sz w:val="24"/>
              </w:rPr>
              <w:t xml:space="preserve">721</w:t>
            </w:r>
          </w:p>
        </w:tc>
        <w:tc>
          <w:tcPr>
            <w:gridSpan w:val="7"/>
            <w:tcW w:w="2608" w:type="dxa"/>
          </w:tcPr>
          <w:p>
            <w:pPr>
              <w:pStyle w:val="0"/>
            </w:pPr>
            <w:r>
              <w:rPr>
                <w:sz w:val="24"/>
              </w:rPr>
              <w:t xml:space="preserve">Кредиторская задолженность по договорам обязательного медицинского страхования</w:t>
            </w:r>
          </w:p>
        </w:tc>
        <w:tc>
          <w:tcPr>
            <w:tcW w:w="2608" w:type="dxa"/>
          </w:tcPr>
          <w:p>
            <w:pPr>
              <w:pStyle w:val="0"/>
            </w:pPr>
            <w:r>
              <w:rPr>
                <w:sz w:val="24"/>
              </w:rPr>
            </w:r>
          </w:p>
        </w:tc>
        <w:tc>
          <w:tcPr>
            <w:tcW w:w="2948" w:type="dxa"/>
          </w:tcPr>
          <w:p>
            <w:pPr>
              <w:pStyle w:val="0"/>
            </w:pPr>
            <w:r>
              <w:rPr>
                <w:sz w:val="24"/>
              </w:rPr>
              <w:t xml:space="preserve">ifrs-ru:KZPoDogOMS</w:t>
            </w:r>
          </w:p>
        </w:tc>
      </w:tr>
      <w:tr>
        <w:tc>
          <w:tcPr>
            <w:tcW w:w="907" w:type="dxa"/>
          </w:tcPr>
          <w:p>
            <w:pPr>
              <w:pStyle w:val="0"/>
            </w:pPr>
            <w:r>
              <w:rPr>
                <w:sz w:val="24"/>
              </w:rPr>
              <w:t xml:space="preserve">721.1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721.2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76" w:name="P28476"/>
          <w:bookmarkEnd w:id="28476"/>
          <w:p>
            <w:pPr>
              <w:pStyle w:val="0"/>
            </w:pPr>
            <w:r>
              <w:rPr>
                <w:sz w:val="24"/>
              </w:rPr>
              <w:t xml:space="preserve">722</w:t>
            </w:r>
          </w:p>
        </w:tc>
        <w:tc>
          <w:tcPr>
            <w:gridSpan w:val="7"/>
            <w:tcW w:w="2608" w:type="dxa"/>
          </w:tcPr>
          <w:p>
            <w:pPr>
              <w:pStyle w:val="0"/>
            </w:pPr>
            <w:r>
              <w:rPr>
                <w:sz w:val="24"/>
              </w:rPr>
              <w:t xml:space="preserve">Прочая кредиторская задолженность</w:t>
            </w:r>
          </w:p>
        </w:tc>
        <w:tc>
          <w:tcPr>
            <w:tcW w:w="2608" w:type="dxa"/>
          </w:tcPr>
          <w:p>
            <w:pPr>
              <w:pStyle w:val="0"/>
            </w:pPr>
            <w:r>
              <w:rPr>
                <w:sz w:val="24"/>
              </w:rPr>
            </w:r>
          </w:p>
        </w:tc>
        <w:tc>
          <w:tcPr>
            <w:tcW w:w="2948" w:type="dxa"/>
          </w:tcPr>
          <w:p>
            <w:pPr>
              <w:pStyle w:val="0"/>
            </w:pPr>
            <w:r>
              <w:rPr>
                <w:sz w:val="24"/>
              </w:rPr>
              <w:t xml:space="preserve">ifrs-ru:ProchayaKreditorskayaZadolzhennost</w:t>
            </w:r>
          </w:p>
        </w:tc>
      </w:tr>
      <w:tr>
        <w:tc>
          <w:tcPr>
            <w:tcW w:w="907" w:type="dxa"/>
          </w:tcPr>
          <w:p>
            <w:pPr>
              <w:pStyle w:val="0"/>
            </w:pPr>
            <w:r>
              <w:rPr>
                <w:sz w:val="24"/>
              </w:rPr>
              <w:t xml:space="preserve">722.1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722.2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488" w:name="P28488"/>
          <w:bookmarkEnd w:id="28488"/>
          <w:p>
            <w:pPr>
              <w:pStyle w:val="0"/>
            </w:pPr>
            <w:r>
              <w:rPr>
                <w:sz w:val="24"/>
              </w:rPr>
              <w:t xml:space="preserve">723</w:t>
            </w:r>
          </w:p>
        </w:tc>
        <w:tc>
          <w:tcPr>
            <w:gridSpan w:val="7"/>
            <w:tcW w:w="2608" w:type="dxa"/>
          </w:tcPr>
          <w:p>
            <w:pPr>
              <w:pStyle w:val="0"/>
            </w:pPr>
            <w:r>
              <w:rPr>
                <w:sz w:val="24"/>
              </w:rPr>
              <w:t xml:space="preserve">Обязательства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172"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ifrs-ru:ObPoPorDogStrVypPrinDogPerIFRS17</w:t>
            </w:r>
          </w:p>
        </w:tc>
      </w:tr>
      <w:tr>
        <w:tc>
          <w:tcPr>
            <w:tcW w:w="907" w:type="dxa"/>
          </w:tcPr>
          <w:p>
            <w:pPr>
              <w:pStyle w:val="0"/>
            </w:pPr>
            <w:r>
              <w:rPr>
                <w:sz w:val="24"/>
              </w:rPr>
              <w:t xml:space="preserve">723.1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723.2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500" w:name="P28500"/>
          <w:bookmarkEnd w:id="28500"/>
          <w:p>
            <w:pPr>
              <w:pStyle w:val="0"/>
            </w:pPr>
            <w:r>
              <w:rPr>
                <w:sz w:val="24"/>
              </w:rPr>
              <w:t xml:space="preserve">724</w:t>
            </w:r>
          </w:p>
        </w:tc>
        <w:tc>
          <w:tcPr>
            <w:gridSpan w:val="7"/>
            <w:tcW w:w="2608" w:type="dxa"/>
          </w:tcPr>
          <w:p>
            <w:pPr>
              <w:pStyle w:val="0"/>
            </w:pPr>
            <w:r>
              <w:rPr>
                <w:sz w:val="24"/>
              </w:rPr>
              <w:t xml:space="preserve">Обязательства по портфелям договоров страхования, учитываемых на счетах бухгалтерского учета в соответствии с требованиями </w:t>
            </w:r>
            <w:hyperlink w:history="0" r:id="rId173"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ifrs-ru:ObPoPorDogStrIFRS17</w:t>
            </w:r>
          </w:p>
        </w:tc>
      </w:tr>
      <w:tr>
        <w:tc>
          <w:tcPr>
            <w:tcW w:w="907" w:type="dxa"/>
          </w:tcPr>
          <w:p>
            <w:pPr>
              <w:pStyle w:val="0"/>
            </w:pPr>
            <w:r>
              <w:rPr>
                <w:sz w:val="24"/>
              </w:rPr>
              <w:t xml:space="preserve">724.1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724.2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512" w:name="P28512"/>
          <w:bookmarkEnd w:id="28512"/>
          <w:p>
            <w:pPr>
              <w:pStyle w:val="0"/>
            </w:pPr>
            <w:r>
              <w:rPr>
                <w:sz w:val="24"/>
              </w:rPr>
              <w:t xml:space="preserve">725</w:t>
            </w:r>
          </w:p>
        </w:tc>
        <w:tc>
          <w:tcPr>
            <w:gridSpan w:val="7"/>
            <w:tcW w:w="2608" w:type="dxa"/>
          </w:tcPr>
          <w:p>
            <w:pPr>
              <w:pStyle w:val="0"/>
            </w:pPr>
            <w:r>
              <w:rPr>
                <w:sz w:val="24"/>
              </w:rPr>
              <w:t xml:space="preserve">Обязательства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174"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608" w:type="dxa"/>
          </w:tcPr>
          <w:p>
            <w:pPr>
              <w:pStyle w:val="0"/>
            </w:pPr>
            <w:r>
              <w:rPr>
                <w:sz w:val="24"/>
              </w:rPr>
            </w:r>
          </w:p>
        </w:tc>
        <w:tc>
          <w:tcPr>
            <w:tcW w:w="2948" w:type="dxa"/>
          </w:tcPr>
          <w:p>
            <w:pPr>
              <w:pStyle w:val="0"/>
            </w:pPr>
            <w:r>
              <w:rPr>
                <w:sz w:val="24"/>
              </w:rPr>
              <w:t xml:space="preserve">ifrs-ru:ObPoPorUdPerDogPerIFRS17</w:t>
            </w:r>
          </w:p>
        </w:tc>
      </w:tr>
      <w:tr>
        <w:tc>
          <w:tcPr>
            <w:tcW w:w="907" w:type="dxa"/>
          </w:tcPr>
          <w:p>
            <w:pPr>
              <w:pStyle w:val="0"/>
            </w:pPr>
            <w:r>
              <w:rPr>
                <w:sz w:val="24"/>
              </w:rPr>
              <w:t xml:space="preserve">725.1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725.2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524" w:name="P28524"/>
          <w:bookmarkEnd w:id="28524"/>
          <w:p>
            <w:pPr>
              <w:pStyle w:val="0"/>
            </w:pPr>
            <w:r>
              <w:rPr>
                <w:sz w:val="24"/>
              </w:rPr>
              <w:t xml:space="preserve">726</w:t>
            </w:r>
          </w:p>
        </w:tc>
        <w:tc>
          <w:tcPr>
            <w:gridSpan w:val="7"/>
            <w:tcW w:w="2608" w:type="dxa"/>
          </w:tcPr>
          <w:p>
            <w:pPr>
              <w:pStyle w:val="0"/>
            </w:pPr>
            <w:r>
              <w:rPr>
                <w:sz w:val="24"/>
              </w:rPr>
              <w:t xml:space="preserve">Обязательства выбывающих групп, классифицированных как предназначенные для продажи</w:t>
            </w:r>
          </w:p>
        </w:tc>
        <w:tc>
          <w:tcPr>
            <w:tcW w:w="2608" w:type="dxa"/>
          </w:tcPr>
          <w:p>
            <w:pPr>
              <w:pStyle w:val="0"/>
            </w:pPr>
            <w:r>
              <w:rPr>
                <w:sz w:val="24"/>
              </w:rPr>
            </w:r>
          </w:p>
        </w:tc>
        <w:tc>
          <w:tcPr>
            <w:tcW w:w="2948" w:type="dxa"/>
          </w:tcPr>
          <w:p>
            <w:pPr>
              <w:pStyle w:val="0"/>
            </w:pPr>
            <w:r>
              <w:rPr>
                <w:sz w:val="24"/>
              </w:rPr>
              <w:t xml:space="preserve">ifrs-full:LiabilitiesIncludedInDisposalGroupsClassifiedAsHeldForSale</w:t>
            </w:r>
          </w:p>
        </w:tc>
      </w:tr>
      <w:tr>
        <w:tc>
          <w:tcPr>
            <w:tcW w:w="907" w:type="dxa"/>
          </w:tcPr>
          <w:p>
            <w:pPr>
              <w:pStyle w:val="0"/>
            </w:pPr>
            <w:r>
              <w:rPr>
                <w:sz w:val="24"/>
              </w:rPr>
              <w:t xml:space="preserve">726.1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726.2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536" w:name="P28536"/>
          <w:bookmarkEnd w:id="28536"/>
          <w:p>
            <w:pPr>
              <w:pStyle w:val="0"/>
            </w:pPr>
            <w:r>
              <w:rPr>
                <w:sz w:val="24"/>
              </w:rPr>
              <w:t xml:space="preserve">727</w:t>
            </w:r>
          </w:p>
        </w:tc>
        <w:tc>
          <w:tcPr>
            <w:gridSpan w:val="7"/>
            <w:tcW w:w="2608" w:type="dxa"/>
          </w:tcPr>
          <w:p>
            <w:pPr>
              <w:pStyle w:val="0"/>
            </w:pPr>
            <w:r>
              <w:rPr>
                <w:sz w:val="24"/>
              </w:rPr>
              <w:t xml:space="preserve">Прочие обязательства</w:t>
            </w:r>
          </w:p>
        </w:tc>
        <w:tc>
          <w:tcPr>
            <w:tcW w:w="2608" w:type="dxa"/>
          </w:tcPr>
          <w:p>
            <w:pPr>
              <w:pStyle w:val="0"/>
            </w:pPr>
            <w:r>
              <w:rPr>
                <w:sz w:val="24"/>
              </w:rPr>
            </w:r>
          </w:p>
        </w:tc>
        <w:tc>
          <w:tcPr>
            <w:tcW w:w="2948" w:type="dxa"/>
          </w:tcPr>
          <w:p>
            <w:pPr>
              <w:pStyle w:val="0"/>
            </w:pPr>
            <w:r>
              <w:rPr>
                <w:sz w:val="24"/>
              </w:rPr>
              <w:t xml:space="preserve">ins-dic:ProchieObyazatelStvaVsego</w:t>
            </w:r>
          </w:p>
        </w:tc>
      </w:tr>
      <w:tr>
        <w:tc>
          <w:tcPr>
            <w:tcW w:w="907" w:type="dxa"/>
          </w:tcPr>
          <w:p>
            <w:pPr>
              <w:pStyle w:val="0"/>
            </w:pPr>
            <w:r>
              <w:rPr>
                <w:sz w:val="24"/>
              </w:rPr>
              <w:t xml:space="preserve">727.1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727.2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bookmarkStart w:id="28548" w:name="P28548"/>
          <w:bookmarkEnd w:id="28548"/>
          <w:p>
            <w:pPr>
              <w:pStyle w:val="0"/>
            </w:pPr>
            <w:r>
              <w:rPr>
                <w:sz w:val="24"/>
              </w:rPr>
              <w:t xml:space="preserve">728</w:t>
            </w:r>
          </w:p>
        </w:tc>
        <w:tc>
          <w:tcPr>
            <w:gridSpan w:val="7"/>
            <w:tcW w:w="2608" w:type="dxa"/>
          </w:tcPr>
          <w:p>
            <w:pPr>
              <w:pStyle w:val="0"/>
            </w:pPr>
            <w:r>
              <w:rPr>
                <w:sz w:val="24"/>
              </w:rPr>
              <w:t xml:space="preserve">Итого обязательств</w:t>
            </w:r>
          </w:p>
        </w:tc>
        <w:tc>
          <w:tcPr>
            <w:tcW w:w="2608" w:type="dxa"/>
          </w:tcPr>
          <w:p>
            <w:pPr>
              <w:pStyle w:val="0"/>
            </w:pPr>
            <w:r>
              <w:rPr>
                <w:sz w:val="24"/>
              </w:rPr>
            </w:r>
          </w:p>
        </w:tc>
        <w:tc>
          <w:tcPr>
            <w:tcW w:w="2948" w:type="dxa"/>
          </w:tcPr>
          <w:p>
            <w:pPr>
              <w:pStyle w:val="0"/>
            </w:pPr>
            <w:r>
              <w:rPr>
                <w:sz w:val="24"/>
              </w:rPr>
              <w:t xml:space="preserve">ifrs-full:Liabilities</w:t>
            </w:r>
          </w:p>
        </w:tc>
      </w:tr>
      <w:tr>
        <w:tc>
          <w:tcPr>
            <w:tcW w:w="907" w:type="dxa"/>
          </w:tcPr>
          <w:p>
            <w:pPr>
              <w:pStyle w:val="0"/>
            </w:pPr>
            <w:r>
              <w:rPr>
                <w:sz w:val="24"/>
              </w:rPr>
              <w:t xml:space="preserve">728.1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728.2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p>
            <w:pPr>
              <w:pStyle w:val="0"/>
            </w:pPr>
            <w:r>
              <w:rPr>
                <w:sz w:val="24"/>
              </w:rPr>
              <w:t xml:space="preserve">729</w:t>
            </w:r>
          </w:p>
        </w:tc>
        <w:tc>
          <w:tcPr>
            <w:gridSpan w:val="7"/>
            <w:tcW w:w="2608" w:type="dxa"/>
          </w:tcPr>
          <w:p>
            <w:pPr>
              <w:pStyle w:val="0"/>
            </w:pPr>
            <w:r>
              <w:rPr>
                <w:sz w:val="24"/>
              </w:rPr>
              <w:t xml:space="preserve">Чистый разрыв ликвидности (чистая балансовая позиция)</w:t>
            </w:r>
          </w:p>
        </w:tc>
        <w:tc>
          <w:tcPr>
            <w:tcW w:w="2608" w:type="dxa"/>
          </w:tcPr>
          <w:p>
            <w:pPr>
              <w:pStyle w:val="0"/>
            </w:pPr>
            <w:r>
              <w:rPr>
                <w:sz w:val="24"/>
              </w:rPr>
            </w:r>
          </w:p>
        </w:tc>
        <w:tc>
          <w:tcPr>
            <w:tcW w:w="2948" w:type="dxa"/>
          </w:tcPr>
          <w:p>
            <w:pPr>
              <w:pStyle w:val="0"/>
            </w:pPr>
            <w:r>
              <w:rPr>
                <w:sz w:val="24"/>
              </w:rPr>
              <w:t xml:space="preserve">ins-dic:Chistyj_Razryv_Likvidnosti_Chistaya_Balansovaya_Pozitsiya</w:t>
            </w:r>
          </w:p>
        </w:tc>
      </w:tr>
      <w:tr>
        <w:tc>
          <w:tcPr>
            <w:tcW w:w="907" w:type="dxa"/>
          </w:tcPr>
          <w:p>
            <w:pPr>
              <w:pStyle w:val="0"/>
            </w:pPr>
            <w:r>
              <w:rPr>
                <w:sz w:val="24"/>
              </w:rPr>
              <w:t xml:space="preserve">729.1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729.2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r>
        <w:tc>
          <w:tcPr>
            <w:tcW w:w="907" w:type="dxa"/>
          </w:tcPr>
          <w:p>
            <w:pPr>
              <w:pStyle w:val="0"/>
            </w:pPr>
            <w:r>
              <w:rPr>
                <w:sz w:val="24"/>
              </w:rPr>
              <w:t xml:space="preserve">730</w:t>
            </w:r>
          </w:p>
        </w:tc>
        <w:tc>
          <w:tcPr>
            <w:gridSpan w:val="7"/>
            <w:tcW w:w="2608" w:type="dxa"/>
          </w:tcPr>
          <w:p>
            <w:pPr>
              <w:pStyle w:val="0"/>
            </w:pPr>
            <w:r>
              <w:rPr>
                <w:sz w:val="24"/>
              </w:rPr>
              <w:t xml:space="preserve">Совокупный разрыв ликвидности</w:t>
            </w:r>
          </w:p>
        </w:tc>
        <w:tc>
          <w:tcPr>
            <w:tcW w:w="2608" w:type="dxa"/>
          </w:tcPr>
          <w:p>
            <w:pPr>
              <w:pStyle w:val="0"/>
            </w:pPr>
            <w:r>
              <w:rPr>
                <w:sz w:val="24"/>
              </w:rPr>
            </w:r>
          </w:p>
        </w:tc>
        <w:tc>
          <w:tcPr>
            <w:tcW w:w="2948" w:type="dxa"/>
          </w:tcPr>
          <w:p>
            <w:pPr>
              <w:pStyle w:val="0"/>
            </w:pPr>
            <w:r>
              <w:rPr>
                <w:sz w:val="24"/>
              </w:rPr>
              <w:t xml:space="preserve">ins-dic:Sovokupnyj_Razryv_Likvidnosti</w:t>
            </w:r>
          </w:p>
        </w:tc>
      </w:tr>
      <w:tr>
        <w:tc>
          <w:tcPr>
            <w:tcW w:w="907" w:type="dxa"/>
          </w:tcPr>
          <w:p>
            <w:pPr>
              <w:pStyle w:val="0"/>
            </w:pPr>
            <w:r>
              <w:rPr>
                <w:sz w:val="24"/>
              </w:rPr>
              <w:t xml:space="preserve">730.1</w:t>
            </w:r>
          </w:p>
        </w:tc>
        <w:tc>
          <w:tcPr>
            <w:gridSpan w:val="7"/>
            <w:tcW w:w="2608" w:type="dxa"/>
          </w:tcPr>
          <w:p>
            <w:pPr>
              <w:pStyle w:val="0"/>
            </w:pPr>
            <w:r>
              <w:rPr>
                <w:sz w:val="24"/>
              </w:rPr>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730.2</w:t>
            </w:r>
          </w:p>
        </w:tc>
        <w:tc>
          <w:tcPr>
            <w:gridSpan w:val="7"/>
            <w:tcW w:w="2608" w:type="dxa"/>
          </w:tcPr>
          <w:p>
            <w:pPr>
              <w:pStyle w:val="0"/>
            </w:pPr>
            <w:r>
              <w:rPr>
                <w:sz w:val="24"/>
              </w:rPr>
            </w:r>
          </w:p>
        </w:tc>
        <w:tc>
          <w:tcPr>
            <w:tcW w:w="2608" w:type="dxa"/>
          </w:tcPr>
          <w:p>
            <w:pPr>
              <w:pStyle w:val="0"/>
            </w:pPr>
            <w:r>
              <w:rPr>
                <w:sz w:val="24"/>
              </w:rPr>
              <w:t xml:space="preserve">Основные валюты</w:t>
            </w:r>
          </w:p>
        </w:tc>
        <w:tc>
          <w:tcPr>
            <w:tcW w:w="2948" w:type="dxa"/>
          </w:tcPr>
          <w:p>
            <w:pPr>
              <w:pStyle w:val="0"/>
            </w:pPr>
            <w:r>
              <w:rPr>
                <w:sz w:val="24"/>
              </w:rPr>
              <w:t xml:space="preserve">dim-int:OsnovnyeValyutyAxis</w:t>
            </w:r>
          </w:p>
        </w:tc>
      </w:tr>
    </w:tbl>
    <w:p>
      <w:pPr>
        <w:pStyle w:val="0"/>
        <w:ind w:firstLine="540"/>
        <w:jc w:val="both"/>
      </w:pPr>
      <w:r>
        <w:rPr>
          <w:sz w:val="24"/>
        </w:rPr>
      </w:r>
    </w:p>
    <w:p>
      <w:pPr>
        <w:pStyle w:val="0"/>
        <w:ind w:firstLine="540"/>
        <w:jc w:val="both"/>
      </w:pPr>
      <w:r>
        <w:rPr>
          <w:sz w:val="24"/>
        </w:rPr>
        <w:t xml:space="preserve">--------------------------------</w:t>
      </w:r>
    </w:p>
    <w:bookmarkStart w:id="28586" w:name="P28586"/>
    <w:bookmarkEnd w:id="28586"/>
    <w:p>
      <w:pPr>
        <w:pStyle w:val="0"/>
        <w:spacing w:before="240" w:lineRule="auto"/>
        <w:ind w:firstLine="540"/>
        <w:jc w:val="both"/>
      </w:pPr>
      <w:r>
        <w:rPr>
          <w:sz w:val="24"/>
        </w:rPr>
        <w:t xml:space="preserve">&lt;1&gt; Общероссийский </w:t>
      </w:r>
      <w:hyperlink w:history="0" r:id="rId17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0420154 "Отчет об активах</w:t>
      </w:r>
    </w:p>
    <w:p>
      <w:pPr>
        <w:pStyle w:val="0"/>
        <w:jc w:val="center"/>
      </w:pPr>
      <w:r>
        <w:rPr>
          <w:sz w:val="24"/>
        </w:rPr>
        <w:t xml:space="preserve">и обязательствах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2335" w:tooltip="Отчетность по форме 0420154">
        <w:r>
          <w:rPr>
            <w:sz w:val="24"/>
            <w:color w:val="0000ff"/>
          </w:rPr>
          <w:t xml:space="preserve">форме 0420154</w:t>
        </w:r>
      </w:hyperlink>
      <w:r>
        <w:rPr>
          <w:sz w:val="24"/>
        </w:rPr>
        <w:t xml:space="preserve"> "Отчет об активах и обязательствах страховщика" (далее - отчетность по форме 0420154), за исключением </w:t>
      </w:r>
      <w:hyperlink w:history="0" w:anchor="P27770" w:tooltip="Раздел 11.">
        <w:r>
          <w:rPr>
            <w:sz w:val="24"/>
            <w:color w:val="0000ff"/>
          </w:rPr>
          <w:t xml:space="preserve">раздела 11</w:t>
        </w:r>
      </w:hyperlink>
      <w:r>
        <w:rPr>
          <w:sz w:val="24"/>
        </w:rPr>
        <w:t xml:space="preserve"> отчетности по форме 0420154, составляется страховщиком (за исключением иностранной страховой организации) посредством формирования предусмотренных в ней показателей ежемесячно за календарный месяц (далее - отчетный период) по состоянию на последний календарный день отчетного периода включительно.</w:t>
      </w:r>
    </w:p>
    <w:p>
      <w:pPr>
        <w:pStyle w:val="0"/>
        <w:spacing w:before="240" w:lineRule="auto"/>
        <w:ind w:firstLine="540"/>
        <w:jc w:val="both"/>
      </w:pPr>
      <w:hyperlink w:history="0" w:anchor="P27770" w:tooltip="Раздел 11.">
        <w:r>
          <w:rPr>
            <w:sz w:val="24"/>
            <w:color w:val="0000ff"/>
          </w:rPr>
          <w:t xml:space="preserve">Раздел 11</w:t>
        </w:r>
      </w:hyperlink>
      <w:r>
        <w:rPr>
          <w:sz w:val="24"/>
        </w:rPr>
        <w:t xml:space="preserve"> отчетности по форме 0420154 составляется страховщиком посредством формирования предусмотренных в нем показателей ежеквартально по состоянию на последний календарный день квартала включительно.</w:t>
      </w:r>
    </w:p>
    <w:p>
      <w:pPr>
        <w:pStyle w:val="0"/>
        <w:spacing w:before="240" w:lineRule="auto"/>
        <w:ind w:firstLine="540"/>
        <w:jc w:val="both"/>
      </w:pPr>
      <w:r>
        <w:rPr>
          <w:sz w:val="24"/>
        </w:rPr>
        <w:t xml:space="preserve">Отчетность по </w:t>
      </w:r>
      <w:hyperlink w:history="0" w:anchor="P2335" w:tooltip="Отчетность по форме 0420154">
        <w:r>
          <w:rPr>
            <w:sz w:val="24"/>
            <w:color w:val="0000ff"/>
          </w:rPr>
          <w:t xml:space="preserve">форме 0420154</w:t>
        </w:r>
      </w:hyperlink>
      <w:r>
        <w:rPr>
          <w:sz w:val="24"/>
        </w:rPr>
        <w:t xml:space="preserve"> составляется страховщиком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w:t>
      </w:r>
      <w:hyperlink w:history="0" w:anchor="P54303" w:tooltip="9. Код валюты и основная валюта указываются в соответствии с Общероссийским классификатором валют - трехзначный цифровой код и трехбуквенный код (с использованием разделителя &quot;-&quot; (тире).">
        <w:r>
          <w:rPr>
            <w:sz w:val="24"/>
            <w:color w:val="0000ff"/>
          </w:rPr>
          <w:t xml:space="preserve">9</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Требования настоящих Порядка и сроков в отношении отражения в отчетности по </w:t>
      </w:r>
      <w:hyperlink w:history="0" w:anchor="P2335" w:tooltip="Отчетность по форме 0420154">
        <w:r>
          <w:rPr>
            <w:sz w:val="24"/>
            <w:color w:val="0000ff"/>
          </w:rPr>
          <w:t xml:space="preserve">форме 0420154</w:t>
        </w:r>
      </w:hyperlink>
      <w:r>
        <w:rPr>
          <w:sz w:val="24"/>
        </w:rPr>
        <w:t xml:space="preserve"> сведений о перестраховщиках и операциях с ними распространяются также на акционерное общество "Российское агентство по страхованию экспортных кредитов и инвестиций" в случае, если страховщик заключал с указанным акционерным обществом в соответствии с </w:t>
      </w:r>
      <w:hyperlink w:history="0" r:id="rId176"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договоры перестрахования, в которых страховщик выступает перестрахователем (далее - договоры исходящего перестрахования).</w:t>
      </w:r>
    </w:p>
    <w:p>
      <w:pPr>
        <w:pStyle w:val="0"/>
        <w:spacing w:before="240" w:lineRule="auto"/>
        <w:ind w:firstLine="540"/>
        <w:jc w:val="both"/>
      </w:pPr>
      <w:r>
        <w:rPr>
          <w:sz w:val="24"/>
        </w:rPr>
        <w:t xml:space="preserve">2. По показателям отчетности по </w:t>
      </w:r>
      <w:hyperlink w:history="0" w:anchor="P2335" w:tooltip="Отчетность по форме 0420154">
        <w:r>
          <w:rPr>
            <w:sz w:val="24"/>
            <w:color w:val="0000ff"/>
          </w:rPr>
          <w:t xml:space="preserve">форме 0420154</w:t>
        </w:r>
      </w:hyperlink>
      <w:r>
        <w:rPr>
          <w:sz w:val="24"/>
        </w:rPr>
        <w:t xml:space="preserve"> отражаются сведения об активах и обязательствах страховщика, в том числе учитываемых при определении величины собственных средств (капитала) в соответствии с </w:t>
      </w:r>
      <w:hyperlink w:history="0" r:id="rId17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главами 1</w:t>
        </w:r>
      </w:hyperlink>
      <w:r>
        <w:rPr>
          <w:sz w:val="24"/>
        </w:rPr>
        <w:t xml:space="preserve">, </w:t>
      </w:r>
      <w:hyperlink w:history="0" r:id="rId17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3</w:t>
        </w:r>
      </w:hyperlink>
      <w:r>
        <w:rPr>
          <w:sz w:val="24"/>
        </w:rPr>
        <w:t xml:space="preserve"> и </w:t>
      </w:r>
      <w:hyperlink w:history="0" r:id="rId17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4</w:t>
        </w:r>
      </w:hyperlink>
      <w:r>
        <w:rPr>
          <w:sz w:val="24"/>
        </w:rPr>
        <w:t xml:space="preserve"> Положения Банка России от 17 июня 2025 года N 858-П "О требованиях к финансовой устойчивости и платежеспособности страховщиков" &lt;1&gt; (далее - Положение Банка России N 858-П), сведения об инвестировании собственных средств (капитала) и средств страховых резервов в соответствии с </w:t>
      </w:r>
      <w:hyperlink w:history="0" r:id="rId18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2</w:t>
        </w:r>
      </w:hyperlink>
      <w:r>
        <w:rPr>
          <w:sz w:val="24"/>
        </w:rPr>
        <w:t xml:space="preserve"> Положения Банка России N 858-П, сведения об оценке рисков в соответствии с </w:t>
      </w:r>
      <w:hyperlink w:history="0" r:id="rId18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6</w:t>
        </w:r>
      </w:hyperlink>
      <w:r>
        <w:rPr>
          <w:sz w:val="24"/>
        </w:rPr>
        <w:t xml:space="preserve"> Положения Банка России N 858-П, а также анализ финансовых активов и обязательств в разрезе валют и сроков, оставшихся до погашения активов и обязательств.</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27 августа 2025 года, регистрационный N 83340.</w:t>
      </w:r>
    </w:p>
    <w:p>
      <w:pPr>
        <w:pStyle w:val="0"/>
        <w:ind w:firstLine="540"/>
        <w:jc w:val="both"/>
      </w:pPr>
      <w:r>
        <w:rPr>
          <w:sz w:val="24"/>
        </w:rPr>
      </w:r>
    </w:p>
    <w:p>
      <w:pPr>
        <w:pStyle w:val="0"/>
        <w:ind w:firstLine="540"/>
        <w:jc w:val="both"/>
      </w:pPr>
      <w:r>
        <w:rPr>
          <w:sz w:val="24"/>
        </w:rPr>
        <w:t xml:space="preserve">3. По показателю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строки 4</w:t>
        </w:r>
      </w:hyperlink>
      <w:r>
        <w:rPr>
          <w:sz w:val="24"/>
        </w:rPr>
        <w:t xml:space="preserve">, </w:t>
      </w:r>
      <w:hyperlink w:history="0" w:anchor="P2482" w:tooltip="9">
        <w:r>
          <w:rPr>
            <w:sz w:val="24"/>
            <w:color w:val="0000ff"/>
          </w:rPr>
          <w:t xml:space="preserve">9</w:t>
        </w:r>
      </w:hyperlink>
      <w:r>
        <w:rPr>
          <w:sz w:val="24"/>
        </w:rPr>
        <w:t xml:space="preserve">, </w:t>
      </w:r>
      <w:hyperlink w:history="0" w:anchor="P3312" w:tooltip="28">
        <w:r>
          <w:rPr>
            <w:sz w:val="24"/>
            <w:color w:val="0000ff"/>
          </w:rPr>
          <w:t xml:space="preserve">28</w:t>
        </w:r>
      </w:hyperlink>
      <w:r>
        <w:rPr>
          <w:sz w:val="24"/>
        </w:rPr>
        <w:t xml:space="preserve">, </w:t>
      </w:r>
      <w:hyperlink w:history="0" w:anchor="P4654" w:tooltip="59">
        <w:r>
          <w:rPr>
            <w:sz w:val="24"/>
            <w:color w:val="0000ff"/>
          </w:rPr>
          <w:t xml:space="preserve">59</w:t>
        </w:r>
      </w:hyperlink>
      <w:r>
        <w:rPr>
          <w:sz w:val="24"/>
        </w:rPr>
        <w:t xml:space="preserve">, </w:t>
      </w:r>
      <w:hyperlink w:history="0" w:anchor="P6664" w:tooltip="98">
        <w:r>
          <w:rPr>
            <w:sz w:val="24"/>
            <w:color w:val="0000ff"/>
          </w:rPr>
          <w:t xml:space="preserve">98</w:t>
        </w:r>
      </w:hyperlink>
      <w:r>
        <w:rPr>
          <w:sz w:val="24"/>
        </w:rPr>
        <w:t xml:space="preserve">, </w:t>
      </w:r>
      <w:hyperlink w:history="0" w:anchor="P8552" w:tooltip="133">
        <w:r>
          <w:rPr>
            <w:sz w:val="24"/>
            <w:color w:val="0000ff"/>
          </w:rPr>
          <w:t xml:space="preserve">133</w:t>
        </w:r>
      </w:hyperlink>
      <w:r>
        <w:rPr>
          <w:sz w:val="24"/>
        </w:rPr>
        <w:t xml:space="preserve">, </w:t>
      </w:r>
      <w:hyperlink w:history="0" w:anchor="P11078" w:tooltip="182">
        <w:r>
          <w:rPr>
            <w:sz w:val="24"/>
            <w:color w:val="0000ff"/>
          </w:rPr>
          <w:t xml:space="preserve">182</w:t>
        </w:r>
      </w:hyperlink>
      <w:r>
        <w:rPr>
          <w:sz w:val="24"/>
        </w:rPr>
        <w:t xml:space="preserve">, </w:t>
      </w:r>
      <w:hyperlink w:history="0" w:anchor="P12158" w:tooltip="212">
        <w:r>
          <w:rPr>
            <w:sz w:val="24"/>
            <w:color w:val="0000ff"/>
          </w:rPr>
          <w:t xml:space="preserve">212</w:t>
        </w:r>
      </w:hyperlink>
      <w:r>
        <w:rPr>
          <w:sz w:val="24"/>
        </w:rPr>
        <w:t xml:space="preserve">, </w:t>
      </w:r>
      <w:hyperlink w:history="0" w:anchor="P12900" w:tooltip="232">
        <w:r>
          <w:rPr>
            <w:sz w:val="24"/>
            <w:color w:val="0000ff"/>
          </w:rPr>
          <w:t xml:space="preserve">232</w:t>
        </w:r>
      </w:hyperlink>
      <w:r>
        <w:rPr>
          <w:sz w:val="24"/>
        </w:rPr>
        <w:t xml:space="preserve">, </w:t>
      </w:r>
      <w:hyperlink w:history="0" w:anchor="P13434" w:tooltip="244">
        <w:r>
          <w:rPr>
            <w:sz w:val="24"/>
            <w:color w:val="0000ff"/>
          </w:rPr>
          <w:t xml:space="preserve">244</w:t>
        </w:r>
      </w:hyperlink>
      <w:r>
        <w:rPr>
          <w:sz w:val="24"/>
        </w:rPr>
        <w:t xml:space="preserve">, </w:t>
      </w:r>
      <w:hyperlink w:history="0" w:anchor="P13976" w:tooltip="256">
        <w:r>
          <w:rPr>
            <w:sz w:val="24"/>
            <w:color w:val="0000ff"/>
          </w:rPr>
          <w:t xml:space="preserve">256</w:t>
        </w:r>
      </w:hyperlink>
      <w:r>
        <w:rPr>
          <w:sz w:val="24"/>
        </w:rPr>
        <w:t xml:space="preserve">, </w:t>
      </w:r>
      <w:hyperlink w:history="0" w:anchor="P14598" w:tooltip="269">
        <w:r>
          <w:rPr>
            <w:sz w:val="24"/>
            <w:color w:val="0000ff"/>
          </w:rPr>
          <w:t xml:space="preserve">269</w:t>
        </w:r>
      </w:hyperlink>
      <w:r>
        <w:rPr>
          <w:sz w:val="24"/>
        </w:rPr>
        <w:t xml:space="preserve">, </w:t>
      </w:r>
      <w:hyperlink w:history="0" w:anchor="P15200" w:tooltip="282">
        <w:r>
          <w:rPr>
            <w:sz w:val="24"/>
            <w:color w:val="0000ff"/>
          </w:rPr>
          <w:t xml:space="preserve">282</w:t>
        </w:r>
      </w:hyperlink>
      <w:r>
        <w:rPr>
          <w:sz w:val="24"/>
        </w:rPr>
        <w:t xml:space="preserve">, </w:t>
      </w:r>
      <w:hyperlink w:history="0" w:anchor="P15880" w:tooltip="294">
        <w:r>
          <w:rPr>
            <w:sz w:val="24"/>
            <w:color w:val="0000ff"/>
          </w:rPr>
          <w:t xml:space="preserve">294</w:t>
        </w:r>
      </w:hyperlink>
      <w:r>
        <w:rPr>
          <w:sz w:val="24"/>
        </w:rPr>
        <w:t xml:space="preserve">, </w:t>
      </w:r>
      <w:hyperlink w:history="0" w:anchor="P16510" w:tooltip="307">
        <w:r>
          <w:rPr>
            <w:sz w:val="24"/>
            <w:color w:val="0000ff"/>
          </w:rPr>
          <w:t xml:space="preserve">307</w:t>
        </w:r>
      </w:hyperlink>
      <w:r>
        <w:rPr>
          <w:sz w:val="24"/>
        </w:rPr>
        <w:t xml:space="preserve">, </w:t>
      </w:r>
      <w:hyperlink w:history="0" w:anchor="P16848" w:tooltip="313">
        <w:r>
          <w:rPr>
            <w:sz w:val="24"/>
            <w:color w:val="0000ff"/>
          </w:rPr>
          <w:t xml:space="preserve">313</w:t>
        </w:r>
      </w:hyperlink>
      <w:r>
        <w:rPr>
          <w:sz w:val="24"/>
        </w:rPr>
        <w:t xml:space="preserve">, </w:t>
      </w:r>
      <w:hyperlink w:history="0" w:anchor="P17430" w:tooltip="325">
        <w:r>
          <w:rPr>
            <w:sz w:val="24"/>
            <w:color w:val="0000ff"/>
          </w:rPr>
          <w:t xml:space="preserve">325</w:t>
        </w:r>
      </w:hyperlink>
      <w:r>
        <w:rPr>
          <w:sz w:val="24"/>
        </w:rPr>
        <w:t xml:space="preserve">, </w:t>
      </w:r>
      <w:hyperlink w:history="0" w:anchor="P18318" w:tooltip="344">
        <w:r>
          <w:rPr>
            <w:sz w:val="24"/>
            <w:color w:val="0000ff"/>
          </w:rPr>
          <w:t xml:space="preserve">344</w:t>
        </w:r>
      </w:hyperlink>
      <w:r>
        <w:rPr>
          <w:sz w:val="24"/>
        </w:rPr>
        <w:t xml:space="preserve">, </w:t>
      </w:r>
      <w:hyperlink w:history="0" w:anchor="P18896" w:tooltip="360">
        <w:r>
          <w:rPr>
            <w:sz w:val="24"/>
            <w:color w:val="0000ff"/>
          </w:rPr>
          <w:t xml:space="preserve">360</w:t>
        </w:r>
      </w:hyperlink>
      <w:r>
        <w:rPr>
          <w:sz w:val="24"/>
        </w:rPr>
        <w:t xml:space="preserve">, </w:t>
      </w:r>
      <w:hyperlink w:history="0" w:anchor="P19614" w:tooltip="382">
        <w:r>
          <w:rPr>
            <w:sz w:val="24"/>
            <w:color w:val="0000ff"/>
          </w:rPr>
          <w:t xml:space="preserve">382</w:t>
        </w:r>
      </w:hyperlink>
      <w:r>
        <w:rPr>
          <w:sz w:val="24"/>
        </w:rPr>
        <w:t xml:space="preserve">, </w:t>
      </w:r>
      <w:hyperlink w:history="0" w:anchor="P19692" w:tooltip="385">
        <w:r>
          <w:rPr>
            <w:sz w:val="24"/>
            <w:color w:val="0000ff"/>
          </w:rPr>
          <w:t xml:space="preserve">385</w:t>
        </w:r>
      </w:hyperlink>
      <w:r>
        <w:rPr>
          <w:sz w:val="24"/>
        </w:rPr>
        <w:t xml:space="preserve">, </w:t>
      </w:r>
      <w:hyperlink w:history="0" w:anchor="P20236" w:tooltip="401">
        <w:r>
          <w:rPr>
            <w:sz w:val="24"/>
            <w:color w:val="0000ff"/>
          </w:rPr>
          <w:t xml:space="preserve">401</w:t>
        </w:r>
      </w:hyperlink>
      <w:r>
        <w:rPr>
          <w:sz w:val="24"/>
        </w:rPr>
        <w:t xml:space="preserve">, </w:t>
      </w:r>
      <w:hyperlink w:history="0" w:anchor="P20488" w:tooltip="410">
        <w:r>
          <w:rPr>
            <w:sz w:val="24"/>
            <w:color w:val="0000ff"/>
          </w:rPr>
          <w:t xml:space="preserve">410</w:t>
        </w:r>
      </w:hyperlink>
      <w:r>
        <w:rPr>
          <w:sz w:val="24"/>
        </w:rPr>
        <w:t xml:space="preserve">, </w:t>
      </w:r>
      <w:hyperlink w:history="0" w:anchor="P20574" w:tooltip="414">
        <w:r>
          <w:rPr>
            <w:sz w:val="24"/>
            <w:color w:val="0000ff"/>
          </w:rPr>
          <w:t xml:space="preserve">414</w:t>
        </w:r>
      </w:hyperlink>
      <w:r>
        <w:rPr>
          <w:sz w:val="24"/>
        </w:rPr>
        <w:t xml:space="preserve">, </w:t>
      </w:r>
      <w:hyperlink w:history="0" w:anchor="P20726" w:tooltip="419">
        <w:r>
          <w:rPr>
            <w:sz w:val="24"/>
            <w:color w:val="0000ff"/>
          </w:rPr>
          <w:t xml:space="preserve">419</w:t>
        </w:r>
      </w:hyperlink>
      <w:r>
        <w:rPr>
          <w:sz w:val="24"/>
        </w:rPr>
        <w:t xml:space="preserve">, </w:t>
      </w:r>
      <w:hyperlink w:history="0" w:anchor="P21330" w:tooltip="433">
        <w:r>
          <w:rPr>
            <w:sz w:val="24"/>
            <w:color w:val="0000ff"/>
          </w:rPr>
          <w:t xml:space="preserve">433</w:t>
        </w:r>
      </w:hyperlink>
      <w:r>
        <w:rPr>
          <w:sz w:val="24"/>
        </w:rPr>
        <w:t xml:space="preserve">, </w:t>
      </w:r>
      <w:hyperlink w:history="0" w:anchor="P22024" w:tooltip="454">
        <w:r>
          <w:rPr>
            <w:sz w:val="24"/>
            <w:color w:val="0000ff"/>
          </w:rPr>
          <w:t xml:space="preserve">454</w:t>
        </w:r>
      </w:hyperlink>
      <w:r>
        <w:rPr>
          <w:sz w:val="24"/>
        </w:rPr>
        <w:t xml:space="preserve">, </w:t>
      </w:r>
      <w:hyperlink w:history="0" w:anchor="P22182" w:tooltip="459">
        <w:r>
          <w:rPr>
            <w:sz w:val="24"/>
            <w:color w:val="0000ff"/>
          </w:rPr>
          <w:t xml:space="preserve">459</w:t>
        </w:r>
      </w:hyperlink>
      <w:r>
        <w:rPr>
          <w:sz w:val="24"/>
        </w:rPr>
        <w:t xml:space="preserve">, </w:t>
      </w:r>
      <w:hyperlink w:history="0" w:anchor="P22856" w:tooltip="476">
        <w:r>
          <w:rPr>
            <w:sz w:val="24"/>
            <w:color w:val="0000ff"/>
          </w:rPr>
          <w:t xml:space="preserve">476</w:t>
        </w:r>
      </w:hyperlink>
      <w:r>
        <w:rPr>
          <w:sz w:val="24"/>
        </w:rPr>
        <w:t xml:space="preserve">, </w:t>
      </w:r>
      <w:hyperlink w:history="0" w:anchor="P23420" w:tooltip="489">
        <w:r>
          <w:rPr>
            <w:sz w:val="24"/>
            <w:color w:val="0000ff"/>
          </w:rPr>
          <w:t xml:space="preserve">489</w:t>
        </w:r>
      </w:hyperlink>
      <w:r>
        <w:rPr>
          <w:sz w:val="24"/>
        </w:rPr>
        <w:t xml:space="preserve">, </w:t>
      </w:r>
      <w:hyperlink w:history="0" w:anchor="P24098" w:tooltip="504">
        <w:r>
          <w:rPr>
            <w:sz w:val="24"/>
            <w:color w:val="0000ff"/>
          </w:rPr>
          <w:t xml:space="preserve">504</w:t>
        </w:r>
      </w:hyperlink>
      <w:r>
        <w:rPr>
          <w:sz w:val="24"/>
        </w:rPr>
        <w:t xml:space="preserve">, </w:t>
      </w:r>
      <w:hyperlink w:history="0" w:anchor="P24568" w:tooltip="515">
        <w:r>
          <w:rPr>
            <w:sz w:val="24"/>
            <w:color w:val="0000ff"/>
          </w:rPr>
          <w:t xml:space="preserve">515</w:t>
        </w:r>
      </w:hyperlink>
      <w:r>
        <w:rPr>
          <w:sz w:val="24"/>
        </w:rPr>
        <w:t xml:space="preserve">, </w:t>
      </w:r>
      <w:hyperlink w:history="0" w:anchor="P25082" w:tooltip="532">
        <w:r>
          <w:rPr>
            <w:sz w:val="24"/>
            <w:color w:val="0000ff"/>
          </w:rPr>
          <w:t xml:space="preserve">532</w:t>
        </w:r>
      </w:hyperlink>
      <w:r>
        <w:rPr>
          <w:sz w:val="24"/>
        </w:rPr>
        <w:t xml:space="preserve">), аналитическим признакам группы аналитических признаков "Вид актива" (за исключением прав требования в части уплаты страховых премий (взносов), учтенных в страховых резервах) отражается стоимость активов на конец отчетного периода, рассчитанная в соответствии с </w:t>
      </w:r>
      <w:hyperlink w:history="0" r:id="rId18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3</w:t>
        </w:r>
      </w:hyperlink>
      <w:r>
        <w:rPr>
          <w:sz w:val="24"/>
        </w:rPr>
        <w:t xml:space="preserve"> Положения Банка России N 858-П, с указанием стоимости активов (за исключением активов, если их стоимость принимает отрицательное значение), в которые в соответствии с </w:t>
      </w:r>
      <w:hyperlink w:history="0" r:id="rId18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2</w:t>
        </w:r>
      </w:hyperlink>
      <w:r>
        <w:rPr>
          <w:sz w:val="24"/>
        </w:rPr>
        <w:t xml:space="preserve"> Положения Банка России N 858-П инвестированы:</w:t>
      </w:r>
    </w:p>
    <w:p>
      <w:pPr>
        <w:pStyle w:val="0"/>
        <w:spacing w:before="240" w:lineRule="auto"/>
        <w:ind w:firstLine="540"/>
        <w:jc w:val="both"/>
      </w:pPr>
      <w:r>
        <w:rPr>
          <w:sz w:val="24"/>
        </w:rPr>
        <w:t xml:space="preserve">средства страховых резервов, сформированных на конец отчетного периода в соответствии с </w:t>
      </w:r>
      <w:hyperlink w:history="0" r:id="rId18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(по аналитическому признаку "Страховые резервы" группы аналитических признаков "Стоимость активов, в которые инвестированы средства страховых резервов, собственные средства (капитал)");</w:t>
      </w:r>
    </w:p>
    <w:p>
      <w:pPr>
        <w:pStyle w:val="0"/>
        <w:spacing w:before="240" w:lineRule="auto"/>
        <w:ind w:firstLine="540"/>
        <w:jc w:val="both"/>
      </w:pPr>
      <w:r>
        <w:rPr>
          <w:sz w:val="24"/>
        </w:rPr>
        <w:t xml:space="preserve">собственные средства (капитал), величина которых определена на конец отчетного периода в соответствии с </w:t>
      </w:r>
      <w:hyperlink w:history="0" r:id="rId18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1</w:t>
        </w:r>
      </w:hyperlink>
      <w:r>
        <w:rPr>
          <w:sz w:val="24"/>
        </w:rPr>
        <w:t xml:space="preserve"> Положения Банка России N 858-П (по аналитическому признаку "Собственные средства (капитал)" группы аналитических признаков "Стоимость активов, в которые инвестированы средства страховых резервов, собственные средства (капитал)").</w:t>
      </w:r>
    </w:p>
    <w:p>
      <w:pPr>
        <w:pStyle w:val="0"/>
        <w:spacing w:before="240" w:lineRule="auto"/>
        <w:ind w:firstLine="540"/>
        <w:jc w:val="both"/>
      </w:pPr>
      <w:r>
        <w:rPr>
          <w:sz w:val="24"/>
        </w:rPr>
        <w:t xml:space="preserve">По показателю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строки 4</w:t>
        </w:r>
      </w:hyperlink>
      <w:r>
        <w:rPr>
          <w:sz w:val="24"/>
        </w:rPr>
        <w:t xml:space="preserve">, </w:t>
      </w:r>
      <w:hyperlink w:history="0" w:anchor="P25342" w:tooltip="538">
        <w:r>
          <w:rPr>
            <w:sz w:val="24"/>
            <w:color w:val="0000ff"/>
          </w:rPr>
          <w:t xml:space="preserve">538</w:t>
        </w:r>
      </w:hyperlink>
      <w:r>
        <w:rPr>
          <w:sz w:val="24"/>
        </w:rPr>
        <w:t xml:space="preserve">, </w:t>
      </w:r>
      <w:hyperlink w:history="0" w:anchor="P25990" w:tooltip="559">
        <w:r>
          <w:rPr>
            <w:sz w:val="24"/>
            <w:color w:val="0000ff"/>
          </w:rPr>
          <w:t xml:space="preserve">559</w:t>
        </w:r>
      </w:hyperlink>
      <w:r>
        <w:rPr>
          <w:sz w:val="24"/>
        </w:rPr>
        <w:t xml:space="preserve">, </w:t>
      </w:r>
      <w:hyperlink w:history="0" w:anchor="P26096" w:tooltip="564">
        <w:r>
          <w:rPr>
            <w:sz w:val="24"/>
            <w:color w:val="0000ff"/>
          </w:rPr>
          <w:t xml:space="preserve">564</w:t>
        </w:r>
      </w:hyperlink>
      <w:r>
        <w:rPr>
          <w:sz w:val="24"/>
        </w:rPr>
        <w:t xml:space="preserve">, </w:t>
      </w:r>
      <w:hyperlink w:history="0" w:anchor="P26218" w:tooltip="569">
        <w:r>
          <w:rPr>
            <w:sz w:val="24"/>
            <w:color w:val="0000ff"/>
          </w:rPr>
          <w:t xml:space="preserve">569</w:t>
        </w:r>
      </w:hyperlink>
      <w:r>
        <w:rPr>
          <w:sz w:val="24"/>
        </w:rPr>
        <w:t xml:space="preserve">, </w:t>
      </w:r>
      <w:hyperlink w:history="0" w:anchor="P26736" w:tooltip="601">
        <w:r>
          <w:rPr>
            <w:sz w:val="24"/>
            <w:color w:val="0000ff"/>
          </w:rPr>
          <w:t xml:space="preserve">601</w:t>
        </w:r>
      </w:hyperlink>
      <w:r>
        <w:rPr>
          <w:sz w:val="24"/>
        </w:rPr>
        <w:t xml:space="preserve">, </w:t>
      </w:r>
      <w:hyperlink w:history="0" w:anchor="P26830" w:tooltip="606">
        <w:r>
          <w:rPr>
            <w:sz w:val="24"/>
            <w:color w:val="0000ff"/>
          </w:rPr>
          <w:t xml:space="preserve">606</w:t>
        </w:r>
      </w:hyperlink>
      <w:r>
        <w:rPr>
          <w:sz w:val="24"/>
        </w:rPr>
        <w:t xml:space="preserve">, </w:t>
      </w:r>
      <w:hyperlink w:history="0" w:anchor="P26956" w:tooltip="615">
        <w:r>
          <w:rPr>
            <w:sz w:val="24"/>
            <w:color w:val="0000ff"/>
          </w:rPr>
          <w:t xml:space="preserve">615</w:t>
        </w:r>
      </w:hyperlink>
      <w:r>
        <w:rPr>
          <w:sz w:val="24"/>
        </w:rPr>
        <w:t xml:space="preserve">, </w:t>
      </w:r>
      <w:hyperlink w:history="0" w:anchor="P27066" w:tooltip="620">
        <w:r>
          <w:rPr>
            <w:sz w:val="24"/>
            <w:color w:val="0000ff"/>
          </w:rPr>
          <w:t xml:space="preserve">620</w:t>
        </w:r>
      </w:hyperlink>
      <w:r>
        <w:rPr>
          <w:sz w:val="24"/>
        </w:rPr>
        <w:t xml:space="preserve">, </w:t>
      </w:r>
      <w:hyperlink w:history="0" w:anchor="P27200" w:tooltip="625">
        <w:r>
          <w:rPr>
            <w:sz w:val="24"/>
            <w:color w:val="0000ff"/>
          </w:rPr>
          <w:t xml:space="preserve">625</w:t>
        </w:r>
      </w:hyperlink>
      <w:r>
        <w:rPr>
          <w:sz w:val="24"/>
        </w:rPr>
        <w:t xml:space="preserve">, </w:t>
      </w:r>
      <w:hyperlink w:history="0" w:anchor="P27298" w:tooltip="630">
        <w:r>
          <w:rPr>
            <w:sz w:val="24"/>
            <w:color w:val="0000ff"/>
          </w:rPr>
          <w:t xml:space="preserve">630</w:t>
        </w:r>
      </w:hyperlink>
      <w:r>
        <w:rPr>
          <w:sz w:val="24"/>
        </w:rPr>
        <w:t xml:space="preserve">), аналитическим признакам группы аналитических признаков "Вид обязательства" отражается стоимость обязательств на конец отчетного периода, рассчитанная в соответствии с </w:t>
      </w:r>
      <w:hyperlink w:history="0" r:id="rId18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4</w:t>
        </w:r>
      </w:hyperlink>
      <w:r>
        <w:rPr>
          <w:sz w:val="24"/>
        </w:rPr>
        <w:t xml:space="preserve"> Положения Банка России N 858-П. При этом значения показателя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(строка 4)</w:t>
        </w:r>
      </w:hyperlink>
      <w:r>
        <w:rPr>
          <w:sz w:val="24"/>
        </w:rPr>
        <w:t xml:space="preserve"> по аналитическим признакам "Права требования в части уплаты страховых премий (взносов), учтенные в страховых резервах по страхованию жизни" и "Права требования в части уплаты страховых премий (взносов), учтенные в страховых резервах по страхованию иному, чем страхование жизни" группы аналитических признаков "Вид обязательства" указываются со знаком "-" (минус).</w:t>
      </w:r>
    </w:p>
    <w:p>
      <w:pPr>
        <w:pStyle w:val="0"/>
        <w:spacing w:before="240" w:lineRule="auto"/>
        <w:ind w:firstLine="540"/>
        <w:jc w:val="both"/>
      </w:pPr>
      <w:r>
        <w:rPr>
          <w:sz w:val="24"/>
        </w:rPr>
        <w:t xml:space="preserve">По показателю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(строка 4)</w:t>
        </w:r>
      </w:hyperlink>
      <w:r>
        <w:rPr>
          <w:sz w:val="24"/>
        </w:rPr>
        <w:t xml:space="preserve">, аналитическим признакам "Права требования в части уплаты страховых премий (взносов), учтенные в страховых резервах по страхованию жизни" и "Права требования в части уплаты страховых премий (взносов), учтенные в страховых резервах по страхованию иному, чем страхование жизни" группы аналитических признаков "Вид обязательства" отражается стоимость прав требования в части уплаты страховых премий (взносов), учтенных в страховых резервах, на конец отчетного периода, определенная в соответствии с </w:t>
      </w:r>
      <w:hyperlink w:history="0" r:id="rId18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третьим пункта 6.4</w:t>
        </w:r>
      </w:hyperlink>
      <w:r>
        <w:rPr>
          <w:sz w:val="24"/>
        </w:rPr>
        <w:t xml:space="preserve"> Положения Банка России N 858-П.</w:t>
      </w:r>
    </w:p>
    <w:p>
      <w:pPr>
        <w:pStyle w:val="0"/>
        <w:spacing w:before="240" w:lineRule="auto"/>
        <w:ind w:firstLine="540"/>
        <w:jc w:val="both"/>
      </w:pPr>
      <w:r>
        <w:rPr>
          <w:sz w:val="24"/>
        </w:rPr>
        <w:t xml:space="preserve">4. По показателям "Категория в бухгалтерской (финансовой) отчетности (для активов)" (</w:t>
      </w:r>
      <w:hyperlink w:history="0" w:anchor="P3102" w:tooltip="23">
        <w:r>
          <w:rPr>
            <w:sz w:val="24"/>
            <w:color w:val="0000ff"/>
          </w:rPr>
          <w:t xml:space="preserve">строки 23</w:t>
        </w:r>
      </w:hyperlink>
      <w:r>
        <w:rPr>
          <w:sz w:val="24"/>
        </w:rPr>
        <w:t xml:space="preserve">, </w:t>
      </w:r>
      <w:hyperlink w:history="0" w:anchor="P4236" w:tooltip="51">
        <w:r>
          <w:rPr>
            <w:sz w:val="24"/>
            <w:color w:val="0000ff"/>
          </w:rPr>
          <w:t xml:space="preserve">51</w:t>
        </w:r>
      </w:hyperlink>
      <w:r>
        <w:rPr>
          <w:sz w:val="24"/>
        </w:rPr>
        <w:t xml:space="preserve">, </w:t>
      </w:r>
      <w:hyperlink w:history="0" w:anchor="P5610" w:tooltip="76">
        <w:r>
          <w:rPr>
            <w:sz w:val="24"/>
            <w:color w:val="0000ff"/>
          </w:rPr>
          <w:t xml:space="preserve">76</w:t>
        </w:r>
      </w:hyperlink>
      <w:r>
        <w:rPr>
          <w:sz w:val="24"/>
        </w:rPr>
        <w:t xml:space="preserve">, </w:t>
      </w:r>
      <w:hyperlink w:history="0" w:anchor="P6156" w:tooltip="87">
        <w:r>
          <w:rPr>
            <w:sz w:val="24"/>
            <w:color w:val="0000ff"/>
          </w:rPr>
          <w:t xml:space="preserve">87</w:t>
        </w:r>
      </w:hyperlink>
      <w:r>
        <w:rPr>
          <w:sz w:val="24"/>
        </w:rPr>
        <w:t xml:space="preserve">, </w:t>
      </w:r>
      <w:hyperlink w:history="0" w:anchor="P6318" w:tooltip="91">
        <w:r>
          <w:rPr>
            <w:sz w:val="24"/>
            <w:color w:val="0000ff"/>
          </w:rPr>
          <w:t xml:space="preserve">91</w:t>
        </w:r>
      </w:hyperlink>
      <w:r>
        <w:rPr>
          <w:sz w:val="24"/>
        </w:rPr>
        <w:t xml:space="preserve">, </w:t>
      </w:r>
      <w:hyperlink w:history="0" w:anchor="P7620" w:tooltip="115">
        <w:r>
          <w:rPr>
            <w:sz w:val="24"/>
            <w:color w:val="0000ff"/>
          </w:rPr>
          <w:t xml:space="preserve">115</w:t>
        </w:r>
      </w:hyperlink>
      <w:r>
        <w:rPr>
          <w:sz w:val="24"/>
        </w:rPr>
        <w:t xml:space="preserve">, </w:t>
      </w:r>
      <w:hyperlink w:history="0" w:anchor="P8118" w:tooltip="125">
        <w:r>
          <w:rPr>
            <w:sz w:val="24"/>
            <w:color w:val="0000ff"/>
          </w:rPr>
          <w:t xml:space="preserve">125</w:t>
        </w:r>
      </w:hyperlink>
      <w:r>
        <w:rPr>
          <w:sz w:val="24"/>
        </w:rPr>
        <w:t xml:space="preserve">, </w:t>
      </w:r>
      <w:hyperlink w:history="0" w:anchor="P10348" w:tooltip="165">
        <w:r>
          <w:rPr>
            <w:sz w:val="24"/>
            <w:color w:val="0000ff"/>
          </w:rPr>
          <w:t xml:space="preserve">165</w:t>
        </w:r>
      </w:hyperlink>
      <w:r>
        <w:rPr>
          <w:sz w:val="24"/>
        </w:rPr>
        <w:t xml:space="preserve">, </w:t>
      </w:r>
      <w:hyperlink w:history="0" w:anchor="P10844" w:tooltip="176">
        <w:r>
          <w:rPr>
            <w:sz w:val="24"/>
            <w:color w:val="0000ff"/>
          </w:rPr>
          <w:t xml:space="preserve">176</w:t>
        </w:r>
      </w:hyperlink>
      <w:r>
        <w:rPr>
          <w:sz w:val="24"/>
        </w:rPr>
        <w:t xml:space="preserve">, </w:t>
      </w:r>
      <w:hyperlink w:history="0" w:anchor="P11982" w:tooltip="207">
        <w:r>
          <w:rPr>
            <w:sz w:val="24"/>
            <w:color w:val="0000ff"/>
          </w:rPr>
          <w:t xml:space="preserve">207</w:t>
        </w:r>
      </w:hyperlink>
      <w:r>
        <w:rPr>
          <w:sz w:val="24"/>
        </w:rPr>
        <w:t xml:space="preserve">, </w:t>
      </w:r>
      <w:hyperlink w:history="0" w:anchor="P12738" w:tooltip="228">
        <w:r>
          <w:rPr>
            <w:sz w:val="24"/>
            <w:color w:val="0000ff"/>
          </w:rPr>
          <w:t xml:space="preserve">228</w:t>
        </w:r>
      </w:hyperlink>
      <w:r>
        <w:rPr>
          <w:sz w:val="24"/>
        </w:rPr>
        <w:t xml:space="preserve">) указывается наименование показателя </w:t>
      </w:r>
      <w:hyperlink w:history="0" r:id="rId188"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формы отчетности 0420125</w:t>
        </w:r>
      </w:hyperlink>
      <w:r>
        <w:rPr>
          <w:sz w:val="24"/>
        </w:rPr>
        <w:t xml:space="preserve"> "Бухгалтерский баланс страховой организации" или </w:t>
      </w:r>
      <w:hyperlink w:history="0" r:id="rId189"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формы отчетности 0420140</w:t>
        </w:r>
      </w:hyperlink>
      <w:r>
        <w:rPr>
          <w:sz w:val="24"/>
        </w:rPr>
        <w:t xml:space="preserve"> "Бухгалтерский баланс общества взаимного страхования", установленных Положением Банка России от 6 июля 2020 года N 728-П "О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 &lt;2&gt; (далее соответственно - Положение Банка России N 728-П, бухгалтерский баланс), относящегося к активам (за исключением наименований показателей "финансовые активы, классифицируемые как оцениваемые по справедливой стоимости через прибыль или убыток по усмотрению страховой организации" и "финансовые активы, классифицируемые как оцениваемые по справедливой стоимости через прибыль или убыток по усмотрению общества взаимного страхования", по которым указывается наименование "Финансовые активы, классифицируемые как оцениваемые по справедливой стоимости через прибыль или убыток по усмотрению страховщика"). В случае отражения стоимости актива на конец отчетного периода по нескольким показателям бухгалтерского баланса сведения указываются через пробел.</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Зарегистрировано Минюстом России 5 августа 2020 года, регистрационный N 59191, с изменениями, внесенными Указаниями Банка России от 4 октября 2021 года N 5961-У (зарегистрировано Минюстом России 1 декабря 2021 года, регистрационный N 66179), от 16 августа 2022 года N 6219-У (зарегистрировано Минюстом России 20 сентября 2022 года, регистрационный N 70157), от 16 августа 2023 года N 6508-У (зарегистрировано Минюстом России 20 сентября 2023 года, регистрационный N 75277), от 10 сентября 2024 года N 6846-У (зарегистрировано Минюстом России 17 октября 2024 года, регистрационный N 79804).</w:t>
      </w:r>
    </w:p>
    <w:p>
      <w:pPr>
        <w:pStyle w:val="0"/>
        <w:ind w:firstLine="540"/>
        <w:jc w:val="both"/>
      </w:pPr>
      <w:r>
        <w:rPr>
          <w:sz w:val="24"/>
        </w:rPr>
      </w:r>
    </w:p>
    <w:p>
      <w:pPr>
        <w:pStyle w:val="0"/>
        <w:ind w:firstLine="540"/>
        <w:jc w:val="both"/>
      </w:pPr>
      <w:r>
        <w:rPr>
          <w:sz w:val="24"/>
        </w:rPr>
        <w:t xml:space="preserve">5. По показателю "Примечание" (</w:t>
      </w:r>
      <w:hyperlink w:history="0" w:anchor="P3146" w:tooltip="24">
        <w:r>
          <w:rPr>
            <w:sz w:val="24"/>
            <w:color w:val="0000ff"/>
          </w:rPr>
          <w:t xml:space="preserve">строки 24</w:t>
        </w:r>
      </w:hyperlink>
      <w:r>
        <w:rPr>
          <w:sz w:val="24"/>
        </w:rPr>
        <w:t xml:space="preserve">, </w:t>
      </w:r>
      <w:hyperlink w:history="0" w:anchor="P4276" w:tooltip="52">
        <w:r>
          <w:rPr>
            <w:sz w:val="24"/>
            <w:color w:val="0000ff"/>
          </w:rPr>
          <w:t xml:space="preserve">52</w:t>
        </w:r>
      </w:hyperlink>
      <w:r>
        <w:rPr>
          <w:sz w:val="24"/>
        </w:rPr>
        <w:t xml:space="preserve">, </w:t>
      </w:r>
      <w:hyperlink w:history="0" w:anchor="P5666" w:tooltip="77">
        <w:r>
          <w:rPr>
            <w:sz w:val="24"/>
            <w:color w:val="0000ff"/>
          </w:rPr>
          <w:t xml:space="preserve">77</w:t>
        </w:r>
      </w:hyperlink>
      <w:r>
        <w:rPr>
          <w:sz w:val="24"/>
        </w:rPr>
        <w:t xml:space="preserve">, </w:t>
      </w:r>
      <w:hyperlink w:history="0" w:anchor="P6204" w:tooltip="88">
        <w:r>
          <w:rPr>
            <w:sz w:val="24"/>
            <w:color w:val="0000ff"/>
          </w:rPr>
          <w:t xml:space="preserve">88</w:t>
        </w:r>
      </w:hyperlink>
      <w:r>
        <w:rPr>
          <w:sz w:val="24"/>
        </w:rPr>
        <w:t xml:space="preserve">, </w:t>
      </w:r>
      <w:hyperlink w:history="0" w:anchor="P6350" w:tooltip="92">
        <w:r>
          <w:rPr>
            <w:sz w:val="24"/>
            <w:color w:val="0000ff"/>
          </w:rPr>
          <w:t xml:space="preserve">92</w:t>
        </w:r>
      </w:hyperlink>
      <w:r>
        <w:rPr>
          <w:sz w:val="24"/>
        </w:rPr>
        <w:t xml:space="preserve">, </w:t>
      </w:r>
      <w:hyperlink w:history="0" w:anchor="P7676" w:tooltip="116">
        <w:r>
          <w:rPr>
            <w:sz w:val="24"/>
            <w:color w:val="0000ff"/>
          </w:rPr>
          <w:t xml:space="preserve">116</w:t>
        </w:r>
      </w:hyperlink>
      <w:r>
        <w:rPr>
          <w:sz w:val="24"/>
        </w:rPr>
        <w:t xml:space="preserve">, </w:t>
      </w:r>
      <w:hyperlink w:history="0" w:anchor="P8166" w:tooltip="126">
        <w:r>
          <w:rPr>
            <w:sz w:val="24"/>
            <w:color w:val="0000ff"/>
          </w:rPr>
          <w:t xml:space="preserve">126</w:t>
        </w:r>
      </w:hyperlink>
      <w:r>
        <w:rPr>
          <w:sz w:val="24"/>
        </w:rPr>
        <w:t xml:space="preserve">, </w:t>
      </w:r>
      <w:hyperlink w:history="0" w:anchor="P10404" w:tooltip="166">
        <w:r>
          <w:rPr>
            <w:sz w:val="24"/>
            <w:color w:val="0000ff"/>
          </w:rPr>
          <w:t xml:space="preserve">166</w:t>
        </w:r>
      </w:hyperlink>
      <w:r>
        <w:rPr>
          <w:sz w:val="24"/>
        </w:rPr>
        <w:t xml:space="preserve">, </w:t>
      </w:r>
      <w:hyperlink w:history="0" w:anchor="P10888" w:tooltip="177">
        <w:r>
          <w:rPr>
            <w:sz w:val="24"/>
            <w:color w:val="0000ff"/>
          </w:rPr>
          <w:t xml:space="preserve">177</w:t>
        </w:r>
      </w:hyperlink>
      <w:r>
        <w:rPr>
          <w:sz w:val="24"/>
        </w:rPr>
        <w:t xml:space="preserve">, </w:t>
      </w:r>
      <w:hyperlink w:history="0" w:anchor="P12018" w:tooltip="208">
        <w:r>
          <w:rPr>
            <w:sz w:val="24"/>
            <w:color w:val="0000ff"/>
          </w:rPr>
          <w:t xml:space="preserve">208</w:t>
        </w:r>
      </w:hyperlink>
      <w:r>
        <w:rPr>
          <w:sz w:val="24"/>
        </w:rPr>
        <w:t xml:space="preserve">, </w:t>
      </w:r>
      <w:hyperlink w:history="0" w:anchor="P12774" w:tooltip="229">
        <w:r>
          <w:rPr>
            <w:sz w:val="24"/>
            <w:color w:val="0000ff"/>
          </w:rPr>
          <w:t xml:space="preserve">229</w:t>
        </w:r>
      </w:hyperlink>
      <w:r>
        <w:rPr>
          <w:sz w:val="24"/>
        </w:rPr>
        <w:t xml:space="preserve">, </w:t>
      </w:r>
      <w:hyperlink w:history="0" w:anchor="P13300" w:tooltip="241">
        <w:r>
          <w:rPr>
            <w:sz w:val="24"/>
            <w:color w:val="0000ff"/>
          </w:rPr>
          <w:t xml:space="preserve">241</w:t>
        </w:r>
      </w:hyperlink>
      <w:r>
        <w:rPr>
          <w:sz w:val="24"/>
        </w:rPr>
        <w:t xml:space="preserve">, </w:t>
      </w:r>
      <w:hyperlink w:history="0" w:anchor="P13834" w:tooltip="253">
        <w:r>
          <w:rPr>
            <w:sz w:val="24"/>
            <w:color w:val="0000ff"/>
          </w:rPr>
          <w:t xml:space="preserve">253</w:t>
        </w:r>
      </w:hyperlink>
      <w:r>
        <w:rPr>
          <w:sz w:val="24"/>
        </w:rPr>
        <w:t xml:space="preserve">, </w:t>
      </w:r>
      <w:hyperlink w:history="0" w:anchor="P14460" w:tooltip="266">
        <w:r>
          <w:rPr>
            <w:sz w:val="24"/>
            <w:color w:val="0000ff"/>
          </w:rPr>
          <w:t xml:space="preserve">266</w:t>
        </w:r>
      </w:hyperlink>
      <w:r>
        <w:rPr>
          <w:sz w:val="24"/>
        </w:rPr>
        <w:t xml:space="preserve">, </w:t>
      </w:r>
      <w:hyperlink w:history="0" w:anchor="P15042" w:tooltip="279">
        <w:r>
          <w:rPr>
            <w:sz w:val="24"/>
            <w:color w:val="0000ff"/>
          </w:rPr>
          <w:t xml:space="preserve">279</w:t>
        </w:r>
      </w:hyperlink>
      <w:r>
        <w:rPr>
          <w:sz w:val="24"/>
        </w:rPr>
        <w:t xml:space="preserve">, </w:t>
      </w:r>
      <w:hyperlink w:history="0" w:anchor="P15820" w:tooltip="293">
        <w:r>
          <w:rPr>
            <w:sz w:val="24"/>
            <w:color w:val="0000ff"/>
          </w:rPr>
          <w:t xml:space="preserve">293</w:t>
        </w:r>
      </w:hyperlink>
      <w:r>
        <w:rPr>
          <w:sz w:val="24"/>
        </w:rPr>
        <w:t xml:space="preserve">, </w:t>
      </w:r>
      <w:hyperlink w:history="0" w:anchor="P16460" w:tooltip="306">
        <w:r>
          <w:rPr>
            <w:sz w:val="24"/>
            <w:color w:val="0000ff"/>
          </w:rPr>
          <w:t xml:space="preserve">306</w:t>
        </w:r>
      </w:hyperlink>
      <w:r>
        <w:rPr>
          <w:sz w:val="24"/>
        </w:rPr>
        <w:t xml:space="preserve">, </w:t>
      </w:r>
      <w:hyperlink w:history="0" w:anchor="P16694" w:tooltip="310">
        <w:r>
          <w:rPr>
            <w:sz w:val="24"/>
            <w:color w:val="0000ff"/>
          </w:rPr>
          <w:t xml:space="preserve">310</w:t>
        </w:r>
      </w:hyperlink>
      <w:r>
        <w:rPr>
          <w:sz w:val="24"/>
        </w:rPr>
        <w:t xml:space="preserve">, </w:t>
      </w:r>
      <w:hyperlink w:history="0" w:anchor="P16800" w:tooltip="312">
        <w:r>
          <w:rPr>
            <w:sz w:val="24"/>
            <w:color w:val="0000ff"/>
          </w:rPr>
          <w:t xml:space="preserve">312</w:t>
        </w:r>
      </w:hyperlink>
      <w:r>
        <w:rPr>
          <w:sz w:val="24"/>
        </w:rPr>
        <w:t xml:space="preserve">, </w:t>
      </w:r>
      <w:hyperlink w:history="0" w:anchor="P17380" w:tooltip="324">
        <w:r>
          <w:rPr>
            <w:sz w:val="24"/>
            <w:color w:val="0000ff"/>
          </w:rPr>
          <w:t xml:space="preserve">324</w:t>
        </w:r>
      </w:hyperlink>
      <w:r>
        <w:rPr>
          <w:sz w:val="24"/>
        </w:rPr>
        <w:t xml:space="preserve">, </w:t>
      </w:r>
      <w:hyperlink w:history="0" w:anchor="P17602" w:tooltip="328">
        <w:r>
          <w:rPr>
            <w:sz w:val="24"/>
            <w:color w:val="0000ff"/>
          </w:rPr>
          <w:t xml:space="preserve">328</w:t>
        </w:r>
      </w:hyperlink>
      <w:r>
        <w:rPr>
          <w:sz w:val="24"/>
        </w:rPr>
        <w:t xml:space="preserve">, </w:t>
      </w:r>
      <w:hyperlink w:history="0" w:anchor="P17704" w:tooltip="330">
        <w:r>
          <w:rPr>
            <w:sz w:val="24"/>
            <w:color w:val="0000ff"/>
          </w:rPr>
          <w:t xml:space="preserve">330</w:t>
        </w:r>
      </w:hyperlink>
      <w:r>
        <w:rPr>
          <w:sz w:val="24"/>
        </w:rPr>
        <w:t xml:space="preserve">, </w:t>
      </w:r>
      <w:hyperlink w:history="0" w:anchor="P18040" w:tooltip="337">
        <w:r>
          <w:rPr>
            <w:sz w:val="24"/>
            <w:color w:val="0000ff"/>
          </w:rPr>
          <w:t xml:space="preserve">337</w:t>
        </w:r>
      </w:hyperlink>
      <w:r>
        <w:rPr>
          <w:sz w:val="24"/>
        </w:rPr>
        <w:t xml:space="preserve">, </w:t>
      </w:r>
      <w:hyperlink w:history="0" w:anchor="P18134" w:tooltip="339">
        <w:r>
          <w:rPr>
            <w:sz w:val="24"/>
            <w:color w:val="0000ff"/>
          </w:rPr>
          <w:t xml:space="preserve">339</w:t>
        </w:r>
      </w:hyperlink>
      <w:r>
        <w:rPr>
          <w:sz w:val="24"/>
        </w:rPr>
        <w:t xml:space="preserve">, </w:t>
      </w:r>
      <w:hyperlink w:history="0" w:anchor="P18212" w:tooltip="341">
        <w:r>
          <w:rPr>
            <w:sz w:val="24"/>
            <w:color w:val="0000ff"/>
          </w:rPr>
          <w:t xml:space="preserve">341</w:t>
        </w:r>
      </w:hyperlink>
      <w:r>
        <w:rPr>
          <w:sz w:val="24"/>
        </w:rPr>
        <w:t xml:space="preserve">, </w:t>
      </w:r>
      <w:hyperlink w:history="0" w:anchor="P18826" w:tooltip="358">
        <w:r>
          <w:rPr>
            <w:sz w:val="24"/>
            <w:color w:val="0000ff"/>
          </w:rPr>
          <w:t xml:space="preserve">358</w:t>
        </w:r>
      </w:hyperlink>
      <w:r>
        <w:rPr>
          <w:sz w:val="24"/>
        </w:rPr>
        <w:t xml:space="preserve">, </w:t>
      </w:r>
      <w:hyperlink w:history="0" w:anchor="P19444" w:tooltip="377">
        <w:r>
          <w:rPr>
            <w:sz w:val="24"/>
            <w:color w:val="0000ff"/>
          </w:rPr>
          <w:t xml:space="preserve">377</w:t>
        </w:r>
      </w:hyperlink>
      <w:r>
        <w:rPr>
          <w:sz w:val="24"/>
        </w:rPr>
        <w:t xml:space="preserve">, </w:t>
      </w:r>
      <w:hyperlink w:history="0" w:anchor="P19526" w:tooltip="379">
        <w:r>
          <w:rPr>
            <w:sz w:val="24"/>
            <w:color w:val="0000ff"/>
          </w:rPr>
          <w:t xml:space="preserve">379</w:t>
        </w:r>
      </w:hyperlink>
      <w:r>
        <w:rPr>
          <w:sz w:val="24"/>
        </w:rPr>
        <w:t xml:space="preserve">, </w:t>
      </w:r>
      <w:hyperlink w:history="0" w:anchor="P19638" w:tooltip="383">
        <w:r>
          <w:rPr>
            <w:sz w:val="24"/>
            <w:color w:val="0000ff"/>
          </w:rPr>
          <w:t xml:space="preserve">383</w:t>
        </w:r>
      </w:hyperlink>
      <w:r>
        <w:rPr>
          <w:sz w:val="24"/>
        </w:rPr>
        <w:t xml:space="preserve">, </w:t>
      </w:r>
      <w:hyperlink w:history="0" w:anchor="P20048" w:tooltip="396">
        <w:r>
          <w:rPr>
            <w:sz w:val="24"/>
            <w:color w:val="0000ff"/>
          </w:rPr>
          <w:t xml:space="preserve">396</w:t>
        </w:r>
      </w:hyperlink>
      <w:r>
        <w:rPr>
          <w:sz w:val="24"/>
        </w:rPr>
        <w:t xml:space="preserve">, </w:t>
      </w:r>
      <w:hyperlink w:history="0" w:anchor="P20130" w:tooltip="398">
        <w:r>
          <w:rPr>
            <w:sz w:val="24"/>
            <w:color w:val="0000ff"/>
          </w:rPr>
          <w:t xml:space="preserve">398</w:t>
        </w:r>
      </w:hyperlink>
      <w:r>
        <w:rPr>
          <w:sz w:val="24"/>
        </w:rPr>
        <w:t xml:space="preserve">, </w:t>
      </w:r>
      <w:hyperlink w:history="0" w:anchor="P20352" w:tooltip="405">
        <w:r>
          <w:rPr>
            <w:sz w:val="24"/>
            <w:color w:val="0000ff"/>
          </w:rPr>
          <w:t xml:space="preserve">405</w:t>
        </w:r>
      </w:hyperlink>
      <w:r>
        <w:rPr>
          <w:sz w:val="24"/>
        </w:rPr>
        <w:t xml:space="preserve">, </w:t>
      </w:r>
      <w:hyperlink w:history="0" w:anchor="P20418" w:tooltip="407">
        <w:r>
          <w:rPr>
            <w:sz w:val="24"/>
            <w:color w:val="0000ff"/>
          </w:rPr>
          <w:t xml:space="preserve">407</w:t>
        </w:r>
      </w:hyperlink>
      <w:r>
        <w:rPr>
          <w:sz w:val="24"/>
        </w:rPr>
        <w:t xml:space="preserve">, </w:t>
      </w:r>
      <w:hyperlink w:history="0" w:anchor="P20508" w:tooltip="411">
        <w:r>
          <w:rPr>
            <w:sz w:val="24"/>
            <w:color w:val="0000ff"/>
          </w:rPr>
          <w:t xml:space="preserve">411</w:t>
        </w:r>
      </w:hyperlink>
      <w:r>
        <w:rPr>
          <w:sz w:val="24"/>
        </w:rPr>
        <w:t xml:space="preserve">, </w:t>
      </w:r>
      <w:hyperlink w:history="0" w:anchor="P20602" w:tooltip="415">
        <w:r>
          <w:rPr>
            <w:sz w:val="24"/>
            <w:color w:val="0000ff"/>
          </w:rPr>
          <w:t xml:space="preserve">415</w:t>
        </w:r>
      </w:hyperlink>
      <w:r>
        <w:rPr>
          <w:sz w:val="24"/>
        </w:rPr>
        <w:t xml:space="preserve">, </w:t>
      </w:r>
      <w:hyperlink w:history="0" w:anchor="P20692" w:tooltip="418">
        <w:r>
          <w:rPr>
            <w:sz w:val="24"/>
            <w:color w:val="0000ff"/>
          </w:rPr>
          <w:t xml:space="preserve">418</w:t>
        </w:r>
      </w:hyperlink>
      <w:r>
        <w:rPr>
          <w:sz w:val="24"/>
        </w:rPr>
        <w:t xml:space="preserve">, </w:t>
      </w:r>
      <w:hyperlink w:history="0" w:anchor="P21170" w:tooltip="429">
        <w:r>
          <w:rPr>
            <w:sz w:val="24"/>
            <w:color w:val="0000ff"/>
          </w:rPr>
          <w:t xml:space="preserve">429</w:t>
        </w:r>
      </w:hyperlink>
      <w:r>
        <w:rPr>
          <w:sz w:val="24"/>
        </w:rPr>
        <w:t xml:space="preserve">, </w:t>
      </w:r>
      <w:hyperlink w:history="0" w:anchor="P21256" w:tooltip="431">
        <w:r>
          <w:rPr>
            <w:sz w:val="24"/>
            <w:color w:val="0000ff"/>
          </w:rPr>
          <w:t xml:space="preserve">431</w:t>
        </w:r>
      </w:hyperlink>
      <w:r>
        <w:rPr>
          <w:sz w:val="24"/>
        </w:rPr>
        <w:t xml:space="preserve">, </w:t>
      </w:r>
      <w:hyperlink w:history="0" w:anchor="P21846" w:tooltip="449">
        <w:r>
          <w:rPr>
            <w:sz w:val="24"/>
            <w:color w:val="0000ff"/>
          </w:rPr>
          <w:t xml:space="preserve">449</w:t>
        </w:r>
      </w:hyperlink>
      <w:r>
        <w:rPr>
          <w:sz w:val="24"/>
        </w:rPr>
        <w:t xml:space="preserve">, </w:t>
      </w:r>
      <w:hyperlink w:history="0" w:anchor="P21928" w:tooltip="451">
        <w:r>
          <w:rPr>
            <w:sz w:val="24"/>
            <w:color w:val="0000ff"/>
          </w:rPr>
          <w:t xml:space="preserve">451</w:t>
        </w:r>
      </w:hyperlink>
      <w:r>
        <w:rPr>
          <w:sz w:val="24"/>
        </w:rPr>
        <w:t xml:space="preserve">, </w:t>
      </w:r>
      <w:hyperlink w:history="0" w:anchor="P22112" w:tooltip="457">
        <w:r>
          <w:rPr>
            <w:sz w:val="24"/>
            <w:color w:val="0000ff"/>
          </w:rPr>
          <w:t xml:space="preserve">457</w:t>
        </w:r>
      </w:hyperlink>
      <w:r>
        <w:rPr>
          <w:sz w:val="24"/>
        </w:rPr>
        <w:t xml:space="preserve">, </w:t>
      </w:r>
      <w:hyperlink w:history="0" w:anchor="P22626" w:tooltip="470">
        <w:r>
          <w:rPr>
            <w:sz w:val="24"/>
            <w:color w:val="0000ff"/>
          </w:rPr>
          <w:t xml:space="preserve">470</w:t>
        </w:r>
      </w:hyperlink>
      <w:r>
        <w:rPr>
          <w:sz w:val="24"/>
        </w:rPr>
        <w:t xml:space="preserve">, </w:t>
      </w:r>
      <w:hyperlink w:history="0" w:anchor="P22708" w:tooltip="472">
        <w:r>
          <w:rPr>
            <w:sz w:val="24"/>
            <w:color w:val="0000ff"/>
          </w:rPr>
          <w:t xml:space="preserve">472</w:t>
        </w:r>
      </w:hyperlink>
      <w:r>
        <w:rPr>
          <w:sz w:val="24"/>
        </w:rPr>
        <w:t xml:space="preserve">, </w:t>
      </w:r>
      <w:hyperlink w:history="0" w:anchor="P23382" w:tooltip="488">
        <w:r>
          <w:rPr>
            <w:sz w:val="24"/>
            <w:color w:val="0000ff"/>
          </w:rPr>
          <w:t xml:space="preserve">488</w:t>
        </w:r>
      </w:hyperlink>
      <w:r>
        <w:rPr>
          <w:sz w:val="24"/>
        </w:rPr>
        <w:t xml:space="preserve">, </w:t>
      </w:r>
      <w:hyperlink w:history="0" w:anchor="P23872" w:tooltip="496">
        <w:r>
          <w:rPr>
            <w:sz w:val="24"/>
            <w:color w:val="0000ff"/>
          </w:rPr>
          <w:t xml:space="preserve">496</w:t>
        </w:r>
      </w:hyperlink>
      <w:r>
        <w:rPr>
          <w:sz w:val="24"/>
        </w:rPr>
        <w:t xml:space="preserve">, </w:t>
      </w:r>
      <w:hyperlink w:history="0" w:anchor="P23970" w:tooltip="499">
        <w:r>
          <w:rPr>
            <w:sz w:val="24"/>
            <w:color w:val="0000ff"/>
          </w:rPr>
          <w:t xml:space="preserve">499</w:t>
        </w:r>
      </w:hyperlink>
      <w:r>
        <w:rPr>
          <w:sz w:val="24"/>
        </w:rPr>
        <w:t xml:space="preserve">, </w:t>
      </w:r>
      <w:hyperlink w:history="0" w:anchor="P24028" w:tooltip="502">
        <w:r>
          <w:rPr>
            <w:sz w:val="24"/>
            <w:color w:val="0000ff"/>
          </w:rPr>
          <w:t xml:space="preserve">502</w:t>
        </w:r>
      </w:hyperlink>
      <w:r>
        <w:rPr>
          <w:sz w:val="24"/>
        </w:rPr>
        <w:t xml:space="preserve">, </w:t>
      </w:r>
      <w:hyperlink w:history="0" w:anchor="P24390" w:tooltip="510">
        <w:r>
          <w:rPr>
            <w:sz w:val="24"/>
            <w:color w:val="0000ff"/>
          </w:rPr>
          <w:t xml:space="preserve">510</w:t>
        </w:r>
      </w:hyperlink>
      <w:r>
        <w:rPr>
          <w:sz w:val="24"/>
        </w:rPr>
        <w:t xml:space="preserve">, </w:t>
      </w:r>
      <w:hyperlink w:history="0" w:anchor="P24892" w:tooltip="525">
        <w:r>
          <w:rPr>
            <w:sz w:val="24"/>
            <w:color w:val="0000ff"/>
          </w:rPr>
          <w:t xml:space="preserve">525</w:t>
        </w:r>
      </w:hyperlink>
      <w:r>
        <w:rPr>
          <w:sz w:val="24"/>
        </w:rPr>
        <w:t xml:space="preserve">, </w:t>
      </w:r>
      <w:hyperlink w:history="0" w:anchor="P24946" w:tooltip="527">
        <w:r>
          <w:rPr>
            <w:sz w:val="24"/>
            <w:color w:val="0000ff"/>
          </w:rPr>
          <w:t xml:space="preserve">527</w:t>
        </w:r>
      </w:hyperlink>
      <w:r>
        <w:rPr>
          <w:sz w:val="24"/>
        </w:rPr>
        <w:t xml:space="preserve">, </w:t>
      </w:r>
      <w:hyperlink w:history="0" w:anchor="P25008" w:tooltip="530">
        <w:r>
          <w:rPr>
            <w:sz w:val="24"/>
            <w:color w:val="0000ff"/>
          </w:rPr>
          <w:t xml:space="preserve">530</w:t>
        </w:r>
      </w:hyperlink>
      <w:r>
        <w:rPr>
          <w:sz w:val="24"/>
        </w:rPr>
        <w:t xml:space="preserve">, </w:t>
      </w:r>
      <w:hyperlink w:history="0" w:anchor="P25190" w:tooltip="534">
        <w:r>
          <w:rPr>
            <w:sz w:val="24"/>
            <w:color w:val="0000ff"/>
          </w:rPr>
          <w:t xml:space="preserve">534</w:t>
        </w:r>
      </w:hyperlink>
      <w:r>
        <w:rPr>
          <w:sz w:val="24"/>
        </w:rPr>
        <w:t xml:space="preserve">, </w:t>
      </w:r>
      <w:hyperlink w:history="0" w:anchor="P25886" w:tooltip="555">
        <w:r>
          <w:rPr>
            <w:sz w:val="24"/>
            <w:color w:val="0000ff"/>
          </w:rPr>
          <w:t xml:space="preserve">555</w:t>
        </w:r>
      </w:hyperlink>
      <w:r>
        <w:rPr>
          <w:sz w:val="24"/>
        </w:rPr>
        <w:t xml:space="preserve">, </w:t>
      </w:r>
      <w:hyperlink w:history="0" w:anchor="P26050" w:tooltip="562">
        <w:r>
          <w:rPr>
            <w:sz w:val="24"/>
            <w:color w:val="0000ff"/>
          </w:rPr>
          <w:t xml:space="preserve">562</w:t>
        </w:r>
      </w:hyperlink>
      <w:r>
        <w:rPr>
          <w:sz w:val="24"/>
        </w:rPr>
        <w:t xml:space="preserve">, </w:t>
      </w:r>
      <w:hyperlink w:history="0" w:anchor="P26168" w:tooltip="567">
        <w:r>
          <w:rPr>
            <w:sz w:val="24"/>
            <w:color w:val="0000ff"/>
          </w:rPr>
          <w:t xml:space="preserve">567</w:t>
        </w:r>
      </w:hyperlink>
      <w:r>
        <w:rPr>
          <w:sz w:val="24"/>
        </w:rPr>
        <w:t xml:space="preserve">, </w:t>
      </w:r>
      <w:hyperlink w:history="0" w:anchor="P26314" w:tooltip="573">
        <w:r>
          <w:rPr>
            <w:sz w:val="24"/>
            <w:color w:val="0000ff"/>
          </w:rPr>
          <w:t xml:space="preserve">573</w:t>
        </w:r>
      </w:hyperlink>
      <w:r>
        <w:rPr>
          <w:sz w:val="24"/>
        </w:rPr>
        <w:t xml:space="preserve">, </w:t>
      </w:r>
      <w:hyperlink w:history="0" w:anchor="P26400" w:tooltip="579">
        <w:r>
          <w:rPr>
            <w:sz w:val="24"/>
            <w:color w:val="0000ff"/>
          </w:rPr>
          <w:t xml:space="preserve">579</w:t>
        </w:r>
      </w:hyperlink>
      <w:r>
        <w:rPr>
          <w:sz w:val="24"/>
        </w:rPr>
        <w:t xml:space="preserve">, </w:t>
      </w:r>
      <w:hyperlink w:history="0" w:anchor="P26590" w:tooltip="591">
        <w:r>
          <w:rPr>
            <w:sz w:val="24"/>
            <w:color w:val="0000ff"/>
          </w:rPr>
          <w:t xml:space="preserve">591</w:t>
        </w:r>
      </w:hyperlink>
      <w:r>
        <w:rPr>
          <w:sz w:val="24"/>
        </w:rPr>
        <w:t xml:space="preserve">, </w:t>
      </w:r>
      <w:hyperlink w:history="0" w:anchor="P26668" w:tooltip="597">
        <w:r>
          <w:rPr>
            <w:sz w:val="24"/>
            <w:color w:val="0000ff"/>
          </w:rPr>
          <w:t xml:space="preserve">597</w:t>
        </w:r>
      </w:hyperlink>
      <w:r>
        <w:rPr>
          <w:sz w:val="24"/>
        </w:rPr>
        <w:t xml:space="preserve">, </w:t>
      </w:r>
      <w:hyperlink w:history="0" w:anchor="P26698" w:tooltip="599">
        <w:r>
          <w:rPr>
            <w:sz w:val="24"/>
            <w:color w:val="0000ff"/>
          </w:rPr>
          <w:t xml:space="preserve">599</w:t>
        </w:r>
      </w:hyperlink>
      <w:r>
        <w:rPr>
          <w:sz w:val="24"/>
        </w:rPr>
        <w:t xml:space="preserve">, </w:t>
      </w:r>
      <w:hyperlink w:history="0" w:anchor="P26796" w:tooltip="604">
        <w:r>
          <w:rPr>
            <w:sz w:val="24"/>
            <w:color w:val="0000ff"/>
          </w:rPr>
          <w:t xml:space="preserve">604</w:t>
        </w:r>
      </w:hyperlink>
      <w:r>
        <w:rPr>
          <w:sz w:val="24"/>
        </w:rPr>
        <w:t xml:space="preserve">, </w:t>
      </w:r>
      <w:hyperlink w:history="0" w:anchor="P26902" w:tooltip="612">
        <w:r>
          <w:rPr>
            <w:sz w:val="24"/>
            <w:color w:val="0000ff"/>
          </w:rPr>
          <w:t xml:space="preserve">612</w:t>
        </w:r>
      </w:hyperlink>
      <w:r>
        <w:rPr>
          <w:sz w:val="24"/>
        </w:rPr>
        <w:t xml:space="preserve">, </w:t>
      </w:r>
      <w:hyperlink w:history="0" w:anchor="P27016" w:tooltip="618">
        <w:r>
          <w:rPr>
            <w:sz w:val="24"/>
            <w:color w:val="0000ff"/>
          </w:rPr>
          <w:t xml:space="preserve">618</w:t>
        </w:r>
      </w:hyperlink>
      <w:r>
        <w:rPr>
          <w:sz w:val="24"/>
        </w:rPr>
        <w:t xml:space="preserve">, </w:t>
      </w:r>
      <w:hyperlink w:history="0" w:anchor="P27150" w:tooltip="623">
        <w:r>
          <w:rPr>
            <w:sz w:val="24"/>
            <w:color w:val="0000ff"/>
          </w:rPr>
          <w:t xml:space="preserve">623</w:t>
        </w:r>
      </w:hyperlink>
      <w:r>
        <w:rPr>
          <w:sz w:val="24"/>
        </w:rPr>
        <w:t xml:space="preserve">, </w:t>
      </w:r>
      <w:hyperlink w:history="0" w:anchor="P27260" w:tooltip="628">
        <w:r>
          <w:rPr>
            <w:sz w:val="24"/>
            <w:color w:val="0000ff"/>
          </w:rPr>
          <w:t xml:space="preserve">628</w:t>
        </w:r>
      </w:hyperlink>
      <w:r>
        <w:rPr>
          <w:sz w:val="24"/>
        </w:rPr>
        <w:t xml:space="preserve">, </w:t>
      </w:r>
      <w:hyperlink w:history="0" w:anchor="P27346" w:tooltip="633">
        <w:r>
          <w:rPr>
            <w:sz w:val="24"/>
            <w:color w:val="0000ff"/>
          </w:rPr>
          <w:t xml:space="preserve">633</w:t>
        </w:r>
      </w:hyperlink>
      <w:r>
        <w:rPr>
          <w:sz w:val="24"/>
        </w:rPr>
        <w:t xml:space="preserve">, </w:t>
      </w:r>
      <w:hyperlink w:history="0" w:anchor="P27424" w:tooltip="637">
        <w:r>
          <w:rPr>
            <w:sz w:val="24"/>
            <w:color w:val="0000ff"/>
          </w:rPr>
          <w:t xml:space="preserve">637</w:t>
        </w:r>
      </w:hyperlink>
      <w:r>
        <w:rPr>
          <w:sz w:val="24"/>
        </w:rPr>
        <w:t xml:space="preserve">, </w:t>
      </w:r>
      <w:hyperlink w:history="0" w:anchor="P27508" w:tooltip="644">
        <w:r>
          <w:rPr>
            <w:sz w:val="24"/>
            <w:color w:val="0000ff"/>
          </w:rPr>
          <w:t xml:space="preserve">644</w:t>
        </w:r>
      </w:hyperlink>
      <w:r>
        <w:rPr>
          <w:sz w:val="24"/>
        </w:rPr>
        <w:t xml:space="preserve">, </w:t>
      </w:r>
      <w:hyperlink w:history="0" w:anchor="P27540" w:tooltip="646">
        <w:r>
          <w:rPr>
            <w:sz w:val="24"/>
            <w:color w:val="0000ff"/>
          </w:rPr>
          <w:t xml:space="preserve">646</w:t>
        </w:r>
      </w:hyperlink>
      <w:r>
        <w:rPr>
          <w:sz w:val="24"/>
        </w:rPr>
        <w:t xml:space="preserve">, </w:t>
      </w:r>
      <w:hyperlink w:history="0" w:anchor="P27574" w:tooltip="648">
        <w:r>
          <w:rPr>
            <w:sz w:val="24"/>
            <w:color w:val="0000ff"/>
          </w:rPr>
          <w:t xml:space="preserve">648</w:t>
        </w:r>
      </w:hyperlink>
      <w:r>
        <w:rPr>
          <w:sz w:val="24"/>
        </w:rPr>
        <w:t xml:space="preserve">) указывается дополнительная информация, которая не отражается по другим показателям отчетности по форме 0420154, являющаяся по решению страховщика существенной.</w:t>
      </w:r>
    </w:p>
    <w:p>
      <w:pPr>
        <w:pStyle w:val="0"/>
        <w:spacing w:before="240" w:lineRule="auto"/>
        <w:ind w:firstLine="540"/>
        <w:jc w:val="both"/>
      </w:pPr>
      <w:r>
        <w:rPr>
          <w:sz w:val="24"/>
        </w:rPr>
        <w:t xml:space="preserve">По показателю "Примечание" (</w:t>
      </w:r>
      <w:hyperlink w:history="0" w:anchor="P10462" w:tooltip="167">
        <w:r>
          <w:rPr>
            <w:sz w:val="24"/>
            <w:color w:val="0000ff"/>
          </w:rPr>
          <w:t xml:space="preserve">строки 167</w:t>
        </w:r>
      </w:hyperlink>
      <w:r>
        <w:rPr>
          <w:sz w:val="24"/>
        </w:rPr>
        <w:t xml:space="preserve">, </w:t>
      </w:r>
      <w:hyperlink w:history="0" w:anchor="P12056" w:tooltip="209">
        <w:r>
          <w:rPr>
            <w:sz w:val="24"/>
            <w:color w:val="0000ff"/>
          </w:rPr>
          <w:t xml:space="preserve">209</w:t>
        </w:r>
      </w:hyperlink>
      <w:r>
        <w:rPr>
          <w:sz w:val="24"/>
        </w:rPr>
        <w:t xml:space="preserve">, </w:t>
      </w:r>
      <w:hyperlink w:history="0" w:anchor="P25920" w:tooltip="556">
        <w:r>
          <w:rPr>
            <w:sz w:val="24"/>
            <w:color w:val="0000ff"/>
          </w:rPr>
          <w:t xml:space="preserve">556</w:t>
        </w:r>
      </w:hyperlink>
      <w:r>
        <w:rPr>
          <w:sz w:val="24"/>
        </w:rPr>
        <w:t xml:space="preserve">) указывается информация, предусмотренная </w:t>
      </w:r>
      <w:hyperlink w:history="0" w:anchor="P28815" w:tooltip="По показателю &quot;Примечание&quot; (строка 167) указывается дополнительная информация в отношении активов, от которых зависит поток по облигации, указанной в абзаце первом подпункта 51.7 пункта 51 настоящих Порядка и сроков, являющаяся по решению страховщика существенной. В случае отсутствия указанной информации по данному показателю указывается значение &quot;НП&quot;.">
        <w:r>
          <w:rPr>
            <w:sz w:val="24"/>
            <w:color w:val="0000ff"/>
          </w:rPr>
          <w:t xml:space="preserve">абзацем третьим подпункта 54.9.10</w:t>
        </w:r>
      </w:hyperlink>
      <w:r>
        <w:rPr>
          <w:sz w:val="24"/>
        </w:rPr>
        <w:t xml:space="preserve"> и </w:t>
      </w:r>
      <w:hyperlink w:history="0" w:anchor="P28829" w:tooltip="По показателю &quot;Примечание&quot; (строка 209) указывается дополнительная информация в отношении базисных активов по срочной сделке, являющаяся по решению страховщика существенной. В случае отсутствия указанной информации по данному показателю указывается значение &quot;НП&quot;.">
        <w:r>
          <w:rPr>
            <w:sz w:val="24"/>
            <w:color w:val="0000ff"/>
          </w:rPr>
          <w:t xml:space="preserve">абзацем третьим подпункта 54.11.4 пункта 54</w:t>
        </w:r>
      </w:hyperlink>
      <w:r>
        <w:rPr>
          <w:sz w:val="24"/>
        </w:rPr>
        <w:t xml:space="preserve"> и </w:t>
      </w:r>
      <w:hyperlink w:history="0" w:anchor="P29018" w:tooltip="55.1.2. В подразделе 3.1.1 раздела 3 отчетности по форме 0420154 отражаются сведения о базисных активах по срочной сделке, указанной в подпункте 2.4.3 пункта 2.4 Положения Банка России N 858-П, по обязательствам, сведения о которых отражены по показателям подраздела 3.1 раздела 3 отчетности по форме 0420154.">
        <w:r>
          <w:rPr>
            <w:sz w:val="24"/>
            <w:color w:val="0000ff"/>
          </w:rPr>
          <w:t xml:space="preserve">абзацем третьим подпункта 55.1.2 пункта 55</w:t>
        </w:r>
      </w:hyperlink>
      <w:r>
        <w:rPr>
          <w:sz w:val="24"/>
        </w:rPr>
        <w:t xml:space="preserve"> настоящих Порядка и сроков.</w:t>
      </w:r>
    </w:p>
    <w:p>
      <w:pPr>
        <w:pStyle w:val="0"/>
        <w:spacing w:before="240" w:lineRule="auto"/>
        <w:ind w:firstLine="540"/>
        <w:jc w:val="both"/>
      </w:pPr>
      <w:r>
        <w:rPr>
          <w:sz w:val="24"/>
        </w:rPr>
        <w:t xml:space="preserve">6. По показателю "Риски изменения стоимости активов в полном объеме возложены на выгодоприобретателей" (</w:t>
      </w:r>
      <w:hyperlink w:history="0" w:anchor="P2530" w:tooltip="10">
        <w:r>
          <w:rPr>
            <w:sz w:val="24"/>
            <w:color w:val="0000ff"/>
          </w:rPr>
          <w:t xml:space="preserve">строки 10</w:t>
        </w:r>
      </w:hyperlink>
      <w:r>
        <w:rPr>
          <w:sz w:val="24"/>
        </w:rPr>
        <w:t xml:space="preserve">, </w:t>
      </w:r>
      <w:hyperlink w:history="0" w:anchor="P3436" w:tooltip="31">
        <w:r>
          <w:rPr>
            <w:sz w:val="24"/>
            <w:color w:val="0000ff"/>
          </w:rPr>
          <w:t xml:space="preserve">31</w:t>
        </w:r>
      </w:hyperlink>
      <w:r>
        <w:rPr>
          <w:sz w:val="24"/>
        </w:rPr>
        <w:t xml:space="preserve">, </w:t>
      </w:r>
      <w:hyperlink w:history="0" w:anchor="P11154" w:tooltip="184">
        <w:r>
          <w:rPr>
            <w:sz w:val="24"/>
            <w:color w:val="0000ff"/>
          </w:rPr>
          <w:t xml:space="preserve">184</w:t>
        </w:r>
      </w:hyperlink>
      <w:r>
        <w:rPr>
          <w:sz w:val="24"/>
        </w:rPr>
        <w:t xml:space="preserve">, </w:t>
      </w:r>
      <w:hyperlink w:history="0" w:anchor="P22266" w:tooltip="461">
        <w:r>
          <w:rPr>
            <w:sz w:val="24"/>
            <w:color w:val="0000ff"/>
          </w:rPr>
          <w:t xml:space="preserve">461</w:t>
        </w:r>
      </w:hyperlink>
      <w:r>
        <w:rPr>
          <w:sz w:val="24"/>
        </w:rPr>
        <w:t xml:space="preserve">, </w:t>
      </w:r>
      <w:hyperlink w:history="0" w:anchor="P22948" w:tooltip="478">
        <w:r>
          <w:rPr>
            <w:sz w:val="24"/>
            <w:color w:val="0000ff"/>
          </w:rPr>
          <w:t xml:space="preserve">478</w:t>
        </w:r>
      </w:hyperlink>
      <w:r>
        <w:rPr>
          <w:sz w:val="24"/>
        </w:rPr>
        <w:t xml:space="preserve">, </w:t>
      </w:r>
      <w:hyperlink w:history="0" w:anchor="P24604" w:tooltip="516">
        <w:r>
          <w:rPr>
            <w:sz w:val="24"/>
            <w:color w:val="0000ff"/>
          </w:rPr>
          <w:t xml:space="preserve">516</w:t>
        </w:r>
      </w:hyperlink>
      <w:r>
        <w:rPr>
          <w:sz w:val="24"/>
        </w:rPr>
        <w:t xml:space="preserve">), аналитическим признакам группы аналитических признаков "Риски изменения стоимости активов в полном объеме возложены на выгодоприобретателей" указывается значение "Да", если на конец отчетного периода риски изменения стоимости активов в соответствии с договорами страхования по видам страхования, указанным в </w:t>
      </w:r>
      <w:hyperlink w:history="0" r:id="rId19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подпунктах 3</w:t>
        </w:r>
      </w:hyperlink>
      <w:r>
        <w:rPr>
          <w:sz w:val="24"/>
        </w:rPr>
        <w:t xml:space="preserve"> и </w:t>
      </w:r>
      <w:hyperlink w:history="0" r:id="rId191"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3.1 пункта 1 статьи 32.9</w:t>
        </w:r>
      </w:hyperlink>
      <w:r>
        <w:rPr>
          <w:sz w:val="24"/>
        </w:rPr>
        <w:t xml:space="preserve"> Закона Российской Федерации от 27 ноября 1992 года N 4015-1 "Об организации страхового дела в Российской Федерации" (далее - Закон Российской Федерации N 4015-1), в полном объеме возложены на выгодоприобретателей в соответствии с </w:t>
      </w:r>
      <w:hyperlink w:history="0" r:id="rId19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1.2.2 пункта 1.2</w:t>
        </w:r>
      </w:hyperlink>
      <w:r>
        <w:rPr>
          <w:sz w:val="24"/>
        </w:rPr>
        <w:t xml:space="preserve"> Положения Банка России N 858-П, или значение "Нет", если на конец отчетного периода указанные риски изменения стоимости активов не возложены на выгодоприобретателей в полном объеме. В отношении договоров, не относящихся к договорам, указанным в первом предложении настоящего пункта, указывается значение "Неприменимо".</w:t>
      </w:r>
    </w:p>
    <w:p>
      <w:pPr>
        <w:pStyle w:val="0"/>
        <w:spacing w:before="240" w:lineRule="auto"/>
        <w:ind w:firstLine="540"/>
        <w:jc w:val="both"/>
      </w:pPr>
      <w:r>
        <w:rPr>
          <w:sz w:val="24"/>
        </w:rPr>
        <w:t xml:space="preserve">7. По показателю "Стоимость зависит от изменения стоимости аффинированного золота" (</w:t>
      </w:r>
      <w:hyperlink w:history="0" w:anchor="P2574" w:tooltip="11">
        <w:r>
          <w:rPr>
            <w:sz w:val="24"/>
            <w:color w:val="0000ff"/>
          </w:rPr>
          <w:t xml:space="preserve">строки 11</w:t>
        </w:r>
      </w:hyperlink>
      <w:r>
        <w:rPr>
          <w:sz w:val="24"/>
        </w:rPr>
        <w:t xml:space="preserve">, </w:t>
      </w:r>
      <w:hyperlink w:history="0" w:anchor="P3476" w:tooltip="32">
        <w:r>
          <w:rPr>
            <w:sz w:val="24"/>
            <w:color w:val="0000ff"/>
          </w:rPr>
          <w:t xml:space="preserve">32</w:t>
        </w:r>
      </w:hyperlink>
      <w:r>
        <w:rPr>
          <w:sz w:val="24"/>
        </w:rPr>
        <w:t xml:space="preserve">, </w:t>
      </w:r>
      <w:hyperlink w:history="0" w:anchor="P9452" w:tooltip="149">
        <w:r>
          <w:rPr>
            <w:sz w:val="24"/>
            <w:color w:val="0000ff"/>
          </w:rPr>
          <w:t xml:space="preserve">149</w:t>
        </w:r>
      </w:hyperlink>
      <w:r>
        <w:rPr>
          <w:sz w:val="24"/>
        </w:rPr>
        <w:t xml:space="preserve">, </w:t>
      </w:r>
      <w:hyperlink w:history="0" w:anchor="P11334" w:tooltip="189">
        <w:r>
          <w:rPr>
            <w:sz w:val="24"/>
            <w:color w:val="0000ff"/>
          </w:rPr>
          <w:t xml:space="preserve">189</w:t>
        </w:r>
      </w:hyperlink>
      <w:r>
        <w:rPr>
          <w:sz w:val="24"/>
        </w:rPr>
        <w:t xml:space="preserve">, </w:t>
      </w:r>
      <w:hyperlink w:history="0" w:anchor="P25854" w:tooltip="554">
        <w:r>
          <w:rPr>
            <w:sz w:val="24"/>
            <w:color w:val="0000ff"/>
          </w:rPr>
          <w:t xml:space="preserve">554</w:t>
        </w:r>
      </w:hyperlink>
      <w:r>
        <w:rPr>
          <w:sz w:val="24"/>
        </w:rPr>
        <w:t xml:space="preserve">) для каждого актива или обязательства страховщика указывается значение "Да", если его стоимость зависит от изменения стоимости аффинированного золота, или значение "Нет", если его стоимость не зависит от изменения стоимости аффинированного золота.</w:t>
      </w:r>
    </w:p>
    <w:p>
      <w:pPr>
        <w:pStyle w:val="0"/>
        <w:spacing w:before="240" w:lineRule="auto"/>
        <w:ind w:firstLine="540"/>
        <w:jc w:val="both"/>
      </w:pPr>
      <w:r>
        <w:rPr>
          <w:sz w:val="24"/>
        </w:rPr>
        <w:t xml:space="preserve">8. По показателю "Копии первичных документов переданы в специализированный депозитарий" (</w:t>
      </w:r>
      <w:hyperlink w:history="0" w:anchor="P2618" w:tooltip="12">
        <w:r>
          <w:rPr>
            <w:sz w:val="24"/>
            <w:color w:val="0000ff"/>
          </w:rPr>
          <w:t xml:space="preserve">строки 12</w:t>
        </w:r>
      </w:hyperlink>
      <w:r>
        <w:rPr>
          <w:sz w:val="24"/>
        </w:rPr>
        <w:t xml:space="preserve">, </w:t>
      </w:r>
      <w:hyperlink w:history="0" w:anchor="P3516" w:tooltip="33">
        <w:r>
          <w:rPr>
            <w:sz w:val="24"/>
            <w:color w:val="0000ff"/>
          </w:rPr>
          <w:t xml:space="preserve">33</w:t>
        </w:r>
      </w:hyperlink>
      <w:r>
        <w:rPr>
          <w:sz w:val="24"/>
        </w:rPr>
        <w:t xml:space="preserve">) указывается значение "Да", если страховщик в соответствии с </w:t>
      </w:r>
      <w:hyperlink w:history="0" r:id="rId19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3.1.15 пункта 3.1</w:t>
        </w:r>
      </w:hyperlink>
      <w:r>
        <w:rPr>
          <w:sz w:val="24"/>
        </w:rPr>
        <w:t xml:space="preserve"> Положения Банка России N 858-П передал в специализированный депозитарий копии первичных документов, подтверждающих величину прав требования по денежному обязательству из договора банковского счета (вклада), или значение "Нет", если страховщик не передал в специализированный депозитарий копии первичных документов, подтверждающих величину указанных прав требования.</w:t>
      </w:r>
    </w:p>
    <w:p>
      <w:pPr>
        <w:pStyle w:val="0"/>
        <w:spacing w:before="240" w:lineRule="auto"/>
        <w:ind w:firstLine="540"/>
        <w:jc w:val="both"/>
      </w:pPr>
      <w:r>
        <w:rPr>
          <w:sz w:val="24"/>
        </w:rPr>
        <w:t xml:space="preserve">В случае если страховщик не подпадает под требования </w:t>
      </w:r>
      <w:hyperlink w:history="0" r:id="rId19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пунктов 1</w:t>
        </w:r>
      </w:hyperlink>
      <w:r>
        <w:rPr>
          <w:sz w:val="24"/>
        </w:rPr>
        <w:t xml:space="preserve"> и </w:t>
      </w:r>
      <w:hyperlink w:history="0" r:id="rId19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1.1 статьи 26.2</w:t>
        </w:r>
      </w:hyperlink>
      <w:r>
        <w:rPr>
          <w:sz w:val="24"/>
        </w:rPr>
        <w:t xml:space="preserve"> Закона Российской Федерации N 4015-1 об учете и (или) о хранении в специализированном депозитарии ценных бумаг, принимаемых для покрытия собственных средств (капитала) и страховых резервов страховщика, по данному показателю указывается значение "Неприменимо".</w:t>
      </w:r>
    </w:p>
    <w:p>
      <w:pPr>
        <w:pStyle w:val="0"/>
        <w:spacing w:before="240" w:lineRule="auto"/>
        <w:ind w:firstLine="540"/>
        <w:jc w:val="both"/>
      </w:pPr>
      <w:r>
        <w:rPr>
          <w:sz w:val="24"/>
        </w:rPr>
        <w:t xml:space="preserve">9. По показателю "Поручительство (гарантия) соответствует условиям, предусмотренным требованиями к финансовой устойчивости и платежеспособности страховщиков" (</w:t>
      </w:r>
      <w:hyperlink w:history="0" w:anchor="P2662" w:tooltip="13">
        <w:r>
          <w:rPr>
            <w:sz w:val="24"/>
            <w:color w:val="0000ff"/>
          </w:rPr>
          <w:t xml:space="preserve">строки 13</w:t>
        </w:r>
      </w:hyperlink>
      <w:r>
        <w:rPr>
          <w:sz w:val="24"/>
        </w:rPr>
        <w:t xml:space="preserve">, </w:t>
      </w:r>
      <w:hyperlink w:history="0" w:anchor="P3556" w:tooltip="34">
        <w:r>
          <w:rPr>
            <w:sz w:val="24"/>
            <w:color w:val="0000ff"/>
          </w:rPr>
          <w:t xml:space="preserve">34</w:t>
        </w:r>
      </w:hyperlink>
      <w:r>
        <w:rPr>
          <w:sz w:val="24"/>
        </w:rPr>
        <w:t xml:space="preserve">, </w:t>
      </w:r>
      <w:hyperlink w:history="0" w:anchor="P4938" w:tooltip="64">
        <w:r>
          <w:rPr>
            <w:sz w:val="24"/>
            <w:color w:val="0000ff"/>
          </w:rPr>
          <w:t xml:space="preserve">64</w:t>
        </w:r>
      </w:hyperlink>
      <w:r>
        <w:rPr>
          <w:sz w:val="24"/>
        </w:rPr>
        <w:t xml:space="preserve">, </w:t>
      </w:r>
      <w:hyperlink w:history="0" w:anchor="P6892" w:tooltip="102">
        <w:r>
          <w:rPr>
            <w:sz w:val="24"/>
            <w:color w:val="0000ff"/>
          </w:rPr>
          <w:t xml:space="preserve">102</w:t>
        </w:r>
      </w:hyperlink>
      <w:r>
        <w:rPr>
          <w:sz w:val="24"/>
        </w:rPr>
        <w:t xml:space="preserve">, </w:t>
      </w:r>
      <w:hyperlink w:history="0" w:anchor="P8780" w:tooltip="137">
        <w:r>
          <w:rPr>
            <w:sz w:val="24"/>
            <w:color w:val="0000ff"/>
          </w:rPr>
          <w:t xml:space="preserve">137</w:t>
        </w:r>
      </w:hyperlink>
      <w:r>
        <w:rPr>
          <w:sz w:val="24"/>
        </w:rPr>
        <w:t xml:space="preserve">, </w:t>
      </w:r>
      <w:hyperlink w:history="0" w:anchor="P11370" w:tooltip="190">
        <w:r>
          <w:rPr>
            <w:sz w:val="24"/>
            <w:color w:val="0000ff"/>
          </w:rPr>
          <w:t xml:space="preserve">190</w:t>
        </w:r>
      </w:hyperlink>
      <w:r>
        <w:rPr>
          <w:sz w:val="24"/>
        </w:rPr>
        <w:t xml:space="preserve">, </w:t>
      </w:r>
      <w:hyperlink w:history="0" w:anchor="P12270" w:tooltip="215">
        <w:r>
          <w:rPr>
            <w:sz w:val="24"/>
            <w:color w:val="0000ff"/>
          </w:rPr>
          <w:t xml:space="preserve">215</w:t>
        </w:r>
      </w:hyperlink>
      <w:r>
        <w:rPr>
          <w:sz w:val="24"/>
        </w:rPr>
        <w:t xml:space="preserve">, </w:t>
      </w:r>
      <w:hyperlink w:history="0" w:anchor="P12992" w:tooltip="234">
        <w:r>
          <w:rPr>
            <w:sz w:val="24"/>
            <w:color w:val="0000ff"/>
          </w:rPr>
          <w:t xml:space="preserve">234</w:t>
        </w:r>
      </w:hyperlink>
      <w:r>
        <w:rPr>
          <w:sz w:val="24"/>
        </w:rPr>
        <w:t xml:space="preserve">, </w:t>
      </w:r>
      <w:hyperlink w:history="0" w:anchor="P13526" w:tooltip="246">
        <w:r>
          <w:rPr>
            <w:sz w:val="24"/>
            <w:color w:val="0000ff"/>
          </w:rPr>
          <w:t xml:space="preserve">246</w:t>
        </w:r>
      </w:hyperlink>
      <w:r>
        <w:rPr>
          <w:sz w:val="24"/>
        </w:rPr>
        <w:t xml:space="preserve">, </w:t>
      </w:r>
      <w:hyperlink w:history="0" w:anchor="P14076" w:tooltip="258">
        <w:r>
          <w:rPr>
            <w:sz w:val="24"/>
            <w:color w:val="0000ff"/>
          </w:rPr>
          <w:t xml:space="preserve">258</w:t>
        </w:r>
      </w:hyperlink>
      <w:r>
        <w:rPr>
          <w:sz w:val="24"/>
        </w:rPr>
        <w:t xml:space="preserve">, </w:t>
      </w:r>
      <w:hyperlink w:history="0" w:anchor="P14690" w:tooltip="271">
        <w:r>
          <w:rPr>
            <w:sz w:val="24"/>
            <w:color w:val="0000ff"/>
          </w:rPr>
          <w:t xml:space="preserve">271</w:t>
        </w:r>
      </w:hyperlink>
      <w:r>
        <w:rPr>
          <w:sz w:val="24"/>
        </w:rPr>
        <w:t xml:space="preserve">, </w:t>
      </w:r>
      <w:hyperlink w:history="0" w:anchor="P15316" w:tooltip="284">
        <w:r>
          <w:rPr>
            <w:sz w:val="24"/>
            <w:color w:val="0000ff"/>
          </w:rPr>
          <w:t xml:space="preserve">284</w:t>
        </w:r>
      </w:hyperlink>
      <w:r>
        <w:rPr>
          <w:sz w:val="24"/>
        </w:rPr>
        <w:t xml:space="preserve">, </w:t>
      </w:r>
      <w:hyperlink w:history="0" w:anchor="P15980" w:tooltip="296">
        <w:r>
          <w:rPr>
            <w:sz w:val="24"/>
            <w:color w:val="0000ff"/>
          </w:rPr>
          <w:t xml:space="preserve">296</w:t>
        </w:r>
      </w:hyperlink>
      <w:r>
        <w:rPr>
          <w:sz w:val="24"/>
        </w:rPr>
        <w:t xml:space="preserve">, </w:t>
      </w:r>
      <w:hyperlink w:history="0" w:anchor="P16948" w:tooltip="315">
        <w:r>
          <w:rPr>
            <w:sz w:val="24"/>
            <w:color w:val="0000ff"/>
          </w:rPr>
          <w:t xml:space="preserve">315</w:t>
        </w:r>
      </w:hyperlink>
      <w:r>
        <w:rPr>
          <w:sz w:val="24"/>
        </w:rPr>
        <w:t xml:space="preserve">, </w:t>
      </w:r>
      <w:hyperlink w:history="0" w:anchor="P17848" w:tooltip="333">
        <w:r>
          <w:rPr>
            <w:sz w:val="24"/>
            <w:color w:val="0000ff"/>
          </w:rPr>
          <w:t xml:space="preserve">333</w:t>
        </w:r>
      </w:hyperlink>
      <w:r>
        <w:rPr>
          <w:sz w:val="24"/>
        </w:rPr>
        <w:t xml:space="preserve">, </w:t>
      </w:r>
      <w:hyperlink w:history="0" w:anchor="P18430" w:tooltip="347">
        <w:r>
          <w:rPr>
            <w:sz w:val="24"/>
            <w:color w:val="0000ff"/>
          </w:rPr>
          <w:t xml:space="preserve">347</w:t>
        </w:r>
      </w:hyperlink>
      <w:r>
        <w:rPr>
          <w:sz w:val="24"/>
        </w:rPr>
        <w:t xml:space="preserve">, </w:t>
      </w:r>
      <w:hyperlink w:history="0" w:anchor="P18964" w:tooltip="362">
        <w:r>
          <w:rPr>
            <w:sz w:val="24"/>
            <w:color w:val="0000ff"/>
          </w:rPr>
          <w:t xml:space="preserve">362</w:t>
        </w:r>
      </w:hyperlink>
      <w:r>
        <w:rPr>
          <w:sz w:val="24"/>
        </w:rPr>
        <w:t xml:space="preserve">, </w:t>
      </w:r>
      <w:hyperlink w:history="0" w:anchor="P19728" w:tooltip="386">
        <w:r>
          <w:rPr>
            <w:sz w:val="24"/>
            <w:color w:val="0000ff"/>
          </w:rPr>
          <w:t xml:space="preserve">386</w:t>
        </w:r>
      </w:hyperlink>
      <w:r>
        <w:rPr>
          <w:sz w:val="24"/>
        </w:rPr>
        <w:t xml:space="preserve">, </w:t>
      </w:r>
      <w:hyperlink w:history="0" w:anchor="P20818" w:tooltip="421">
        <w:r>
          <w:rPr>
            <w:sz w:val="24"/>
            <w:color w:val="0000ff"/>
          </w:rPr>
          <w:t xml:space="preserve">421</w:t>
        </w:r>
      </w:hyperlink>
      <w:r>
        <w:rPr>
          <w:sz w:val="24"/>
        </w:rPr>
        <w:t xml:space="preserve">, </w:t>
      </w:r>
      <w:hyperlink w:history="0" w:anchor="P21398" w:tooltip="435">
        <w:r>
          <w:rPr>
            <w:sz w:val="24"/>
            <w:color w:val="0000ff"/>
          </w:rPr>
          <w:t xml:space="preserve">435</w:t>
        </w:r>
      </w:hyperlink>
      <w:r>
        <w:rPr>
          <w:sz w:val="24"/>
        </w:rPr>
        <w:t xml:space="preserve">, </w:t>
      </w:r>
      <w:hyperlink w:history="0" w:anchor="P22306" w:tooltip="462">
        <w:r>
          <w:rPr>
            <w:sz w:val="24"/>
            <w:color w:val="0000ff"/>
          </w:rPr>
          <w:t xml:space="preserve">462</w:t>
        </w:r>
      </w:hyperlink>
      <w:r>
        <w:rPr>
          <w:sz w:val="24"/>
        </w:rPr>
        <w:t xml:space="preserve">, </w:t>
      </w:r>
      <w:hyperlink w:history="0" w:anchor="P22992" w:tooltip="479">
        <w:r>
          <w:rPr>
            <w:sz w:val="24"/>
            <w:color w:val="0000ff"/>
          </w:rPr>
          <w:t xml:space="preserve">479</w:t>
        </w:r>
      </w:hyperlink>
      <w:r>
        <w:rPr>
          <w:sz w:val="24"/>
        </w:rPr>
        <w:t xml:space="preserve">, </w:t>
      </w:r>
      <w:hyperlink w:history="0" w:anchor="P25374" w:tooltip="539">
        <w:r>
          <w:rPr>
            <w:sz w:val="24"/>
            <w:color w:val="0000ff"/>
          </w:rPr>
          <w:t xml:space="preserve">539</w:t>
        </w:r>
      </w:hyperlink>
      <w:r>
        <w:rPr>
          <w:sz w:val="24"/>
        </w:rPr>
        <w:t xml:space="preserve">), аналитическому признаку группы аналитических признаков "Поручительство (гарантия) соответствует условиям, предусмотренным требованиями к финансовой устойчивости и платежеспособности страховщиков" указывается значение "Да", если поручительство (независимая гарантия, гарантия) по активу страховщика, срочной сделке соответствует условиям, указанным в </w:t>
      </w:r>
      <w:hyperlink w:history="0" r:id="rId19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3.1.8 пункта 3.1</w:t>
        </w:r>
      </w:hyperlink>
      <w:r>
        <w:rPr>
          <w:sz w:val="24"/>
        </w:rPr>
        <w:t xml:space="preserve"> Положения Банка России N 858-П, или значение "Нет", если поручительство (независимая гарантия, гарантия) по активу страховщика, срочной сделке не соответствует указанным условиям. В случае отсутствия на конец отчетного периода поручителя (гаранта) по активу страховщика, срочной сделке указывается значение "Неприменимо".</w:t>
      </w:r>
    </w:p>
    <w:p>
      <w:pPr>
        <w:pStyle w:val="0"/>
        <w:spacing w:before="240" w:lineRule="auto"/>
        <w:ind w:firstLine="540"/>
        <w:jc w:val="both"/>
      </w:pPr>
      <w:r>
        <w:rPr>
          <w:sz w:val="24"/>
        </w:rPr>
        <w:t xml:space="preserve">В случае если по показателю "Поручительство (гарантия) соответствует условиям, предусмотренными требованиями к финансовой устойчивости и платежеспособности страховщиков" (</w:t>
      </w:r>
      <w:hyperlink w:history="0" w:anchor="P2662" w:tooltip="13">
        <w:r>
          <w:rPr>
            <w:sz w:val="24"/>
            <w:color w:val="0000ff"/>
          </w:rPr>
          <w:t xml:space="preserve">строки 13</w:t>
        </w:r>
      </w:hyperlink>
      <w:r>
        <w:rPr>
          <w:sz w:val="24"/>
        </w:rPr>
        <w:t xml:space="preserve">, </w:t>
      </w:r>
      <w:hyperlink w:history="0" w:anchor="P3556" w:tooltip="34">
        <w:r>
          <w:rPr>
            <w:sz w:val="24"/>
            <w:color w:val="0000ff"/>
          </w:rPr>
          <w:t xml:space="preserve">34</w:t>
        </w:r>
      </w:hyperlink>
      <w:r>
        <w:rPr>
          <w:sz w:val="24"/>
        </w:rPr>
        <w:t xml:space="preserve">, </w:t>
      </w:r>
      <w:hyperlink w:history="0" w:anchor="P4938" w:tooltip="64">
        <w:r>
          <w:rPr>
            <w:sz w:val="24"/>
            <w:color w:val="0000ff"/>
          </w:rPr>
          <w:t xml:space="preserve">64</w:t>
        </w:r>
      </w:hyperlink>
      <w:r>
        <w:rPr>
          <w:sz w:val="24"/>
        </w:rPr>
        <w:t xml:space="preserve">, </w:t>
      </w:r>
      <w:hyperlink w:history="0" w:anchor="P6892" w:tooltip="102">
        <w:r>
          <w:rPr>
            <w:sz w:val="24"/>
            <w:color w:val="0000ff"/>
          </w:rPr>
          <w:t xml:space="preserve">102</w:t>
        </w:r>
      </w:hyperlink>
      <w:r>
        <w:rPr>
          <w:sz w:val="24"/>
        </w:rPr>
        <w:t xml:space="preserve">, </w:t>
      </w:r>
      <w:hyperlink w:history="0" w:anchor="P8780" w:tooltip="137">
        <w:r>
          <w:rPr>
            <w:sz w:val="24"/>
            <w:color w:val="0000ff"/>
          </w:rPr>
          <w:t xml:space="preserve">137</w:t>
        </w:r>
      </w:hyperlink>
      <w:r>
        <w:rPr>
          <w:sz w:val="24"/>
        </w:rPr>
        <w:t xml:space="preserve">, </w:t>
      </w:r>
      <w:hyperlink w:history="0" w:anchor="P11370" w:tooltip="190">
        <w:r>
          <w:rPr>
            <w:sz w:val="24"/>
            <w:color w:val="0000ff"/>
          </w:rPr>
          <w:t xml:space="preserve">190</w:t>
        </w:r>
      </w:hyperlink>
      <w:r>
        <w:rPr>
          <w:sz w:val="24"/>
        </w:rPr>
        <w:t xml:space="preserve">, </w:t>
      </w:r>
      <w:hyperlink w:history="0" w:anchor="P12270" w:tooltip="215">
        <w:r>
          <w:rPr>
            <w:sz w:val="24"/>
            <w:color w:val="0000ff"/>
          </w:rPr>
          <w:t xml:space="preserve">215</w:t>
        </w:r>
      </w:hyperlink>
      <w:r>
        <w:rPr>
          <w:sz w:val="24"/>
        </w:rPr>
        <w:t xml:space="preserve">, </w:t>
      </w:r>
      <w:hyperlink w:history="0" w:anchor="P12992" w:tooltip="234">
        <w:r>
          <w:rPr>
            <w:sz w:val="24"/>
            <w:color w:val="0000ff"/>
          </w:rPr>
          <w:t xml:space="preserve">234</w:t>
        </w:r>
      </w:hyperlink>
      <w:r>
        <w:rPr>
          <w:sz w:val="24"/>
        </w:rPr>
        <w:t xml:space="preserve">, </w:t>
      </w:r>
      <w:hyperlink w:history="0" w:anchor="P13526" w:tooltip="246">
        <w:r>
          <w:rPr>
            <w:sz w:val="24"/>
            <w:color w:val="0000ff"/>
          </w:rPr>
          <w:t xml:space="preserve">246</w:t>
        </w:r>
      </w:hyperlink>
      <w:r>
        <w:rPr>
          <w:sz w:val="24"/>
        </w:rPr>
        <w:t xml:space="preserve">, </w:t>
      </w:r>
      <w:hyperlink w:history="0" w:anchor="P14076" w:tooltip="258">
        <w:r>
          <w:rPr>
            <w:sz w:val="24"/>
            <w:color w:val="0000ff"/>
          </w:rPr>
          <w:t xml:space="preserve">258</w:t>
        </w:r>
      </w:hyperlink>
      <w:r>
        <w:rPr>
          <w:sz w:val="24"/>
        </w:rPr>
        <w:t xml:space="preserve">, </w:t>
      </w:r>
      <w:hyperlink w:history="0" w:anchor="P14690" w:tooltip="271">
        <w:r>
          <w:rPr>
            <w:sz w:val="24"/>
            <w:color w:val="0000ff"/>
          </w:rPr>
          <w:t xml:space="preserve">271</w:t>
        </w:r>
      </w:hyperlink>
      <w:r>
        <w:rPr>
          <w:sz w:val="24"/>
        </w:rPr>
        <w:t xml:space="preserve">, </w:t>
      </w:r>
      <w:hyperlink w:history="0" w:anchor="P15316" w:tooltip="284">
        <w:r>
          <w:rPr>
            <w:sz w:val="24"/>
            <w:color w:val="0000ff"/>
          </w:rPr>
          <w:t xml:space="preserve">284</w:t>
        </w:r>
      </w:hyperlink>
      <w:r>
        <w:rPr>
          <w:sz w:val="24"/>
        </w:rPr>
        <w:t xml:space="preserve">, </w:t>
      </w:r>
      <w:hyperlink w:history="0" w:anchor="P15980" w:tooltip="296">
        <w:r>
          <w:rPr>
            <w:sz w:val="24"/>
            <w:color w:val="0000ff"/>
          </w:rPr>
          <w:t xml:space="preserve">296</w:t>
        </w:r>
      </w:hyperlink>
      <w:r>
        <w:rPr>
          <w:sz w:val="24"/>
        </w:rPr>
        <w:t xml:space="preserve">, </w:t>
      </w:r>
      <w:hyperlink w:history="0" w:anchor="P16948" w:tooltip="315">
        <w:r>
          <w:rPr>
            <w:sz w:val="24"/>
            <w:color w:val="0000ff"/>
          </w:rPr>
          <w:t xml:space="preserve">315</w:t>
        </w:r>
      </w:hyperlink>
      <w:r>
        <w:rPr>
          <w:sz w:val="24"/>
        </w:rPr>
        <w:t xml:space="preserve">, </w:t>
      </w:r>
      <w:hyperlink w:history="0" w:anchor="P17848" w:tooltip="333">
        <w:r>
          <w:rPr>
            <w:sz w:val="24"/>
            <w:color w:val="0000ff"/>
          </w:rPr>
          <w:t xml:space="preserve">333</w:t>
        </w:r>
      </w:hyperlink>
      <w:r>
        <w:rPr>
          <w:sz w:val="24"/>
        </w:rPr>
        <w:t xml:space="preserve">, </w:t>
      </w:r>
      <w:hyperlink w:history="0" w:anchor="P18430" w:tooltip="347">
        <w:r>
          <w:rPr>
            <w:sz w:val="24"/>
            <w:color w:val="0000ff"/>
          </w:rPr>
          <w:t xml:space="preserve">347</w:t>
        </w:r>
      </w:hyperlink>
      <w:r>
        <w:rPr>
          <w:sz w:val="24"/>
        </w:rPr>
        <w:t xml:space="preserve">, </w:t>
      </w:r>
      <w:hyperlink w:history="0" w:anchor="P18964" w:tooltip="362">
        <w:r>
          <w:rPr>
            <w:sz w:val="24"/>
            <w:color w:val="0000ff"/>
          </w:rPr>
          <w:t xml:space="preserve">362</w:t>
        </w:r>
      </w:hyperlink>
      <w:r>
        <w:rPr>
          <w:sz w:val="24"/>
        </w:rPr>
        <w:t xml:space="preserve">, </w:t>
      </w:r>
      <w:hyperlink w:history="0" w:anchor="P19728" w:tooltip="386">
        <w:r>
          <w:rPr>
            <w:sz w:val="24"/>
            <w:color w:val="0000ff"/>
          </w:rPr>
          <w:t xml:space="preserve">386</w:t>
        </w:r>
      </w:hyperlink>
      <w:r>
        <w:rPr>
          <w:sz w:val="24"/>
        </w:rPr>
        <w:t xml:space="preserve">, </w:t>
      </w:r>
      <w:hyperlink w:history="0" w:anchor="P20818" w:tooltip="421">
        <w:r>
          <w:rPr>
            <w:sz w:val="24"/>
            <w:color w:val="0000ff"/>
          </w:rPr>
          <w:t xml:space="preserve">421</w:t>
        </w:r>
      </w:hyperlink>
      <w:r>
        <w:rPr>
          <w:sz w:val="24"/>
        </w:rPr>
        <w:t xml:space="preserve">, </w:t>
      </w:r>
      <w:hyperlink w:history="0" w:anchor="P21398" w:tooltip="435">
        <w:r>
          <w:rPr>
            <w:sz w:val="24"/>
            <w:color w:val="0000ff"/>
          </w:rPr>
          <w:t xml:space="preserve">435</w:t>
        </w:r>
      </w:hyperlink>
      <w:r>
        <w:rPr>
          <w:sz w:val="24"/>
        </w:rPr>
        <w:t xml:space="preserve">, </w:t>
      </w:r>
      <w:hyperlink w:history="0" w:anchor="P22306" w:tooltip="462">
        <w:r>
          <w:rPr>
            <w:sz w:val="24"/>
            <w:color w:val="0000ff"/>
          </w:rPr>
          <w:t xml:space="preserve">462</w:t>
        </w:r>
      </w:hyperlink>
      <w:r>
        <w:rPr>
          <w:sz w:val="24"/>
        </w:rPr>
        <w:t xml:space="preserve">, </w:t>
      </w:r>
      <w:hyperlink w:history="0" w:anchor="P22992" w:tooltip="479">
        <w:r>
          <w:rPr>
            <w:sz w:val="24"/>
            <w:color w:val="0000ff"/>
          </w:rPr>
          <w:t xml:space="preserve">479</w:t>
        </w:r>
      </w:hyperlink>
      <w:r>
        <w:rPr>
          <w:sz w:val="24"/>
        </w:rPr>
        <w:t xml:space="preserve">, </w:t>
      </w:r>
      <w:hyperlink w:history="0" w:anchor="P25374" w:tooltip="539">
        <w:r>
          <w:rPr>
            <w:sz w:val="24"/>
            <w:color w:val="0000ff"/>
          </w:rPr>
          <w:t xml:space="preserve">539</w:t>
        </w:r>
      </w:hyperlink>
      <w:r>
        <w:rPr>
          <w:sz w:val="24"/>
        </w:rPr>
        <w:t xml:space="preserve">), аналитическому признаку группы аналитических признаков "Поручительство (гарантия) соответствует условиям, предусмотренным требованиями к финансовой устойчивости и платежеспособности страховщиков" указано значение "Да" или "Нет", по группе аналитических признаков "Идентификатор поручителя (гаранта)" указывается идентификатор поручителя (гаранта), выдавшего поручительство (независимую гарантию, гарантию).</w:t>
      </w:r>
    </w:p>
    <w:p>
      <w:pPr>
        <w:pStyle w:val="0"/>
        <w:spacing w:before="240" w:lineRule="auto"/>
        <w:ind w:firstLine="540"/>
        <w:jc w:val="both"/>
      </w:pPr>
      <w:r>
        <w:rPr>
          <w:sz w:val="24"/>
        </w:rPr>
        <w:t xml:space="preserve">Для активов страховщика, на которые распространяются требования </w:t>
      </w:r>
      <w:hyperlink w:history="0" r:id="rId19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 девятого пункта 2.6</w:t>
        </w:r>
      </w:hyperlink>
      <w:r>
        <w:rPr>
          <w:sz w:val="24"/>
        </w:rPr>
        <w:t xml:space="preserve"> Положения Банка России N 858-П, по показателю "Поручительство (гарантия) соответствует условиям, предусмотренным требованиями к финансовой устойчивости и платежеспособности страховщиков" (</w:t>
      </w:r>
      <w:hyperlink w:history="0" w:anchor="P2662" w:tooltip="13">
        <w:r>
          <w:rPr>
            <w:sz w:val="24"/>
            <w:color w:val="0000ff"/>
          </w:rPr>
          <w:t xml:space="preserve">строки 13</w:t>
        </w:r>
      </w:hyperlink>
      <w:r>
        <w:rPr>
          <w:sz w:val="24"/>
        </w:rPr>
        <w:t xml:space="preserve">, </w:t>
      </w:r>
      <w:hyperlink w:history="0" w:anchor="P3556" w:tooltip="34">
        <w:r>
          <w:rPr>
            <w:sz w:val="24"/>
            <w:color w:val="0000ff"/>
          </w:rPr>
          <w:t xml:space="preserve">34</w:t>
        </w:r>
      </w:hyperlink>
      <w:r>
        <w:rPr>
          <w:sz w:val="24"/>
        </w:rPr>
        <w:t xml:space="preserve">, </w:t>
      </w:r>
      <w:hyperlink w:history="0" w:anchor="P4938" w:tooltip="64">
        <w:r>
          <w:rPr>
            <w:sz w:val="24"/>
            <w:color w:val="0000ff"/>
          </w:rPr>
          <w:t xml:space="preserve">64</w:t>
        </w:r>
      </w:hyperlink>
      <w:r>
        <w:rPr>
          <w:sz w:val="24"/>
        </w:rPr>
        <w:t xml:space="preserve">, </w:t>
      </w:r>
      <w:hyperlink w:history="0" w:anchor="P6892" w:tooltip="102">
        <w:r>
          <w:rPr>
            <w:sz w:val="24"/>
            <w:color w:val="0000ff"/>
          </w:rPr>
          <w:t xml:space="preserve">102</w:t>
        </w:r>
      </w:hyperlink>
      <w:r>
        <w:rPr>
          <w:sz w:val="24"/>
        </w:rPr>
        <w:t xml:space="preserve">, </w:t>
      </w:r>
      <w:hyperlink w:history="0" w:anchor="P8780" w:tooltip="137">
        <w:r>
          <w:rPr>
            <w:sz w:val="24"/>
            <w:color w:val="0000ff"/>
          </w:rPr>
          <w:t xml:space="preserve">137</w:t>
        </w:r>
      </w:hyperlink>
      <w:r>
        <w:rPr>
          <w:sz w:val="24"/>
        </w:rPr>
        <w:t xml:space="preserve">, </w:t>
      </w:r>
      <w:hyperlink w:history="0" w:anchor="P11370" w:tooltip="190">
        <w:r>
          <w:rPr>
            <w:sz w:val="24"/>
            <w:color w:val="0000ff"/>
          </w:rPr>
          <w:t xml:space="preserve">190</w:t>
        </w:r>
      </w:hyperlink>
      <w:r>
        <w:rPr>
          <w:sz w:val="24"/>
        </w:rPr>
        <w:t xml:space="preserve">, </w:t>
      </w:r>
      <w:hyperlink w:history="0" w:anchor="P12270" w:tooltip="215">
        <w:r>
          <w:rPr>
            <w:sz w:val="24"/>
            <w:color w:val="0000ff"/>
          </w:rPr>
          <w:t xml:space="preserve">215</w:t>
        </w:r>
      </w:hyperlink>
      <w:r>
        <w:rPr>
          <w:sz w:val="24"/>
        </w:rPr>
        <w:t xml:space="preserve">, </w:t>
      </w:r>
      <w:hyperlink w:history="0" w:anchor="P12992" w:tooltip="234">
        <w:r>
          <w:rPr>
            <w:sz w:val="24"/>
            <w:color w:val="0000ff"/>
          </w:rPr>
          <w:t xml:space="preserve">234</w:t>
        </w:r>
      </w:hyperlink>
      <w:r>
        <w:rPr>
          <w:sz w:val="24"/>
        </w:rPr>
        <w:t xml:space="preserve">, </w:t>
      </w:r>
      <w:hyperlink w:history="0" w:anchor="P13526" w:tooltip="246">
        <w:r>
          <w:rPr>
            <w:sz w:val="24"/>
            <w:color w:val="0000ff"/>
          </w:rPr>
          <w:t xml:space="preserve">246</w:t>
        </w:r>
      </w:hyperlink>
      <w:r>
        <w:rPr>
          <w:sz w:val="24"/>
        </w:rPr>
        <w:t xml:space="preserve">, </w:t>
      </w:r>
      <w:hyperlink w:history="0" w:anchor="P14076" w:tooltip="258">
        <w:r>
          <w:rPr>
            <w:sz w:val="24"/>
            <w:color w:val="0000ff"/>
          </w:rPr>
          <w:t xml:space="preserve">258</w:t>
        </w:r>
      </w:hyperlink>
      <w:r>
        <w:rPr>
          <w:sz w:val="24"/>
        </w:rPr>
        <w:t xml:space="preserve">, </w:t>
      </w:r>
      <w:hyperlink w:history="0" w:anchor="P14690" w:tooltip="271">
        <w:r>
          <w:rPr>
            <w:sz w:val="24"/>
            <w:color w:val="0000ff"/>
          </w:rPr>
          <w:t xml:space="preserve">271</w:t>
        </w:r>
      </w:hyperlink>
      <w:r>
        <w:rPr>
          <w:sz w:val="24"/>
        </w:rPr>
        <w:t xml:space="preserve">, </w:t>
      </w:r>
      <w:hyperlink w:history="0" w:anchor="P15316" w:tooltip="284">
        <w:r>
          <w:rPr>
            <w:sz w:val="24"/>
            <w:color w:val="0000ff"/>
          </w:rPr>
          <w:t xml:space="preserve">284</w:t>
        </w:r>
      </w:hyperlink>
      <w:r>
        <w:rPr>
          <w:sz w:val="24"/>
        </w:rPr>
        <w:t xml:space="preserve">, </w:t>
      </w:r>
      <w:hyperlink w:history="0" w:anchor="P15980" w:tooltip="296">
        <w:r>
          <w:rPr>
            <w:sz w:val="24"/>
            <w:color w:val="0000ff"/>
          </w:rPr>
          <w:t xml:space="preserve">296</w:t>
        </w:r>
      </w:hyperlink>
      <w:r>
        <w:rPr>
          <w:sz w:val="24"/>
        </w:rPr>
        <w:t xml:space="preserve">, </w:t>
      </w:r>
      <w:hyperlink w:history="0" w:anchor="P16948" w:tooltip="315">
        <w:r>
          <w:rPr>
            <w:sz w:val="24"/>
            <w:color w:val="0000ff"/>
          </w:rPr>
          <w:t xml:space="preserve">315</w:t>
        </w:r>
      </w:hyperlink>
      <w:r>
        <w:rPr>
          <w:sz w:val="24"/>
        </w:rPr>
        <w:t xml:space="preserve">, </w:t>
      </w:r>
      <w:hyperlink w:history="0" w:anchor="P17848" w:tooltip="333">
        <w:r>
          <w:rPr>
            <w:sz w:val="24"/>
            <w:color w:val="0000ff"/>
          </w:rPr>
          <w:t xml:space="preserve">333</w:t>
        </w:r>
      </w:hyperlink>
      <w:r>
        <w:rPr>
          <w:sz w:val="24"/>
        </w:rPr>
        <w:t xml:space="preserve">, </w:t>
      </w:r>
      <w:hyperlink w:history="0" w:anchor="P18430" w:tooltip="347">
        <w:r>
          <w:rPr>
            <w:sz w:val="24"/>
            <w:color w:val="0000ff"/>
          </w:rPr>
          <w:t xml:space="preserve">347</w:t>
        </w:r>
      </w:hyperlink>
      <w:r>
        <w:rPr>
          <w:sz w:val="24"/>
        </w:rPr>
        <w:t xml:space="preserve">, </w:t>
      </w:r>
      <w:hyperlink w:history="0" w:anchor="P18964" w:tooltip="362">
        <w:r>
          <w:rPr>
            <w:sz w:val="24"/>
            <w:color w:val="0000ff"/>
          </w:rPr>
          <w:t xml:space="preserve">362</w:t>
        </w:r>
      </w:hyperlink>
      <w:r>
        <w:rPr>
          <w:sz w:val="24"/>
        </w:rPr>
        <w:t xml:space="preserve">, </w:t>
      </w:r>
      <w:hyperlink w:history="0" w:anchor="P19728" w:tooltip="386">
        <w:r>
          <w:rPr>
            <w:sz w:val="24"/>
            <w:color w:val="0000ff"/>
          </w:rPr>
          <w:t xml:space="preserve">386</w:t>
        </w:r>
      </w:hyperlink>
      <w:r>
        <w:rPr>
          <w:sz w:val="24"/>
        </w:rPr>
        <w:t xml:space="preserve">, </w:t>
      </w:r>
      <w:hyperlink w:history="0" w:anchor="P20818" w:tooltip="421">
        <w:r>
          <w:rPr>
            <w:sz w:val="24"/>
            <w:color w:val="0000ff"/>
          </w:rPr>
          <w:t xml:space="preserve">421</w:t>
        </w:r>
      </w:hyperlink>
      <w:r>
        <w:rPr>
          <w:sz w:val="24"/>
        </w:rPr>
        <w:t xml:space="preserve">, </w:t>
      </w:r>
      <w:hyperlink w:history="0" w:anchor="P21398" w:tooltip="435">
        <w:r>
          <w:rPr>
            <w:sz w:val="24"/>
            <w:color w:val="0000ff"/>
          </w:rPr>
          <w:t xml:space="preserve">435</w:t>
        </w:r>
      </w:hyperlink>
      <w:r>
        <w:rPr>
          <w:sz w:val="24"/>
        </w:rPr>
        <w:t xml:space="preserve">, </w:t>
      </w:r>
      <w:hyperlink w:history="0" w:anchor="P22306" w:tooltip="462">
        <w:r>
          <w:rPr>
            <w:sz w:val="24"/>
            <w:color w:val="0000ff"/>
          </w:rPr>
          <w:t xml:space="preserve">462</w:t>
        </w:r>
      </w:hyperlink>
      <w:r>
        <w:rPr>
          <w:sz w:val="24"/>
        </w:rPr>
        <w:t xml:space="preserve">, </w:t>
      </w:r>
      <w:hyperlink w:history="0" w:anchor="P22992" w:tooltip="479">
        <w:r>
          <w:rPr>
            <w:sz w:val="24"/>
            <w:color w:val="0000ff"/>
          </w:rPr>
          <w:t xml:space="preserve">479</w:t>
        </w:r>
      </w:hyperlink>
      <w:r>
        <w:rPr>
          <w:sz w:val="24"/>
        </w:rPr>
        <w:t xml:space="preserve">), аналитическому признаку группы аналитических признаков "Поручительство (гарантия) соответствует условиям, предусмотренным требованиями к финансовой устойчивости и платежеспособности страховщиков" указывается значение "Да".</w:t>
      </w:r>
    </w:p>
    <w:p>
      <w:pPr>
        <w:pStyle w:val="0"/>
        <w:spacing w:before="240" w:lineRule="auto"/>
        <w:ind w:firstLine="540"/>
        <w:jc w:val="both"/>
      </w:pPr>
      <w:r>
        <w:rPr>
          <w:sz w:val="24"/>
        </w:rPr>
        <w:t xml:space="preserve">10. По показателю "Актив относится к активам, стоимость которых определяется с учетом коэффициента снижения стоимости активов" (</w:t>
      </w:r>
      <w:hyperlink w:history="0" w:anchor="P2706" w:tooltip="14">
        <w:r>
          <w:rPr>
            <w:sz w:val="24"/>
            <w:color w:val="0000ff"/>
          </w:rPr>
          <w:t xml:space="preserve">строки 14</w:t>
        </w:r>
      </w:hyperlink>
      <w:r>
        <w:rPr>
          <w:sz w:val="24"/>
        </w:rPr>
        <w:t xml:space="preserve">, </w:t>
      </w:r>
      <w:hyperlink w:history="0" w:anchor="P3596" w:tooltip="35">
        <w:r>
          <w:rPr>
            <w:sz w:val="24"/>
            <w:color w:val="0000ff"/>
          </w:rPr>
          <w:t xml:space="preserve">35</w:t>
        </w:r>
      </w:hyperlink>
      <w:r>
        <w:rPr>
          <w:sz w:val="24"/>
        </w:rPr>
        <w:t xml:space="preserve">, </w:t>
      </w:r>
      <w:hyperlink w:history="0" w:anchor="P5050" w:tooltip="66">
        <w:r>
          <w:rPr>
            <w:sz w:val="24"/>
            <w:color w:val="0000ff"/>
          </w:rPr>
          <w:t xml:space="preserve">66</w:t>
        </w:r>
      </w:hyperlink>
      <w:r>
        <w:rPr>
          <w:sz w:val="24"/>
        </w:rPr>
        <w:t xml:space="preserve">, </w:t>
      </w:r>
      <w:hyperlink w:history="0" w:anchor="P6948" w:tooltip="103">
        <w:r>
          <w:rPr>
            <w:sz w:val="24"/>
            <w:color w:val="0000ff"/>
          </w:rPr>
          <w:t xml:space="preserve">103</w:t>
        </w:r>
      </w:hyperlink>
      <w:r>
        <w:rPr>
          <w:sz w:val="24"/>
        </w:rPr>
        <w:t xml:space="preserve">, </w:t>
      </w:r>
      <w:hyperlink w:history="0" w:anchor="P8836" w:tooltip="138">
        <w:r>
          <w:rPr>
            <w:sz w:val="24"/>
            <w:color w:val="0000ff"/>
          </w:rPr>
          <w:t xml:space="preserve">138</w:t>
        </w:r>
      </w:hyperlink>
      <w:r>
        <w:rPr>
          <w:sz w:val="24"/>
        </w:rPr>
        <w:t xml:space="preserve">, </w:t>
      </w:r>
      <w:hyperlink w:history="0" w:anchor="P14172" w:tooltip="260">
        <w:r>
          <w:rPr>
            <w:sz w:val="24"/>
            <w:color w:val="0000ff"/>
          </w:rPr>
          <w:t xml:space="preserve">260</w:t>
        </w:r>
      </w:hyperlink>
      <w:r>
        <w:rPr>
          <w:sz w:val="24"/>
        </w:rPr>
        <w:t xml:space="preserve">, </w:t>
      </w:r>
      <w:hyperlink w:history="0" w:anchor="P16076" w:tooltip="298">
        <w:r>
          <w:rPr>
            <w:sz w:val="24"/>
            <w:color w:val="0000ff"/>
          </w:rPr>
          <w:t xml:space="preserve">298</w:t>
        </w:r>
      </w:hyperlink>
      <w:r>
        <w:rPr>
          <w:sz w:val="24"/>
        </w:rPr>
        <w:t xml:space="preserve">, </w:t>
      </w:r>
      <w:hyperlink w:history="0" w:anchor="P17044" w:tooltip="317">
        <w:r>
          <w:rPr>
            <w:sz w:val="24"/>
            <w:color w:val="0000ff"/>
          </w:rPr>
          <w:t xml:space="preserve">317</w:t>
        </w:r>
      </w:hyperlink>
      <w:r>
        <w:rPr>
          <w:sz w:val="24"/>
        </w:rPr>
        <w:t xml:space="preserve">, </w:t>
      </w:r>
      <w:hyperlink w:history="0" w:anchor="P19252" w:tooltip="371">
        <w:r>
          <w:rPr>
            <w:sz w:val="24"/>
            <w:color w:val="0000ff"/>
          </w:rPr>
          <w:t xml:space="preserve">371</w:t>
        </w:r>
      </w:hyperlink>
      <w:r>
        <w:rPr>
          <w:sz w:val="24"/>
        </w:rPr>
        <w:t xml:space="preserve">, </w:t>
      </w:r>
      <w:hyperlink w:history="0" w:anchor="P21686" w:tooltip="444">
        <w:r>
          <w:rPr>
            <w:sz w:val="24"/>
            <w:color w:val="0000ff"/>
          </w:rPr>
          <w:t xml:space="preserve">444</w:t>
        </w:r>
      </w:hyperlink>
      <w:r>
        <w:rPr>
          <w:sz w:val="24"/>
        </w:rPr>
        <w:t xml:space="preserve">, </w:t>
      </w:r>
      <w:hyperlink w:history="0" w:anchor="P22386" w:tooltip="464">
        <w:r>
          <w:rPr>
            <w:sz w:val="24"/>
            <w:color w:val="0000ff"/>
          </w:rPr>
          <w:t xml:space="preserve">464</w:t>
        </w:r>
      </w:hyperlink>
      <w:r>
        <w:rPr>
          <w:sz w:val="24"/>
        </w:rPr>
        <w:t xml:space="preserve">, </w:t>
      </w:r>
      <w:hyperlink w:history="0" w:anchor="P23080" w:tooltip="481">
        <w:r>
          <w:rPr>
            <w:sz w:val="24"/>
            <w:color w:val="0000ff"/>
          </w:rPr>
          <w:t xml:space="preserve">481</w:t>
        </w:r>
      </w:hyperlink>
      <w:r>
        <w:rPr>
          <w:sz w:val="24"/>
        </w:rPr>
        <w:t xml:space="preserve">), аналитическому признаку группы аналитических признаков "Актив относится к активам, стоимость которых определяется с учетом коэффициента снижения стоимости активов" для каждого актива страховщика (за исключением активов, не перечисленных в </w:t>
      </w:r>
      <w:hyperlink w:history="0" r:id="rId19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7.9.1 пункта 7.9</w:t>
        </w:r>
      </w:hyperlink>
      <w:r>
        <w:rPr>
          <w:sz w:val="24"/>
        </w:rPr>
        <w:t xml:space="preserve"> Положения Банка России N 858-П), стоимость которого отражена в подразделах </w:t>
      </w:r>
      <w:hyperlink w:history="0" w:anchor="P2420" w:tooltip="Раздел 2.">
        <w:r>
          <w:rPr>
            <w:sz w:val="24"/>
            <w:color w:val="0000ff"/>
          </w:rPr>
          <w:t xml:space="preserve">раздела 2</w:t>
        </w:r>
      </w:hyperlink>
      <w:r>
        <w:rPr>
          <w:sz w:val="24"/>
        </w:rPr>
        <w:t xml:space="preserve"> отчетности по форме 0420154 на конец отчетного периода, указывается значение "Да", если на конец отчетного периода фиксированная стоимость указанного актива в рублях рассчитана в соответствии с </w:t>
      </w:r>
      <w:hyperlink w:history="0" r:id="rId19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вторым</w:t>
        </w:r>
      </w:hyperlink>
      <w:r>
        <w:rPr>
          <w:sz w:val="24"/>
        </w:rPr>
        <w:t xml:space="preserve">, </w:t>
      </w:r>
      <w:hyperlink w:history="0" r:id="rId20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третьим</w:t>
        </w:r>
      </w:hyperlink>
      <w:r>
        <w:rPr>
          <w:sz w:val="24"/>
        </w:rPr>
        <w:t xml:space="preserve">, </w:t>
      </w:r>
      <w:hyperlink w:history="0" r:id="rId20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пятым</w:t>
        </w:r>
      </w:hyperlink>
      <w:r>
        <w:rPr>
          <w:sz w:val="24"/>
        </w:rPr>
        <w:t xml:space="preserve">, </w:t>
      </w:r>
      <w:hyperlink w:history="0" r:id="rId20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седьмым</w:t>
        </w:r>
      </w:hyperlink>
      <w:r>
        <w:rPr>
          <w:sz w:val="24"/>
        </w:rPr>
        <w:t xml:space="preserve"> или </w:t>
      </w:r>
      <w:hyperlink w:history="0" r:id="rId20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восьмым подпункта 7.9.1 пункта 7.9</w:t>
        </w:r>
      </w:hyperlink>
      <w:r>
        <w:rPr>
          <w:sz w:val="24"/>
        </w:rPr>
        <w:t xml:space="preserve"> Положения Банка России N 858-П, или значение "Нет", если на конец отчетного периода фиксированная стоимость указанного актива в рублях рассчитана в соответствии с </w:t>
      </w:r>
      <w:hyperlink w:history="0" r:id="rId20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четвертым</w:t>
        </w:r>
      </w:hyperlink>
      <w:r>
        <w:rPr>
          <w:sz w:val="24"/>
        </w:rPr>
        <w:t xml:space="preserve"> или </w:t>
      </w:r>
      <w:hyperlink w:history="0" r:id="rId20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шестым подпункта 7.9.1 пункта 7.9</w:t>
        </w:r>
      </w:hyperlink>
      <w:r>
        <w:rPr>
          <w:sz w:val="24"/>
        </w:rPr>
        <w:t xml:space="preserve"> Положения Банка России N 858-П или если на конец отчетного периода стоимость указанного актива в соответствии с </w:t>
      </w:r>
      <w:hyperlink w:history="0" r:id="rId20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7.10</w:t>
        </w:r>
      </w:hyperlink>
      <w:r>
        <w:rPr>
          <w:sz w:val="24"/>
        </w:rPr>
        <w:t xml:space="preserve"> Положения Банка России N 858-П принимается равной нулю. Для остальных активов страховщика, в том числе активов, не перечисленных в </w:t>
      </w:r>
      <w:hyperlink w:history="0" r:id="rId20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7.9.1 пункта 7.9</w:t>
        </w:r>
      </w:hyperlink>
      <w:r>
        <w:rPr>
          <w:sz w:val="24"/>
        </w:rPr>
        <w:t xml:space="preserve"> Положения Банка России N 858-П, указывается значение "Неприменимо".</w:t>
      </w:r>
    </w:p>
    <w:p>
      <w:pPr>
        <w:pStyle w:val="0"/>
        <w:spacing w:before="240" w:lineRule="auto"/>
        <w:ind w:firstLine="540"/>
        <w:jc w:val="both"/>
      </w:pPr>
      <w:r>
        <w:rPr>
          <w:sz w:val="24"/>
        </w:rPr>
        <w:t xml:space="preserve">11. По показателю "Группа кредитного качества" (</w:t>
      </w:r>
      <w:hyperlink w:history="0" w:anchor="P2838" w:tooltip="17">
        <w:r>
          <w:rPr>
            <w:sz w:val="24"/>
            <w:color w:val="0000ff"/>
          </w:rPr>
          <w:t xml:space="preserve">строки 17</w:t>
        </w:r>
      </w:hyperlink>
      <w:r>
        <w:rPr>
          <w:sz w:val="24"/>
        </w:rPr>
        <w:t xml:space="preserve">, </w:t>
      </w:r>
      <w:hyperlink w:history="0" w:anchor="P3876" w:tooltip="42">
        <w:r>
          <w:rPr>
            <w:sz w:val="24"/>
            <w:color w:val="0000ff"/>
          </w:rPr>
          <w:t xml:space="preserve">42</w:t>
        </w:r>
      </w:hyperlink>
      <w:r>
        <w:rPr>
          <w:sz w:val="24"/>
        </w:rPr>
        <w:t xml:space="preserve">, </w:t>
      </w:r>
      <w:hyperlink w:history="0" w:anchor="P5274" w:tooltip="70">
        <w:r>
          <w:rPr>
            <w:sz w:val="24"/>
            <w:color w:val="0000ff"/>
          </w:rPr>
          <w:t xml:space="preserve">70</w:t>
        </w:r>
      </w:hyperlink>
      <w:r>
        <w:rPr>
          <w:sz w:val="24"/>
        </w:rPr>
        <w:t xml:space="preserve">, </w:t>
      </w:r>
      <w:hyperlink w:history="0" w:anchor="P7172" w:tooltip="107">
        <w:r>
          <w:rPr>
            <w:sz w:val="24"/>
            <w:color w:val="0000ff"/>
          </w:rPr>
          <w:t xml:space="preserve">107</w:t>
        </w:r>
      </w:hyperlink>
      <w:r>
        <w:rPr>
          <w:sz w:val="24"/>
        </w:rPr>
        <w:t xml:space="preserve">, </w:t>
      </w:r>
      <w:hyperlink w:history="0" w:anchor="P9732" w:tooltip="154">
        <w:r>
          <w:rPr>
            <w:sz w:val="24"/>
            <w:color w:val="0000ff"/>
          </w:rPr>
          <w:t xml:space="preserve">154</w:t>
        </w:r>
      </w:hyperlink>
      <w:r>
        <w:rPr>
          <w:sz w:val="24"/>
        </w:rPr>
        <w:t xml:space="preserve">, </w:t>
      </w:r>
      <w:hyperlink w:history="0" w:anchor="P11550" w:tooltip="195">
        <w:r>
          <w:rPr>
            <w:sz w:val="24"/>
            <w:color w:val="0000ff"/>
          </w:rPr>
          <w:t xml:space="preserve">195</w:t>
        </w:r>
      </w:hyperlink>
      <w:r>
        <w:rPr>
          <w:sz w:val="24"/>
        </w:rPr>
        <w:t xml:space="preserve">, </w:t>
      </w:r>
      <w:hyperlink w:history="0" w:anchor="P12486" w:tooltip="221">
        <w:r>
          <w:rPr>
            <w:sz w:val="24"/>
            <w:color w:val="0000ff"/>
          </w:rPr>
          <w:t xml:space="preserve">221</w:t>
        </w:r>
      </w:hyperlink>
      <w:r>
        <w:rPr>
          <w:sz w:val="24"/>
        </w:rPr>
        <w:t xml:space="preserve">, </w:t>
      </w:r>
      <w:hyperlink w:history="0" w:anchor="P13124" w:tooltip="237">
        <w:r>
          <w:rPr>
            <w:sz w:val="24"/>
            <w:color w:val="0000ff"/>
          </w:rPr>
          <w:t xml:space="preserve">237</w:t>
        </w:r>
      </w:hyperlink>
      <w:r>
        <w:rPr>
          <w:sz w:val="24"/>
        </w:rPr>
        <w:t xml:space="preserve">, </w:t>
      </w:r>
      <w:hyperlink w:history="0" w:anchor="P13658" w:tooltip="249">
        <w:r>
          <w:rPr>
            <w:sz w:val="24"/>
            <w:color w:val="0000ff"/>
          </w:rPr>
          <w:t xml:space="preserve">249</w:t>
        </w:r>
      </w:hyperlink>
      <w:r>
        <w:rPr>
          <w:sz w:val="24"/>
        </w:rPr>
        <w:t xml:space="preserve">, </w:t>
      </w:r>
      <w:hyperlink w:history="0" w:anchor="P14268" w:tooltip="262">
        <w:r>
          <w:rPr>
            <w:sz w:val="24"/>
            <w:color w:val="0000ff"/>
          </w:rPr>
          <w:t xml:space="preserve">262</w:t>
        </w:r>
      </w:hyperlink>
      <w:r>
        <w:rPr>
          <w:sz w:val="24"/>
        </w:rPr>
        <w:t xml:space="preserve">, </w:t>
      </w:r>
      <w:hyperlink w:history="0" w:anchor="P14866" w:tooltip="275">
        <w:r>
          <w:rPr>
            <w:sz w:val="24"/>
            <w:color w:val="0000ff"/>
          </w:rPr>
          <w:t xml:space="preserve">275</w:t>
        </w:r>
      </w:hyperlink>
      <w:r>
        <w:rPr>
          <w:sz w:val="24"/>
        </w:rPr>
        <w:t xml:space="preserve">, </w:t>
      </w:r>
      <w:hyperlink w:history="0" w:anchor="P15596" w:tooltip="289">
        <w:r>
          <w:rPr>
            <w:sz w:val="24"/>
            <w:color w:val="0000ff"/>
          </w:rPr>
          <w:t xml:space="preserve">289</w:t>
        </w:r>
      </w:hyperlink>
      <w:r>
        <w:rPr>
          <w:sz w:val="24"/>
        </w:rPr>
        <w:t xml:space="preserve">, </w:t>
      </w:r>
      <w:hyperlink w:history="0" w:anchor="P16268" w:tooltip="302">
        <w:r>
          <w:rPr>
            <w:sz w:val="24"/>
            <w:color w:val="0000ff"/>
          </w:rPr>
          <w:t xml:space="preserve">302</w:t>
        </w:r>
      </w:hyperlink>
      <w:r>
        <w:rPr>
          <w:sz w:val="24"/>
        </w:rPr>
        <w:t xml:space="preserve">, </w:t>
      </w:r>
      <w:hyperlink w:history="0" w:anchor="P17188" w:tooltip="320">
        <w:r>
          <w:rPr>
            <w:sz w:val="24"/>
            <w:color w:val="0000ff"/>
          </w:rPr>
          <w:t xml:space="preserve">320</w:t>
        </w:r>
      </w:hyperlink>
      <w:r>
        <w:rPr>
          <w:sz w:val="24"/>
        </w:rPr>
        <w:t xml:space="preserve">, </w:t>
      </w:r>
      <w:hyperlink w:history="0" w:anchor="P17944" w:tooltip="335">
        <w:r>
          <w:rPr>
            <w:sz w:val="24"/>
            <w:color w:val="0000ff"/>
          </w:rPr>
          <w:t xml:space="preserve">335</w:t>
        </w:r>
      </w:hyperlink>
      <w:r>
        <w:rPr>
          <w:sz w:val="24"/>
        </w:rPr>
        <w:t xml:space="preserve">, </w:t>
      </w:r>
      <w:hyperlink w:history="0" w:anchor="P18574" w:tooltip="351">
        <w:r>
          <w:rPr>
            <w:sz w:val="24"/>
            <w:color w:val="0000ff"/>
          </w:rPr>
          <w:t xml:space="preserve">351</w:t>
        </w:r>
      </w:hyperlink>
      <w:r>
        <w:rPr>
          <w:sz w:val="24"/>
        </w:rPr>
        <w:t xml:space="preserve">, </w:t>
      </w:r>
      <w:hyperlink w:history="0" w:anchor="P19316" w:tooltip="373">
        <w:r>
          <w:rPr>
            <w:sz w:val="24"/>
            <w:color w:val="0000ff"/>
          </w:rPr>
          <w:t xml:space="preserve">373</w:t>
        </w:r>
      </w:hyperlink>
      <w:r>
        <w:rPr>
          <w:sz w:val="24"/>
        </w:rPr>
        <w:t xml:space="preserve">, </w:t>
      </w:r>
      <w:hyperlink w:history="0" w:anchor="P19920" w:tooltip="392">
        <w:r>
          <w:rPr>
            <w:sz w:val="24"/>
            <w:color w:val="0000ff"/>
          </w:rPr>
          <w:t xml:space="preserve">392</w:t>
        </w:r>
      </w:hyperlink>
      <w:r>
        <w:rPr>
          <w:sz w:val="24"/>
        </w:rPr>
        <w:t xml:space="preserve">, </w:t>
      </w:r>
      <w:hyperlink w:history="0" w:anchor="P20994" w:tooltip="425">
        <w:r>
          <w:rPr>
            <w:sz w:val="24"/>
            <w:color w:val="0000ff"/>
          </w:rPr>
          <w:t xml:space="preserve">425</w:t>
        </w:r>
      </w:hyperlink>
      <w:r>
        <w:rPr>
          <w:sz w:val="24"/>
        </w:rPr>
        <w:t xml:space="preserve">, </w:t>
      </w:r>
      <w:hyperlink w:history="0" w:anchor="P21718" w:tooltip="445">
        <w:r>
          <w:rPr>
            <w:sz w:val="24"/>
            <w:color w:val="0000ff"/>
          </w:rPr>
          <w:t xml:space="preserve">445</w:t>
        </w:r>
      </w:hyperlink>
      <w:r>
        <w:rPr>
          <w:sz w:val="24"/>
        </w:rPr>
        <w:t xml:space="preserve">, </w:t>
      </w:r>
      <w:hyperlink w:history="0" w:anchor="P22466" w:tooltip="466">
        <w:r>
          <w:rPr>
            <w:sz w:val="24"/>
            <w:color w:val="0000ff"/>
          </w:rPr>
          <w:t xml:space="preserve">466</w:t>
        </w:r>
      </w:hyperlink>
      <w:r>
        <w:rPr>
          <w:sz w:val="24"/>
        </w:rPr>
        <w:t xml:space="preserve">, </w:t>
      </w:r>
      <w:hyperlink w:history="0" w:anchor="P23168" w:tooltip="483">
        <w:r>
          <w:rPr>
            <w:sz w:val="24"/>
            <w:color w:val="0000ff"/>
          </w:rPr>
          <w:t xml:space="preserve">483</w:t>
        </w:r>
      </w:hyperlink>
      <w:r>
        <w:rPr>
          <w:sz w:val="24"/>
        </w:rPr>
        <w:t xml:space="preserve">, </w:t>
      </w:r>
      <w:hyperlink w:history="0" w:anchor="P23488" w:tooltip="490">
        <w:r>
          <w:rPr>
            <w:sz w:val="24"/>
            <w:color w:val="0000ff"/>
          </w:rPr>
          <w:t xml:space="preserve">490</w:t>
        </w:r>
      </w:hyperlink>
      <w:r>
        <w:rPr>
          <w:sz w:val="24"/>
        </w:rPr>
        <w:t xml:space="preserve">, </w:t>
      </w:r>
      <w:hyperlink w:history="0" w:anchor="P27404" w:tooltip="636">
        <w:r>
          <w:rPr>
            <w:sz w:val="24"/>
            <w:color w:val="0000ff"/>
          </w:rPr>
          <w:t xml:space="preserve">636</w:t>
        </w:r>
      </w:hyperlink>
      <w:r>
        <w:rPr>
          <w:sz w:val="24"/>
        </w:rPr>
        <w:t xml:space="preserve">) для каждого обязанного лица, отнесенного в соответствии с </w:t>
      </w:r>
      <w:hyperlink w:history="0" r:id="rId20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девятым</w:t>
        </w:r>
      </w:hyperlink>
      <w:r>
        <w:rPr>
          <w:sz w:val="24"/>
        </w:rPr>
        <w:t xml:space="preserve"> - </w:t>
      </w:r>
      <w:hyperlink w:history="0" r:id="rId20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четырнадцатым пункта 8</w:t>
        </w:r>
      </w:hyperlink>
      <w:r>
        <w:rPr>
          <w:sz w:val="24"/>
        </w:rPr>
        <w:t xml:space="preserve"> приложения 1 к Положению Банка России N 858-П к первой категории контрагентов, указывается номер группы кредитного качества, определенной в соответствии с </w:t>
      </w:r>
      <w:hyperlink w:history="0" r:id="rId21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6.5.2.2 пункта 6.5</w:t>
        </w:r>
      </w:hyperlink>
      <w:r>
        <w:rPr>
          <w:sz w:val="24"/>
        </w:rPr>
        <w:t xml:space="preserve"> Положения Банка России N 858-П. По обязанным лицам, не указанным в первом предложении настоящего абзаца, показатель не формируется.</w:t>
      </w:r>
    </w:p>
    <w:p>
      <w:pPr>
        <w:pStyle w:val="0"/>
        <w:spacing w:before="240" w:lineRule="auto"/>
        <w:ind w:firstLine="540"/>
        <w:jc w:val="both"/>
      </w:pPr>
      <w:r>
        <w:rPr>
          <w:sz w:val="24"/>
        </w:rPr>
        <w:t xml:space="preserve">12. По показателю "Цена возмещения при дефолте актива" (</w:t>
      </w:r>
      <w:hyperlink w:history="0" w:anchor="P2882" w:tooltip="18">
        <w:r>
          <w:rPr>
            <w:sz w:val="24"/>
            <w:color w:val="0000ff"/>
          </w:rPr>
          <w:t xml:space="preserve">строки 18</w:t>
        </w:r>
      </w:hyperlink>
      <w:r>
        <w:rPr>
          <w:sz w:val="24"/>
        </w:rPr>
        <w:t xml:space="preserve">, </w:t>
      </w:r>
      <w:hyperlink w:history="0" w:anchor="P3916" w:tooltip="43">
        <w:r>
          <w:rPr>
            <w:sz w:val="24"/>
            <w:color w:val="0000ff"/>
          </w:rPr>
          <w:t xml:space="preserve">43</w:t>
        </w:r>
      </w:hyperlink>
      <w:r>
        <w:rPr>
          <w:sz w:val="24"/>
        </w:rPr>
        <w:t xml:space="preserve">, </w:t>
      </w:r>
      <w:hyperlink w:history="0" w:anchor="P5330" w:tooltip="71">
        <w:r>
          <w:rPr>
            <w:sz w:val="24"/>
            <w:color w:val="0000ff"/>
          </w:rPr>
          <w:t xml:space="preserve">71</w:t>
        </w:r>
      </w:hyperlink>
      <w:r>
        <w:rPr>
          <w:sz w:val="24"/>
        </w:rPr>
        <w:t xml:space="preserve">, </w:t>
      </w:r>
      <w:hyperlink w:history="0" w:anchor="P7228" w:tooltip="108">
        <w:r>
          <w:rPr>
            <w:sz w:val="24"/>
            <w:color w:val="0000ff"/>
          </w:rPr>
          <w:t xml:space="preserve">108</w:t>
        </w:r>
      </w:hyperlink>
      <w:r>
        <w:rPr>
          <w:sz w:val="24"/>
        </w:rPr>
        <w:t xml:space="preserve">, </w:t>
      </w:r>
      <w:hyperlink w:history="0" w:anchor="P9788" w:tooltip="155">
        <w:r>
          <w:rPr>
            <w:sz w:val="24"/>
            <w:color w:val="0000ff"/>
          </w:rPr>
          <w:t xml:space="preserve">155</w:t>
        </w:r>
      </w:hyperlink>
      <w:r>
        <w:rPr>
          <w:sz w:val="24"/>
        </w:rPr>
        <w:t xml:space="preserve">, </w:t>
      </w:r>
      <w:hyperlink w:history="0" w:anchor="P11586" w:tooltip="196">
        <w:r>
          <w:rPr>
            <w:sz w:val="24"/>
            <w:color w:val="0000ff"/>
          </w:rPr>
          <w:t xml:space="preserve">196</w:t>
        </w:r>
      </w:hyperlink>
      <w:r>
        <w:rPr>
          <w:sz w:val="24"/>
        </w:rPr>
        <w:t xml:space="preserve">, </w:t>
      </w:r>
      <w:hyperlink w:history="0" w:anchor="P12522" w:tooltip="222">
        <w:r>
          <w:rPr>
            <w:sz w:val="24"/>
            <w:color w:val="0000ff"/>
          </w:rPr>
          <w:t xml:space="preserve">222</w:t>
        </w:r>
      </w:hyperlink>
      <w:r>
        <w:rPr>
          <w:sz w:val="24"/>
        </w:rPr>
        <w:t xml:space="preserve">, </w:t>
      </w:r>
      <w:hyperlink w:history="0" w:anchor="P13168" w:tooltip="238">
        <w:r>
          <w:rPr>
            <w:sz w:val="24"/>
            <w:color w:val="0000ff"/>
          </w:rPr>
          <w:t xml:space="preserve">238</w:t>
        </w:r>
      </w:hyperlink>
      <w:r>
        <w:rPr>
          <w:sz w:val="24"/>
        </w:rPr>
        <w:t xml:space="preserve">, </w:t>
      </w:r>
      <w:hyperlink w:history="0" w:anchor="P13702" w:tooltip="250">
        <w:r>
          <w:rPr>
            <w:sz w:val="24"/>
            <w:color w:val="0000ff"/>
          </w:rPr>
          <w:t xml:space="preserve">250</w:t>
        </w:r>
      </w:hyperlink>
      <w:r>
        <w:rPr>
          <w:sz w:val="24"/>
        </w:rPr>
        <w:t xml:space="preserve">, </w:t>
      </w:r>
      <w:hyperlink w:history="0" w:anchor="P14316" w:tooltip="263">
        <w:r>
          <w:rPr>
            <w:sz w:val="24"/>
            <w:color w:val="0000ff"/>
          </w:rPr>
          <w:t xml:space="preserve">263</w:t>
        </w:r>
      </w:hyperlink>
      <w:r>
        <w:rPr>
          <w:sz w:val="24"/>
        </w:rPr>
        <w:t xml:space="preserve">, </w:t>
      </w:r>
      <w:hyperlink w:history="0" w:anchor="P14910" w:tooltip="276">
        <w:r>
          <w:rPr>
            <w:sz w:val="24"/>
            <w:color w:val="0000ff"/>
          </w:rPr>
          <w:t xml:space="preserve">276</w:t>
        </w:r>
      </w:hyperlink>
      <w:r>
        <w:rPr>
          <w:sz w:val="24"/>
        </w:rPr>
        <w:t xml:space="preserve">, </w:t>
      </w:r>
      <w:hyperlink w:history="0" w:anchor="P15652" w:tooltip="290">
        <w:r>
          <w:rPr>
            <w:sz w:val="24"/>
            <w:color w:val="0000ff"/>
          </w:rPr>
          <w:t xml:space="preserve">290</w:t>
        </w:r>
      </w:hyperlink>
      <w:r>
        <w:rPr>
          <w:sz w:val="24"/>
        </w:rPr>
        <w:t xml:space="preserve">, </w:t>
      </w:r>
      <w:hyperlink w:history="0" w:anchor="P16316" w:tooltip="303">
        <w:r>
          <w:rPr>
            <w:sz w:val="24"/>
            <w:color w:val="0000ff"/>
          </w:rPr>
          <w:t xml:space="preserve">303</w:t>
        </w:r>
      </w:hyperlink>
      <w:r>
        <w:rPr>
          <w:sz w:val="24"/>
        </w:rPr>
        <w:t xml:space="preserve">, </w:t>
      </w:r>
      <w:hyperlink w:history="0" w:anchor="P17236" w:tooltip="321">
        <w:r>
          <w:rPr>
            <w:sz w:val="24"/>
            <w:color w:val="0000ff"/>
          </w:rPr>
          <w:t xml:space="preserve">321</w:t>
        </w:r>
      </w:hyperlink>
      <w:r>
        <w:rPr>
          <w:sz w:val="24"/>
        </w:rPr>
        <w:t xml:space="preserve">, </w:t>
      </w:r>
      <w:hyperlink w:history="0" w:anchor="P17992" w:tooltip="336">
        <w:r>
          <w:rPr>
            <w:sz w:val="24"/>
            <w:color w:val="0000ff"/>
          </w:rPr>
          <w:t xml:space="preserve">336</w:t>
        </w:r>
      </w:hyperlink>
      <w:r>
        <w:rPr>
          <w:sz w:val="24"/>
        </w:rPr>
        <w:t xml:space="preserve">, </w:t>
      </w:r>
      <w:hyperlink w:history="0" w:anchor="P18610" w:tooltip="352">
        <w:r>
          <w:rPr>
            <w:sz w:val="24"/>
            <w:color w:val="0000ff"/>
          </w:rPr>
          <w:t xml:space="preserve">352</w:t>
        </w:r>
      </w:hyperlink>
      <w:r>
        <w:rPr>
          <w:sz w:val="24"/>
        </w:rPr>
        <w:t xml:space="preserve">, </w:t>
      </w:r>
      <w:hyperlink w:history="0" w:anchor="P19348" w:tooltip="374">
        <w:r>
          <w:rPr>
            <w:sz w:val="24"/>
            <w:color w:val="0000ff"/>
          </w:rPr>
          <w:t xml:space="preserve">374</w:t>
        </w:r>
      </w:hyperlink>
      <w:r>
        <w:rPr>
          <w:sz w:val="24"/>
        </w:rPr>
        <w:t xml:space="preserve">, </w:t>
      </w:r>
      <w:hyperlink w:history="0" w:anchor="P19952" w:tooltip="393">
        <w:r>
          <w:rPr>
            <w:sz w:val="24"/>
            <w:color w:val="0000ff"/>
          </w:rPr>
          <w:t xml:space="preserve">393</w:t>
        </w:r>
      </w:hyperlink>
      <w:r>
        <w:rPr>
          <w:sz w:val="24"/>
        </w:rPr>
        <w:t xml:space="preserve">, </w:t>
      </w:r>
      <w:hyperlink w:history="0" w:anchor="P21038" w:tooltip="426">
        <w:r>
          <w:rPr>
            <w:sz w:val="24"/>
            <w:color w:val="0000ff"/>
          </w:rPr>
          <w:t xml:space="preserve">426</w:t>
        </w:r>
      </w:hyperlink>
      <w:r>
        <w:rPr>
          <w:sz w:val="24"/>
        </w:rPr>
        <w:t xml:space="preserve">, </w:t>
      </w:r>
      <w:hyperlink w:history="0" w:anchor="P21750" w:tooltip="446">
        <w:r>
          <w:rPr>
            <w:sz w:val="24"/>
            <w:color w:val="0000ff"/>
          </w:rPr>
          <w:t xml:space="preserve">446</w:t>
        </w:r>
      </w:hyperlink>
      <w:r>
        <w:rPr>
          <w:sz w:val="24"/>
        </w:rPr>
        <w:t xml:space="preserve">, </w:t>
      </w:r>
      <w:hyperlink w:history="0" w:anchor="P22506" w:tooltip="467">
        <w:r>
          <w:rPr>
            <w:sz w:val="24"/>
            <w:color w:val="0000ff"/>
          </w:rPr>
          <w:t xml:space="preserve">467</w:t>
        </w:r>
      </w:hyperlink>
      <w:r>
        <w:rPr>
          <w:sz w:val="24"/>
        </w:rPr>
        <w:t xml:space="preserve">, </w:t>
      </w:r>
      <w:hyperlink w:history="0" w:anchor="P23212" w:tooltip="484">
        <w:r>
          <w:rPr>
            <w:sz w:val="24"/>
            <w:color w:val="0000ff"/>
          </w:rPr>
          <w:t xml:space="preserve">484</w:t>
        </w:r>
      </w:hyperlink>
      <w:r>
        <w:rPr>
          <w:sz w:val="24"/>
        </w:rPr>
        <w:t xml:space="preserve">, </w:t>
      </w:r>
      <w:hyperlink w:history="0" w:anchor="P23552" w:tooltip="491">
        <w:r>
          <w:rPr>
            <w:sz w:val="24"/>
            <w:color w:val="0000ff"/>
          </w:rPr>
          <w:t xml:space="preserve">491</w:t>
        </w:r>
      </w:hyperlink>
      <w:r>
        <w:rPr>
          <w:sz w:val="24"/>
        </w:rPr>
        <w:t xml:space="preserve">) для каждого обязанного лица, отнесенного в соответствии с </w:t>
      </w:r>
      <w:hyperlink w:history="0" r:id="rId21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девятым</w:t>
        </w:r>
      </w:hyperlink>
      <w:r>
        <w:rPr>
          <w:sz w:val="24"/>
        </w:rPr>
        <w:t xml:space="preserve"> - </w:t>
      </w:r>
      <w:hyperlink w:history="0" r:id="rId21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четырнадцатым пункта 8</w:t>
        </w:r>
      </w:hyperlink>
      <w:r>
        <w:rPr>
          <w:sz w:val="24"/>
        </w:rPr>
        <w:t xml:space="preserve"> приложения 1 к Положению Банка России N 858-П к первой категории контрагентов, указывается стоимость актива исходя из предположений о дефолтах, определенная в соответствии с </w:t>
      </w:r>
      <w:hyperlink w:history="0" r:id="rId21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9</w:t>
        </w:r>
      </w:hyperlink>
      <w:r>
        <w:rPr>
          <w:sz w:val="24"/>
        </w:rPr>
        <w:t xml:space="preserve"> приложения 1 к Положению Банка России N 858-П. По обязанным лицам, не указанным в первом предложении настоящего абзаца, показатель не формируется.</w:t>
      </w:r>
    </w:p>
    <w:p>
      <w:pPr>
        <w:pStyle w:val="0"/>
        <w:spacing w:before="240" w:lineRule="auto"/>
        <w:ind w:firstLine="540"/>
        <w:jc w:val="both"/>
      </w:pPr>
      <w:r>
        <w:rPr>
          <w:sz w:val="24"/>
        </w:rPr>
        <w:t xml:space="preserve">13. По показателям "Влияние риска изменения валютного курса (рост курса)" (</w:t>
      </w:r>
      <w:hyperlink w:history="0" w:anchor="P2926" w:tooltip="19">
        <w:r>
          <w:rPr>
            <w:sz w:val="24"/>
            <w:color w:val="0000ff"/>
          </w:rPr>
          <w:t xml:space="preserve">строки 19</w:t>
        </w:r>
      </w:hyperlink>
      <w:r>
        <w:rPr>
          <w:sz w:val="24"/>
        </w:rPr>
        <w:t xml:space="preserve">, </w:t>
      </w:r>
      <w:hyperlink w:history="0" w:anchor="P4076" w:tooltip="47">
        <w:r>
          <w:rPr>
            <w:sz w:val="24"/>
            <w:color w:val="0000ff"/>
          </w:rPr>
          <w:t xml:space="preserve">47</w:t>
        </w:r>
      </w:hyperlink>
      <w:r>
        <w:rPr>
          <w:sz w:val="24"/>
        </w:rPr>
        <w:t xml:space="preserve">, </w:t>
      </w:r>
      <w:hyperlink w:history="0" w:anchor="P5498" w:tooltip="74">
        <w:r>
          <w:rPr>
            <w:sz w:val="24"/>
            <w:color w:val="0000ff"/>
          </w:rPr>
          <w:t xml:space="preserve">74</w:t>
        </w:r>
      </w:hyperlink>
      <w:r>
        <w:rPr>
          <w:sz w:val="24"/>
        </w:rPr>
        <w:t xml:space="preserve">, </w:t>
      </w:r>
      <w:hyperlink w:history="0" w:anchor="P7396" w:tooltip="111">
        <w:r>
          <w:rPr>
            <w:sz w:val="24"/>
            <w:color w:val="0000ff"/>
          </w:rPr>
          <w:t xml:space="preserve">111</w:t>
        </w:r>
      </w:hyperlink>
      <w:r>
        <w:rPr>
          <w:sz w:val="24"/>
        </w:rPr>
        <w:t xml:space="preserve">, </w:t>
      </w:r>
      <w:hyperlink w:history="0" w:anchor="P10124" w:tooltip="161">
        <w:r>
          <w:rPr>
            <w:sz w:val="24"/>
            <w:color w:val="0000ff"/>
          </w:rPr>
          <w:t xml:space="preserve">161</w:t>
        </w:r>
      </w:hyperlink>
      <w:r>
        <w:rPr>
          <w:sz w:val="24"/>
        </w:rPr>
        <w:t xml:space="preserve">, </w:t>
      </w:r>
      <w:hyperlink w:history="0" w:anchor="P11802" w:tooltip="202">
        <w:r>
          <w:rPr>
            <w:sz w:val="24"/>
            <w:color w:val="0000ff"/>
          </w:rPr>
          <w:t xml:space="preserve">202</w:t>
        </w:r>
      </w:hyperlink>
      <w:r>
        <w:rPr>
          <w:sz w:val="24"/>
        </w:rPr>
        <w:t xml:space="preserve">, </w:t>
      </w:r>
      <w:hyperlink w:history="0" w:anchor="P12666" w:tooltip="226">
        <w:r>
          <w:rPr>
            <w:sz w:val="24"/>
            <w:color w:val="0000ff"/>
          </w:rPr>
          <w:t xml:space="preserve">226</w:t>
        </w:r>
      </w:hyperlink>
      <w:r>
        <w:rPr>
          <w:sz w:val="24"/>
        </w:rPr>
        <w:t xml:space="preserve">, </w:t>
      </w:r>
      <w:hyperlink w:history="0" w:anchor="P13212" w:tooltip="239">
        <w:r>
          <w:rPr>
            <w:sz w:val="24"/>
            <w:color w:val="0000ff"/>
          </w:rPr>
          <w:t xml:space="preserve">239</w:t>
        </w:r>
      </w:hyperlink>
      <w:r>
        <w:rPr>
          <w:sz w:val="24"/>
        </w:rPr>
        <w:t xml:space="preserve">, </w:t>
      </w:r>
      <w:hyperlink w:history="0" w:anchor="P13746" w:tooltip="251">
        <w:r>
          <w:rPr>
            <w:sz w:val="24"/>
            <w:color w:val="0000ff"/>
          </w:rPr>
          <w:t xml:space="preserve">251</w:t>
        </w:r>
      </w:hyperlink>
      <w:r>
        <w:rPr>
          <w:sz w:val="24"/>
        </w:rPr>
        <w:t xml:space="preserve">, </w:t>
      </w:r>
      <w:hyperlink w:history="0" w:anchor="P14364" w:tooltip="264">
        <w:r>
          <w:rPr>
            <w:sz w:val="24"/>
            <w:color w:val="0000ff"/>
          </w:rPr>
          <w:t xml:space="preserve">264</w:t>
        </w:r>
      </w:hyperlink>
      <w:r>
        <w:rPr>
          <w:sz w:val="24"/>
        </w:rPr>
        <w:t xml:space="preserve">, </w:t>
      </w:r>
      <w:hyperlink w:history="0" w:anchor="P14954" w:tooltip="277">
        <w:r>
          <w:rPr>
            <w:sz w:val="24"/>
            <w:color w:val="0000ff"/>
          </w:rPr>
          <w:t xml:space="preserve">277</w:t>
        </w:r>
      </w:hyperlink>
      <w:r>
        <w:rPr>
          <w:sz w:val="24"/>
        </w:rPr>
        <w:t xml:space="preserve">, </w:t>
      </w:r>
      <w:hyperlink w:history="0" w:anchor="P15708" w:tooltip="291">
        <w:r>
          <w:rPr>
            <w:sz w:val="24"/>
            <w:color w:val="0000ff"/>
          </w:rPr>
          <w:t xml:space="preserve">291</w:t>
        </w:r>
      </w:hyperlink>
      <w:r>
        <w:rPr>
          <w:sz w:val="24"/>
        </w:rPr>
        <w:t xml:space="preserve">, </w:t>
      </w:r>
      <w:hyperlink w:history="0" w:anchor="P16364" w:tooltip="304">
        <w:r>
          <w:rPr>
            <w:sz w:val="24"/>
            <w:color w:val="0000ff"/>
          </w:rPr>
          <w:t xml:space="preserve">304</w:t>
        </w:r>
      </w:hyperlink>
      <w:r>
        <w:rPr>
          <w:sz w:val="24"/>
        </w:rPr>
        <w:t xml:space="preserve">, </w:t>
      </w:r>
      <w:hyperlink w:history="0" w:anchor="P16574" w:tooltip="308">
        <w:r>
          <w:rPr>
            <w:sz w:val="24"/>
            <w:color w:val="0000ff"/>
          </w:rPr>
          <w:t xml:space="preserve">308</w:t>
        </w:r>
      </w:hyperlink>
      <w:r>
        <w:rPr>
          <w:sz w:val="24"/>
        </w:rPr>
        <w:t xml:space="preserve">, </w:t>
      </w:r>
      <w:hyperlink w:history="0" w:anchor="P17284" w:tooltip="322">
        <w:r>
          <w:rPr>
            <w:sz w:val="24"/>
            <w:color w:val="0000ff"/>
          </w:rPr>
          <w:t xml:space="preserve">322</w:t>
        </w:r>
      </w:hyperlink>
      <w:r>
        <w:rPr>
          <w:sz w:val="24"/>
        </w:rPr>
        <w:t xml:space="preserve">, </w:t>
      </w:r>
      <w:hyperlink w:history="0" w:anchor="P17490" w:tooltip="326">
        <w:r>
          <w:rPr>
            <w:sz w:val="24"/>
            <w:color w:val="0000ff"/>
          </w:rPr>
          <w:t xml:space="preserve">326</w:t>
        </w:r>
      </w:hyperlink>
      <w:r>
        <w:rPr>
          <w:sz w:val="24"/>
        </w:rPr>
        <w:t xml:space="preserve">, </w:t>
      </w:r>
      <w:hyperlink w:history="0" w:anchor="P18754" w:tooltip="356">
        <w:r>
          <w:rPr>
            <w:sz w:val="24"/>
            <w:color w:val="0000ff"/>
          </w:rPr>
          <w:t xml:space="preserve">356</w:t>
        </w:r>
      </w:hyperlink>
      <w:r>
        <w:rPr>
          <w:sz w:val="24"/>
        </w:rPr>
        <w:t xml:space="preserve">, </w:t>
      </w:r>
      <w:hyperlink w:history="0" w:anchor="P19380" w:tooltip="375">
        <w:r>
          <w:rPr>
            <w:sz w:val="24"/>
            <w:color w:val="0000ff"/>
          </w:rPr>
          <w:t xml:space="preserve">375</w:t>
        </w:r>
      </w:hyperlink>
      <w:r>
        <w:rPr>
          <w:sz w:val="24"/>
        </w:rPr>
        <w:t xml:space="preserve">, </w:t>
      </w:r>
      <w:hyperlink w:history="0" w:anchor="P19984" w:tooltip="394">
        <w:r>
          <w:rPr>
            <w:sz w:val="24"/>
            <w:color w:val="0000ff"/>
          </w:rPr>
          <w:t xml:space="preserve">394</w:t>
        </w:r>
      </w:hyperlink>
      <w:r>
        <w:rPr>
          <w:sz w:val="24"/>
        </w:rPr>
        <w:t xml:space="preserve">, </w:t>
      </w:r>
      <w:hyperlink w:history="0" w:anchor="P20296" w:tooltip="403">
        <w:r>
          <w:rPr>
            <w:sz w:val="24"/>
            <w:color w:val="0000ff"/>
          </w:rPr>
          <w:t xml:space="preserve">403</w:t>
        </w:r>
      </w:hyperlink>
      <w:r>
        <w:rPr>
          <w:sz w:val="24"/>
        </w:rPr>
        <w:t xml:space="preserve">, </w:t>
      </w:r>
      <w:hyperlink w:history="0" w:anchor="P21082" w:tooltip="427">
        <w:r>
          <w:rPr>
            <w:sz w:val="24"/>
            <w:color w:val="0000ff"/>
          </w:rPr>
          <w:t xml:space="preserve">427</w:t>
        </w:r>
      </w:hyperlink>
      <w:r>
        <w:rPr>
          <w:sz w:val="24"/>
        </w:rPr>
        <w:t xml:space="preserve">, </w:t>
      </w:r>
      <w:hyperlink w:history="0" w:anchor="P21782" w:tooltip="447">
        <w:r>
          <w:rPr>
            <w:sz w:val="24"/>
            <w:color w:val="0000ff"/>
          </w:rPr>
          <w:t xml:space="preserve">447</w:t>
        </w:r>
      </w:hyperlink>
      <w:r>
        <w:rPr>
          <w:sz w:val="24"/>
        </w:rPr>
        <w:t xml:space="preserve">, </w:t>
      </w:r>
      <w:hyperlink w:history="0" w:anchor="P22546" w:tooltip="468">
        <w:r>
          <w:rPr>
            <w:sz w:val="24"/>
            <w:color w:val="0000ff"/>
          </w:rPr>
          <w:t xml:space="preserve">468</w:t>
        </w:r>
      </w:hyperlink>
      <w:r>
        <w:rPr>
          <w:sz w:val="24"/>
        </w:rPr>
        <w:t xml:space="preserve">, </w:t>
      </w:r>
      <w:hyperlink w:history="0" w:anchor="P23256" w:tooltip="485">
        <w:r>
          <w:rPr>
            <w:sz w:val="24"/>
            <w:color w:val="0000ff"/>
          </w:rPr>
          <w:t xml:space="preserve">485</w:t>
        </w:r>
      </w:hyperlink>
      <w:r>
        <w:rPr>
          <w:sz w:val="24"/>
        </w:rPr>
        <w:t xml:space="preserve">, </w:t>
      </w:r>
      <w:hyperlink w:history="0" w:anchor="P23744" w:tooltip="494">
        <w:r>
          <w:rPr>
            <w:sz w:val="24"/>
            <w:color w:val="0000ff"/>
          </w:rPr>
          <w:t xml:space="preserve">494</w:t>
        </w:r>
      </w:hyperlink>
      <w:r>
        <w:rPr>
          <w:sz w:val="24"/>
        </w:rPr>
        <w:t xml:space="preserve">, </w:t>
      </w:r>
      <w:hyperlink w:history="0" w:anchor="P24198" w:tooltip="506">
        <w:r>
          <w:rPr>
            <w:sz w:val="24"/>
            <w:color w:val="0000ff"/>
          </w:rPr>
          <w:t xml:space="preserve">506</w:t>
        </w:r>
      </w:hyperlink>
      <w:r>
        <w:rPr>
          <w:sz w:val="24"/>
        </w:rPr>
        <w:t xml:space="preserve">, </w:t>
      </w:r>
      <w:hyperlink w:history="0" w:anchor="P25566" w:tooltip="545">
        <w:r>
          <w:rPr>
            <w:sz w:val="24"/>
            <w:color w:val="0000ff"/>
          </w:rPr>
          <w:t xml:space="preserve">545</w:t>
        </w:r>
      </w:hyperlink>
      <w:r>
        <w:rPr>
          <w:sz w:val="24"/>
        </w:rPr>
        <w:t xml:space="preserve">, </w:t>
      </w:r>
      <w:hyperlink w:history="0" w:anchor="P26010" w:tooltip="560">
        <w:r>
          <w:rPr>
            <w:sz w:val="24"/>
            <w:color w:val="0000ff"/>
          </w:rPr>
          <w:t xml:space="preserve">560</w:t>
        </w:r>
      </w:hyperlink>
      <w:r>
        <w:rPr>
          <w:sz w:val="24"/>
        </w:rPr>
        <w:t xml:space="preserve">, </w:t>
      </w:r>
      <w:hyperlink w:history="0" w:anchor="P26120" w:tooltip="565">
        <w:r>
          <w:rPr>
            <w:sz w:val="24"/>
            <w:color w:val="0000ff"/>
          </w:rPr>
          <w:t xml:space="preserve">565</w:t>
        </w:r>
      </w:hyperlink>
      <w:r>
        <w:rPr>
          <w:sz w:val="24"/>
        </w:rPr>
        <w:t xml:space="preserve">, </w:t>
      </w:r>
      <w:hyperlink w:history="0" w:anchor="P26242" w:tooltip="570">
        <w:r>
          <w:rPr>
            <w:sz w:val="24"/>
            <w:color w:val="0000ff"/>
          </w:rPr>
          <w:t xml:space="preserve">570</w:t>
        </w:r>
      </w:hyperlink>
      <w:r>
        <w:rPr>
          <w:sz w:val="24"/>
        </w:rPr>
        <w:t xml:space="preserve">, </w:t>
      </w:r>
      <w:hyperlink w:history="0" w:anchor="P26376" w:tooltip="577">
        <w:r>
          <w:rPr>
            <w:sz w:val="24"/>
            <w:color w:val="0000ff"/>
          </w:rPr>
          <w:t xml:space="preserve">577</w:t>
        </w:r>
      </w:hyperlink>
      <w:r>
        <w:rPr>
          <w:sz w:val="24"/>
        </w:rPr>
        <w:t xml:space="preserve">, </w:t>
      </w:r>
      <w:hyperlink w:history="0" w:anchor="P26510" w:tooltip="586">
        <w:r>
          <w:rPr>
            <w:sz w:val="24"/>
            <w:color w:val="0000ff"/>
          </w:rPr>
          <w:t xml:space="preserve">586</w:t>
        </w:r>
      </w:hyperlink>
      <w:r>
        <w:rPr>
          <w:sz w:val="24"/>
        </w:rPr>
        <w:t xml:space="preserve">, </w:t>
      </w:r>
      <w:hyperlink w:history="0" w:anchor="P26644" w:tooltip="595">
        <w:r>
          <w:rPr>
            <w:sz w:val="24"/>
            <w:color w:val="0000ff"/>
          </w:rPr>
          <w:t xml:space="preserve">595</w:t>
        </w:r>
      </w:hyperlink>
      <w:r>
        <w:rPr>
          <w:sz w:val="24"/>
        </w:rPr>
        <w:t xml:space="preserve">, </w:t>
      </w:r>
      <w:hyperlink w:history="0" w:anchor="P26756" w:tooltip="602">
        <w:r>
          <w:rPr>
            <w:sz w:val="24"/>
            <w:color w:val="0000ff"/>
          </w:rPr>
          <w:t xml:space="preserve">602</w:t>
        </w:r>
      </w:hyperlink>
      <w:r>
        <w:rPr>
          <w:sz w:val="24"/>
        </w:rPr>
        <w:t xml:space="preserve">, </w:t>
      </w:r>
      <w:hyperlink w:history="0" w:anchor="P26878" w:tooltip="610">
        <w:r>
          <w:rPr>
            <w:sz w:val="24"/>
            <w:color w:val="0000ff"/>
          </w:rPr>
          <w:t xml:space="preserve">610</w:t>
        </w:r>
      </w:hyperlink>
      <w:r>
        <w:rPr>
          <w:sz w:val="24"/>
        </w:rPr>
        <w:t xml:space="preserve">, </w:t>
      </w:r>
      <w:hyperlink w:history="0" w:anchor="P26976" w:tooltip="616">
        <w:r>
          <w:rPr>
            <w:sz w:val="24"/>
            <w:color w:val="0000ff"/>
          </w:rPr>
          <w:t xml:space="preserve">616</w:t>
        </w:r>
      </w:hyperlink>
      <w:r>
        <w:rPr>
          <w:sz w:val="24"/>
        </w:rPr>
        <w:t xml:space="preserve">, </w:t>
      </w:r>
      <w:hyperlink w:history="0" w:anchor="P27094" w:tooltip="621">
        <w:r>
          <w:rPr>
            <w:sz w:val="24"/>
            <w:color w:val="0000ff"/>
          </w:rPr>
          <w:t xml:space="preserve">621</w:t>
        </w:r>
      </w:hyperlink>
      <w:r>
        <w:rPr>
          <w:sz w:val="24"/>
        </w:rPr>
        <w:t xml:space="preserve">, </w:t>
      </w:r>
      <w:hyperlink w:history="0" w:anchor="P27220" w:tooltip="626">
        <w:r>
          <w:rPr>
            <w:sz w:val="24"/>
            <w:color w:val="0000ff"/>
          </w:rPr>
          <w:t xml:space="preserve">626</w:t>
        </w:r>
      </w:hyperlink>
      <w:r>
        <w:rPr>
          <w:sz w:val="24"/>
        </w:rPr>
        <w:t xml:space="preserve">, </w:t>
      </w:r>
      <w:hyperlink w:history="0" w:anchor="P27314" w:tooltip="631">
        <w:r>
          <w:rPr>
            <w:sz w:val="24"/>
            <w:color w:val="0000ff"/>
          </w:rPr>
          <w:t xml:space="preserve">631</w:t>
        </w:r>
      </w:hyperlink>
      <w:r>
        <w:rPr>
          <w:sz w:val="24"/>
        </w:rPr>
        <w:t xml:space="preserve">) и "Влияние риска изменения валютного курса (снижение курса)" (</w:t>
      </w:r>
      <w:hyperlink w:history="0" w:anchor="P2970" w:tooltip="20">
        <w:r>
          <w:rPr>
            <w:sz w:val="24"/>
            <w:color w:val="0000ff"/>
          </w:rPr>
          <w:t xml:space="preserve">строки 20</w:t>
        </w:r>
      </w:hyperlink>
      <w:r>
        <w:rPr>
          <w:sz w:val="24"/>
        </w:rPr>
        <w:t xml:space="preserve">, </w:t>
      </w:r>
      <w:hyperlink w:history="0" w:anchor="P4116" w:tooltip="48">
        <w:r>
          <w:rPr>
            <w:sz w:val="24"/>
            <w:color w:val="0000ff"/>
          </w:rPr>
          <w:t xml:space="preserve">48</w:t>
        </w:r>
      </w:hyperlink>
      <w:r>
        <w:rPr>
          <w:sz w:val="24"/>
        </w:rPr>
        <w:t xml:space="preserve">, </w:t>
      </w:r>
      <w:hyperlink w:history="0" w:anchor="P5554" w:tooltip="75">
        <w:r>
          <w:rPr>
            <w:sz w:val="24"/>
            <w:color w:val="0000ff"/>
          </w:rPr>
          <w:t xml:space="preserve">75</w:t>
        </w:r>
      </w:hyperlink>
      <w:r>
        <w:rPr>
          <w:sz w:val="24"/>
        </w:rPr>
        <w:t xml:space="preserve">, </w:t>
      </w:r>
      <w:hyperlink w:history="0" w:anchor="P7452" w:tooltip="112">
        <w:r>
          <w:rPr>
            <w:sz w:val="24"/>
            <w:color w:val="0000ff"/>
          </w:rPr>
          <w:t xml:space="preserve">112</w:t>
        </w:r>
      </w:hyperlink>
      <w:r>
        <w:rPr>
          <w:sz w:val="24"/>
        </w:rPr>
        <w:t xml:space="preserve">, </w:t>
      </w:r>
      <w:hyperlink w:history="0" w:anchor="P10180" w:tooltip="162">
        <w:r>
          <w:rPr>
            <w:sz w:val="24"/>
            <w:color w:val="0000ff"/>
          </w:rPr>
          <w:t xml:space="preserve">162</w:t>
        </w:r>
      </w:hyperlink>
      <w:r>
        <w:rPr>
          <w:sz w:val="24"/>
        </w:rPr>
        <w:t xml:space="preserve">, </w:t>
      </w:r>
      <w:hyperlink w:history="0" w:anchor="P11838" w:tooltip="203">
        <w:r>
          <w:rPr>
            <w:sz w:val="24"/>
            <w:color w:val="0000ff"/>
          </w:rPr>
          <w:t xml:space="preserve">203</w:t>
        </w:r>
      </w:hyperlink>
      <w:r>
        <w:rPr>
          <w:sz w:val="24"/>
        </w:rPr>
        <w:t xml:space="preserve">, </w:t>
      </w:r>
      <w:hyperlink w:history="0" w:anchor="P12702" w:tooltip="227">
        <w:r>
          <w:rPr>
            <w:sz w:val="24"/>
            <w:color w:val="0000ff"/>
          </w:rPr>
          <w:t xml:space="preserve">227</w:t>
        </w:r>
      </w:hyperlink>
      <w:r>
        <w:rPr>
          <w:sz w:val="24"/>
        </w:rPr>
        <w:t xml:space="preserve">, </w:t>
      </w:r>
      <w:hyperlink w:history="0" w:anchor="P13256" w:tooltip="240">
        <w:r>
          <w:rPr>
            <w:sz w:val="24"/>
            <w:color w:val="0000ff"/>
          </w:rPr>
          <w:t xml:space="preserve">240</w:t>
        </w:r>
      </w:hyperlink>
      <w:r>
        <w:rPr>
          <w:sz w:val="24"/>
        </w:rPr>
        <w:t xml:space="preserve">, </w:t>
      </w:r>
      <w:hyperlink w:history="0" w:anchor="P13790" w:tooltip="252">
        <w:r>
          <w:rPr>
            <w:sz w:val="24"/>
            <w:color w:val="0000ff"/>
          </w:rPr>
          <w:t xml:space="preserve">252</w:t>
        </w:r>
      </w:hyperlink>
      <w:r>
        <w:rPr>
          <w:sz w:val="24"/>
        </w:rPr>
        <w:t xml:space="preserve">, </w:t>
      </w:r>
      <w:hyperlink w:history="0" w:anchor="P14412" w:tooltip="265">
        <w:r>
          <w:rPr>
            <w:sz w:val="24"/>
            <w:color w:val="0000ff"/>
          </w:rPr>
          <w:t xml:space="preserve">265</w:t>
        </w:r>
      </w:hyperlink>
      <w:r>
        <w:rPr>
          <w:sz w:val="24"/>
        </w:rPr>
        <w:t xml:space="preserve">, </w:t>
      </w:r>
      <w:hyperlink w:history="0" w:anchor="P14998" w:tooltip="278">
        <w:r>
          <w:rPr>
            <w:sz w:val="24"/>
            <w:color w:val="0000ff"/>
          </w:rPr>
          <w:t xml:space="preserve">278</w:t>
        </w:r>
      </w:hyperlink>
      <w:r>
        <w:rPr>
          <w:sz w:val="24"/>
        </w:rPr>
        <w:t xml:space="preserve">, </w:t>
      </w:r>
      <w:hyperlink w:history="0" w:anchor="P15764" w:tooltip="292">
        <w:r>
          <w:rPr>
            <w:sz w:val="24"/>
            <w:color w:val="0000ff"/>
          </w:rPr>
          <w:t xml:space="preserve">292</w:t>
        </w:r>
      </w:hyperlink>
      <w:r>
        <w:rPr>
          <w:sz w:val="24"/>
        </w:rPr>
        <w:t xml:space="preserve">, </w:t>
      </w:r>
      <w:hyperlink w:history="0" w:anchor="P16412" w:tooltip="305">
        <w:r>
          <w:rPr>
            <w:sz w:val="24"/>
            <w:color w:val="0000ff"/>
          </w:rPr>
          <w:t xml:space="preserve">305</w:t>
        </w:r>
      </w:hyperlink>
      <w:r>
        <w:rPr>
          <w:sz w:val="24"/>
        </w:rPr>
        <w:t xml:space="preserve">, </w:t>
      </w:r>
      <w:hyperlink w:history="0" w:anchor="P16634" w:tooltip="309">
        <w:r>
          <w:rPr>
            <w:sz w:val="24"/>
            <w:color w:val="0000ff"/>
          </w:rPr>
          <w:t xml:space="preserve">309</w:t>
        </w:r>
      </w:hyperlink>
      <w:r>
        <w:rPr>
          <w:sz w:val="24"/>
        </w:rPr>
        <w:t xml:space="preserve">, </w:t>
      </w:r>
      <w:hyperlink w:history="0" w:anchor="P17332" w:tooltip="323">
        <w:r>
          <w:rPr>
            <w:sz w:val="24"/>
            <w:color w:val="0000ff"/>
          </w:rPr>
          <w:t xml:space="preserve">323</w:t>
        </w:r>
      </w:hyperlink>
      <w:r>
        <w:rPr>
          <w:sz w:val="24"/>
        </w:rPr>
        <w:t xml:space="preserve">, </w:t>
      </w:r>
      <w:hyperlink w:history="0" w:anchor="P17546" w:tooltip="327">
        <w:r>
          <w:rPr>
            <w:sz w:val="24"/>
            <w:color w:val="0000ff"/>
          </w:rPr>
          <w:t xml:space="preserve">327</w:t>
        </w:r>
      </w:hyperlink>
      <w:r>
        <w:rPr>
          <w:sz w:val="24"/>
        </w:rPr>
        <w:t xml:space="preserve">, </w:t>
      </w:r>
      <w:hyperlink w:history="0" w:anchor="P18790" w:tooltip="357">
        <w:r>
          <w:rPr>
            <w:sz w:val="24"/>
            <w:color w:val="0000ff"/>
          </w:rPr>
          <w:t xml:space="preserve">357</w:t>
        </w:r>
      </w:hyperlink>
      <w:r>
        <w:rPr>
          <w:sz w:val="24"/>
        </w:rPr>
        <w:t xml:space="preserve">, </w:t>
      </w:r>
      <w:hyperlink w:history="0" w:anchor="P19412" w:tooltip="376">
        <w:r>
          <w:rPr>
            <w:sz w:val="24"/>
            <w:color w:val="0000ff"/>
          </w:rPr>
          <w:t xml:space="preserve">376</w:t>
        </w:r>
      </w:hyperlink>
      <w:r>
        <w:rPr>
          <w:sz w:val="24"/>
        </w:rPr>
        <w:t xml:space="preserve">, </w:t>
      </w:r>
      <w:hyperlink w:history="0" w:anchor="P20016" w:tooltip="395">
        <w:r>
          <w:rPr>
            <w:sz w:val="24"/>
            <w:color w:val="0000ff"/>
          </w:rPr>
          <w:t xml:space="preserve">395</w:t>
        </w:r>
      </w:hyperlink>
      <w:r>
        <w:rPr>
          <w:sz w:val="24"/>
        </w:rPr>
        <w:t xml:space="preserve">, </w:t>
      </w:r>
      <w:hyperlink w:history="0" w:anchor="P20324" w:tooltip="404">
        <w:r>
          <w:rPr>
            <w:sz w:val="24"/>
            <w:color w:val="0000ff"/>
          </w:rPr>
          <w:t xml:space="preserve">404</w:t>
        </w:r>
      </w:hyperlink>
      <w:r>
        <w:rPr>
          <w:sz w:val="24"/>
        </w:rPr>
        <w:t xml:space="preserve">, </w:t>
      </w:r>
      <w:hyperlink w:history="0" w:anchor="P21126" w:tooltip="428">
        <w:r>
          <w:rPr>
            <w:sz w:val="24"/>
            <w:color w:val="0000ff"/>
          </w:rPr>
          <w:t xml:space="preserve">428</w:t>
        </w:r>
      </w:hyperlink>
      <w:r>
        <w:rPr>
          <w:sz w:val="24"/>
        </w:rPr>
        <w:t xml:space="preserve">, </w:t>
      </w:r>
      <w:hyperlink w:history="0" w:anchor="P21814" w:tooltip="448">
        <w:r>
          <w:rPr>
            <w:sz w:val="24"/>
            <w:color w:val="0000ff"/>
          </w:rPr>
          <w:t xml:space="preserve">448</w:t>
        </w:r>
      </w:hyperlink>
      <w:r>
        <w:rPr>
          <w:sz w:val="24"/>
        </w:rPr>
        <w:t xml:space="preserve">, </w:t>
      </w:r>
      <w:hyperlink w:history="0" w:anchor="P22586" w:tooltip="469">
        <w:r>
          <w:rPr>
            <w:sz w:val="24"/>
            <w:color w:val="0000ff"/>
          </w:rPr>
          <w:t xml:space="preserve">469</w:t>
        </w:r>
      </w:hyperlink>
      <w:r>
        <w:rPr>
          <w:sz w:val="24"/>
        </w:rPr>
        <w:t xml:space="preserve">, </w:t>
      </w:r>
      <w:hyperlink w:history="0" w:anchor="P23300" w:tooltip="486">
        <w:r>
          <w:rPr>
            <w:sz w:val="24"/>
            <w:color w:val="0000ff"/>
          </w:rPr>
          <w:t xml:space="preserve">486</w:t>
        </w:r>
      </w:hyperlink>
      <w:r>
        <w:rPr>
          <w:sz w:val="24"/>
        </w:rPr>
        <w:t xml:space="preserve">, </w:t>
      </w:r>
      <w:hyperlink w:history="0" w:anchor="P23808" w:tooltip="495">
        <w:r>
          <w:rPr>
            <w:sz w:val="24"/>
            <w:color w:val="0000ff"/>
          </w:rPr>
          <w:t xml:space="preserve">495</w:t>
        </w:r>
      </w:hyperlink>
      <w:r>
        <w:rPr>
          <w:sz w:val="24"/>
        </w:rPr>
        <w:t xml:space="preserve">, </w:t>
      </w:r>
      <w:hyperlink w:history="0" w:anchor="P24246" w:tooltip="507">
        <w:r>
          <w:rPr>
            <w:sz w:val="24"/>
            <w:color w:val="0000ff"/>
          </w:rPr>
          <w:t xml:space="preserve">507</w:t>
        </w:r>
      </w:hyperlink>
      <w:r>
        <w:rPr>
          <w:sz w:val="24"/>
        </w:rPr>
        <w:t xml:space="preserve">, </w:t>
      </w:r>
      <w:hyperlink w:history="0" w:anchor="P25598" w:tooltip="546">
        <w:r>
          <w:rPr>
            <w:sz w:val="24"/>
            <w:color w:val="0000ff"/>
          </w:rPr>
          <w:t xml:space="preserve">546</w:t>
        </w:r>
      </w:hyperlink>
      <w:r>
        <w:rPr>
          <w:sz w:val="24"/>
        </w:rPr>
        <w:t xml:space="preserve">, </w:t>
      </w:r>
      <w:hyperlink w:history="0" w:anchor="P26030" w:tooltip="561">
        <w:r>
          <w:rPr>
            <w:sz w:val="24"/>
            <w:color w:val="0000ff"/>
          </w:rPr>
          <w:t xml:space="preserve">561</w:t>
        </w:r>
      </w:hyperlink>
      <w:r>
        <w:rPr>
          <w:sz w:val="24"/>
        </w:rPr>
        <w:t xml:space="preserve">, </w:t>
      </w:r>
      <w:hyperlink w:history="0" w:anchor="P26144" w:tooltip="566">
        <w:r>
          <w:rPr>
            <w:sz w:val="24"/>
            <w:color w:val="0000ff"/>
          </w:rPr>
          <w:t xml:space="preserve">566</w:t>
        </w:r>
      </w:hyperlink>
      <w:r>
        <w:rPr>
          <w:sz w:val="24"/>
        </w:rPr>
        <w:t xml:space="preserve">, </w:t>
      </w:r>
      <w:hyperlink w:history="0" w:anchor="P26266" w:tooltip="571">
        <w:r>
          <w:rPr>
            <w:sz w:val="24"/>
            <w:color w:val="0000ff"/>
          </w:rPr>
          <w:t xml:space="preserve">571</w:t>
        </w:r>
      </w:hyperlink>
      <w:r>
        <w:rPr>
          <w:sz w:val="24"/>
        </w:rPr>
        <w:t xml:space="preserve">, </w:t>
      </w:r>
      <w:hyperlink w:history="0" w:anchor="P26388" w:tooltip="578">
        <w:r>
          <w:rPr>
            <w:sz w:val="24"/>
            <w:color w:val="0000ff"/>
          </w:rPr>
          <w:t xml:space="preserve">578</w:t>
        </w:r>
      </w:hyperlink>
      <w:r>
        <w:rPr>
          <w:sz w:val="24"/>
        </w:rPr>
        <w:t xml:space="preserve">, </w:t>
      </w:r>
      <w:hyperlink w:history="0" w:anchor="P26526" w:tooltip="587">
        <w:r>
          <w:rPr>
            <w:sz w:val="24"/>
            <w:color w:val="0000ff"/>
          </w:rPr>
          <w:t xml:space="preserve">587</w:t>
        </w:r>
      </w:hyperlink>
      <w:r>
        <w:rPr>
          <w:sz w:val="24"/>
        </w:rPr>
        <w:t xml:space="preserve">, </w:t>
      </w:r>
      <w:hyperlink w:history="0" w:anchor="P26656" w:tooltip="596">
        <w:r>
          <w:rPr>
            <w:sz w:val="24"/>
            <w:color w:val="0000ff"/>
          </w:rPr>
          <w:t xml:space="preserve">596</w:t>
        </w:r>
      </w:hyperlink>
      <w:r>
        <w:rPr>
          <w:sz w:val="24"/>
        </w:rPr>
        <w:t xml:space="preserve">, </w:t>
      </w:r>
      <w:hyperlink w:history="0" w:anchor="P26776" w:tooltip="603">
        <w:r>
          <w:rPr>
            <w:sz w:val="24"/>
            <w:color w:val="0000ff"/>
          </w:rPr>
          <w:t xml:space="preserve">603</w:t>
        </w:r>
      </w:hyperlink>
      <w:r>
        <w:rPr>
          <w:sz w:val="24"/>
        </w:rPr>
        <w:t xml:space="preserve">, </w:t>
      </w:r>
      <w:hyperlink w:history="0" w:anchor="P26890" w:tooltip="611">
        <w:r>
          <w:rPr>
            <w:sz w:val="24"/>
            <w:color w:val="0000ff"/>
          </w:rPr>
          <w:t xml:space="preserve">611</w:t>
        </w:r>
      </w:hyperlink>
      <w:r>
        <w:rPr>
          <w:sz w:val="24"/>
        </w:rPr>
        <w:t xml:space="preserve">, </w:t>
      </w:r>
      <w:hyperlink w:history="0" w:anchor="P26996" w:tooltip="617">
        <w:r>
          <w:rPr>
            <w:sz w:val="24"/>
            <w:color w:val="0000ff"/>
          </w:rPr>
          <w:t xml:space="preserve">617</w:t>
        </w:r>
      </w:hyperlink>
      <w:r>
        <w:rPr>
          <w:sz w:val="24"/>
        </w:rPr>
        <w:t xml:space="preserve">, </w:t>
      </w:r>
      <w:hyperlink w:history="0" w:anchor="P27122" w:tooltip="622">
        <w:r>
          <w:rPr>
            <w:sz w:val="24"/>
            <w:color w:val="0000ff"/>
          </w:rPr>
          <w:t xml:space="preserve">622</w:t>
        </w:r>
      </w:hyperlink>
      <w:r>
        <w:rPr>
          <w:sz w:val="24"/>
        </w:rPr>
        <w:t xml:space="preserve">, </w:t>
      </w:r>
      <w:hyperlink w:history="0" w:anchor="P27240" w:tooltip="627">
        <w:r>
          <w:rPr>
            <w:sz w:val="24"/>
            <w:color w:val="0000ff"/>
          </w:rPr>
          <w:t xml:space="preserve">627</w:t>
        </w:r>
      </w:hyperlink>
      <w:r>
        <w:rPr>
          <w:sz w:val="24"/>
        </w:rPr>
        <w:t xml:space="preserve">, </w:t>
      </w:r>
      <w:hyperlink w:history="0" w:anchor="P27330" w:tooltip="632">
        <w:r>
          <w:rPr>
            <w:sz w:val="24"/>
            <w:color w:val="0000ff"/>
          </w:rPr>
          <w:t xml:space="preserve">632</w:t>
        </w:r>
      </w:hyperlink>
      <w:r>
        <w:rPr>
          <w:sz w:val="24"/>
        </w:rPr>
        <w:t xml:space="preserve">) указывается величина оценки риска изменения валютного курса соответственно при его росте и снижении, определенная в соответствии с </w:t>
      </w:r>
      <w:hyperlink w:history="0" r:id="rId21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7</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14. По показателям "Влияние риска изменения цен на иные активы (увеличение стоимости)" (</w:t>
      </w:r>
      <w:hyperlink w:history="0" w:anchor="P3014" w:tooltip="21">
        <w:r>
          <w:rPr>
            <w:sz w:val="24"/>
            <w:color w:val="0000ff"/>
          </w:rPr>
          <w:t xml:space="preserve">строки 21</w:t>
        </w:r>
      </w:hyperlink>
      <w:r>
        <w:rPr>
          <w:sz w:val="24"/>
        </w:rPr>
        <w:t xml:space="preserve">, </w:t>
      </w:r>
      <w:hyperlink w:history="0" w:anchor="P4156" w:tooltip="49">
        <w:r>
          <w:rPr>
            <w:sz w:val="24"/>
            <w:color w:val="0000ff"/>
          </w:rPr>
          <w:t xml:space="preserve">49</w:t>
        </w:r>
      </w:hyperlink>
      <w:r>
        <w:rPr>
          <w:sz w:val="24"/>
        </w:rPr>
        <w:t xml:space="preserve">, </w:t>
      </w:r>
      <w:hyperlink w:history="0" w:anchor="P7508" w:tooltip="113">
        <w:r>
          <w:rPr>
            <w:sz w:val="24"/>
            <w:color w:val="0000ff"/>
          </w:rPr>
          <w:t xml:space="preserve">113</w:t>
        </w:r>
      </w:hyperlink>
      <w:r>
        <w:rPr>
          <w:sz w:val="24"/>
        </w:rPr>
        <w:t xml:space="preserve">, </w:t>
      </w:r>
      <w:hyperlink w:history="0" w:anchor="P10236" w:tooltip="163">
        <w:r>
          <w:rPr>
            <w:sz w:val="24"/>
            <w:color w:val="0000ff"/>
          </w:rPr>
          <w:t xml:space="preserve">163</w:t>
        </w:r>
      </w:hyperlink>
      <w:r>
        <w:rPr>
          <w:sz w:val="24"/>
        </w:rPr>
        <w:t xml:space="preserve">, </w:t>
      </w:r>
      <w:hyperlink w:history="0" w:anchor="P11910" w:tooltip="205">
        <w:r>
          <w:rPr>
            <w:sz w:val="24"/>
            <w:color w:val="0000ff"/>
          </w:rPr>
          <w:t xml:space="preserve">205</w:t>
        </w:r>
      </w:hyperlink>
      <w:r>
        <w:rPr>
          <w:sz w:val="24"/>
        </w:rPr>
        <w:t xml:space="preserve">, </w:t>
      </w:r>
      <w:hyperlink w:history="0" w:anchor="P24294" w:tooltip="508">
        <w:r>
          <w:rPr>
            <w:sz w:val="24"/>
            <w:color w:val="0000ff"/>
          </w:rPr>
          <w:t xml:space="preserve">508</w:t>
        </w:r>
      </w:hyperlink>
      <w:r>
        <w:rPr>
          <w:sz w:val="24"/>
        </w:rPr>
        <w:t xml:space="preserve">, </w:t>
      </w:r>
      <w:hyperlink w:history="0" w:anchor="P25662" w:tooltip="548">
        <w:r>
          <w:rPr>
            <w:sz w:val="24"/>
            <w:color w:val="0000ff"/>
          </w:rPr>
          <w:t xml:space="preserve">548</w:t>
        </w:r>
      </w:hyperlink>
      <w:r>
        <w:rPr>
          <w:sz w:val="24"/>
        </w:rPr>
        <w:t xml:space="preserve">, </w:t>
      </w:r>
      <w:hyperlink w:history="0" w:anchor="P26558" w:tooltip="589">
        <w:r>
          <w:rPr>
            <w:sz w:val="24"/>
            <w:color w:val="0000ff"/>
          </w:rPr>
          <w:t xml:space="preserve">589</w:t>
        </w:r>
      </w:hyperlink>
      <w:r>
        <w:rPr>
          <w:sz w:val="24"/>
        </w:rPr>
        <w:t xml:space="preserve">) и "Влияние риска изменения цен на иные активы (снижение стоимости)" (</w:t>
      </w:r>
      <w:hyperlink w:history="0" w:anchor="P3058" w:tooltip="22">
        <w:r>
          <w:rPr>
            <w:sz w:val="24"/>
            <w:color w:val="0000ff"/>
          </w:rPr>
          <w:t xml:space="preserve">строки 22</w:t>
        </w:r>
      </w:hyperlink>
      <w:r>
        <w:rPr>
          <w:sz w:val="24"/>
        </w:rPr>
        <w:t xml:space="preserve">, </w:t>
      </w:r>
      <w:hyperlink w:history="0" w:anchor="P4196" w:tooltip="50">
        <w:r>
          <w:rPr>
            <w:sz w:val="24"/>
            <w:color w:val="0000ff"/>
          </w:rPr>
          <w:t xml:space="preserve">50</w:t>
        </w:r>
      </w:hyperlink>
      <w:r>
        <w:rPr>
          <w:sz w:val="24"/>
        </w:rPr>
        <w:t xml:space="preserve">, </w:t>
      </w:r>
      <w:hyperlink w:history="0" w:anchor="P7564" w:tooltip="114">
        <w:r>
          <w:rPr>
            <w:sz w:val="24"/>
            <w:color w:val="0000ff"/>
          </w:rPr>
          <w:t xml:space="preserve">114</w:t>
        </w:r>
      </w:hyperlink>
      <w:r>
        <w:rPr>
          <w:sz w:val="24"/>
        </w:rPr>
        <w:t xml:space="preserve">, </w:t>
      </w:r>
      <w:hyperlink w:history="0" w:anchor="P10292" w:tooltip="164">
        <w:r>
          <w:rPr>
            <w:sz w:val="24"/>
            <w:color w:val="0000ff"/>
          </w:rPr>
          <w:t xml:space="preserve">164</w:t>
        </w:r>
      </w:hyperlink>
      <w:r>
        <w:rPr>
          <w:sz w:val="24"/>
        </w:rPr>
        <w:t xml:space="preserve">, </w:t>
      </w:r>
      <w:hyperlink w:history="0" w:anchor="P11946" w:tooltip="206">
        <w:r>
          <w:rPr>
            <w:sz w:val="24"/>
            <w:color w:val="0000ff"/>
          </w:rPr>
          <w:t xml:space="preserve">206</w:t>
        </w:r>
      </w:hyperlink>
      <w:r>
        <w:rPr>
          <w:sz w:val="24"/>
        </w:rPr>
        <w:t xml:space="preserve">, </w:t>
      </w:r>
      <w:hyperlink w:history="0" w:anchor="P24342" w:tooltip="509">
        <w:r>
          <w:rPr>
            <w:sz w:val="24"/>
            <w:color w:val="0000ff"/>
          </w:rPr>
          <w:t xml:space="preserve">509</w:t>
        </w:r>
      </w:hyperlink>
      <w:r>
        <w:rPr>
          <w:sz w:val="24"/>
        </w:rPr>
        <w:t xml:space="preserve">, </w:t>
      </w:r>
      <w:hyperlink w:history="0" w:anchor="P25694" w:tooltip="549">
        <w:r>
          <w:rPr>
            <w:sz w:val="24"/>
            <w:color w:val="0000ff"/>
          </w:rPr>
          <w:t xml:space="preserve">549</w:t>
        </w:r>
      </w:hyperlink>
      <w:r>
        <w:rPr>
          <w:sz w:val="24"/>
        </w:rPr>
        <w:t xml:space="preserve">, </w:t>
      </w:r>
      <w:hyperlink w:history="0" w:anchor="P26574" w:tooltip="590">
        <w:r>
          <w:rPr>
            <w:sz w:val="24"/>
            <w:color w:val="0000ff"/>
          </w:rPr>
          <w:t xml:space="preserve">590</w:t>
        </w:r>
      </w:hyperlink>
      <w:r>
        <w:rPr>
          <w:sz w:val="24"/>
        </w:rPr>
        <w:t xml:space="preserve">) указывается величина оценки риска изменения стоимости активов, риск изменения стоимости которых не подлежит определению в рамках оценки влияния рисков изменения кредитного спреда, процентных ставок, стоимости акций и цен на недвижимость, соответственно при ее увеличении и снижении, определенная в соответствии с </w:t>
      </w:r>
      <w:hyperlink w:history="0" r:id="rId21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6</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15. По показателю "Процентная ставка, процентов годовых" (</w:t>
      </w:r>
      <w:hyperlink w:history="0" w:anchor="P3756" w:tooltip="39">
        <w:r>
          <w:rPr>
            <w:sz w:val="24"/>
            <w:color w:val="0000ff"/>
          </w:rPr>
          <w:t xml:space="preserve">строки 39</w:t>
        </w:r>
      </w:hyperlink>
      <w:r>
        <w:rPr>
          <w:sz w:val="24"/>
        </w:rPr>
        <w:t xml:space="preserve">, </w:t>
      </w:r>
      <w:hyperlink w:history="0" w:anchor="P9228" w:tooltip="145">
        <w:r>
          <w:rPr>
            <w:sz w:val="24"/>
            <w:color w:val="0000ff"/>
          </w:rPr>
          <w:t xml:space="preserve">145</w:t>
        </w:r>
      </w:hyperlink>
      <w:r>
        <w:rPr>
          <w:sz w:val="24"/>
        </w:rPr>
        <w:t xml:space="preserve">, </w:t>
      </w:r>
      <w:hyperlink w:history="0" w:anchor="P12234" w:tooltip="214">
        <w:r>
          <w:rPr>
            <w:sz w:val="24"/>
            <w:color w:val="0000ff"/>
          </w:rPr>
          <w:t xml:space="preserve">214</w:t>
        </w:r>
      </w:hyperlink>
      <w:r>
        <w:rPr>
          <w:sz w:val="24"/>
        </w:rPr>
        <w:t xml:space="preserve">) указывается размер годовой процентной ставки (для банковского вклада (депозита) - размер годовой процентной ставки, под которую размещены средства страховщика, в соответствии с условиями договора банковского вклада (депозита).</w:t>
      </w:r>
    </w:p>
    <w:p>
      <w:pPr>
        <w:pStyle w:val="0"/>
        <w:spacing w:before="240" w:lineRule="auto"/>
        <w:ind w:firstLine="540"/>
        <w:jc w:val="both"/>
      </w:pPr>
      <w:r>
        <w:rPr>
          <w:sz w:val="24"/>
        </w:rPr>
        <w:t xml:space="preserve">16. По показателю "Субординированный инструмент" (</w:t>
      </w:r>
      <w:hyperlink w:history="0" w:anchor="P3796" w:tooltip="40">
        <w:r>
          <w:rPr>
            <w:sz w:val="24"/>
            <w:color w:val="0000ff"/>
          </w:rPr>
          <w:t xml:space="preserve">строки 40</w:t>
        </w:r>
      </w:hyperlink>
      <w:r>
        <w:rPr>
          <w:sz w:val="24"/>
        </w:rPr>
        <w:t xml:space="preserve">, </w:t>
      </w:r>
      <w:hyperlink w:history="0" w:anchor="P8668" w:tooltip="135">
        <w:r>
          <w:rPr>
            <w:sz w:val="24"/>
            <w:color w:val="0000ff"/>
          </w:rPr>
          <w:t xml:space="preserve">135</w:t>
        </w:r>
      </w:hyperlink>
      <w:r>
        <w:rPr>
          <w:sz w:val="24"/>
        </w:rPr>
        <w:t xml:space="preserve">, </w:t>
      </w:r>
      <w:hyperlink w:history="0" w:anchor="P12378" w:tooltip="218">
        <w:r>
          <w:rPr>
            <w:sz w:val="24"/>
            <w:color w:val="0000ff"/>
          </w:rPr>
          <w:t xml:space="preserve">218</w:t>
        </w:r>
      </w:hyperlink>
      <w:r>
        <w:rPr>
          <w:sz w:val="24"/>
        </w:rPr>
        <w:t xml:space="preserve">) указывается значение "Да", если актив является субординированным инструментом (с указанием для облигаций даты ее приобретения по показателю "Дата приобретения (для субординированного инструмента)" </w:t>
      </w:r>
      <w:hyperlink w:history="0" w:anchor="P8724" w:tooltip="136">
        <w:r>
          <w:rPr>
            <w:sz w:val="24"/>
            <w:color w:val="0000ff"/>
          </w:rPr>
          <w:t xml:space="preserve">(строка 136)</w:t>
        </w:r>
      </w:hyperlink>
      <w:r>
        <w:rPr>
          <w:sz w:val="24"/>
        </w:rPr>
        <w:t xml:space="preserve">. В ином случае указывается значение "Нет".</w:t>
      </w:r>
    </w:p>
    <w:p>
      <w:pPr>
        <w:pStyle w:val="0"/>
        <w:spacing w:before="240" w:lineRule="auto"/>
        <w:ind w:firstLine="540"/>
        <w:jc w:val="both"/>
      </w:pPr>
      <w:r>
        <w:rPr>
          <w:sz w:val="24"/>
        </w:rPr>
        <w:t xml:space="preserve">17. По показателю "Величина кредитного спреда инструмента m" (</w:t>
      </w:r>
      <w:hyperlink w:history="0" w:anchor="P3836" w:tooltip="41">
        <w:r>
          <w:rPr>
            <w:sz w:val="24"/>
            <w:color w:val="0000ff"/>
          </w:rPr>
          <w:t xml:space="preserve">строки 41</w:t>
        </w:r>
      </w:hyperlink>
      <w:r>
        <w:rPr>
          <w:sz w:val="24"/>
        </w:rPr>
        <w:t xml:space="preserve">, </w:t>
      </w:r>
      <w:hyperlink w:history="0" w:anchor="P9676" w:tooltip="153">
        <w:r>
          <w:rPr>
            <w:sz w:val="24"/>
            <w:color w:val="0000ff"/>
          </w:rPr>
          <w:t xml:space="preserve">153</w:t>
        </w:r>
      </w:hyperlink>
      <w:r>
        <w:rPr>
          <w:sz w:val="24"/>
        </w:rPr>
        <w:t xml:space="preserve">, </w:t>
      </w:r>
      <w:hyperlink w:history="0" w:anchor="P12450" w:tooltip="220">
        <w:r>
          <w:rPr>
            <w:sz w:val="24"/>
            <w:color w:val="0000ff"/>
          </w:rPr>
          <w:t xml:space="preserve">220</w:t>
        </w:r>
      </w:hyperlink>
      <w:r>
        <w:rPr>
          <w:sz w:val="24"/>
        </w:rPr>
        <w:t xml:space="preserve">, </w:t>
      </w:r>
      <w:hyperlink w:history="0" w:anchor="P18538" w:tooltip="350">
        <w:r>
          <w:rPr>
            <w:sz w:val="24"/>
            <w:color w:val="0000ff"/>
          </w:rPr>
          <w:t xml:space="preserve">350</w:t>
        </w:r>
      </w:hyperlink>
      <w:r>
        <w:rPr>
          <w:sz w:val="24"/>
        </w:rPr>
        <w:t xml:space="preserve">) для актива, по которому указано значение показателя "Влияние риска изменения процентных ставок (рост ставок)" (</w:t>
      </w:r>
      <w:hyperlink w:history="0" w:anchor="P3956" w:tooltip="44">
        <w:r>
          <w:rPr>
            <w:sz w:val="24"/>
            <w:color w:val="0000ff"/>
          </w:rPr>
          <w:t xml:space="preserve">строки 44</w:t>
        </w:r>
      </w:hyperlink>
      <w:r>
        <w:rPr>
          <w:sz w:val="24"/>
        </w:rPr>
        <w:t xml:space="preserve">, </w:t>
      </w:r>
      <w:hyperlink w:history="0" w:anchor="P9844" w:tooltip="156">
        <w:r>
          <w:rPr>
            <w:sz w:val="24"/>
            <w:color w:val="0000ff"/>
          </w:rPr>
          <w:t xml:space="preserve">156</w:t>
        </w:r>
      </w:hyperlink>
      <w:r>
        <w:rPr>
          <w:sz w:val="24"/>
        </w:rPr>
        <w:t xml:space="preserve">, </w:t>
      </w:r>
      <w:hyperlink w:history="0" w:anchor="P12558" w:tooltip="223">
        <w:r>
          <w:rPr>
            <w:sz w:val="24"/>
            <w:color w:val="0000ff"/>
          </w:rPr>
          <w:t xml:space="preserve">223</w:t>
        </w:r>
      </w:hyperlink>
      <w:r>
        <w:rPr>
          <w:sz w:val="24"/>
        </w:rPr>
        <w:t xml:space="preserve">, </w:t>
      </w:r>
      <w:hyperlink w:history="0" w:anchor="P18646" w:tooltip="353">
        <w:r>
          <w:rPr>
            <w:sz w:val="24"/>
            <w:color w:val="0000ff"/>
          </w:rPr>
          <w:t xml:space="preserve">353</w:t>
        </w:r>
      </w:hyperlink>
      <w:r>
        <w:rPr>
          <w:sz w:val="24"/>
        </w:rPr>
        <w:t xml:space="preserve">), "Влияние риска изменения процентных ставок (снижение ставок)" (</w:t>
      </w:r>
      <w:hyperlink w:history="0" w:anchor="P3996" w:tooltip="45">
        <w:r>
          <w:rPr>
            <w:sz w:val="24"/>
            <w:color w:val="0000ff"/>
          </w:rPr>
          <w:t xml:space="preserve">строки 45</w:t>
        </w:r>
      </w:hyperlink>
      <w:r>
        <w:rPr>
          <w:sz w:val="24"/>
        </w:rPr>
        <w:t xml:space="preserve">, </w:t>
      </w:r>
      <w:hyperlink w:history="0" w:anchor="P9900" w:tooltip="157">
        <w:r>
          <w:rPr>
            <w:sz w:val="24"/>
            <w:color w:val="0000ff"/>
          </w:rPr>
          <w:t xml:space="preserve">157</w:t>
        </w:r>
      </w:hyperlink>
      <w:r>
        <w:rPr>
          <w:sz w:val="24"/>
        </w:rPr>
        <w:t xml:space="preserve">, </w:t>
      </w:r>
      <w:hyperlink w:history="0" w:anchor="P12594" w:tooltip="224">
        <w:r>
          <w:rPr>
            <w:sz w:val="24"/>
            <w:color w:val="0000ff"/>
          </w:rPr>
          <w:t xml:space="preserve">224</w:t>
        </w:r>
      </w:hyperlink>
      <w:r>
        <w:rPr>
          <w:sz w:val="24"/>
        </w:rPr>
        <w:t xml:space="preserve">, </w:t>
      </w:r>
      <w:hyperlink w:history="0" w:anchor="P18682" w:tooltip="354">
        <w:r>
          <w:rPr>
            <w:sz w:val="24"/>
            <w:color w:val="0000ff"/>
          </w:rPr>
          <w:t xml:space="preserve">354</w:t>
        </w:r>
      </w:hyperlink>
      <w:r>
        <w:rPr>
          <w:sz w:val="24"/>
        </w:rPr>
        <w:t xml:space="preserve">) или "Влияние риска изменения кредитного спреда" (</w:t>
      </w:r>
      <w:hyperlink w:history="0" w:anchor="P4036" w:tooltip="46">
        <w:r>
          <w:rPr>
            <w:sz w:val="24"/>
            <w:color w:val="0000ff"/>
          </w:rPr>
          <w:t xml:space="preserve">строки 46</w:t>
        </w:r>
      </w:hyperlink>
      <w:r>
        <w:rPr>
          <w:sz w:val="24"/>
        </w:rPr>
        <w:t xml:space="preserve">, </w:t>
      </w:r>
      <w:hyperlink w:history="0" w:anchor="P9956" w:tooltip="158">
        <w:r>
          <w:rPr>
            <w:sz w:val="24"/>
            <w:color w:val="0000ff"/>
          </w:rPr>
          <w:t xml:space="preserve">158</w:t>
        </w:r>
      </w:hyperlink>
      <w:r>
        <w:rPr>
          <w:sz w:val="24"/>
        </w:rPr>
        <w:t xml:space="preserve">, </w:t>
      </w:r>
      <w:hyperlink w:history="0" w:anchor="P12630" w:tooltip="225">
        <w:r>
          <w:rPr>
            <w:sz w:val="24"/>
            <w:color w:val="0000ff"/>
          </w:rPr>
          <w:t xml:space="preserve">225</w:t>
        </w:r>
      </w:hyperlink>
      <w:r>
        <w:rPr>
          <w:sz w:val="24"/>
        </w:rPr>
        <w:t xml:space="preserve">, </w:t>
      </w:r>
      <w:hyperlink w:history="0" w:anchor="P18718" w:tooltip="355">
        <w:r>
          <w:rPr>
            <w:sz w:val="24"/>
            <w:color w:val="0000ff"/>
          </w:rPr>
          <w:t xml:space="preserve">355</w:t>
        </w:r>
      </w:hyperlink>
      <w:r>
        <w:rPr>
          <w:sz w:val="24"/>
        </w:rPr>
        <w:t xml:space="preserve">), указывается величина кредитного спреда инструмента m, определенная в соответствии с </w:t>
      </w:r>
      <w:hyperlink w:history="0" r:id="rId21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шестнадцатым</w:t>
        </w:r>
      </w:hyperlink>
      <w:r>
        <w:rPr>
          <w:sz w:val="24"/>
        </w:rPr>
        <w:t xml:space="preserve"> - </w:t>
      </w:r>
      <w:hyperlink w:history="0" r:id="rId21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двадцать четвертым пункта 2</w:t>
        </w:r>
      </w:hyperlink>
      <w:r>
        <w:rPr>
          <w:sz w:val="24"/>
        </w:rPr>
        <w:t xml:space="preserve"> приложения 1 к Положению Банка России N 858-П. Данные указываются с точностью до десяти знаков после запятой.</w:t>
      </w:r>
    </w:p>
    <w:p>
      <w:pPr>
        <w:pStyle w:val="0"/>
        <w:spacing w:before="240" w:lineRule="auto"/>
        <w:ind w:firstLine="540"/>
        <w:jc w:val="both"/>
      </w:pPr>
      <w:r>
        <w:rPr>
          <w:sz w:val="24"/>
        </w:rPr>
        <w:t xml:space="preserve">18. По показателям "Влияние риска изменения процентных ставок (рост ставок)" (</w:t>
      </w:r>
      <w:hyperlink w:history="0" w:anchor="P3956" w:tooltip="44">
        <w:r>
          <w:rPr>
            <w:sz w:val="24"/>
            <w:color w:val="0000ff"/>
          </w:rPr>
          <w:t xml:space="preserve">строки 44</w:t>
        </w:r>
      </w:hyperlink>
      <w:r>
        <w:rPr>
          <w:sz w:val="24"/>
        </w:rPr>
        <w:t xml:space="preserve">, </w:t>
      </w:r>
      <w:hyperlink w:history="0" w:anchor="P9844" w:tooltip="156">
        <w:r>
          <w:rPr>
            <w:sz w:val="24"/>
            <w:color w:val="0000ff"/>
          </w:rPr>
          <w:t xml:space="preserve">156</w:t>
        </w:r>
      </w:hyperlink>
      <w:r>
        <w:rPr>
          <w:sz w:val="24"/>
        </w:rPr>
        <w:t xml:space="preserve">, </w:t>
      </w:r>
      <w:hyperlink w:history="0" w:anchor="P11622" w:tooltip="197">
        <w:r>
          <w:rPr>
            <w:sz w:val="24"/>
            <w:color w:val="0000ff"/>
          </w:rPr>
          <w:t xml:space="preserve">197</w:t>
        </w:r>
      </w:hyperlink>
      <w:r>
        <w:rPr>
          <w:sz w:val="24"/>
        </w:rPr>
        <w:t xml:space="preserve">, </w:t>
      </w:r>
      <w:hyperlink w:history="0" w:anchor="P12558" w:tooltip="223">
        <w:r>
          <w:rPr>
            <w:sz w:val="24"/>
            <w:color w:val="0000ff"/>
          </w:rPr>
          <w:t xml:space="preserve">223</w:t>
        </w:r>
      </w:hyperlink>
      <w:r>
        <w:rPr>
          <w:sz w:val="24"/>
        </w:rPr>
        <w:t xml:space="preserve">, </w:t>
      </w:r>
      <w:hyperlink w:history="0" w:anchor="P18646" w:tooltip="353">
        <w:r>
          <w:rPr>
            <w:sz w:val="24"/>
            <w:color w:val="0000ff"/>
          </w:rPr>
          <w:t xml:space="preserve">353</w:t>
        </w:r>
      </w:hyperlink>
      <w:r>
        <w:rPr>
          <w:sz w:val="24"/>
        </w:rPr>
        <w:t xml:space="preserve">, </w:t>
      </w:r>
      <w:hyperlink w:history="0" w:anchor="P23616" w:tooltip="492">
        <w:r>
          <w:rPr>
            <w:sz w:val="24"/>
            <w:color w:val="0000ff"/>
          </w:rPr>
          <w:t xml:space="preserve">492</w:t>
        </w:r>
      </w:hyperlink>
      <w:r>
        <w:rPr>
          <w:sz w:val="24"/>
        </w:rPr>
        <w:t xml:space="preserve">, </w:t>
      </w:r>
      <w:hyperlink w:history="0" w:anchor="P25406" w:tooltip="540">
        <w:r>
          <w:rPr>
            <w:sz w:val="24"/>
            <w:color w:val="0000ff"/>
          </w:rPr>
          <w:t xml:space="preserve">540</w:t>
        </w:r>
      </w:hyperlink>
      <w:r>
        <w:rPr>
          <w:sz w:val="24"/>
        </w:rPr>
        <w:t xml:space="preserve">, </w:t>
      </w:r>
      <w:hyperlink w:history="0" w:anchor="P26352" w:tooltip="575">
        <w:r>
          <w:rPr>
            <w:sz w:val="24"/>
            <w:color w:val="0000ff"/>
          </w:rPr>
          <w:t xml:space="preserve">575</w:t>
        </w:r>
      </w:hyperlink>
      <w:r>
        <w:rPr>
          <w:sz w:val="24"/>
        </w:rPr>
        <w:t xml:space="preserve">, </w:t>
      </w:r>
      <w:hyperlink w:history="0" w:anchor="P26446" w:tooltip="582">
        <w:r>
          <w:rPr>
            <w:sz w:val="24"/>
            <w:color w:val="0000ff"/>
          </w:rPr>
          <w:t xml:space="preserve">582</w:t>
        </w:r>
      </w:hyperlink>
      <w:r>
        <w:rPr>
          <w:sz w:val="24"/>
        </w:rPr>
        <w:t xml:space="preserve">, </w:t>
      </w:r>
      <w:hyperlink w:history="0" w:anchor="P26620" w:tooltip="593">
        <w:r>
          <w:rPr>
            <w:sz w:val="24"/>
            <w:color w:val="0000ff"/>
          </w:rPr>
          <w:t xml:space="preserve">593</w:t>
        </w:r>
      </w:hyperlink>
      <w:r>
        <w:rPr>
          <w:sz w:val="24"/>
        </w:rPr>
        <w:t xml:space="preserve">) и "Влияние риска изменения процентных ставок (снижение ставок)" (</w:t>
      </w:r>
      <w:hyperlink w:history="0" w:anchor="P3996" w:tooltip="45">
        <w:r>
          <w:rPr>
            <w:sz w:val="24"/>
            <w:color w:val="0000ff"/>
          </w:rPr>
          <w:t xml:space="preserve">строки 45</w:t>
        </w:r>
      </w:hyperlink>
      <w:r>
        <w:rPr>
          <w:sz w:val="24"/>
        </w:rPr>
        <w:t xml:space="preserve">, </w:t>
      </w:r>
      <w:hyperlink w:history="0" w:anchor="P9900" w:tooltip="157">
        <w:r>
          <w:rPr>
            <w:sz w:val="24"/>
            <w:color w:val="0000ff"/>
          </w:rPr>
          <w:t xml:space="preserve">157</w:t>
        </w:r>
      </w:hyperlink>
      <w:r>
        <w:rPr>
          <w:sz w:val="24"/>
        </w:rPr>
        <w:t xml:space="preserve">, </w:t>
      </w:r>
      <w:hyperlink w:history="0" w:anchor="P11658" w:tooltip="198">
        <w:r>
          <w:rPr>
            <w:sz w:val="24"/>
            <w:color w:val="0000ff"/>
          </w:rPr>
          <w:t xml:space="preserve">198</w:t>
        </w:r>
      </w:hyperlink>
      <w:r>
        <w:rPr>
          <w:sz w:val="24"/>
        </w:rPr>
        <w:t xml:space="preserve">, </w:t>
      </w:r>
      <w:hyperlink w:history="0" w:anchor="P12594" w:tooltip="224">
        <w:r>
          <w:rPr>
            <w:sz w:val="24"/>
            <w:color w:val="0000ff"/>
          </w:rPr>
          <w:t xml:space="preserve">224</w:t>
        </w:r>
      </w:hyperlink>
      <w:r>
        <w:rPr>
          <w:sz w:val="24"/>
        </w:rPr>
        <w:t xml:space="preserve">, </w:t>
      </w:r>
      <w:hyperlink w:history="0" w:anchor="P18682" w:tooltip="354">
        <w:r>
          <w:rPr>
            <w:sz w:val="24"/>
            <w:color w:val="0000ff"/>
          </w:rPr>
          <w:t xml:space="preserve">354</w:t>
        </w:r>
      </w:hyperlink>
      <w:r>
        <w:rPr>
          <w:sz w:val="24"/>
        </w:rPr>
        <w:t xml:space="preserve">, </w:t>
      </w:r>
      <w:hyperlink w:history="0" w:anchor="P23680" w:tooltip="493">
        <w:r>
          <w:rPr>
            <w:sz w:val="24"/>
            <w:color w:val="0000ff"/>
          </w:rPr>
          <w:t xml:space="preserve">493</w:t>
        </w:r>
      </w:hyperlink>
      <w:r>
        <w:rPr>
          <w:sz w:val="24"/>
        </w:rPr>
        <w:t xml:space="preserve">, </w:t>
      </w:r>
      <w:hyperlink w:history="0" w:anchor="P25438" w:tooltip="541">
        <w:r>
          <w:rPr>
            <w:sz w:val="24"/>
            <w:color w:val="0000ff"/>
          </w:rPr>
          <w:t xml:space="preserve">541</w:t>
        </w:r>
      </w:hyperlink>
      <w:r>
        <w:rPr>
          <w:sz w:val="24"/>
        </w:rPr>
        <w:t xml:space="preserve">, </w:t>
      </w:r>
      <w:hyperlink w:history="0" w:anchor="P26364" w:tooltip="576">
        <w:r>
          <w:rPr>
            <w:sz w:val="24"/>
            <w:color w:val="0000ff"/>
          </w:rPr>
          <w:t xml:space="preserve">576</w:t>
        </w:r>
      </w:hyperlink>
      <w:r>
        <w:rPr>
          <w:sz w:val="24"/>
        </w:rPr>
        <w:t xml:space="preserve">, </w:t>
      </w:r>
      <w:hyperlink w:history="0" w:anchor="P26462" w:tooltip="583">
        <w:r>
          <w:rPr>
            <w:sz w:val="24"/>
            <w:color w:val="0000ff"/>
          </w:rPr>
          <w:t xml:space="preserve">583</w:t>
        </w:r>
      </w:hyperlink>
      <w:r>
        <w:rPr>
          <w:sz w:val="24"/>
        </w:rPr>
        <w:t xml:space="preserve">, </w:t>
      </w:r>
      <w:hyperlink w:history="0" w:anchor="P26632" w:tooltip="594">
        <w:r>
          <w:rPr>
            <w:sz w:val="24"/>
            <w:color w:val="0000ff"/>
          </w:rPr>
          <w:t xml:space="preserve">594</w:t>
        </w:r>
      </w:hyperlink>
      <w:r>
        <w:rPr>
          <w:sz w:val="24"/>
        </w:rPr>
        <w:t xml:space="preserve">) указывается определенная в соответствии с </w:t>
      </w:r>
      <w:hyperlink w:history="0" r:id="rId21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3</w:t>
        </w:r>
      </w:hyperlink>
      <w:r>
        <w:rPr>
          <w:sz w:val="24"/>
        </w:rPr>
        <w:t xml:space="preserve"> приложения 1 к Положению Банка России N 858-П величина оценки риска изменения процентных ставок при их росте и снижении соответственно.</w:t>
      </w:r>
    </w:p>
    <w:p>
      <w:pPr>
        <w:pStyle w:val="0"/>
        <w:spacing w:before="240" w:lineRule="auto"/>
        <w:ind w:firstLine="540"/>
        <w:jc w:val="both"/>
      </w:pPr>
      <w:r>
        <w:rPr>
          <w:sz w:val="24"/>
        </w:rPr>
        <w:t xml:space="preserve">19. По показателю "Влияние риска изменения кредитного спреда" (</w:t>
      </w:r>
      <w:hyperlink w:history="0" w:anchor="P4036" w:tooltip="46">
        <w:r>
          <w:rPr>
            <w:sz w:val="24"/>
            <w:color w:val="0000ff"/>
          </w:rPr>
          <w:t xml:space="preserve">строки 46</w:t>
        </w:r>
      </w:hyperlink>
      <w:r>
        <w:rPr>
          <w:sz w:val="24"/>
        </w:rPr>
        <w:t xml:space="preserve">, </w:t>
      </w:r>
      <w:hyperlink w:history="0" w:anchor="P9956" w:tooltip="158">
        <w:r>
          <w:rPr>
            <w:sz w:val="24"/>
            <w:color w:val="0000ff"/>
          </w:rPr>
          <w:t xml:space="preserve">158</w:t>
        </w:r>
      </w:hyperlink>
      <w:r>
        <w:rPr>
          <w:sz w:val="24"/>
        </w:rPr>
        <w:t xml:space="preserve">, </w:t>
      </w:r>
      <w:hyperlink w:history="0" w:anchor="P11694" w:tooltip="199">
        <w:r>
          <w:rPr>
            <w:sz w:val="24"/>
            <w:color w:val="0000ff"/>
          </w:rPr>
          <w:t xml:space="preserve">199</w:t>
        </w:r>
      </w:hyperlink>
      <w:r>
        <w:rPr>
          <w:sz w:val="24"/>
        </w:rPr>
        <w:t xml:space="preserve">, </w:t>
      </w:r>
      <w:hyperlink w:history="0" w:anchor="P12630" w:tooltip="225">
        <w:r>
          <w:rPr>
            <w:sz w:val="24"/>
            <w:color w:val="0000ff"/>
          </w:rPr>
          <w:t xml:space="preserve">225</w:t>
        </w:r>
      </w:hyperlink>
      <w:r>
        <w:rPr>
          <w:sz w:val="24"/>
        </w:rPr>
        <w:t xml:space="preserve">, </w:t>
      </w:r>
      <w:hyperlink w:history="0" w:anchor="P18718" w:tooltip="355">
        <w:r>
          <w:rPr>
            <w:sz w:val="24"/>
            <w:color w:val="0000ff"/>
          </w:rPr>
          <w:t xml:space="preserve">355</w:t>
        </w:r>
      </w:hyperlink>
      <w:r>
        <w:rPr>
          <w:sz w:val="24"/>
        </w:rPr>
        <w:t xml:space="preserve">, </w:t>
      </w:r>
      <w:hyperlink w:history="0" w:anchor="P25470" w:tooltip="542">
        <w:r>
          <w:rPr>
            <w:sz w:val="24"/>
            <w:color w:val="0000ff"/>
          </w:rPr>
          <w:t xml:space="preserve">542</w:t>
        </w:r>
      </w:hyperlink>
      <w:r>
        <w:rPr>
          <w:sz w:val="24"/>
        </w:rPr>
        <w:t xml:space="preserve">, </w:t>
      </w:r>
      <w:hyperlink w:history="0" w:anchor="P26430" w:tooltip="581">
        <w:r>
          <w:rPr>
            <w:sz w:val="24"/>
            <w:color w:val="0000ff"/>
          </w:rPr>
          <w:t xml:space="preserve">581</w:t>
        </w:r>
      </w:hyperlink>
      <w:r>
        <w:rPr>
          <w:sz w:val="24"/>
        </w:rPr>
        <w:t xml:space="preserve">) указывается величина оценки риска изменения кредитного спреда, определенная в соответствии с </w:t>
      </w:r>
      <w:hyperlink w:history="0" r:id="rId21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2</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20. По показателю "Код ISIN ценной бумаги" (</w:t>
      </w:r>
      <w:hyperlink w:history="0" w:anchor="P4318" w:tooltip="53">
        <w:r>
          <w:rPr>
            <w:sz w:val="24"/>
            <w:color w:val="0000ff"/>
          </w:rPr>
          <w:t xml:space="preserve">строки 53</w:t>
        </w:r>
      </w:hyperlink>
      <w:r>
        <w:rPr>
          <w:sz w:val="24"/>
        </w:rPr>
        <w:t xml:space="preserve">, </w:t>
      </w:r>
      <w:hyperlink w:history="0" w:anchor="P5724" w:tooltip="78">
        <w:r>
          <w:rPr>
            <w:sz w:val="24"/>
            <w:color w:val="0000ff"/>
          </w:rPr>
          <w:t xml:space="preserve">78</w:t>
        </w:r>
      </w:hyperlink>
      <w:r>
        <w:rPr>
          <w:sz w:val="24"/>
        </w:rPr>
        <w:t xml:space="preserve">, </w:t>
      </w:r>
      <w:hyperlink w:history="0" w:anchor="P6384" w:tooltip="93">
        <w:r>
          <w:rPr>
            <w:sz w:val="24"/>
            <w:color w:val="0000ff"/>
          </w:rPr>
          <w:t xml:space="preserve">93</w:t>
        </w:r>
      </w:hyperlink>
      <w:r>
        <w:rPr>
          <w:sz w:val="24"/>
        </w:rPr>
        <w:t xml:space="preserve">, </w:t>
      </w:r>
      <w:hyperlink w:history="0" w:anchor="P7734" w:tooltip="117">
        <w:r>
          <w:rPr>
            <w:sz w:val="24"/>
            <w:color w:val="0000ff"/>
          </w:rPr>
          <w:t xml:space="preserve">117</w:t>
        </w:r>
      </w:hyperlink>
      <w:r>
        <w:rPr>
          <w:sz w:val="24"/>
        </w:rPr>
        <w:t xml:space="preserve">, </w:t>
      </w:r>
      <w:hyperlink w:history="0" w:anchor="P8216" w:tooltip="127">
        <w:r>
          <w:rPr>
            <w:sz w:val="24"/>
            <w:color w:val="0000ff"/>
          </w:rPr>
          <w:t xml:space="preserve">127</w:t>
        </w:r>
      </w:hyperlink>
      <w:r>
        <w:rPr>
          <w:sz w:val="24"/>
        </w:rPr>
        <w:t xml:space="preserve">, </w:t>
      </w:r>
      <w:hyperlink w:history="0" w:anchor="P10492" w:tooltip="168">
        <w:r>
          <w:rPr>
            <w:sz w:val="24"/>
            <w:color w:val="0000ff"/>
          </w:rPr>
          <w:t xml:space="preserve">168</w:t>
        </w:r>
      </w:hyperlink>
      <w:r>
        <w:rPr>
          <w:sz w:val="24"/>
        </w:rPr>
        <w:t xml:space="preserve">, </w:t>
      </w:r>
      <w:hyperlink w:history="0" w:anchor="P10934" w:tooltip="178">
        <w:r>
          <w:rPr>
            <w:sz w:val="24"/>
            <w:color w:val="0000ff"/>
          </w:rPr>
          <w:t xml:space="preserve">178</w:t>
        </w:r>
      </w:hyperlink>
      <w:r>
        <w:rPr>
          <w:sz w:val="24"/>
        </w:rPr>
        <w:t xml:space="preserve">, </w:t>
      </w:r>
      <w:hyperlink w:history="0" w:anchor="P25246" w:tooltip="535">
        <w:r>
          <w:rPr>
            <w:sz w:val="24"/>
            <w:color w:val="0000ff"/>
          </w:rPr>
          <w:t xml:space="preserve">535</w:t>
        </w:r>
      </w:hyperlink>
      <w:r>
        <w:rPr>
          <w:sz w:val="24"/>
        </w:rPr>
        <w:t xml:space="preserve">, </w:t>
      </w:r>
      <w:hyperlink w:history="0" w:anchor="P25950" w:tooltip="557">
        <w:r>
          <w:rPr>
            <w:sz w:val="24"/>
            <w:color w:val="0000ff"/>
          </w:rPr>
          <w:t xml:space="preserve">557</w:t>
        </w:r>
      </w:hyperlink>
      <w:r>
        <w:rPr>
          <w:sz w:val="24"/>
        </w:rPr>
        <w:t xml:space="preserve">) указывается международный идентификационный код ценной бумаги (International Security Identification Number) (далее, - код ISIN) (при наличии).</w:t>
      </w:r>
    </w:p>
    <w:p>
      <w:pPr>
        <w:pStyle w:val="0"/>
        <w:spacing w:before="240" w:lineRule="auto"/>
        <w:ind w:firstLine="540"/>
        <w:jc w:val="both"/>
      </w:pPr>
      <w:r>
        <w:rPr>
          <w:sz w:val="24"/>
        </w:rPr>
        <w:t xml:space="preserve">21. По показателю "Код классификации финансовых инструментов (CFI)" (</w:t>
      </w:r>
      <w:hyperlink w:history="0" w:anchor="P4374" w:tooltip="54">
        <w:r>
          <w:rPr>
            <w:sz w:val="24"/>
            <w:color w:val="0000ff"/>
          </w:rPr>
          <w:t xml:space="preserve">строки 54</w:t>
        </w:r>
      </w:hyperlink>
      <w:r>
        <w:rPr>
          <w:sz w:val="24"/>
        </w:rPr>
        <w:t xml:space="preserve">, </w:t>
      </w:r>
      <w:hyperlink w:history="0" w:anchor="P6440" w:tooltip="94">
        <w:r>
          <w:rPr>
            <w:sz w:val="24"/>
            <w:color w:val="0000ff"/>
          </w:rPr>
          <w:t xml:space="preserve">94</w:t>
        </w:r>
      </w:hyperlink>
      <w:r>
        <w:rPr>
          <w:sz w:val="24"/>
        </w:rPr>
        <w:t xml:space="preserve">, </w:t>
      </w:r>
      <w:hyperlink w:history="0" w:anchor="P8272" w:tooltip="128">
        <w:r>
          <w:rPr>
            <w:sz w:val="24"/>
            <w:color w:val="0000ff"/>
          </w:rPr>
          <w:t xml:space="preserve">128</w:t>
        </w:r>
      </w:hyperlink>
      <w:r>
        <w:rPr>
          <w:sz w:val="24"/>
        </w:rPr>
        <w:t xml:space="preserve">, </w:t>
      </w:r>
      <w:hyperlink w:history="0" w:anchor="P10536" w:tooltip="169">
        <w:r>
          <w:rPr>
            <w:sz w:val="24"/>
            <w:color w:val="0000ff"/>
          </w:rPr>
          <w:t xml:space="preserve">169</w:t>
        </w:r>
      </w:hyperlink>
      <w:r>
        <w:rPr>
          <w:sz w:val="24"/>
        </w:rPr>
        <w:t xml:space="preserve">, </w:t>
      </w:r>
      <w:hyperlink w:history="0" w:anchor="P10970" w:tooltip="179">
        <w:r>
          <w:rPr>
            <w:sz w:val="24"/>
            <w:color w:val="0000ff"/>
          </w:rPr>
          <w:t xml:space="preserve">179</w:t>
        </w:r>
      </w:hyperlink>
      <w:r>
        <w:rPr>
          <w:sz w:val="24"/>
        </w:rPr>
        <w:t xml:space="preserve">, </w:t>
      </w:r>
      <w:hyperlink w:history="0" w:anchor="P25278" w:tooltip="536">
        <w:r>
          <w:rPr>
            <w:sz w:val="24"/>
            <w:color w:val="0000ff"/>
          </w:rPr>
          <w:t xml:space="preserve">536</w:t>
        </w:r>
      </w:hyperlink>
      <w:r>
        <w:rPr>
          <w:sz w:val="24"/>
        </w:rPr>
        <w:t xml:space="preserve">) указывается международный код классификации финансовых инструментов (Classification of Financial Instruments, CFI) (при наличии).</w:t>
      </w:r>
    </w:p>
    <w:p>
      <w:pPr>
        <w:pStyle w:val="0"/>
        <w:spacing w:before="240" w:lineRule="auto"/>
        <w:ind w:firstLine="540"/>
        <w:jc w:val="both"/>
      </w:pPr>
      <w:r>
        <w:rPr>
          <w:sz w:val="24"/>
        </w:rPr>
        <w:t xml:space="preserve">22. По показателю "Категория долевых ценных бумаг" (</w:t>
      </w:r>
      <w:hyperlink w:history="0" w:anchor="P4430" w:tooltip="55">
        <w:r>
          <w:rPr>
            <w:sz w:val="24"/>
            <w:color w:val="0000ff"/>
          </w:rPr>
          <w:t xml:space="preserve">строки 55</w:t>
        </w:r>
      </w:hyperlink>
      <w:r>
        <w:rPr>
          <w:sz w:val="24"/>
        </w:rPr>
        <w:t xml:space="preserve">, </w:t>
      </w:r>
      <w:hyperlink w:history="0" w:anchor="P5772" w:tooltip="79">
        <w:r>
          <w:rPr>
            <w:sz w:val="24"/>
            <w:color w:val="0000ff"/>
          </w:rPr>
          <w:t xml:space="preserve">79</w:t>
        </w:r>
      </w:hyperlink>
      <w:r>
        <w:rPr>
          <w:sz w:val="24"/>
        </w:rPr>
        <w:t xml:space="preserve">) указывается категория долевых ценных бумаг в зависимости от их эмитента: эмитенты-резиденты (кредитные организации, некредитные финансовые организации или нефинансовые организации) или эмитенты-нерезиденты (в том числе банки-нерезиденты).</w:t>
      </w:r>
    </w:p>
    <w:p>
      <w:pPr>
        <w:pStyle w:val="0"/>
        <w:spacing w:before="240" w:lineRule="auto"/>
        <w:ind w:firstLine="540"/>
        <w:jc w:val="both"/>
      </w:pPr>
      <w:r>
        <w:rPr>
          <w:sz w:val="24"/>
        </w:rPr>
        <w:t xml:space="preserve">23. По показателям "Количество единиц актива" (</w:t>
      </w:r>
      <w:hyperlink w:history="0" w:anchor="P4542" w:tooltip="57">
        <w:r>
          <w:rPr>
            <w:sz w:val="24"/>
            <w:color w:val="0000ff"/>
          </w:rPr>
          <w:t xml:space="preserve">строки 57</w:t>
        </w:r>
      </w:hyperlink>
      <w:r>
        <w:rPr>
          <w:sz w:val="24"/>
        </w:rPr>
        <w:t xml:space="preserve">, </w:t>
      </w:r>
      <w:hyperlink w:history="0" w:anchor="P5868" w:tooltip="81">
        <w:r>
          <w:rPr>
            <w:sz w:val="24"/>
            <w:color w:val="0000ff"/>
          </w:rPr>
          <w:t xml:space="preserve">81</w:t>
        </w:r>
      </w:hyperlink>
      <w:r>
        <w:rPr>
          <w:sz w:val="24"/>
        </w:rPr>
        <w:t xml:space="preserve">, </w:t>
      </w:r>
      <w:hyperlink w:history="0" w:anchor="P6552" w:tooltip="96">
        <w:r>
          <w:rPr>
            <w:sz w:val="24"/>
            <w:color w:val="0000ff"/>
          </w:rPr>
          <w:t xml:space="preserve">96</w:t>
        </w:r>
      </w:hyperlink>
      <w:r>
        <w:rPr>
          <w:sz w:val="24"/>
        </w:rPr>
        <w:t xml:space="preserve">, </w:t>
      </w:r>
      <w:hyperlink w:history="0" w:anchor="P7830" w:tooltip="119">
        <w:r>
          <w:rPr>
            <w:sz w:val="24"/>
            <w:color w:val="0000ff"/>
          </w:rPr>
          <w:t xml:space="preserve">119</w:t>
        </w:r>
      </w:hyperlink>
      <w:r>
        <w:rPr>
          <w:sz w:val="24"/>
        </w:rPr>
        <w:t xml:space="preserve">, </w:t>
      </w:r>
      <w:hyperlink w:history="0" w:anchor="P8440" w:tooltip="131">
        <w:r>
          <w:rPr>
            <w:sz w:val="24"/>
            <w:color w:val="0000ff"/>
          </w:rPr>
          <w:t xml:space="preserve">131</w:t>
        </w:r>
      </w:hyperlink>
      <w:r>
        <w:rPr>
          <w:sz w:val="24"/>
        </w:rPr>
        <w:t xml:space="preserve">, </w:t>
      </w:r>
      <w:hyperlink w:history="0" w:anchor="P10624" w:tooltip="171">
        <w:r>
          <w:rPr>
            <w:sz w:val="24"/>
            <w:color w:val="0000ff"/>
          </w:rPr>
          <w:t xml:space="preserve">171</w:t>
        </w:r>
      </w:hyperlink>
      <w:r>
        <w:rPr>
          <w:sz w:val="24"/>
        </w:rPr>
        <w:t xml:space="preserve">, </w:t>
      </w:r>
      <w:hyperlink w:history="0" w:anchor="P15484" w:tooltip="287">
        <w:r>
          <w:rPr>
            <w:sz w:val="24"/>
            <w:color w:val="0000ff"/>
          </w:rPr>
          <w:t xml:space="preserve">287</w:t>
        </w:r>
      </w:hyperlink>
      <w:r>
        <w:rPr>
          <w:sz w:val="24"/>
        </w:rPr>
        <w:t xml:space="preserve">) указывается количество ценных бумаг в штуках.</w:t>
      </w:r>
    </w:p>
    <w:p>
      <w:pPr>
        <w:pStyle w:val="0"/>
        <w:spacing w:before="240" w:lineRule="auto"/>
        <w:ind w:firstLine="540"/>
        <w:jc w:val="both"/>
      </w:pPr>
      <w:r>
        <w:rPr>
          <w:sz w:val="24"/>
        </w:rPr>
        <w:t xml:space="preserve">24. По показателю "Номинальная стоимость одной ценной бумаги, в единицах валюты номинала" (</w:t>
      </w:r>
      <w:hyperlink w:history="0" w:anchor="P4714" w:tooltip="60">
        <w:r>
          <w:rPr>
            <w:sz w:val="24"/>
            <w:color w:val="0000ff"/>
          </w:rPr>
          <w:t xml:space="preserve">строки 60</w:t>
        </w:r>
      </w:hyperlink>
      <w:r>
        <w:rPr>
          <w:sz w:val="24"/>
        </w:rPr>
        <w:t xml:space="preserve">, </w:t>
      </w:r>
      <w:hyperlink w:history="0" w:anchor="P5964" w:tooltip="83">
        <w:r>
          <w:rPr>
            <w:sz w:val="24"/>
            <w:color w:val="0000ff"/>
          </w:rPr>
          <w:t xml:space="preserve">83</w:t>
        </w:r>
      </w:hyperlink>
      <w:r>
        <w:rPr>
          <w:sz w:val="24"/>
        </w:rPr>
        <w:t xml:space="preserve">, </w:t>
      </w:r>
      <w:hyperlink w:history="0" w:anchor="P9060" w:tooltip="142">
        <w:r>
          <w:rPr>
            <w:sz w:val="24"/>
            <w:color w:val="0000ff"/>
          </w:rPr>
          <w:t xml:space="preserve">142</w:t>
        </w:r>
      </w:hyperlink>
      <w:r>
        <w:rPr>
          <w:sz w:val="24"/>
        </w:rPr>
        <w:t xml:space="preserve">) указывается номинальная стоимость (для облигаций - непогашенная номинальная стоимость) одной ценной бумаги в единицах валюты номинала, указанной по показателю "Код валюты" (</w:t>
      </w:r>
      <w:hyperlink w:history="0" w:anchor="P4486" w:tooltip="56">
        <w:r>
          <w:rPr>
            <w:sz w:val="24"/>
            <w:color w:val="0000ff"/>
          </w:rPr>
          <w:t xml:space="preserve">строки 56</w:t>
        </w:r>
      </w:hyperlink>
      <w:r>
        <w:rPr>
          <w:sz w:val="24"/>
        </w:rPr>
        <w:t xml:space="preserve">, </w:t>
      </w:r>
      <w:hyperlink w:history="0" w:anchor="P5820" w:tooltip="80">
        <w:r>
          <w:rPr>
            <w:sz w:val="24"/>
            <w:color w:val="0000ff"/>
          </w:rPr>
          <w:t xml:space="preserve">80</w:t>
        </w:r>
      </w:hyperlink>
      <w:r>
        <w:rPr>
          <w:sz w:val="24"/>
        </w:rPr>
        <w:t xml:space="preserve">, </w:t>
      </w:r>
      <w:hyperlink w:history="0" w:anchor="P8384" w:tooltip="130">
        <w:r>
          <w:rPr>
            <w:sz w:val="24"/>
            <w:color w:val="0000ff"/>
          </w:rPr>
          <w:t xml:space="preserve">130</w:t>
        </w:r>
      </w:hyperlink>
      <w:r>
        <w:rPr>
          <w:sz w:val="24"/>
        </w:rPr>
        <w:t xml:space="preserve">).</w:t>
      </w:r>
    </w:p>
    <w:p>
      <w:pPr>
        <w:pStyle w:val="0"/>
        <w:spacing w:before="240" w:lineRule="auto"/>
        <w:ind w:firstLine="540"/>
        <w:jc w:val="both"/>
      </w:pPr>
      <w:r>
        <w:rPr>
          <w:sz w:val="24"/>
        </w:rPr>
        <w:t xml:space="preserve">25. В случае если ценные бумаги включены на конец отчетного периода организатором торговли на рынке ценных бумаг в Российской Федерации (российской биржей) в котировальные списки, по показателю "Котировальный список" (</w:t>
      </w:r>
      <w:hyperlink w:history="0" w:anchor="P4770" w:tooltip="61">
        <w:r>
          <w:rPr>
            <w:sz w:val="24"/>
            <w:color w:val="0000ff"/>
          </w:rPr>
          <w:t xml:space="preserve">строки 61</w:t>
        </w:r>
      </w:hyperlink>
      <w:r>
        <w:rPr>
          <w:sz w:val="24"/>
        </w:rPr>
        <w:t xml:space="preserve">, </w:t>
      </w:r>
      <w:hyperlink w:history="0" w:anchor="P6724" w:tooltip="99">
        <w:r>
          <w:rPr>
            <w:sz w:val="24"/>
            <w:color w:val="0000ff"/>
          </w:rPr>
          <w:t xml:space="preserve">99</w:t>
        </w:r>
      </w:hyperlink>
      <w:r>
        <w:rPr>
          <w:sz w:val="24"/>
        </w:rPr>
        <w:t xml:space="preserve">, </w:t>
      </w:r>
      <w:hyperlink w:history="0" w:anchor="P7926" w:tooltip="121">
        <w:r>
          <w:rPr>
            <w:sz w:val="24"/>
            <w:color w:val="0000ff"/>
          </w:rPr>
          <w:t xml:space="preserve">121</w:t>
        </w:r>
      </w:hyperlink>
      <w:r>
        <w:rPr>
          <w:sz w:val="24"/>
        </w:rPr>
        <w:t xml:space="preserve">, </w:t>
      </w:r>
      <w:hyperlink w:history="0" w:anchor="P9116" w:tooltip="143">
        <w:r>
          <w:rPr>
            <w:sz w:val="24"/>
            <w:color w:val="0000ff"/>
          </w:rPr>
          <w:t xml:space="preserve">143</w:t>
        </w:r>
      </w:hyperlink>
      <w:r>
        <w:rPr>
          <w:sz w:val="24"/>
        </w:rPr>
        <w:t xml:space="preserve">, </w:t>
      </w:r>
      <w:hyperlink w:history="0" w:anchor="P10712" w:tooltip="173">
        <w:r>
          <w:rPr>
            <w:sz w:val="24"/>
            <w:color w:val="0000ff"/>
          </w:rPr>
          <w:t xml:space="preserve">173</w:t>
        </w:r>
      </w:hyperlink>
      <w:r>
        <w:rPr>
          <w:sz w:val="24"/>
        </w:rPr>
        <w:t xml:space="preserve">) указывается наименование котировального списка: "Список первого (высшего) уровня", "Список второго уровня", по показателю "Наименование организатора торговли на рынке ценных бумаг, в котировальный список которого включена ценная бумага" (</w:t>
      </w:r>
      <w:hyperlink w:history="0" w:anchor="P4826" w:tooltip="62">
        <w:r>
          <w:rPr>
            <w:sz w:val="24"/>
            <w:color w:val="0000ff"/>
          </w:rPr>
          <w:t xml:space="preserve">строки 62</w:t>
        </w:r>
      </w:hyperlink>
      <w:r>
        <w:rPr>
          <w:sz w:val="24"/>
        </w:rPr>
        <w:t xml:space="preserve">, </w:t>
      </w:r>
      <w:hyperlink w:history="0" w:anchor="P6780" w:tooltip="100">
        <w:r>
          <w:rPr>
            <w:sz w:val="24"/>
            <w:color w:val="0000ff"/>
          </w:rPr>
          <w:t xml:space="preserve">100</w:t>
        </w:r>
      </w:hyperlink>
      <w:r>
        <w:rPr>
          <w:sz w:val="24"/>
        </w:rPr>
        <w:t xml:space="preserve">, </w:t>
      </w:r>
      <w:hyperlink w:history="0" w:anchor="P7974" w:tooltip="122">
        <w:r>
          <w:rPr>
            <w:sz w:val="24"/>
            <w:color w:val="0000ff"/>
          </w:rPr>
          <w:t xml:space="preserve">122</w:t>
        </w:r>
      </w:hyperlink>
      <w:r>
        <w:rPr>
          <w:sz w:val="24"/>
        </w:rPr>
        <w:t xml:space="preserve">, </w:t>
      </w:r>
      <w:hyperlink w:history="0" w:anchor="P9172" w:tooltip="144">
        <w:r>
          <w:rPr>
            <w:sz w:val="24"/>
            <w:color w:val="0000ff"/>
          </w:rPr>
          <w:t xml:space="preserve">144</w:t>
        </w:r>
      </w:hyperlink>
      <w:r>
        <w:rPr>
          <w:sz w:val="24"/>
        </w:rPr>
        <w:t xml:space="preserve">, </w:t>
      </w:r>
      <w:hyperlink w:history="0" w:anchor="P10756" w:tooltip="174">
        <w:r>
          <w:rPr>
            <w:sz w:val="24"/>
            <w:color w:val="0000ff"/>
          </w:rPr>
          <w:t xml:space="preserve">174</w:t>
        </w:r>
      </w:hyperlink>
      <w:r>
        <w:rPr>
          <w:sz w:val="24"/>
        </w:rPr>
        <w:t xml:space="preserve">) - полное наименование организатора торговли на рынке ценных бумаг в Российской Федерации (российской биржи).</w:t>
      </w:r>
    </w:p>
    <w:p>
      <w:pPr>
        <w:pStyle w:val="0"/>
        <w:spacing w:before="240" w:lineRule="auto"/>
        <w:ind w:firstLine="540"/>
        <w:jc w:val="both"/>
      </w:pPr>
      <w:r>
        <w:rPr>
          <w:sz w:val="24"/>
        </w:rPr>
        <w:t xml:space="preserve">Для ценных бумаг, не относящихся к активам, находящимся на территории Российской Федерации, включенных на конец отчетного периода в котировальные списки иностранных бирж, по показателю "Котировальный список" (</w:t>
      </w:r>
      <w:hyperlink w:history="0" w:anchor="P4770" w:tooltip="61">
        <w:r>
          <w:rPr>
            <w:sz w:val="24"/>
            <w:color w:val="0000ff"/>
          </w:rPr>
          <w:t xml:space="preserve">строки 61</w:t>
        </w:r>
      </w:hyperlink>
      <w:r>
        <w:rPr>
          <w:sz w:val="24"/>
        </w:rPr>
        <w:t xml:space="preserve">, </w:t>
      </w:r>
      <w:hyperlink w:history="0" w:anchor="P6724" w:tooltip="99">
        <w:r>
          <w:rPr>
            <w:sz w:val="24"/>
            <w:color w:val="0000ff"/>
          </w:rPr>
          <w:t xml:space="preserve">99</w:t>
        </w:r>
      </w:hyperlink>
      <w:r>
        <w:rPr>
          <w:sz w:val="24"/>
        </w:rPr>
        <w:t xml:space="preserve">, </w:t>
      </w:r>
      <w:hyperlink w:history="0" w:anchor="P7926" w:tooltip="121">
        <w:r>
          <w:rPr>
            <w:sz w:val="24"/>
            <w:color w:val="0000ff"/>
          </w:rPr>
          <w:t xml:space="preserve">121</w:t>
        </w:r>
      </w:hyperlink>
      <w:r>
        <w:rPr>
          <w:sz w:val="24"/>
        </w:rPr>
        <w:t xml:space="preserve">, </w:t>
      </w:r>
      <w:hyperlink w:history="0" w:anchor="P9116" w:tooltip="143">
        <w:r>
          <w:rPr>
            <w:sz w:val="24"/>
            <w:color w:val="0000ff"/>
          </w:rPr>
          <w:t xml:space="preserve">143</w:t>
        </w:r>
      </w:hyperlink>
      <w:r>
        <w:rPr>
          <w:sz w:val="24"/>
        </w:rPr>
        <w:t xml:space="preserve">, </w:t>
      </w:r>
      <w:hyperlink w:history="0" w:anchor="P10712" w:tooltip="173">
        <w:r>
          <w:rPr>
            <w:sz w:val="24"/>
            <w:color w:val="0000ff"/>
          </w:rPr>
          <w:t xml:space="preserve">173</w:t>
        </w:r>
      </w:hyperlink>
      <w:r>
        <w:rPr>
          <w:sz w:val="24"/>
        </w:rPr>
        <w:t xml:space="preserve">) указывается наименование котировального листа (списка), рынка, сегмента иностранной биржи, по показателю "Наименование организатора торговли на рынке ценных бумаг, в котировальный список которого включена ценная бумага" (</w:t>
      </w:r>
      <w:hyperlink w:history="0" w:anchor="P4826" w:tooltip="62">
        <w:r>
          <w:rPr>
            <w:sz w:val="24"/>
            <w:color w:val="0000ff"/>
          </w:rPr>
          <w:t xml:space="preserve">строки 62</w:t>
        </w:r>
      </w:hyperlink>
      <w:r>
        <w:rPr>
          <w:sz w:val="24"/>
        </w:rPr>
        <w:t xml:space="preserve">, </w:t>
      </w:r>
      <w:hyperlink w:history="0" w:anchor="P6780" w:tooltip="100">
        <w:r>
          <w:rPr>
            <w:sz w:val="24"/>
            <w:color w:val="0000ff"/>
          </w:rPr>
          <w:t xml:space="preserve">100</w:t>
        </w:r>
      </w:hyperlink>
      <w:r>
        <w:rPr>
          <w:sz w:val="24"/>
        </w:rPr>
        <w:t xml:space="preserve">, </w:t>
      </w:r>
      <w:hyperlink w:history="0" w:anchor="P7974" w:tooltip="122">
        <w:r>
          <w:rPr>
            <w:sz w:val="24"/>
            <w:color w:val="0000ff"/>
          </w:rPr>
          <w:t xml:space="preserve">122</w:t>
        </w:r>
      </w:hyperlink>
      <w:r>
        <w:rPr>
          <w:sz w:val="24"/>
        </w:rPr>
        <w:t xml:space="preserve">, </w:t>
      </w:r>
      <w:hyperlink w:history="0" w:anchor="P9172" w:tooltip="144">
        <w:r>
          <w:rPr>
            <w:sz w:val="24"/>
            <w:color w:val="0000ff"/>
          </w:rPr>
          <w:t xml:space="preserve">144</w:t>
        </w:r>
      </w:hyperlink>
      <w:r>
        <w:rPr>
          <w:sz w:val="24"/>
        </w:rPr>
        <w:t xml:space="preserve">, </w:t>
      </w:r>
      <w:hyperlink w:history="0" w:anchor="P10756" w:tooltip="174">
        <w:r>
          <w:rPr>
            <w:sz w:val="24"/>
            <w:color w:val="0000ff"/>
          </w:rPr>
          <w:t xml:space="preserve">174</w:t>
        </w:r>
      </w:hyperlink>
      <w:r>
        <w:rPr>
          <w:sz w:val="24"/>
        </w:rPr>
        <w:t xml:space="preserve">) - наименование иностранной биржи, в котировальный список которой включена ценная бумага.</w:t>
      </w:r>
    </w:p>
    <w:p>
      <w:pPr>
        <w:pStyle w:val="0"/>
        <w:spacing w:before="240" w:lineRule="auto"/>
        <w:ind w:firstLine="540"/>
        <w:jc w:val="both"/>
      </w:pPr>
      <w:r>
        <w:rPr>
          <w:sz w:val="24"/>
        </w:rPr>
        <w:t xml:space="preserve">В случае если в отношении ценных бумаг на конец отчетного периода начата процедура листинга, по показателю "Наименование организатора торговли на рынке ценных бумаг, в котировальный список которого включена ценная бумага" (</w:t>
      </w:r>
      <w:hyperlink w:history="0" w:anchor="P4826" w:tooltip="62">
        <w:r>
          <w:rPr>
            <w:sz w:val="24"/>
            <w:color w:val="0000ff"/>
          </w:rPr>
          <w:t xml:space="preserve">строки 62</w:t>
        </w:r>
      </w:hyperlink>
      <w:r>
        <w:rPr>
          <w:sz w:val="24"/>
        </w:rPr>
        <w:t xml:space="preserve">, </w:t>
      </w:r>
      <w:hyperlink w:history="0" w:anchor="P6780" w:tooltip="100">
        <w:r>
          <w:rPr>
            <w:sz w:val="24"/>
            <w:color w:val="0000ff"/>
          </w:rPr>
          <w:t xml:space="preserve">100</w:t>
        </w:r>
      </w:hyperlink>
      <w:r>
        <w:rPr>
          <w:sz w:val="24"/>
        </w:rPr>
        <w:t xml:space="preserve">, </w:t>
      </w:r>
      <w:hyperlink w:history="0" w:anchor="P7974" w:tooltip="122">
        <w:r>
          <w:rPr>
            <w:sz w:val="24"/>
            <w:color w:val="0000ff"/>
          </w:rPr>
          <w:t xml:space="preserve">122</w:t>
        </w:r>
      </w:hyperlink>
      <w:r>
        <w:rPr>
          <w:sz w:val="24"/>
        </w:rPr>
        <w:t xml:space="preserve">, </w:t>
      </w:r>
      <w:hyperlink w:history="0" w:anchor="P9172" w:tooltip="144">
        <w:r>
          <w:rPr>
            <w:sz w:val="24"/>
            <w:color w:val="0000ff"/>
          </w:rPr>
          <w:t xml:space="preserve">144</w:t>
        </w:r>
      </w:hyperlink>
      <w:r>
        <w:rPr>
          <w:sz w:val="24"/>
        </w:rPr>
        <w:t xml:space="preserve">, </w:t>
      </w:r>
      <w:hyperlink w:history="0" w:anchor="P10756" w:tooltip="174">
        <w:r>
          <w:rPr>
            <w:sz w:val="24"/>
            <w:color w:val="0000ff"/>
          </w:rPr>
          <w:t xml:space="preserve">174</w:t>
        </w:r>
      </w:hyperlink>
      <w:r>
        <w:rPr>
          <w:sz w:val="24"/>
        </w:rPr>
        <w:t xml:space="preserve">) указывается полное наименование организатора торговли на рынке ценных бумаг в Российской Федерации (российской биржи) или наименование иностранной биржи.</w:t>
      </w:r>
    </w:p>
    <w:p>
      <w:pPr>
        <w:pStyle w:val="0"/>
        <w:spacing w:before="240" w:lineRule="auto"/>
        <w:ind w:firstLine="540"/>
        <w:jc w:val="both"/>
      </w:pPr>
      <w:r>
        <w:rPr>
          <w:sz w:val="24"/>
        </w:rPr>
        <w:t xml:space="preserve">26. По показателю "Иностранный финансовый инструмент квалифицирован в качестве ценной бумаги" (</w:t>
      </w:r>
      <w:hyperlink w:history="0" w:anchor="P5106" w:tooltip="67">
        <w:r>
          <w:rPr>
            <w:sz w:val="24"/>
            <w:color w:val="0000ff"/>
          </w:rPr>
          <w:t xml:space="preserve">строки 67</w:t>
        </w:r>
      </w:hyperlink>
      <w:r>
        <w:rPr>
          <w:sz w:val="24"/>
        </w:rPr>
        <w:t xml:space="preserve">, </w:t>
      </w:r>
      <w:hyperlink w:history="0" w:anchor="P7004" w:tooltip="104">
        <w:r>
          <w:rPr>
            <w:sz w:val="24"/>
            <w:color w:val="0000ff"/>
          </w:rPr>
          <w:t xml:space="preserve">104</w:t>
        </w:r>
      </w:hyperlink>
      <w:r>
        <w:rPr>
          <w:sz w:val="24"/>
        </w:rPr>
        <w:t xml:space="preserve">, </w:t>
      </w:r>
      <w:hyperlink w:history="0" w:anchor="P8892" w:tooltip="139">
        <w:r>
          <w:rPr>
            <w:sz w:val="24"/>
            <w:color w:val="0000ff"/>
          </w:rPr>
          <w:t xml:space="preserve">139</w:t>
        </w:r>
      </w:hyperlink>
      <w:r>
        <w:rPr>
          <w:sz w:val="24"/>
        </w:rPr>
        <w:t xml:space="preserve">, </w:t>
      </w:r>
      <w:hyperlink w:history="0" w:anchor="P11442" w:tooltip="192">
        <w:r>
          <w:rPr>
            <w:sz w:val="24"/>
            <w:color w:val="0000ff"/>
          </w:rPr>
          <w:t xml:space="preserve">192</w:t>
        </w:r>
      </w:hyperlink>
      <w:r>
        <w:rPr>
          <w:sz w:val="24"/>
        </w:rPr>
        <w:t xml:space="preserve">) указывается значение "Да", если актив страховщика является иностранным финансовым инструментом, который квалифицирован в качестве ценной бумаги в соответствии с </w:t>
      </w:r>
      <w:hyperlink w:history="0" r:id="rId220" w:tooltip="Указание Банка России от 03.10.2017 N 4561-У (ред. от 12.09.2018) &quot;О порядке квалификации иностранных финансовых инструментов в качестве ценных бумаг&quot; (Зарегистрировано в Минюсте России 03.04.2018 N 50596) {КонсультантПлюс}">
        <w:r>
          <w:rPr>
            <w:sz w:val="24"/>
            <w:color w:val="0000ff"/>
          </w:rPr>
          <w:t xml:space="preserve">Указанием</w:t>
        </w:r>
      </w:hyperlink>
      <w:r>
        <w:rPr>
          <w:sz w:val="24"/>
        </w:rPr>
        <w:t xml:space="preserve"> Банка России от 3 октября 2017 года N 4561-У "О порядке квалификации иностранных финансовых инструментов в качестве ценных бумаг" &lt;3&gt; (далее - Указание Банка России N 4561-У), или значение "Нет", если актив страховщика является иностранным финансовым инструментом, который не квалифицирован в качестве ценной бумаги. В отношении актива страховщика, не являющегося иностранным финансовым инструментом, по данному показателю указывается значение "Неприменимо".</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Зарегистрировано Минюстом России 3 апреля 2018 года, регистрационный N 50596, с изменениями, внесенными Указанием Банка России от 12 сентября 2018 года N 4903-У (зарегистрировано Минюстом России 9 октября 2018 года, регистрационный N 52367).</w:t>
      </w:r>
    </w:p>
    <w:p>
      <w:pPr>
        <w:pStyle w:val="0"/>
        <w:ind w:firstLine="540"/>
        <w:jc w:val="both"/>
      </w:pPr>
      <w:r>
        <w:rPr>
          <w:sz w:val="24"/>
        </w:rPr>
      </w:r>
    </w:p>
    <w:p>
      <w:pPr>
        <w:pStyle w:val="0"/>
        <w:ind w:firstLine="540"/>
        <w:jc w:val="both"/>
      </w:pPr>
      <w:r>
        <w:rPr>
          <w:sz w:val="24"/>
        </w:rPr>
        <w:t xml:space="preserve">27. По показателю "Дата определения стоимости актива" (</w:t>
      </w:r>
      <w:hyperlink w:history="0" w:anchor="P5162" w:tooltip="68">
        <w:r>
          <w:rPr>
            <w:sz w:val="24"/>
            <w:color w:val="0000ff"/>
          </w:rPr>
          <w:t xml:space="preserve">строки 68</w:t>
        </w:r>
      </w:hyperlink>
      <w:r>
        <w:rPr>
          <w:sz w:val="24"/>
        </w:rPr>
        <w:t xml:space="preserve">, </w:t>
      </w:r>
      <w:hyperlink w:history="0" w:anchor="P6060" w:tooltip="85">
        <w:r>
          <w:rPr>
            <w:sz w:val="24"/>
            <w:color w:val="0000ff"/>
          </w:rPr>
          <w:t xml:space="preserve">85</w:t>
        </w:r>
      </w:hyperlink>
      <w:r>
        <w:rPr>
          <w:sz w:val="24"/>
        </w:rPr>
        <w:t xml:space="preserve">, </w:t>
      </w:r>
      <w:hyperlink w:history="0" w:anchor="P7060" w:tooltip="105">
        <w:r>
          <w:rPr>
            <w:sz w:val="24"/>
            <w:color w:val="0000ff"/>
          </w:rPr>
          <w:t xml:space="preserve">105</w:t>
        </w:r>
      </w:hyperlink>
      <w:r>
        <w:rPr>
          <w:sz w:val="24"/>
        </w:rPr>
        <w:t xml:space="preserve">, </w:t>
      </w:r>
      <w:hyperlink w:history="0" w:anchor="P9564" w:tooltip="151">
        <w:r>
          <w:rPr>
            <w:sz w:val="24"/>
            <w:color w:val="0000ff"/>
          </w:rPr>
          <w:t xml:space="preserve">151</w:t>
        </w:r>
      </w:hyperlink>
      <w:r>
        <w:rPr>
          <w:sz w:val="24"/>
        </w:rPr>
        <w:t xml:space="preserve">, </w:t>
      </w:r>
      <w:hyperlink w:history="0" w:anchor="P11514" w:tooltip="194">
        <w:r>
          <w:rPr>
            <w:sz w:val="24"/>
            <w:color w:val="0000ff"/>
          </w:rPr>
          <w:t xml:space="preserve">194</w:t>
        </w:r>
      </w:hyperlink>
      <w:r>
        <w:rPr>
          <w:sz w:val="24"/>
        </w:rPr>
        <w:t xml:space="preserve">, </w:t>
      </w:r>
      <w:hyperlink w:history="0" w:anchor="P24150" w:tooltip="505">
        <w:r>
          <w:rPr>
            <w:sz w:val="24"/>
            <w:color w:val="0000ff"/>
          </w:rPr>
          <w:t xml:space="preserve">505</w:t>
        </w:r>
      </w:hyperlink>
      <w:r>
        <w:rPr>
          <w:sz w:val="24"/>
        </w:rPr>
        <w:t xml:space="preserve">, </w:t>
      </w:r>
      <w:hyperlink w:history="0" w:anchor="P24828" w:tooltip="523">
        <w:r>
          <w:rPr>
            <w:sz w:val="24"/>
            <w:color w:val="0000ff"/>
          </w:rPr>
          <w:t xml:space="preserve">523</w:t>
        </w:r>
      </w:hyperlink>
      <w:r>
        <w:rPr>
          <w:sz w:val="24"/>
        </w:rPr>
        <w:t xml:space="preserve">) указывается дата, по состоянию на которую определена стоимость актива, являющегося объектом оценки, с указанием идентификатора контрагента по договору на проведение оценки (по группе аналитических признаков "Идентификатор контрагента по договору на проведение оценки") и информации об оценщиках, осуществивших оценку для определения стоимости актива (по показателям </w:t>
      </w:r>
      <w:hyperlink w:history="0" w:anchor="P27470" w:tooltip="Раздел 5.">
        <w:r>
          <w:rPr>
            <w:sz w:val="24"/>
            <w:color w:val="0000ff"/>
          </w:rPr>
          <w:t xml:space="preserve">раздела 5</w:t>
        </w:r>
      </w:hyperlink>
      <w:r>
        <w:rPr>
          <w:sz w:val="24"/>
        </w:rPr>
        <w:t xml:space="preserve"> отчетности по форме 0420154).</w:t>
      </w:r>
    </w:p>
    <w:p>
      <w:pPr>
        <w:pStyle w:val="0"/>
        <w:spacing w:before="240" w:lineRule="auto"/>
        <w:ind w:firstLine="540"/>
        <w:jc w:val="both"/>
      </w:pPr>
      <w:r>
        <w:rPr>
          <w:sz w:val="24"/>
        </w:rPr>
        <w:t xml:space="preserve">Дата определения стоимости актива должна соответствовать дате определения стоимости объекта оценки, указанной в отчете об оценке объекта оценки, составленном лицом, являющимся оценщиком в соответствии с </w:t>
      </w:r>
      <w:hyperlink w:history="0" r:id="rId221"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частью первой статьи 4</w:t>
        </w:r>
      </w:hyperlink>
      <w:r>
        <w:rPr>
          <w:sz w:val="24"/>
        </w:rPr>
        <w:t xml:space="preserve"> Федерального закона от 29 июля 1998 года N 135-ФЗ "Об оценочной деятельности в Российской Федерации" (далее соответственно - Федеральный закон N 135-ФЗ, оценщик), в соответствии с требованиями </w:t>
      </w:r>
      <w:hyperlink w:history="0" r:id="rId222"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статьи 11</w:t>
        </w:r>
      </w:hyperlink>
      <w:r>
        <w:rPr>
          <w:sz w:val="24"/>
        </w:rPr>
        <w:t xml:space="preserve"> Федерального закона N 135-ФЗ.</w:t>
      </w:r>
    </w:p>
    <w:p>
      <w:pPr>
        <w:pStyle w:val="0"/>
        <w:spacing w:before="240" w:lineRule="auto"/>
        <w:ind w:firstLine="540"/>
        <w:jc w:val="both"/>
      </w:pPr>
      <w:r>
        <w:rPr>
          <w:sz w:val="24"/>
        </w:rPr>
        <w:t xml:space="preserve">28. По показателю "Ценные бумаги, переданные без прекращения признания" (</w:t>
      </w:r>
      <w:hyperlink w:history="0" w:anchor="P5218" w:tooltip="69">
        <w:r>
          <w:rPr>
            <w:sz w:val="24"/>
            <w:color w:val="0000ff"/>
          </w:rPr>
          <w:t xml:space="preserve">строки 69</w:t>
        </w:r>
      </w:hyperlink>
      <w:r>
        <w:rPr>
          <w:sz w:val="24"/>
        </w:rPr>
        <w:t xml:space="preserve">, </w:t>
      </w:r>
      <w:hyperlink w:history="0" w:anchor="P6108" w:tooltip="86">
        <w:r>
          <w:rPr>
            <w:sz w:val="24"/>
            <w:color w:val="0000ff"/>
          </w:rPr>
          <w:t xml:space="preserve">86</w:t>
        </w:r>
      </w:hyperlink>
      <w:r>
        <w:rPr>
          <w:sz w:val="24"/>
        </w:rPr>
        <w:t xml:space="preserve">, </w:t>
      </w:r>
      <w:hyperlink w:history="0" w:anchor="P7116" w:tooltip="106">
        <w:r>
          <w:rPr>
            <w:sz w:val="24"/>
            <w:color w:val="0000ff"/>
          </w:rPr>
          <w:t xml:space="preserve">106</w:t>
        </w:r>
      </w:hyperlink>
      <w:r>
        <w:rPr>
          <w:sz w:val="24"/>
        </w:rPr>
        <w:t xml:space="preserve">, </w:t>
      </w:r>
      <w:hyperlink w:history="0" w:anchor="P8070" w:tooltip="124">
        <w:r>
          <w:rPr>
            <w:sz w:val="24"/>
            <w:color w:val="0000ff"/>
          </w:rPr>
          <w:t xml:space="preserve">124</w:t>
        </w:r>
      </w:hyperlink>
      <w:r>
        <w:rPr>
          <w:sz w:val="24"/>
        </w:rPr>
        <w:t xml:space="preserve">, </w:t>
      </w:r>
      <w:hyperlink w:history="0" w:anchor="P9620" w:tooltip="152">
        <w:r>
          <w:rPr>
            <w:sz w:val="24"/>
            <w:color w:val="0000ff"/>
          </w:rPr>
          <w:t xml:space="preserve">152</w:t>
        </w:r>
      </w:hyperlink>
      <w:r>
        <w:rPr>
          <w:sz w:val="24"/>
        </w:rPr>
        <w:t xml:space="preserve">, </w:t>
      </w:r>
      <w:hyperlink w:history="0" w:anchor="P10800" w:tooltip="175">
        <w:r>
          <w:rPr>
            <w:sz w:val="24"/>
            <w:color w:val="0000ff"/>
          </w:rPr>
          <w:t xml:space="preserve">175</w:t>
        </w:r>
      </w:hyperlink>
      <w:r>
        <w:rPr>
          <w:sz w:val="24"/>
        </w:rPr>
        <w:t xml:space="preserve">) указывается значение "Да", если на конец отчетного периода ценные бумаги переданы страховщиком контрагенту по операциям, совершаемым на возвратной основе, и по этим ценным бумагам признание в бухгалтерском учете страховщика не было прекращено. В ином случае указывается значение "Нет".</w:t>
      </w:r>
    </w:p>
    <w:p>
      <w:pPr>
        <w:pStyle w:val="0"/>
        <w:spacing w:before="240" w:lineRule="auto"/>
        <w:ind w:firstLine="540"/>
        <w:jc w:val="both"/>
      </w:pPr>
      <w:r>
        <w:rPr>
          <w:sz w:val="24"/>
        </w:rPr>
        <w:t xml:space="preserve">29. По показателям "Влияние риска изменения стоимости акций (увеличение стоимости)" (</w:t>
      </w:r>
      <w:hyperlink w:history="0" w:anchor="P5386" w:tooltip="72">
        <w:r>
          <w:rPr>
            <w:sz w:val="24"/>
            <w:color w:val="0000ff"/>
          </w:rPr>
          <w:t xml:space="preserve">строки 72</w:t>
        </w:r>
      </w:hyperlink>
      <w:r>
        <w:rPr>
          <w:sz w:val="24"/>
        </w:rPr>
        <w:t xml:space="preserve">, </w:t>
      </w:r>
      <w:hyperlink w:history="0" w:anchor="P7284" w:tooltip="109">
        <w:r>
          <w:rPr>
            <w:sz w:val="24"/>
            <w:color w:val="0000ff"/>
          </w:rPr>
          <w:t xml:space="preserve">109</w:t>
        </w:r>
      </w:hyperlink>
      <w:r>
        <w:rPr>
          <w:sz w:val="24"/>
        </w:rPr>
        <w:t xml:space="preserve">, </w:t>
      </w:r>
      <w:hyperlink w:history="0" w:anchor="P10012" w:tooltip="159">
        <w:r>
          <w:rPr>
            <w:sz w:val="24"/>
            <w:color w:val="0000ff"/>
          </w:rPr>
          <w:t xml:space="preserve">159</w:t>
        </w:r>
      </w:hyperlink>
      <w:r>
        <w:rPr>
          <w:sz w:val="24"/>
        </w:rPr>
        <w:t xml:space="preserve">, </w:t>
      </w:r>
      <w:hyperlink w:history="0" w:anchor="P11730" w:tooltip="200">
        <w:r>
          <w:rPr>
            <w:sz w:val="24"/>
            <w:color w:val="0000ff"/>
          </w:rPr>
          <w:t xml:space="preserve">200</w:t>
        </w:r>
      </w:hyperlink>
      <w:r>
        <w:rPr>
          <w:sz w:val="24"/>
        </w:rPr>
        <w:t xml:space="preserve">, </w:t>
      </w:r>
      <w:hyperlink w:history="0" w:anchor="P25502" w:tooltip="543">
        <w:r>
          <w:rPr>
            <w:sz w:val="24"/>
            <w:color w:val="0000ff"/>
          </w:rPr>
          <w:t xml:space="preserve">543</w:t>
        </w:r>
      </w:hyperlink>
      <w:r>
        <w:rPr>
          <w:sz w:val="24"/>
        </w:rPr>
        <w:t xml:space="preserve">, </w:t>
      </w:r>
      <w:hyperlink w:history="0" w:anchor="P26478" w:tooltip="584">
        <w:r>
          <w:rPr>
            <w:sz w:val="24"/>
            <w:color w:val="0000ff"/>
          </w:rPr>
          <w:t xml:space="preserve">584</w:t>
        </w:r>
      </w:hyperlink>
      <w:r>
        <w:rPr>
          <w:sz w:val="24"/>
        </w:rPr>
        <w:t xml:space="preserve">) и "Влияние риска изменения стоимости акций (снижение стоимости)" (</w:t>
      </w:r>
      <w:hyperlink w:history="0" w:anchor="P5442" w:tooltip="73">
        <w:r>
          <w:rPr>
            <w:sz w:val="24"/>
            <w:color w:val="0000ff"/>
          </w:rPr>
          <w:t xml:space="preserve">строки 73</w:t>
        </w:r>
      </w:hyperlink>
      <w:r>
        <w:rPr>
          <w:sz w:val="24"/>
        </w:rPr>
        <w:t xml:space="preserve">, </w:t>
      </w:r>
      <w:hyperlink w:history="0" w:anchor="P7340" w:tooltip="110">
        <w:r>
          <w:rPr>
            <w:sz w:val="24"/>
            <w:color w:val="0000ff"/>
          </w:rPr>
          <w:t xml:space="preserve">110</w:t>
        </w:r>
      </w:hyperlink>
      <w:r>
        <w:rPr>
          <w:sz w:val="24"/>
        </w:rPr>
        <w:t xml:space="preserve">, </w:t>
      </w:r>
      <w:hyperlink w:history="0" w:anchor="P10068" w:tooltip="160">
        <w:r>
          <w:rPr>
            <w:sz w:val="24"/>
            <w:color w:val="0000ff"/>
          </w:rPr>
          <w:t xml:space="preserve">160</w:t>
        </w:r>
      </w:hyperlink>
      <w:r>
        <w:rPr>
          <w:sz w:val="24"/>
        </w:rPr>
        <w:t xml:space="preserve">, </w:t>
      </w:r>
      <w:hyperlink w:history="0" w:anchor="P11766" w:tooltip="201">
        <w:r>
          <w:rPr>
            <w:sz w:val="24"/>
            <w:color w:val="0000ff"/>
          </w:rPr>
          <w:t xml:space="preserve">201</w:t>
        </w:r>
      </w:hyperlink>
      <w:r>
        <w:rPr>
          <w:sz w:val="24"/>
        </w:rPr>
        <w:t xml:space="preserve">, </w:t>
      </w:r>
      <w:hyperlink w:history="0" w:anchor="P25534" w:tooltip="544">
        <w:r>
          <w:rPr>
            <w:sz w:val="24"/>
            <w:color w:val="0000ff"/>
          </w:rPr>
          <w:t xml:space="preserve">544</w:t>
        </w:r>
      </w:hyperlink>
      <w:r>
        <w:rPr>
          <w:sz w:val="24"/>
        </w:rPr>
        <w:t xml:space="preserve">, </w:t>
      </w:r>
      <w:hyperlink w:history="0" w:anchor="P26494" w:tooltip="585">
        <w:r>
          <w:rPr>
            <w:sz w:val="24"/>
            <w:color w:val="0000ff"/>
          </w:rPr>
          <w:t xml:space="preserve">585</w:t>
        </w:r>
      </w:hyperlink>
      <w:r>
        <w:rPr>
          <w:sz w:val="24"/>
        </w:rPr>
        <w:t xml:space="preserve">) указывается определенная в соответствии с </w:t>
      </w:r>
      <w:hyperlink w:history="0" r:id="rId22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1 к Положению Банка России N 858-П величина оценки риска изменения стоимости акций при ее увеличении и снижении соответственно.</w:t>
      </w:r>
    </w:p>
    <w:p>
      <w:pPr>
        <w:pStyle w:val="0"/>
        <w:spacing w:before="240" w:lineRule="auto"/>
        <w:ind w:firstLine="540"/>
        <w:jc w:val="both"/>
      </w:pPr>
      <w:r>
        <w:rPr>
          <w:sz w:val="24"/>
        </w:rPr>
        <w:t xml:space="preserve">30. По показателю "Наличие залога" (</w:t>
      </w:r>
      <w:hyperlink w:history="0" w:anchor="P9004" w:tooltip="141">
        <w:r>
          <w:rPr>
            <w:sz w:val="24"/>
            <w:color w:val="0000ff"/>
          </w:rPr>
          <w:t xml:space="preserve">строки 141</w:t>
        </w:r>
      </w:hyperlink>
      <w:r>
        <w:rPr>
          <w:sz w:val="24"/>
        </w:rPr>
        <w:t xml:space="preserve">, </w:t>
      </w:r>
      <w:hyperlink w:history="0" w:anchor="P12342" w:tooltip="217">
        <w:r>
          <w:rPr>
            <w:sz w:val="24"/>
            <w:color w:val="0000ff"/>
          </w:rPr>
          <w:t xml:space="preserve">217</w:t>
        </w:r>
      </w:hyperlink>
      <w:r>
        <w:rPr>
          <w:sz w:val="24"/>
        </w:rPr>
        <w:t xml:space="preserve">, </w:t>
      </w:r>
      <w:hyperlink w:history="0" w:anchor="P15540" w:tooltip="288">
        <w:r>
          <w:rPr>
            <w:sz w:val="24"/>
            <w:color w:val="0000ff"/>
          </w:rPr>
          <w:t xml:space="preserve">288</w:t>
        </w:r>
      </w:hyperlink>
      <w:r>
        <w:rPr>
          <w:sz w:val="24"/>
        </w:rPr>
        <w:t xml:space="preserve">, </w:t>
      </w:r>
      <w:hyperlink w:history="0" w:anchor="P19028" w:tooltip="364">
        <w:r>
          <w:rPr>
            <w:sz w:val="24"/>
            <w:color w:val="0000ff"/>
          </w:rPr>
          <w:t xml:space="preserve">364</w:t>
        </w:r>
      </w:hyperlink>
      <w:r>
        <w:rPr>
          <w:sz w:val="24"/>
        </w:rPr>
        <w:t xml:space="preserve">, </w:t>
      </w:r>
      <w:hyperlink w:history="0" w:anchor="P21462" w:tooltip="437">
        <w:r>
          <w:rPr>
            <w:sz w:val="24"/>
            <w:color w:val="0000ff"/>
          </w:rPr>
          <w:t xml:space="preserve">437</w:t>
        </w:r>
      </w:hyperlink>
      <w:r>
        <w:rPr>
          <w:sz w:val="24"/>
        </w:rPr>
        <w:t xml:space="preserve">), аналитическому признаку группы аналитических признаков "Наличие залога" указывается значение "Да", если актив страховщика на конец отчетного периода обременен залогом. В ином случае указывается значение "Нет".</w:t>
      </w:r>
    </w:p>
    <w:p>
      <w:pPr>
        <w:pStyle w:val="0"/>
        <w:spacing w:before="240" w:lineRule="auto"/>
        <w:ind w:firstLine="540"/>
        <w:jc w:val="both"/>
      </w:pPr>
      <w:r>
        <w:rPr>
          <w:sz w:val="24"/>
        </w:rPr>
        <w:t xml:space="preserve">31. По показателю "Вид рынка ценных бумаг, на котором обращается ценная бумага" (</w:t>
      </w:r>
      <w:hyperlink w:history="0" w:anchor="P11190" w:tooltip="185">
        <w:r>
          <w:rPr>
            <w:sz w:val="24"/>
            <w:color w:val="0000ff"/>
          </w:rPr>
          <w:t xml:space="preserve">строки 185</w:t>
        </w:r>
      </w:hyperlink>
      <w:r>
        <w:rPr>
          <w:sz w:val="24"/>
        </w:rPr>
        <w:t xml:space="preserve">, </w:t>
      </w:r>
      <w:hyperlink w:history="0" w:anchor="P25726" w:tooltip="550">
        <w:r>
          <w:rPr>
            <w:sz w:val="24"/>
            <w:color w:val="0000ff"/>
          </w:rPr>
          <w:t xml:space="preserve">550</w:t>
        </w:r>
      </w:hyperlink>
      <w:r>
        <w:rPr>
          <w:sz w:val="24"/>
        </w:rPr>
        <w:t xml:space="preserve">) указывается биржевой или внебиржевой рынок, на котором обращается ценная бумага.</w:t>
      </w:r>
    </w:p>
    <w:p>
      <w:pPr>
        <w:pStyle w:val="0"/>
        <w:spacing w:before="240" w:lineRule="auto"/>
        <w:ind w:firstLine="540"/>
        <w:jc w:val="both"/>
      </w:pPr>
      <w:r>
        <w:rPr>
          <w:sz w:val="24"/>
        </w:rPr>
        <w:t xml:space="preserve">32. По показателю "Вид структурной сделки" </w:t>
      </w:r>
      <w:hyperlink w:history="0" w:anchor="P11226" w:tooltip="186">
        <w:r>
          <w:rPr>
            <w:sz w:val="24"/>
            <w:color w:val="0000ff"/>
          </w:rPr>
          <w:t xml:space="preserve">(строка 186)</w:t>
        </w:r>
      </w:hyperlink>
      <w:r>
        <w:rPr>
          <w:sz w:val="24"/>
        </w:rPr>
        <w:t xml:space="preserve">, аналитическому признаку группы аналитических признаков "Вид структурной сделки" указывается вид структурной сделки (в том числе форвард, опцион "на продажу" (put), опцион "на покупку" (call), фьючерс, своп) либо то, что сделка не является производным финансовым инструментом.</w:t>
      </w:r>
    </w:p>
    <w:p>
      <w:pPr>
        <w:pStyle w:val="0"/>
        <w:spacing w:before="240" w:lineRule="auto"/>
        <w:ind w:firstLine="540"/>
        <w:jc w:val="both"/>
      </w:pPr>
      <w:r>
        <w:rPr>
          <w:sz w:val="24"/>
        </w:rPr>
        <w:t xml:space="preserve">33. По показателю "Направление сделки" (</w:t>
      </w:r>
      <w:hyperlink w:history="0" w:anchor="P11262" w:tooltip="187">
        <w:r>
          <w:rPr>
            <w:sz w:val="24"/>
            <w:color w:val="0000ff"/>
          </w:rPr>
          <w:t xml:space="preserve">строки 187</w:t>
        </w:r>
      </w:hyperlink>
      <w:r>
        <w:rPr>
          <w:sz w:val="24"/>
        </w:rPr>
        <w:t xml:space="preserve">, </w:t>
      </w:r>
      <w:hyperlink w:history="0" w:anchor="P25758" w:tooltip="551">
        <w:r>
          <w:rPr>
            <w:sz w:val="24"/>
            <w:color w:val="0000ff"/>
          </w:rPr>
          <w:t xml:space="preserve">551</w:t>
        </w:r>
      </w:hyperlink>
      <w:r>
        <w:rPr>
          <w:sz w:val="24"/>
        </w:rPr>
        <w:t xml:space="preserve">) указывается в целом по контракту (для биржевых инструментов) или договору (для внебиржевых инструментов) информация о направлении сделки:</w:t>
      </w:r>
    </w:p>
    <w:p>
      <w:pPr>
        <w:pStyle w:val="0"/>
        <w:spacing w:before="240" w:lineRule="auto"/>
        <w:ind w:firstLine="540"/>
        <w:jc w:val="both"/>
      </w:pPr>
      <w:r>
        <w:rPr>
          <w:sz w:val="24"/>
        </w:rPr>
        <w:t xml:space="preserve">"Покупка" - в случае, если в соответствии с условиями контракта или договора предусмотрены операции по покупке страховщиком базисных активов;</w:t>
      </w:r>
    </w:p>
    <w:p>
      <w:pPr>
        <w:pStyle w:val="0"/>
        <w:spacing w:before="240" w:lineRule="auto"/>
        <w:ind w:firstLine="540"/>
        <w:jc w:val="both"/>
      </w:pPr>
      <w:r>
        <w:rPr>
          <w:sz w:val="24"/>
        </w:rPr>
        <w:t xml:space="preserve">"Продажа" - в случае, если в соответствии с условиями контракта или договора предусмотрены операции по продаже страховщиком базисных активов;</w:t>
      </w:r>
    </w:p>
    <w:p>
      <w:pPr>
        <w:pStyle w:val="0"/>
        <w:spacing w:before="240" w:lineRule="auto"/>
        <w:ind w:firstLine="540"/>
        <w:jc w:val="both"/>
      </w:pPr>
      <w:r>
        <w:rPr>
          <w:sz w:val="24"/>
        </w:rPr>
        <w:t xml:space="preserve">"Прочее" - в случае, если в соответствии с условиями контракта или договора операции с базисными активами не предусмотрены.</w:t>
      </w:r>
    </w:p>
    <w:p>
      <w:pPr>
        <w:pStyle w:val="0"/>
        <w:spacing w:before="240" w:lineRule="auto"/>
        <w:ind w:firstLine="540"/>
        <w:jc w:val="both"/>
      </w:pPr>
      <w:r>
        <w:rPr>
          <w:sz w:val="24"/>
        </w:rPr>
        <w:t xml:space="preserve">34. По показателю "Описание существенных условий договора (для своп-договора)" (</w:t>
      </w:r>
      <w:hyperlink w:history="0" w:anchor="P11298" w:tooltip="188">
        <w:r>
          <w:rPr>
            <w:sz w:val="24"/>
            <w:color w:val="0000ff"/>
          </w:rPr>
          <w:t xml:space="preserve">строки 188</w:t>
        </w:r>
      </w:hyperlink>
      <w:r>
        <w:rPr>
          <w:sz w:val="24"/>
        </w:rPr>
        <w:t xml:space="preserve">, </w:t>
      </w:r>
      <w:hyperlink w:history="0" w:anchor="P25790" w:tooltip="552">
        <w:r>
          <w:rPr>
            <w:sz w:val="24"/>
            <w:color w:val="0000ff"/>
          </w:rPr>
          <w:t xml:space="preserve">552</w:t>
        </w:r>
      </w:hyperlink>
      <w:r>
        <w:rPr>
          <w:sz w:val="24"/>
        </w:rPr>
        <w:t xml:space="preserve">) приводится описание существенных условий своп-договора.</w:t>
      </w:r>
    </w:p>
    <w:p>
      <w:pPr>
        <w:pStyle w:val="0"/>
        <w:spacing w:before="240" w:lineRule="auto"/>
        <w:ind w:firstLine="540"/>
        <w:jc w:val="both"/>
      </w:pPr>
      <w:r>
        <w:rPr>
          <w:sz w:val="24"/>
        </w:rPr>
        <w:t xml:space="preserve">35. По показателю "Наложен арест, иное обременение или применены обеспечительные меры, препятствующие отчуждению имущества" (</w:t>
      </w:r>
      <w:hyperlink w:history="0" w:anchor="P11406" w:tooltip="191">
        <w:r>
          <w:rPr>
            <w:sz w:val="24"/>
            <w:color w:val="0000ff"/>
          </w:rPr>
          <w:t xml:space="preserve">строки 191</w:t>
        </w:r>
      </w:hyperlink>
      <w:r>
        <w:rPr>
          <w:sz w:val="24"/>
        </w:rPr>
        <w:t xml:space="preserve">, </w:t>
      </w:r>
      <w:hyperlink w:history="0" w:anchor="P12306" w:tooltip="216">
        <w:r>
          <w:rPr>
            <w:sz w:val="24"/>
            <w:color w:val="0000ff"/>
          </w:rPr>
          <w:t xml:space="preserve">216</w:t>
        </w:r>
      </w:hyperlink>
      <w:r>
        <w:rPr>
          <w:sz w:val="24"/>
        </w:rPr>
        <w:t xml:space="preserve">, </w:t>
      </w:r>
      <w:hyperlink w:history="0" w:anchor="P13036" w:tooltip="235">
        <w:r>
          <w:rPr>
            <w:sz w:val="24"/>
            <w:color w:val="0000ff"/>
          </w:rPr>
          <w:t xml:space="preserve">235</w:t>
        </w:r>
      </w:hyperlink>
      <w:r>
        <w:rPr>
          <w:sz w:val="24"/>
        </w:rPr>
        <w:t xml:space="preserve">, </w:t>
      </w:r>
      <w:hyperlink w:history="0" w:anchor="P13570" w:tooltip="247">
        <w:r>
          <w:rPr>
            <w:sz w:val="24"/>
            <w:color w:val="0000ff"/>
          </w:rPr>
          <w:t xml:space="preserve">247</w:t>
        </w:r>
      </w:hyperlink>
      <w:r>
        <w:rPr>
          <w:sz w:val="24"/>
        </w:rPr>
        <w:t xml:space="preserve">, </w:t>
      </w:r>
      <w:hyperlink w:history="0" w:anchor="P14124" w:tooltip="259">
        <w:r>
          <w:rPr>
            <w:sz w:val="24"/>
            <w:color w:val="0000ff"/>
          </w:rPr>
          <w:t xml:space="preserve">259</w:t>
        </w:r>
      </w:hyperlink>
      <w:r>
        <w:rPr>
          <w:sz w:val="24"/>
        </w:rPr>
        <w:t xml:space="preserve">, </w:t>
      </w:r>
      <w:hyperlink w:history="0" w:anchor="P14734" w:tooltip="272">
        <w:r>
          <w:rPr>
            <w:sz w:val="24"/>
            <w:color w:val="0000ff"/>
          </w:rPr>
          <w:t xml:space="preserve">272</w:t>
        </w:r>
      </w:hyperlink>
      <w:r>
        <w:rPr>
          <w:sz w:val="24"/>
        </w:rPr>
        <w:t xml:space="preserve">, </w:t>
      </w:r>
      <w:hyperlink w:history="0" w:anchor="P15372" w:tooltip="285">
        <w:r>
          <w:rPr>
            <w:sz w:val="24"/>
            <w:color w:val="0000ff"/>
          </w:rPr>
          <w:t xml:space="preserve">285</w:t>
        </w:r>
      </w:hyperlink>
      <w:r>
        <w:rPr>
          <w:sz w:val="24"/>
        </w:rPr>
        <w:t xml:space="preserve">, </w:t>
      </w:r>
      <w:hyperlink w:history="0" w:anchor="P16028" w:tooltip="297">
        <w:r>
          <w:rPr>
            <w:sz w:val="24"/>
            <w:color w:val="0000ff"/>
          </w:rPr>
          <w:t xml:space="preserve">297</w:t>
        </w:r>
      </w:hyperlink>
      <w:r>
        <w:rPr>
          <w:sz w:val="24"/>
        </w:rPr>
        <w:t xml:space="preserve">, </w:t>
      </w:r>
      <w:hyperlink w:history="0" w:anchor="P16996" w:tooltip="316">
        <w:r>
          <w:rPr>
            <w:sz w:val="24"/>
            <w:color w:val="0000ff"/>
          </w:rPr>
          <w:t xml:space="preserve">316</w:t>
        </w:r>
      </w:hyperlink>
      <w:r>
        <w:rPr>
          <w:sz w:val="24"/>
        </w:rPr>
        <w:t xml:space="preserve">, </w:t>
      </w:r>
      <w:hyperlink w:history="0" w:anchor="P17896" w:tooltip="334">
        <w:r>
          <w:rPr>
            <w:sz w:val="24"/>
            <w:color w:val="0000ff"/>
          </w:rPr>
          <w:t xml:space="preserve">334</w:t>
        </w:r>
      </w:hyperlink>
      <w:r>
        <w:rPr>
          <w:sz w:val="24"/>
        </w:rPr>
        <w:t xml:space="preserve">, </w:t>
      </w:r>
      <w:hyperlink w:history="0" w:anchor="P18466" w:tooltip="348">
        <w:r>
          <w:rPr>
            <w:sz w:val="24"/>
            <w:color w:val="0000ff"/>
          </w:rPr>
          <w:t xml:space="preserve">348</w:t>
        </w:r>
      </w:hyperlink>
      <w:r>
        <w:rPr>
          <w:sz w:val="24"/>
        </w:rPr>
        <w:t xml:space="preserve">, </w:t>
      </w:r>
      <w:hyperlink w:history="0" w:anchor="P18996" w:tooltip="363">
        <w:r>
          <w:rPr>
            <w:sz w:val="24"/>
            <w:color w:val="0000ff"/>
          </w:rPr>
          <w:t xml:space="preserve">363</w:t>
        </w:r>
      </w:hyperlink>
      <w:r>
        <w:rPr>
          <w:sz w:val="24"/>
        </w:rPr>
        <w:t xml:space="preserve">, </w:t>
      </w:r>
      <w:hyperlink w:history="0" w:anchor="P20268" w:tooltip="402">
        <w:r>
          <w:rPr>
            <w:sz w:val="24"/>
            <w:color w:val="0000ff"/>
          </w:rPr>
          <w:t xml:space="preserve">402</w:t>
        </w:r>
      </w:hyperlink>
      <w:r>
        <w:rPr>
          <w:sz w:val="24"/>
        </w:rPr>
        <w:t xml:space="preserve">, </w:t>
      </w:r>
      <w:hyperlink w:history="0" w:anchor="P20660" w:tooltip="417">
        <w:r>
          <w:rPr>
            <w:sz w:val="24"/>
            <w:color w:val="0000ff"/>
          </w:rPr>
          <w:t xml:space="preserve">417</w:t>
        </w:r>
      </w:hyperlink>
      <w:r>
        <w:rPr>
          <w:sz w:val="24"/>
        </w:rPr>
        <w:t xml:space="preserve">, </w:t>
      </w:r>
      <w:hyperlink w:history="0" w:anchor="P20862" w:tooltip="422">
        <w:r>
          <w:rPr>
            <w:sz w:val="24"/>
            <w:color w:val="0000ff"/>
          </w:rPr>
          <w:t xml:space="preserve">422</w:t>
        </w:r>
      </w:hyperlink>
      <w:r>
        <w:rPr>
          <w:sz w:val="24"/>
        </w:rPr>
        <w:t xml:space="preserve">, </w:t>
      </w:r>
      <w:hyperlink w:history="0" w:anchor="P21430" w:tooltip="436">
        <w:r>
          <w:rPr>
            <w:sz w:val="24"/>
            <w:color w:val="0000ff"/>
          </w:rPr>
          <w:t xml:space="preserve">436</w:t>
        </w:r>
      </w:hyperlink>
      <w:r>
        <w:rPr>
          <w:sz w:val="24"/>
        </w:rPr>
        <w:t xml:space="preserve">, </w:t>
      </w:r>
      <w:hyperlink w:history="0" w:anchor="P22346" w:tooltip="463">
        <w:r>
          <w:rPr>
            <w:sz w:val="24"/>
            <w:color w:val="0000ff"/>
          </w:rPr>
          <w:t xml:space="preserve">463</w:t>
        </w:r>
      </w:hyperlink>
      <w:r>
        <w:rPr>
          <w:sz w:val="24"/>
        </w:rPr>
        <w:t xml:space="preserve">, </w:t>
      </w:r>
      <w:hyperlink w:history="0" w:anchor="P23036" w:tooltip="480">
        <w:r>
          <w:rPr>
            <w:sz w:val="24"/>
            <w:color w:val="0000ff"/>
          </w:rPr>
          <w:t xml:space="preserve">480</w:t>
        </w:r>
      </w:hyperlink>
      <w:r>
        <w:rPr>
          <w:sz w:val="24"/>
        </w:rPr>
        <w:t xml:space="preserve">, </w:t>
      </w:r>
      <w:hyperlink w:history="0" w:anchor="P24796" w:tooltip="522">
        <w:r>
          <w:rPr>
            <w:sz w:val="24"/>
            <w:color w:val="0000ff"/>
          </w:rPr>
          <w:t xml:space="preserve">522</w:t>
        </w:r>
      </w:hyperlink>
      <w:r>
        <w:rPr>
          <w:sz w:val="24"/>
        </w:rPr>
        <w:t xml:space="preserve">), аналитическому признаку группы аналитических признаков "Наложен арест, иное обременение или применены обеспечительные меры, препятствующие отчуждению имущества" указывается значение "Да", если на конец отчетного периода в соответствии с </w:t>
      </w:r>
      <w:hyperlink w:history="0" r:id="rId22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3.1.22 пункта 3.1</w:t>
        </w:r>
      </w:hyperlink>
      <w:r>
        <w:rPr>
          <w:sz w:val="24"/>
        </w:rPr>
        <w:t xml:space="preserve"> Положения Банка России N 858-П на актив страховщика наложен арест, иное обременение или к нему применены обеспечительные меры, препятствующие отчуждению имущества. В ином случае указывается значение "Нет".</w:t>
      </w:r>
    </w:p>
    <w:p>
      <w:pPr>
        <w:pStyle w:val="0"/>
        <w:spacing w:before="240" w:lineRule="auto"/>
        <w:ind w:firstLine="540"/>
        <w:jc w:val="both"/>
      </w:pPr>
      <w:r>
        <w:rPr>
          <w:sz w:val="24"/>
        </w:rPr>
        <w:t xml:space="preserve">В </w:t>
      </w:r>
      <w:hyperlink w:history="0" w:anchor="P10932" w:tooltip="Подраздел 2.11.">
        <w:r>
          <w:rPr>
            <w:sz w:val="24"/>
            <w:color w:val="0000ff"/>
          </w:rPr>
          <w:t xml:space="preserve">подразделах 2.11</w:t>
        </w:r>
      </w:hyperlink>
      <w:r>
        <w:rPr>
          <w:sz w:val="24"/>
        </w:rPr>
        <w:t xml:space="preserve"> и </w:t>
      </w:r>
      <w:hyperlink w:history="0" w:anchor="P24438" w:tooltip="Подраздел 2.37.">
        <w:r>
          <w:rPr>
            <w:sz w:val="24"/>
            <w:color w:val="0000ff"/>
          </w:rPr>
          <w:t xml:space="preserve">2.37 раздела 2</w:t>
        </w:r>
      </w:hyperlink>
      <w:r>
        <w:rPr>
          <w:sz w:val="24"/>
        </w:rPr>
        <w:t xml:space="preserve"> отчетности по форме 0420154 по показателю "Наложен арест, иное обременение или применены обеспечительные меры, препятствующие отчуждению имущества" (</w:t>
      </w:r>
      <w:hyperlink w:history="0" w:anchor="P11406" w:tooltip="191">
        <w:r>
          <w:rPr>
            <w:sz w:val="24"/>
            <w:color w:val="0000ff"/>
          </w:rPr>
          <w:t xml:space="preserve">строки 191</w:t>
        </w:r>
      </w:hyperlink>
      <w:r>
        <w:rPr>
          <w:sz w:val="24"/>
        </w:rPr>
        <w:t xml:space="preserve">, </w:t>
      </w:r>
      <w:hyperlink w:history="0" w:anchor="P24796" w:tooltip="522">
        <w:r>
          <w:rPr>
            <w:sz w:val="24"/>
            <w:color w:val="0000ff"/>
          </w:rPr>
          <w:t xml:space="preserve">522</w:t>
        </w:r>
      </w:hyperlink>
      <w:r>
        <w:rPr>
          <w:sz w:val="24"/>
        </w:rPr>
        <w:t xml:space="preserve">) в отношении активов, подпадающих под исключение, предусмотренное </w:t>
      </w:r>
      <w:hyperlink w:history="0" r:id="rId22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3.1.22 пункта 3.1</w:t>
        </w:r>
      </w:hyperlink>
      <w:r>
        <w:rPr>
          <w:sz w:val="24"/>
        </w:rPr>
        <w:t xml:space="preserve"> Положения Банка России N 858-П, указывается значение "Является исключением".</w:t>
      </w:r>
    </w:p>
    <w:p>
      <w:pPr>
        <w:pStyle w:val="0"/>
        <w:spacing w:before="240" w:lineRule="auto"/>
        <w:ind w:firstLine="540"/>
        <w:jc w:val="both"/>
      </w:pPr>
      <w:r>
        <w:rPr>
          <w:sz w:val="24"/>
        </w:rPr>
        <w:t xml:space="preserve">36. По показателю "Суммарная справедливая стоимость лотов" (</w:t>
      </w:r>
      <w:hyperlink w:history="0" w:anchor="P11478" w:tooltip="193">
        <w:r>
          <w:rPr>
            <w:sz w:val="24"/>
            <w:color w:val="0000ff"/>
          </w:rPr>
          <w:t xml:space="preserve">строки 193</w:t>
        </w:r>
      </w:hyperlink>
      <w:r>
        <w:rPr>
          <w:sz w:val="24"/>
        </w:rPr>
        <w:t xml:space="preserve">, </w:t>
      </w:r>
      <w:hyperlink w:history="0" w:anchor="P25822" w:tooltip="553">
        <w:r>
          <w:rPr>
            <w:sz w:val="24"/>
            <w:color w:val="0000ff"/>
          </w:rPr>
          <w:t xml:space="preserve">553</w:t>
        </w:r>
      </w:hyperlink>
      <w:r>
        <w:rPr>
          <w:sz w:val="24"/>
        </w:rPr>
        <w:t xml:space="preserve">) указывается суммарная справедливая стоимость лотов.</w:t>
      </w:r>
    </w:p>
    <w:p>
      <w:pPr>
        <w:pStyle w:val="0"/>
        <w:spacing w:before="240" w:lineRule="auto"/>
        <w:ind w:firstLine="540"/>
        <w:jc w:val="both"/>
      </w:pPr>
      <w:r>
        <w:rPr>
          <w:sz w:val="24"/>
        </w:rPr>
        <w:t xml:space="preserve">37. По показателю "Влияние риска изменения цен на недвижимость" (</w:t>
      </w:r>
      <w:hyperlink w:history="0" w:anchor="P11874" w:tooltip="204">
        <w:r>
          <w:rPr>
            <w:sz w:val="24"/>
            <w:color w:val="0000ff"/>
          </w:rPr>
          <w:t xml:space="preserve">строки 204</w:t>
        </w:r>
      </w:hyperlink>
      <w:r>
        <w:rPr>
          <w:sz w:val="24"/>
        </w:rPr>
        <w:t xml:space="preserve">, </w:t>
      </w:r>
      <w:hyperlink w:history="0" w:anchor="P24860" w:tooltip="524">
        <w:r>
          <w:rPr>
            <w:sz w:val="24"/>
            <w:color w:val="0000ff"/>
          </w:rPr>
          <w:t xml:space="preserve">524</w:t>
        </w:r>
      </w:hyperlink>
      <w:r>
        <w:rPr>
          <w:sz w:val="24"/>
        </w:rPr>
        <w:t xml:space="preserve">, </w:t>
      </w:r>
      <w:hyperlink w:history="0" w:anchor="P25630" w:tooltip="547">
        <w:r>
          <w:rPr>
            <w:sz w:val="24"/>
            <w:color w:val="0000ff"/>
          </w:rPr>
          <w:t xml:space="preserve">547</w:t>
        </w:r>
      </w:hyperlink>
      <w:r>
        <w:rPr>
          <w:sz w:val="24"/>
        </w:rPr>
        <w:t xml:space="preserve">, </w:t>
      </w:r>
      <w:hyperlink w:history="0" w:anchor="P26542" w:tooltip="588">
        <w:r>
          <w:rPr>
            <w:sz w:val="24"/>
            <w:color w:val="0000ff"/>
          </w:rPr>
          <w:t xml:space="preserve">588</w:t>
        </w:r>
      </w:hyperlink>
      <w:r>
        <w:rPr>
          <w:sz w:val="24"/>
        </w:rPr>
        <w:t xml:space="preserve">) указывается величина оценки риска изменения цен на недвижимость, определенная в соответствии с </w:t>
      </w:r>
      <w:hyperlink w:history="0" r:id="rId22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5</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38. По показателю "Включен в расчет нормативного соотношения собственных средств (капитала) и принятых обязательств" (</w:t>
      </w:r>
      <w:hyperlink w:history="0" w:anchor="P12414" w:tooltip="219">
        <w:r>
          <w:rPr>
            <w:sz w:val="24"/>
            <w:color w:val="0000ff"/>
          </w:rPr>
          <w:t xml:space="preserve">строки 219</w:t>
        </w:r>
      </w:hyperlink>
      <w:r>
        <w:rPr>
          <w:sz w:val="24"/>
        </w:rPr>
        <w:t xml:space="preserve">, </w:t>
      </w:r>
      <w:hyperlink w:history="0" w:anchor="P26290" w:tooltip="572">
        <w:r>
          <w:rPr>
            <w:sz w:val="24"/>
            <w:color w:val="0000ff"/>
          </w:rPr>
          <w:t xml:space="preserve">572</w:t>
        </w:r>
      </w:hyperlink>
      <w:r>
        <w:rPr>
          <w:sz w:val="24"/>
        </w:rPr>
        <w:t xml:space="preserve">) для субординированного займа указывается информация о его включении в расчет нормативного соотношения собственных средств (капитала) и принятых обязательств в соответствии с </w:t>
      </w:r>
      <w:hyperlink w:history="0" r:id="rId227"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4.3 статьи 25</w:t>
        </w:r>
      </w:hyperlink>
      <w:r>
        <w:rPr>
          <w:sz w:val="24"/>
        </w:rPr>
        <w:t xml:space="preserve"> Закона Российской Федерации N 4015-1.</w:t>
      </w:r>
    </w:p>
    <w:p>
      <w:pPr>
        <w:pStyle w:val="0"/>
        <w:spacing w:before="240" w:lineRule="auto"/>
        <w:ind w:firstLine="540"/>
        <w:jc w:val="both"/>
      </w:pPr>
      <w:r>
        <w:rPr>
          <w:sz w:val="24"/>
        </w:rPr>
        <w:t xml:space="preserve">39. По показателю "Оплата задолженности денежными средствами" (</w:t>
      </w:r>
      <w:hyperlink w:history="0" w:anchor="P14220" w:tooltip="261">
        <w:r>
          <w:rPr>
            <w:sz w:val="24"/>
            <w:color w:val="0000ff"/>
          </w:rPr>
          <w:t xml:space="preserve">строки 261</w:t>
        </w:r>
      </w:hyperlink>
      <w:r>
        <w:rPr>
          <w:sz w:val="24"/>
        </w:rPr>
        <w:t xml:space="preserve">, </w:t>
      </w:r>
      <w:hyperlink w:history="0" w:anchor="P14822" w:tooltip="274">
        <w:r>
          <w:rPr>
            <w:sz w:val="24"/>
            <w:color w:val="0000ff"/>
          </w:rPr>
          <w:t xml:space="preserve">274</w:t>
        </w:r>
      </w:hyperlink>
      <w:r>
        <w:rPr>
          <w:sz w:val="24"/>
        </w:rPr>
        <w:t xml:space="preserve">, </w:t>
      </w:r>
      <w:hyperlink w:history="0" w:anchor="P16220" w:tooltip="301">
        <w:r>
          <w:rPr>
            <w:sz w:val="24"/>
            <w:color w:val="0000ff"/>
          </w:rPr>
          <w:t xml:space="preserve">301</w:t>
        </w:r>
      </w:hyperlink>
      <w:r>
        <w:rPr>
          <w:sz w:val="24"/>
        </w:rPr>
        <w:t xml:space="preserve">, </w:t>
      </w:r>
      <w:hyperlink w:history="0" w:anchor="P17092" w:tooltip="318">
        <w:r>
          <w:rPr>
            <w:sz w:val="24"/>
            <w:color w:val="0000ff"/>
          </w:rPr>
          <w:t xml:space="preserve">318</w:t>
        </w:r>
      </w:hyperlink>
      <w:r>
        <w:rPr>
          <w:sz w:val="24"/>
        </w:rPr>
        <w:t xml:space="preserve">, </w:t>
      </w:r>
      <w:hyperlink w:history="0" w:anchor="P19060" w:tooltip="365">
        <w:r>
          <w:rPr>
            <w:sz w:val="24"/>
            <w:color w:val="0000ff"/>
          </w:rPr>
          <w:t xml:space="preserve">365</w:t>
        </w:r>
      </w:hyperlink>
      <w:r>
        <w:rPr>
          <w:sz w:val="24"/>
        </w:rPr>
        <w:t xml:space="preserve">, </w:t>
      </w:r>
      <w:hyperlink w:history="0" w:anchor="P19824" w:tooltip="389">
        <w:r>
          <w:rPr>
            <w:sz w:val="24"/>
            <w:color w:val="0000ff"/>
          </w:rPr>
          <w:t xml:space="preserve">389</w:t>
        </w:r>
      </w:hyperlink>
      <w:r>
        <w:rPr>
          <w:sz w:val="24"/>
        </w:rPr>
        <w:t xml:space="preserve">, </w:t>
      </w:r>
      <w:hyperlink w:history="0" w:anchor="P20906" w:tooltip="423">
        <w:r>
          <w:rPr>
            <w:sz w:val="24"/>
            <w:color w:val="0000ff"/>
          </w:rPr>
          <w:t xml:space="preserve">423</w:t>
        </w:r>
      </w:hyperlink>
      <w:r>
        <w:rPr>
          <w:sz w:val="24"/>
        </w:rPr>
        <w:t xml:space="preserve">, </w:t>
      </w:r>
      <w:hyperlink w:history="0" w:anchor="P21494" w:tooltip="438">
        <w:r>
          <w:rPr>
            <w:sz w:val="24"/>
            <w:color w:val="0000ff"/>
          </w:rPr>
          <w:t xml:space="preserve">438</w:t>
        </w:r>
      </w:hyperlink>
      <w:r>
        <w:rPr>
          <w:sz w:val="24"/>
        </w:rPr>
        <w:t xml:space="preserve">, </w:t>
      </w:r>
      <w:hyperlink w:history="0" w:anchor="P22426" w:tooltip="465">
        <w:r>
          <w:rPr>
            <w:sz w:val="24"/>
            <w:color w:val="0000ff"/>
          </w:rPr>
          <w:t xml:space="preserve">465</w:t>
        </w:r>
      </w:hyperlink>
      <w:r>
        <w:rPr>
          <w:sz w:val="24"/>
        </w:rPr>
        <w:t xml:space="preserve">, </w:t>
      </w:r>
      <w:hyperlink w:history="0" w:anchor="P23124" w:tooltip="482">
        <w:r>
          <w:rPr>
            <w:sz w:val="24"/>
            <w:color w:val="0000ff"/>
          </w:rPr>
          <w:t xml:space="preserve">482</w:t>
        </w:r>
      </w:hyperlink>
      <w:r>
        <w:rPr>
          <w:sz w:val="24"/>
        </w:rPr>
        <w:t xml:space="preserve">), аналитическому признаку группы аналитических признаков "Оплата задолженности денежными средствами" указывается значение "Да", если оплата задолженности перед страховщиком осуществляется денежными средствами. В ином случае указывается значение "Нет".</w:t>
      </w:r>
    </w:p>
    <w:p>
      <w:pPr>
        <w:pStyle w:val="0"/>
        <w:spacing w:before="240" w:lineRule="auto"/>
        <w:ind w:firstLine="540"/>
        <w:jc w:val="both"/>
      </w:pPr>
      <w:r>
        <w:rPr>
          <w:sz w:val="24"/>
        </w:rPr>
        <w:t xml:space="preserve">40. По показателю "Права требования относятся к правам требования в рамках расчетов по сделкам с ценными бумагами и погашения ценных бумаг" (</w:t>
      </w:r>
      <w:hyperlink w:history="0" w:anchor="P13080" w:tooltip="236">
        <w:r>
          <w:rPr>
            <w:sz w:val="24"/>
            <w:color w:val="0000ff"/>
          </w:rPr>
          <w:t xml:space="preserve">строки 236</w:t>
        </w:r>
      </w:hyperlink>
      <w:r>
        <w:rPr>
          <w:sz w:val="24"/>
        </w:rPr>
        <w:t xml:space="preserve">, </w:t>
      </w:r>
      <w:hyperlink w:history="0" w:anchor="P13614" w:tooltip="248">
        <w:r>
          <w:rPr>
            <w:sz w:val="24"/>
            <w:color w:val="0000ff"/>
          </w:rPr>
          <w:t xml:space="preserve">248</w:t>
        </w:r>
      </w:hyperlink>
      <w:r>
        <w:rPr>
          <w:sz w:val="24"/>
        </w:rPr>
        <w:t xml:space="preserve">) указывается значение "Да", если права требования к лицу, которому присвоен статус центрального депозитария в соответствии со </w:t>
      </w:r>
      <w:hyperlink w:history="0" r:id="rId228" w:tooltip="Федеральный закон от 07.12.2011 N 414-ФЗ (ред. от 28.12.2024) &quot;О центральном депозитарии&quot; {КонсультантПлюс}">
        <w:r>
          <w:rPr>
            <w:sz w:val="24"/>
            <w:color w:val="0000ff"/>
          </w:rPr>
          <w:t xml:space="preserve">статьей 22</w:t>
        </w:r>
      </w:hyperlink>
      <w:r>
        <w:rPr>
          <w:sz w:val="24"/>
        </w:rPr>
        <w:t xml:space="preserve"> Федерального закона от 7 декабря 2011 года N 414-ФЗ "О центральном депозитарии" (далее - центральный депозитарий), или квалифицированному центральному контрагенту возникли в связи с осуществлением указанными лицами операций в рамках расчетов по сделкам с ценными бумагами и погашения ценных бумаг. В ином случае указывается значение "Нет".</w:t>
      </w:r>
    </w:p>
    <w:p>
      <w:pPr>
        <w:pStyle w:val="0"/>
        <w:spacing w:before="240" w:lineRule="auto"/>
        <w:ind w:firstLine="540"/>
        <w:jc w:val="both"/>
      </w:pPr>
      <w:r>
        <w:rPr>
          <w:sz w:val="24"/>
        </w:rPr>
        <w:t xml:space="preserve">41. По показателю "Установлен срок, соответствующий предельному сроку для определения задолженности перед страховщиком" </w:t>
      </w:r>
      <w:hyperlink w:history="0" w:anchor="P16172" w:tooltip="300">
        <w:r>
          <w:rPr>
            <w:sz w:val="24"/>
            <w:color w:val="0000ff"/>
          </w:rPr>
          <w:t xml:space="preserve">(строка 300)</w:t>
        </w:r>
      </w:hyperlink>
      <w:r>
        <w:rPr>
          <w:sz w:val="24"/>
        </w:rPr>
        <w:t xml:space="preserve">, аналитическому признаку группы аналитических признаков "Установлен срок, соответствующий предельному сроку для определения задолженности перед страховщиком" указывается значение "Да", если в соответствии с договором страховщика со страховым агентом (страховым брокером) установлен срок, соответствующий сроку, указанному в </w:t>
      </w:r>
      <w:hyperlink w:history="0" r:id="rId22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таблице 11</w:t>
        </w:r>
      </w:hyperlink>
      <w:r>
        <w:rPr>
          <w:sz w:val="24"/>
        </w:rPr>
        <w:t xml:space="preserve"> приложения 2 к Положению Банка России N 858-П. В ином случае указывается значение "Нет".</w:t>
      </w:r>
    </w:p>
    <w:p>
      <w:pPr>
        <w:pStyle w:val="0"/>
        <w:spacing w:before="240" w:lineRule="auto"/>
        <w:ind w:firstLine="540"/>
        <w:jc w:val="both"/>
      </w:pPr>
      <w:r>
        <w:rPr>
          <w:sz w:val="24"/>
        </w:rPr>
        <w:t xml:space="preserve">42. По показателю "Права требования к перестраховщику соответствуют условиям, предусмотренным требованиями к финансовой устойчивости и платежеспособности страховщиков" (</w:t>
      </w:r>
      <w:hyperlink w:history="0" w:anchor="P19092" w:tooltip="366">
        <w:r>
          <w:rPr>
            <w:sz w:val="24"/>
            <w:color w:val="0000ff"/>
          </w:rPr>
          <w:t xml:space="preserve">строки 366</w:t>
        </w:r>
      </w:hyperlink>
      <w:r>
        <w:rPr>
          <w:sz w:val="24"/>
        </w:rPr>
        <w:t xml:space="preserve">, </w:t>
      </w:r>
      <w:hyperlink w:history="0" w:anchor="P21526" w:tooltip="439">
        <w:r>
          <w:rPr>
            <w:sz w:val="24"/>
            <w:color w:val="0000ff"/>
          </w:rPr>
          <w:t xml:space="preserve">439</w:t>
        </w:r>
      </w:hyperlink>
      <w:r>
        <w:rPr>
          <w:sz w:val="24"/>
        </w:rPr>
        <w:t xml:space="preserve">) указывается значение "Да", если у страховщика имеются права требования к перестраховщику, указанному в </w:t>
      </w:r>
      <w:hyperlink w:history="0" r:id="rId23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3.1.12.9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43. По показателю "Права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 (</w:t>
      </w:r>
      <w:hyperlink w:history="0" w:anchor="P19124" w:tooltip="367">
        <w:r>
          <w:rPr>
            <w:sz w:val="24"/>
            <w:color w:val="0000ff"/>
          </w:rPr>
          <w:t xml:space="preserve">строки 367</w:t>
        </w:r>
      </w:hyperlink>
      <w:r>
        <w:rPr>
          <w:sz w:val="24"/>
        </w:rPr>
        <w:t xml:space="preserve">, </w:t>
      </w:r>
      <w:hyperlink w:history="0" w:anchor="P19760" w:tooltip="387">
        <w:r>
          <w:rPr>
            <w:sz w:val="24"/>
            <w:color w:val="0000ff"/>
          </w:rPr>
          <w:t xml:space="preserve">387</w:t>
        </w:r>
      </w:hyperlink>
      <w:r>
        <w:rPr>
          <w:sz w:val="24"/>
        </w:rPr>
        <w:t xml:space="preserve">, </w:t>
      </w:r>
      <w:hyperlink w:history="0" w:anchor="P21558" w:tooltip="440">
        <w:r>
          <w:rPr>
            <w:sz w:val="24"/>
            <w:color w:val="0000ff"/>
          </w:rPr>
          <w:t xml:space="preserve">440</w:t>
        </w:r>
      </w:hyperlink>
      <w:r>
        <w:rPr>
          <w:sz w:val="24"/>
        </w:rPr>
        <w:t xml:space="preserve">), аналитическому признаку группы аналитических признаков "Права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 указывается значение "Да", если права требования соответствуют требованиям </w:t>
      </w:r>
      <w:hyperlink w:history="0" r:id="rId23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 третьего</w:t>
        </w:r>
      </w:hyperlink>
      <w:r>
        <w:rPr>
          <w:sz w:val="24"/>
        </w:rPr>
        <w:t xml:space="preserve"> или </w:t>
      </w:r>
      <w:hyperlink w:history="0" r:id="rId23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четвертого подпункта 3.1.12.10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44. По показателю "Актив по договору обязательного страхования гражданской ответственности владельца опасного объекта" (</w:t>
      </w:r>
      <w:hyperlink w:history="0" w:anchor="P19156" w:tooltip="368">
        <w:r>
          <w:rPr>
            <w:sz w:val="24"/>
            <w:color w:val="0000ff"/>
          </w:rPr>
          <w:t xml:space="preserve">строки 368</w:t>
        </w:r>
      </w:hyperlink>
      <w:r>
        <w:rPr>
          <w:sz w:val="24"/>
        </w:rPr>
        <w:t xml:space="preserve">, </w:t>
      </w:r>
      <w:hyperlink w:history="0" w:anchor="P19856" w:tooltip="390">
        <w:r>
          <w:rPr>
            <w:sz w:val="24"/>
            <w:color w:val="0000ff"/>
          </w:rPr>
          <w:t xml:space="preserve">390</w:t>
        </w:r>
      </w:hyperlink>
      <w:r>
        <w:rPr>
          <w:sz w:val="24"/>
        </w:rPr>
        <w:t xml:space="preserve">, </w:t>
      </w:r>
      <w:hyperlink w:history="0" w:anchor="P21590" w:tooltip="441">
        <w:r>
          <w:rPr>
            <w:sz w:val="24"/>
            <w:color w:val="0000ff"/>
          </w:rPr>
          <w:t xml:space="preserve">441</w:t>
        </w:r>
      </w:hyperlink>
      <w:r>
        <w:rPr>
          <w:sz w:val="24"/>
        </w:rPr>
        <w:t xml:space="preserve">), аналитическому признаку группы аналитических признаков "Актив по договору обязательного страхования гражданской ответственности владельца опасного объекта" указывается значение "Да", если право требования возникло или доля перестраховщиков в страховых резервах сформирована по договору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w:history="0" r:id="rId23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45. По показателю "Актив по договору обязательного страхования гражданской ответственности перевозчика" (</w:t>
      </w:r>
      <w:hyperlink w:history="0" w:anchor="P19188" w:tooltip="369">
        <w:r>
          <w:rPr>
            <w:sz w:val="24"/>
            <w:color w:val="0000ff"/>
          </w:rPr>
          <w:t xml:space="preserve">строки 369</w:t>
        </w:r>
      </w:hyperlink>
      <w:r>
        <w:rPr>
          <w:sz w:val="24"/>
        </w:rPr>
        <w:t xml:space="preserve">, </w:t>
      </w:r>
      <w:hyperlink w:history="0" w:anchor="P19888" w:tooltip="391">
        <w:r>
          <w:rPr>
            <w:sz w:val="24"/>
            <w:color w:val="0000ff"/>
          </w:rPr>
          <w:t xml:space="preserve">391</w:t>
        </w:r>
      </w:hyperlink>
      <w:r>
        <w:rPr>
          <w:sz w:val="24"/>
        </w:rPr>
        <w:t xml:space="preserve">, </w:t>
      </w:r>
      <w:hyperlink w:history="0" w:anchor="P21622" w:tooltip="442">
        <w:r>
          <w:rPr>
            <w:sz w:val="24"/>
            <w:color w:val="0000ff"/>
          </w:rPr>
          <w:t xml:space="preserve">442</w:t>
        </w:r>
      </w:hyperlink>
      <w:r>
        <w:rPr>
          <w:sz w:val="24"/>
        </w:rPr>
        <w:t xml:space="preserve">), аналитическому признаку группы аналитических признаков "Актив по договору обязательного страхования гражданской ответственности перевозчика" указывается значение "Да", если право требования возникло или доля перестраховщиков в страховых резервах сформирована по договору обязательного страхования гражданской ответственности перевозчика за причинение вреда жизни, здоровью, имуществу пассажиров в соответствии с </w:t>
      </w:r>
      <w:hyperlink w:history="0" r:id="rId23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46. По показателю "Актив по договору страхования гражданско-правовой ответственности за убытки и вред, причиненные радиационным воздействием" (</w:t>
      </w:r>
      <w:hyperlink w:history="0" w:anchor="P19220" w:tooltip="370">
        <w:r>
          <w:rPr>
            <w:sz w:val="24"/>
            <w:color w:val="0000ff"/>
          </w:rPr>
          <w:t xml:space="preserve">строки 370</w:t>
        </w:r>
      </w:hyperlink>
      <w:r>
        <w:rPr>
          <w:sz w:val="24"/>
        </w:rPr>
        <w:t xml:space="preserve">, </w:t>
      </w:r>
      <w:hyperlink w:history="0" w:anchor="P21654" w:tooltip="443">
        <w:r>
          <w:rPr>
            <w:sz w:val="24"/>
            <w:color w:val="0000ff"/>
          </w:rPr>
          <w:t xml:space="preserve">443</w:t>
        </w:r>
      </w:hyperlink>
      <w:r>
        <w:rPr>
          <w:sz w:val="24"/>
        </w:rPr>
        <w:t xml:space="preserve">), аналитическому признаку группы аналитических признаков "Актив по договору страхования гражданско-правовой ответственности за убытки и вред, причиненные радиационным воздействием" указывается значение "Да", если право требования возникло или доля перестраховщиков в страховых резервах сформирована по договору страхования гражданско-правовой ответственности за убытки и вред, причиненные радиационным воздействием, при осуществлении перестраховщиком перестрахования в составе пулов по страхованию ядерных рисков при условии солидарной ответственности участников пула, принимающих такие риски, в соответствии с </w:t>
      </w:r>
      <w:hyperlink w:history="0" r:id="rId23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47. По аналитическому признаку группы аналитических признаков "Актив, подлежащий суммированию в соответствии с требованиями к финансовой устойчивости и платежеспособности страховщиков" указывается значение "Да", если актив включается в состав активов страховщика, подлежащих суммированию, при определении величины собственных средств (капитала) в соответствии с </w:t>
      </w:r>
      <w:hyperlink w:history="0" r:id="rId23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48. По аналитическому признаку группы аналитических признаков "Права требования относятся к правам требования в части уплаты просроченной задолженности" указывается значение "Да", если права требования соответствуют критерию, предусмотренному </w:t>
      </w:r>
      <w:hyperlink w:history="0" r:id="rId23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3.1.13 пункта 3.1</w:t>
        </w:r>
      </w:hyperlink>
      <w:r>
        <w:rPr>
          <w:sz w:val="24"/>
        </w:rPr>
        <w:t xml:space="preserve"> Положения Банка России N 858-П, или значение "Нет", если права требования не соответствуют критерию, предусмотренному </w:t>
      </w:r>
      <w:hyperlink w:history="0" r:id="rId23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3.1.13 пункта 3.1</w:t>
        </w:r>
      </w:hyperlink>
      <w:r>
        <w:rPr>
          <w:sz w:val="24"/>
        </w:rPr>
        <w:t xml:space="preserve"> Положения Банка России N 858-П.</w:t>
      </w:r>
    </w:p>
    <w:p>
      <w:pPr>
        <w:pStyle w:val="0"/>
        <w:spacing w:before="240" w:lineRule="auto"/>
        <w:ind w:firstLine="540"/>
        <w:jc w:val="both"/>
      </w:pPr>
      <w:r>
        <w:rPr>
          <w:sz w:val="24"/>
        </w:rPr>
        <w:t xml:space="preserve">49. По аналитическому признаку группы аналитических признаков "Актив включен в перечень активов, стоимость которых страховщик признает равной нулю, установленный во внутреннем документе страховщика" для каждого актива страховщика (за исключением доли перестраховщиков в страховых резервах, если ее стоимость принимает отрицательное значение), стоимость которого отражена в подразделах </w:t>
      </w:r>
      <w:hyperlink w:history="0" w:anchor="P2420" w:tooltip="Раздел 2.">
        <w:r>
          <w:rPr>
            <w:sz w:val="24"/>
            <w:color w:val="0000ff"/>
          </w:rPr>
          <w:t xml:space="preserve">раздела 2</w:t>
        </w:r>
      </w:hyperlink>
      <w:r>
        <w:rPr>
          <w:sz w:val="24"/>
        </w:rPr>
        <w:t xml:space="preserve"> отчетности по форме 0420154 на конец отчетного периода, указывается значение "Да", если на конец отчетного периода, актив соответствует критерию, предусмотренному </w:t>
      </w:r>
      <w:hyperlink w:history="0" r:id="rId23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3.1.25 пункта 3.1</w:t>
        </w:r>
      </w:hyperlink>
      <w:r>
        <w:rPr>
          <w:sz w:val="24"/>
        </w:rPr>
        <w:t xml:space="preserve"> Положения Банка России N 858-П, или значение "Нет", если на конец отчетного периода актив не соответствует критерию, предусмотренному </w:t>
      </w:r>
      <w:hyperlink w:history="0" r:id="rId24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3.1.25 пункта 3.1</w:t>
        </w:r>
      </w:hyperlink>
      <w:r>
        <w:rPr>
          <w:sz w:val="24"/>
        </w:rPr>
        <w:t xml:space="preserve"> Положения Банка России N 858-П. Для доли перестраховщиков в страховых резервах, если ее стоимость принимает отрицательное значение, указывается значение "Неприменимо".</w:t>
      </w:r>
    </w:p>
    <w:p>
      <w:pPr>
        <w:pStyle w:val="0"/>
        <w:spacing w:before="240" w:lineRule="auto"/>
        <w:ind w:firstLine="540"/>
        <w:jc w:val="both"/>
      </w:pPr>
      <w:r>
        <w:rPr>
          <w:sz w:val="24"/>
        </w:rPr>
        <w:t xml:space="preserve">50. По аналитическому признаку группы аналитических признаков "Обязательство, подлежащее суммированию в соответствии с требованиями к финансовой устойчивости и платежеспособности страховщиков" указывается значение "Да", если обязательство включается в состав обязательств страховщика, подлежащих суммированию, при определении величины собственных средств (капитала) в соответствии с </w:t>
      </w:r>
      <w:hyperlink w:history="0" r:id="rId24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51. Значение идентификатора контрагента, указанное по группам аналитических признаков "Идентификатор контрагента", "Идентификатор поручителя (гаранта)", "Идентификатор доверительного управляющего", "Идентификатор организации, осуществляющей хранение ценной бумаги", "Идентификатор организации, осуществляющей учет ценной бумаги", "Идентификатор контрагента по договору на проведение оценки", "Идентификатор контрагента по базисному активу по срочной сделке или активу, от которого зависит поток по облигации", "Идентификатор эмитента", "Идентификатор обязанного лица", "Идентификатор кредитного рейтингового агентства" (за исключением случаев указания значения "НП", слов "по договорам нет данных"),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по этому контрагенту.</w:t>
      </w:r>
    </w:p>
    <w:p>
      <w:pPr>
        <w:pStyle w:val="0"/>
        <w:spacing w:before="240" w:lineRule="auto"/>
        <w:ind w:firstLine="540"/>
        <w:jc w:val="both"/>
      </w:pPr>
      <w:r>
        <w:rPr>
          <w:sz w:val="24"/>
        </w:rPr>
        <w:t xml:space="preserve">51.1. По группе аналитических признаков "Идентификатор контрагента" для каждого актива, обязательства страховщика указывается соответственно идентификатор контрагента по данному активу, обязательству.</w:t>
      </w:r>
    </w:p>
    <w:p>
      <w:pPr>
        <w:pStyle w:val="0"/>
        <w:spacing w:before="240" w:lineRule="auto"/>
        <w:ind w:firstLine="540"/>
        <w:jc w:val="both"/>
      </w:pPr>
      <w:r>
        <w:rPr>
          <w:sz w:val="24"/>
        </w:rPr>
        <w:t xml:space="preserve">По группе аналитических признаков "Идентификатор контрагента" для активов страховщика, на которые распространяются требования </w:t>
      </w:r>
      <w:hyperlink w:history="0" r:id="rId24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 девятого пункта 2.6</w:t>
        </w:r>
      </w:hyperlink>
      <w:r>
        <w:rPr>
          <w:sz w:val="24"/>
        </w:rPr>
        <w:t xml:space="preserve"> Положения Банка России N 858-П, указывается идентификатор федерального органа законодательной власти, федерального органа исполнительной власти, органа законодательной власти субъекта Российской Федерации, органа исполнительной власти субъекта Российской Федерации, органа местного самоуправления, казенного учреждения или казенного предприятия.</w:t>
      </w:r>
    </w:p>
    <w:p>
      <w:pPr>
        <w:pStyle w:val="0"/>
        <w:spacing w:before="240" w:lineRule="auto"/>
        <w:ind w:firstLine="540"/>
        <w:jc w:val="both"/>
      </w:pPr>
      <w:r>
        <w:rPr>
          <w:sz w:val="24"/>
        </w:rPr>
        <w:t xml:space="preserve">51.2. По группе аналитических признаков "Идентификатор поручителя (гаранта)" для каждого актива страховщика, каждой срочной сделки, каждого дополнительного обязательства, отраженного в </w:t>
      </w:r>
      <w:hyperlink w:history="0" w:anchor="P27362" w:tooltip="Подраздел 3.14.">
        <w:r>
          <w:rPr>
            <w:sz w:val="24"/>
            <w:color w:val="0000ff"/>
          </w:rPr>
          <w:t xml:space="preserve">подразделе 3.14 раздела 3</w:t>
        </w:r>
      </w:hyperlink>
      <w:r>
        <w:rPr>
          <w:sz w:val="24"/>
        </w:rPr>
        <w:t xml:space="preserve"> отчетности по форме 0420154, указывается идентификатор поручителя (гаранта) по данному активу, данной срочной сделке, данному дополнительному обязательству соответственно или указывается значение "НП" в случае отсутствия поручителя (гаранта).</w:t>
      </w:r>
    </w:p>
    <w:p>
      <w:pPr>
        <w:pStyle w:val="0"/>
        <w:spacing w:before="240" w:lineRule="auto"/>
        <w:ind w:firstLine="540"/>
        <w:jc w:val="both"/>
      </w:pPr>
      <w:r>
        <w:rPr>
          <w:sz w:val="24"/>
        </w:rPr>
        <w:t xml:space="preserve">В случае если гарантия является государственной, выданной в соответствии с бюджетным законодательством Российской Федерации, по группе аналитических признаков "Идентификатор поручителя (гаранта)" указывается идентификатор Министерства финансов Российской Федерации.</w:t>
      </w:r>
    </w:p>
    <w:p>
      <w:pPr>
        <w:pStyle w:val="0"/>
        <w:spacing w:before="240" w:lineRule="auto"/>
        <w:ind w:firstLine="540"/>
        <w:jc w:val="both"/>
      </w:pPr>
      <w:r>
        <w:rPr>
          <w:sz w:val="24"/>
        </w:rPr>
        <w:t xml:space="preserve">По группе аналитических признаков "Идентификатор поручителя (гаранта)" для активов страховщика, на которые распространяются требования </w:t>
      </w:r>
      <w:hyperlink w:history="0" r:id="rId24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 девятого пункта 2.6</w:t>
        </w:r>
      </w:hyperlink>
      <w:r>
        <w:rPr>
          <w:sz w:val="24"/>
        </w:rPr>
        <w:t xml:space="preserve"> Положения Банка России N 858-П, указывается идентификатор государственного органа, органа местного самоуправления, юридического лица или гражданина, выступающего от имени Российской Федерации, субъекта Российской Федерации или муниципального образования и отвечающего по обязательствам контрагента (федерального органа законодательной власти, федерального органа исполнительной власти, органа законодательной власти субъекта Российской Федерации, органа исполнительной власти субъекта Российской Федерации, органа местного самоуправления, казенного учреждения или казенного предприятия), идентификатор которого указан по группе аналитических признаков "Идентификатор контрагента".</w:t>
      </w:r>
    </w:p>
    <w:bookmarkStart w:id="28675" w:name="P28675"/>
    <w:bookmarkEnd w:id="28675"/>
    <w:p>
      <w:pPr>
        <w:pStyle w:val="0"/>
        <w:spacing w:before="240" w:lineRule="auto"/>
        <w:ind w:firstLine="540"/>
        <w:jc w:val="both"/>
      </w:pPr>
      <w:r>
        <w:rPr>
          <w:sz w:val="24"/>
        </w:rPr>
        <w:t xml:space="preserve">51.3. По группе аналитических признаков "Идентификатор доверительного управляющего" для каждого актива страховщика, стоимость которого отражена в подразделах </w:t>
      </w:r>
      <w:hyperlink w:history="0" w:anchor="P2420" w:tooltip="Раздел 2.">
        <w:r>
          <w:rPr>
            <w:sz w:val="24"/>
            <w:color w:val="0000ff"/>
          </w:rPr>
          <w:t xml:space="preserve">раздела 2</w:t>
        </w:r>
      </w:hyperlink>
      <w:r>
        <w:rPr>
          <w:sz w:val="24"/>
        </w:rPr>
        <w:t xml:space="preserve"> отчетности по форме 0420154 на конец отчетного периода и находящегося на конец отчетного периода в доверительном управлении, указывается идентификатор доверительного управляющего, в доверительном управлении которого находится актив на конец отчетного периода.</w:t>
      </w:r>
    </w:p>
    <w:p>
      <w:pPr>
        <w:pStyle w:val="0"/>
        <w:spacing w:before="240" w:lineRule="auto"/>
        <w:ind w:firstLine="540"/>
        <w:jc w:val="both"/>
      </w:pPr>
      <w:r>
        <w:rPr>
          <w:sz w:val="24"/>
        </w:rPr>
        <w:t xml:space="preserve">Для активов страховщика, не указанных в </w:t>
      </w:r>
      <w:hyperlink w:history="0" w:anchor="P28675" w:tooltip="51.3. По группе аналитических признаков &quot;Идентификатор доверительного управляющего&quot; для каждого актива страховщика, стоимость которого отражена в подразделах раздела 2 отчетности по форме 0420154 на конец отчетного периода и находящегося на конец отчетного периода в доверительном управлении, указывается идентификатор доверительного управляющего, в доверительном управлении которого находится актив на конец отчетного периода.">
        <w:r>
          <w:rPr>
            <w:sz w:val="24"/>
            <w:color w:val="0000ff"/>
          </w:rPr>
          <w:t xml:space="preserve">абзаце первом</w:t>
        </w:r>
      </w:hyperlink>
      <w:r>
        <w:rPr>
          <w:sz w:val="24"/>
        </w:rPr>
        <w:t xml:space="preserve"> настоящего подпункта, по группе аналитических признаков "Идентификатор доверительного управляющего" указывается значение "НП".</w:t>
      </w:r>
    </w:p>
    <w:bookmarkStart w:id="28677" w:name="P28677"/>
    <w:bookmarkEnd w:id="28677"/>
    <w:p>
      <w:pPr>
        <w:pStyle w:val="0"/>
        <w:spacing w:before="240" w:lineRule="auto"/>
        <w:ind w:firstLine="540"/>
        <w:jc w:val="both"/>
      </w:pPr>
      <w:r>
        <w:rPr>
          <w:sz w:val="24"/>
        </w:rPr>
        <w:t xml:space="preserve">51.4. По группе аналитических признаков "Идентификатор организации, осуществляющей хранение ценной бумаги" для каждого актива страховщика, стоимость которого отражена в подразделах </w:t>
      </w:r>
      <w:hyperlink w:history="0" w:anchor="P2420" w:tooltip="Раздел 2.">
        <w:r>
          <w:rPr>
            <w:sz w:val="24"/>
            <w:color w:val="0000ff"/>
          </w:rPr>
          <w:t xml:space="preserve">раздела 2</w:t>
        </w:r>
      </w:hyperlink>
      <w:r>
        <w:rPr>
          <w:sz w:val="24"/>
        </w:rPr>
        <w:t xml:space="preserve"> отчетности по форме 0420154 на конец отчетного периода, указывается идентификатор организации, осуществляющей на конец отчетного периода хранение ценной бумаги.</w:t>
      </w:r>
    </w:p>
    <w:p>
      <w:pPr>
        <w:pStyle w:val="0"/>
        <w:spacing w:before="240" w:lineRule="auto"/>
        <w:ind w:firstLine="540"/>
        <w:jc w:val="both"/>
      </w:pPr>
      <w:r>
        <w:rPr>
          <w:sz w:val="24"/>
        </w:rPr>
        <w:t xml:space="preserve">Для активов страховщика, не указанных в </w:t>
      </w:r>
      <w:hyperlink w:history="0" w:anchor="P28677" w:tooltip="51.4. По группе аналитических признаков &quot;Идентификатор организации, осуществляющей хранение ценной бумаги&quot; для каждого актива страховщика, стоимость которого отражена в подразделах раздела 2 отчетности по форме 0420154 на конец отчетного периода, указывается идентификатор организации, осуществляющей на конец отчетного периода хранение ценной бумаги.">
        <w:r>
          <w:rPr>
            <w:sz w:val="24"/>
            <w:color w:val="0000ff"/>
          </w:rPr>
          <w:t xml:space="preserve">абзаце первом</w:t>
        </w:r>
      </w:hyperlink>
      <w:r>
        <w:rPr>
          <w:sz w:val="24"/>
        </w:rPr>
        <w:t xml:space="preserve"> настоящего подпункта, по группе аналитических признаков "Идентификатор организации, осуществляющей хранение ценной бумаги" указывается значение "НП".</w:t>
      </w:r>
    </w:p>
    <w:p>
      <w:pPr>
        <w:pStyle w:val="0"/>
        <w:spacing w:before="240" w:lineRule="auto"/>
        <w:ind w:firstLine="540"/>
        <w:jc w:val="both"/>
      </w:pPr>
      <w:r>
        <w:rPr>
          <w:sz w:val="24"/>
        </w:rPr>
        <w:t xml:space="preserve">В случае если хранение ценной бумаги в соответствии с </w:t>
      </w:r>
      <w:hyperlink w:history="0" r:id="rId24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пунктами 1</w:t>
        </w:r>
      </w:hyperlink>
      <w:r>
        <w:rPr>
          <w:sz w:val="24"/>
        </w:rPr>
        <w:t xml:space="preserve"> и </w:t>
      </w:r>
      <w:hyperlink w:history="0" r:id="rId24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1.1 статьи 26.2</w:t>
        </w:r>
      </w:hyperlink>
      <w:r>
        <w:rPr>
          <w:sz w:val="24"/>
        </w:rPr>
        <w:t xml:space="preserve"> Закона Российской Федерации N 4015-1 осуществляет специализированный депозитарий, по группе аналитических признаков "Идентификатор организации, осуществляющей хранение ценной бумаги" указывается идентификатор специализированного депозитария, имеющего действующий на конец отчетного периода договор об оказании услуг специализированного депозитария со страховщиком.</w:t>
      </w:r>
    </w:p>
    <w:bookmarkStart w:id="28680" w:name="P28680"/>
    <w:bookmarkEnd w:id="28680"/>
    <w:p>
      <w:pPr>
        <w:pStyle w:val="0"/>
        <w:spacing w:before="240" w:lineRule="auto"/>
        <w:ind w:firstLine="540"/>
        <w:jc w:val="both"/>
      </w:pPr>
      <w:r>
        <w:rPr>
          <w:sz w:val="24"/>
        </w:rPr>
        <w:t xml:space="preserve">51.5. По группе аналитических признаков "Идентификатор организации, осуществляющей учет ценной бумаги" для каждого актива страховщика, стоимость которого отражена в подразделах </w:t>
      </w:r>
      <w:hyperlink w:history="0" w:anchor="P2420" w:tooltip="Раздел 2.">
        <w:r>
          <w:rPr>
            <w:sz w:val="24"/>
            <w:color w:val="0000ff"/>
          </w:rPr>
          <w:t xml:space="preserve">раздела 2</w:t>
        </w:r>
      </w:hyperlink>
      <w:r>
        <w:rPr>
          <w:sz w:val="24"/>
        </w:rPr>
        <w:t xml:space="preserve"> отчетности по форме 0420154 на конец отчетного периода, указывается идентификатор организации, осуществляющей на конец отчетного периода учет ценной бумаги.</w:t>
      </w:r>
    </w:p>
    <w:p>
      <w:pPr>
        <w:pStyle w:val="0"/>
        <w:spacing w:before="240" w:lineRule="auto"/>
        <w:ind w:firstLine="540"/>
        <w:jc w:val="both"/>
      </w:pPr>
      <w:r>
        <w:rPr>
          <w:sz w:val="24"/>
        </w:rPr>
        <w:t xml:space="preserve">Для активов страховщика, не указанных в </w:t>
      </w:r>
      <w:hyperlink w:history="0" w:anchor="P28680" w:tooltip="51.5. По группе аналитических признаков &quot;Идентификатор организации, осуществляющей учет ценной бумаги&quot; для каждого актива страховщика, стоимость которого отражена в подразделах раздела 2 отчетности по форме 0420154 на конец отчетного периода, указывается идентификатор организации, осуществляющей на конец отчетного периода учет ценной бумаги.">
        <w:r>
          <w:rPr>
            <w:sz w:val="24"/>
            <w:color w:val="0000ff"/>
          </w:rPr>
          <w:t xml:space="preserve">абзаце первом</w:t>
        </w:r>
      </w:hyperlink>
      <w:r>
        <w:rPr>
          <w:sz w:val="24"/>
        </w:rPr>
        <w:t xml:space="preserve"> настоящего подпункта, по группе аналитических признаков "Идентификатор организации, осуществляющей учет ценной бумаги" указывается значение "НП".</w:t>
      </w:r>
    </w:p>
    <w:p>
      <w:pPr>
        <w:pStyle w:val="0"/>
        <w:spacing w:before="240" w:lineRule="auto"/>
        <w:ind w:firstLine="540"/>
        <w:jc w:val="both"/>
      </w:pPr>
      <w:r>
        <w:rPr>
          <w:sz w:val="24"/>
        </w:rPr>
        <w:t xml:space="preserve">В случае если учет ценной бумаги в соответствии с </w:t>
      </w:r>
      <w:hyperlink w:history="0" r:id="rId246"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пунктами 1</w:t>
        </w:r>
      </w:hyperlink>
      <w:r>
        <w:rPr>
          <w:sz w:val="24"/>
        </w:rPr>
        <w:t xml:space="preserve"> и </w:t>
      </w:r>
      <w:hyperlink w:history="0" r:id="rId247"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1.1 статьи 26.2</w:t>
        </w:r>
      </w:hyperlink>
      <w:r>
        <w:rPr>
          <w:sz w:val="24"/>
        </w:rPr>
        <w:t xml:space="preserve"> Закона Российской Федерации N 4015-1 осуществляет специализированный депозитарий, по группе аналитических признаков "Идентификатор организации, осуществляющей учет ценной бумаги" указывается идентификатор специализированного депозитария, имеющего действующий на конец отчетного периода договор об оказании услуг специализированного депозитария со страховщиком.</w:t>
      </w:r>
    </w:p>
    <w:p>
      <w:pPr>
        <w:pStyle w:val="0"/>
        <w:spacing w:before="240" w:lineRule="auto"/>
        <w:ind w:firstLine="540"/>
        <w:jc w:val="both"/>
      </w:pPr>
      <w:r>
        <w:rPr>
          <w:sz w:val="24"/>
        </w:rPr>
        <w:t xml:space="preserve">51.6. По группе аналитических признаков "Идентификатор контрагента по договору на проведение оценки" для каждого актива страховщика указывается идентификатор юридического лица, предусмотренного </w:t>
      </w:r>
      <w:hyperlink w:history="0" r:id="rId24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вторым пункта 3.12</w:t>
        </w:r>
      </w:hyperlink>
      <w:r>
        <w:rPr>
          <w:sz w:val="24"/>
        </w:rPr>
        <w:t xml:space="preserve"> Положения Банка России N 858-П, с которым для определения стоимости актива заключен договор на проведение оценки, или значение "НП" в случае отсутствия договора на проведение оценки.</w:t>
      </w:r>
    </w:p>
    <w:bookmarkStart w:id="28684" w:name="P28684"/>
    <w:bookmarkEnd w:id="28684"/>
    <w:p>
      <w:pPr>
        <w:pStyle w:val="0"/>
        <w:spacing w:before="240" w:lineRule="auto"/>
        <w:ind w:firstLine="540"/>
        <w:jc w:val="both"/>
      </w:pPr>
      <w:r>
        <w:rPr>
          <w:sz w:val="24"/>
        </w:rPr>
        <w:t xml:space="preserve">51.7. По группе аналитических признаков "Идентификатор контрагента по срочной сделке или активу, от которого зависит поток по облигации"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зависит поток по указанной облигации.</w:t>
      </w:r>
    </w:p>
    <w:p>
      <w:pPr>
        <w:pStyle w:val="0"/>
        <w:spacing w:before="240" w:lineRule="auto"/>
        <w:ind w:firstLine="540"/>
        <w:jc w:val="both"/>
      </w:pPr>
      <w:r>
        <w:rPr>
          <w:sz w:val="24"/>
        </w:rPr>
        <w:t xml:space="preserve">Для базисных активов по срочным сделкам или активов, от которых зависят потоки по облигациям, указанным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w:t>
        </w:r>
      </w:hyperlink>
      <w:r>
        <w:rPr>
          <w:sz w:val="24"/>
        </w:rPr>
        <w:t xml:space="preserve"> настоящего подпункта, относящихся к видам "Процентные ставки", "Уровень инфляции", "Курс валют или валюта", "Индекс на указанные базисные активы", "Факт исполнения или неисполнения обязательств третьими лицами" (в случае неограниченного числа третьих лиц) и "Прочее" (в случае отсутствия конкретного контрагента), указанным по аналитическим признакам группы аналитических признаков "Вид базисного актива по срочной сделке или актива, от которого зависит поток по облигации", в качестве идентификатора контрагента по базисному активу по срочной сделке или активу, от которого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w:t>
        </w:r>
      </w:hyperlink>
      <w:r>
        <w:rPr>
          <w:sz w:val="24"/>
        </w:rPr>
        <w:t xml:space="preserve"> настоящего подпункта, указывается идентификатор контрагента по контракту, договору, указанный по группе аналитических признаков "Идентификатор контрагента" </w:t>
      </w:r>
      <w:hyperlink w:history="0" w:anchor="P10932" w:tooltip="Подраздел 2.11.">
        <w:r>
          <w:rPr>
            <w:sz w:val="24"/>
            <w:color w:val="0000ff"/>
          </w:rPr>
          <w:t xml:space="preserve">подраздела 2.11 раздела 2</w:t>
        </w:r>
      </w:hyperlink>
      <w:r>
        <w:rPr>
          <w:sz w:val="24"/>
        </w:rPr>
        <w:t xml:space="preserve">, </w:t>
      </w:r>
      <w:hyperlink w:history="0" w:anchor="P25244" w:tooltip="Подраздел 3.1.">
        <w:r>
          <w:rPr>
            <w:sz w:val="24"/>
            <w:color w:val="0000ff"/>
          </w:rPr>
          <w:t xml:space="preserve">подраздела 3.1 раздела 3</w:t>
        </w:r>
      </w:hyperlink>
      <w:r>
        <w:rPr>
          <w:sz w:val="24"/>
        </w:rPr>
        <w:t xml:space="preserve"> отчетности по форме 0420154 в отношении актива, обязательства страховщика, указанного по группе аналитических признаков "Идентификатор актива" </w:t>
      </w:r>
      <w:hyperlink w:history="0" w:anchor="P12054" w:tooltip="Подраздел 2.11.1.">
        <w:r>
          <w:rPr>
            <w:sz w:val="24"/>
            <w:color w:val="0000ff"/>
          </w:rPr>
          <w:t xml:space="preserve">подраздела 2.11.1 раздела 2</w:t>
        </w:r>
      </w:hyperlink>
      <w:r>
        <w:rPr>
          <w:sz w:val="24"/>
        </w:rPr>
        <w:t xml:space="preserve">, </w:t>
      </w:r>
      <w:hyperlink w:history="0" w:anchor="P25918" w:tooltip="Подраздел 3.1.1.">
        <w:r>
          <w:rPr>
            <w:sz w:val="24"/>
            <w:color w:val="0000ff"/>
          </w:rPr>
          <w:t xml:space="preserve">подраздела 3.1.1 раздела 3</w:t>
        </w:r>
      </w:hyperlink>
      <w:r>
        <w:rPr>
          <w:sz w:val="24"/>
        </w:rPr>
        <w:t xml:space="preserve"> отчетности по форме 0420154 соответственно.</w:t>
      </w:r>
    </w:p>
    <w:bookmarkStart w:id="28686" w:name="P28686"/>
    <w:bookmarkEnd w:id="28686"/>
    <w:p>
      <w:pPr>
        <w:pStyle w:val="0"/>
        <w:spacing w:before="240" w:lineRule="auto"/>
        <w:ind w:firstLine="540"/>
        <w:jc w:val="both"/>
      </w:pPr>
      <w:r>
        <w:rPr>
          <w:sz w:val="24"/>
        </w:rPr>
        <w:t xml:space="preserve">51.8. По группе аналитических признаков "Идентификатор фонда или депозитарной расписки" для каждого актива страховщика, в который инвестировано имущество инвестиционного фонда или права собственности на который удостоверяет депозитарная расписка, указывается идентификатор ценной бумаги, через которую страховщиком осуществляется владение имуществом.</w:t>
      </w:r>
    </w:p>
    <w:p>
      <w:pPr>
        <w:pStyle w:val="0"/>
        <w:spacing w:before="240" w:lineRule="auto"/>
        <w:ind w:firstLine="540"/>
        <w:jc w:val="both"/>
      </w:pPr>
      <w:r>
        <w:rPr>
          <w:sz w:val="24"/>
        </w:rPr>
        <w:t xml:space="preserve">Для активов страховщика, не указанных в </w:t>
      </w:r>
      <w:hyperlink w:history="0" w:anchor="P28686" w:tooltip="51.8. По группе аналитических признаков &quot;Идентификатор фонда или депозитарной расписки&quot; для каждого актива страховщика, в который инвестировано имущество инвестиционного фонда или права собственности на который удостоверяет депозитарная расписка, указывается идентификатор ценной бумаги, через которую страховщиком осуществляется владение имуществом.">
        <w:r>
          <w:rPr>
            <w:sz w:val="24"/>
            <w:color w:val="0000ff"/>
          </w:rPr>
          <w:t xml:space="preserve">абзаце первом</w:t>
        </w:r>
      </w:hyperlink>
      <w:r>
        <w:rPr>
          <w:sz w:val="24"/>
        </w:rPr>
        <w:t xml:space="preserve"> настоящего подпункта, по группе аналитических признаков "Идентификатор фонда или депозитарной расписки" указывается значение "НП".</w:t>
      </w:r>
    </w:p>
    <w:p>
      <w:pPr>
        <w:pStyle w:val="0"/>
        <w:spacing w:before="240" w:lineRule="auto"/>
        <w:ind w:firstLine="540"/>
        <w:jc w:val="both"/>
      </w:pPr>
      <w:r>
        <w:rPr>
          <w:sz w:val="24"/>
        </w:rPr>
        <w:t xml:space="preserve">51.9. По группе аналитических признаков "Идентификатор платежа" </w:t>
      </w:r>
      <w:hyperlink w:history="0" w:anchor="P2420" w:tooltip="Раздел 2.">
        <w:r>
          <w:rPr>
            <w:sz w:val="24"/>
            <w:color w:val="0000ff"/>
          </w:rPr>
          <w:t xml:space="preserve">разделов 2</w:t>
        </w:r>
      </w:hyperlink>
      <w:r>
        <w:rPr>
          <w:sz w:val="24"/>
        </w:rPr>
        <w:t xml:space="preserve"> и </w:t>
      </w:r>
      <w:hyperlink w:history="0" w:anchor="P27690" w:tooltip="Раздел 9.">
        <w:r>
          <w:rPr>
            <w:sz w:val="24"/>
            <w:color w:val="0000ff"/>
          </w:rPr>
          <w:t xml:space="preserve">9</w:t>
        </w:r>
      </w:hyperlink>
      <w:r>
        <w:rPr>
          <w:sz w:val="24"/>
        </w:rPr>
        <w:t xml:space="preserve"> отчетности по форме 0420154 указывается порядковый номер платежа начиная с номера 1 в зависимости от количества платежей в течение 12 месяцев после даты окончания отчетного периода. В случае если платежи предусмотрены также после окончания указанных 12 месяцев, такие платежи должны быть объединены в один платеж (с указанием даты последнего платежа по показателю "Дата возврата (погашения, оферты)" (</w:t>
      </w:r>
      <w:hyperlink w:history="0" w:anchor="P12948" w:tooltip="233">
        <w:r>
          <w:rPr>
            <w:sz w:val="24"/>
            <w:color w:val="0000ff"/>
          </w:rPr>
          <w:t xml:space="preserve">строки 233</w:t>
        </w:r>
      </w:hyperlink>
      <w:r>
        <w:rPr>
          <w:sz w:val="24"/>
        </w:rPr>
        <w:t xml:space="preserve">, </w:t>
      </w:r>
      <w:hyperlink w:history="0" w:anchor="P13482" w:tooltip="245">
        <w:r>
          <w:rPr>
            <w:sz w:val="24"/>
            <w:color w:val="0000ff"/>
          </w:rPr>
          <w:t xml:space="preserve">245</w:t>
        </w:r>
      </w:hyperlink>
      <w:r>
        <w:rPr>
          <w:sz w:val="24"/>
        </w:rPr>
        <w:t xml:space="preserve">, </w:t>
      </w:r>
      <w:hyperlink w:history="0" w:anchor="P14028" w:tooltip="257">
        <w:r>
          <w:rPr>
            <w:sz w:val="24"/>
            <w:color w:val="0000ff"/>
          </w:rPr>
          <w:t xml:space="preserve">257</w:t>
        </w:r>
      </w:hyperlink>
      <w:r>
        <w:rPr>
          <w:sz w:val="24"/>
        </w:rPr>
        <w:t xml:space="preserve">, </w:t>
      </w:r>
      <w:hyperlink w:history="0" w:anchor="P14646" w:tooltip="270">
        <w:r>
          <w:rPr>
            <w:sz w:val="24"/>
            <w:color w:val="0000ff"/>
          </w:rPr>
          <w:t xml:space="preserve">270</w:t>
        </w:r>
      </w:hyperlink>
      <w:r>
        <w:rPr>
          <w:sz w:val="24"/>
        </w:rPr>
        <w:t xml:space="preserve">, </w:t>
      </w:r>
      <w:hyperlink w:history="0" w:anchor="P15260" w:tooltip="283">
        <w:r>
          <w:rPr>
            <w:sz w:val="24"/>
            <w:color w:val="0000ff"/>
          </w:rPr>
          <w:t xml:space="preserve">283</w:t>
        </w:r>
      </w:hyperlink>
      <w:r>
        <w:rPr>
          <w:sz w:val="24"/>
        </w:rPr>
        <w:t xml:space="preserve">, </w:t>
      </w:r>
      <w:hyperlink w:history="0" w:anchor="P15932" w:tooltip="295">
        <w:r>
          <w:rPr>
            <w:sz w:val="24"/>
            <w:color w:val="0000ff"/>
          </w:rPr>
          <w:t xml:space="preserve">295</w:t>
        </w:r>
      </w:hyperlink>
      <w:r>
        <w:rPr>
          <w:sz w:val="24"/>
        </w:rPr>
        <w:t xml:space="preserve">, </w:t>
      </w:r>
      <w:hyperlink w:history="0" w:anchor="P16900" w:tooltip="314">
        <w:r>
          <w:rPr>
            <w:sz w:val="24"/>
            <w:color w:val="0000ff"/>
          </w:rPr>
          <w:t xml:space="preserve">314</w:t>
        </w:r>
      </w:hyperlink>
      <w:r>
        <w:rPr>
          <w:sz w:val="24"/>
        </w:rPr>
        <w:t xml:space="preserve">, </w:t>
      </w:r>
      <w:hyperlink w:history="0" w:anchor="P17800" w:tooltip="332">
        <w:r>
          <w:rPr>
            <w:sz w:val="24"/>
            <w:color w:val="0000ff"/>
          </w:rPr>
          <w:t xml:space="preserve">332</w:t>
        </w:r>
      </w:hyperlink>
      <w:r>
        <w:rPr>
          <w:sz w:val="24"/>
        </w:rPr>
        <w:t xml:space="preserve">, </w:t>
      </w:r>
      <w:hyperlink w:history="0" w:anchor="P18394" w:tooltip="346">
        <w:r>
          <w:rPr>
            <w:sz w:val="24"/>
            <w:color w:val="0000ff"/>
          </w:rPr>
          <w:t xml:space="preserve">346</w:t>
        </w:r>
      </w:hyperlink>
      <w:r>
        <w:rPr>
          <w:sz w:val="24"/>
        </w:rPr>
        <w:t xml:space="preserve">, </w:t>
      </w:r>
      <w:hyperlink w:history="0" w:anchor="P18932" w:tooltip="361">
        <w:r>
          <w:rPr>
            <w:sz w:val="24"/>
            <w:color w:val="0000ff"/>
          </w:rPr>
          <w:t xml:space="preserve">361</w:t>
        </w:r>
      </w:hyperlink>
      <w:r>
        <w:rPr>
          <w:sz w:val="24"/>
        </w:rPr>
        <w:t xml:space="preserve">, </w:t>
      </w:r>
      <w:hyperlink w:history="0" w:anchor="P20774" w:tooltip="420">
        <w:r>
          <w:rPr>
            <w:sz w:val="24"/>
            <w:color w:val="0000ff"/>
          </w:rPr>
          <w:t xml:space="preserve">420</w:t>
        </w:r>
      </w:hyperlink>
      <w:r>
        <w:rPr>
          <w:sz w:val="24"/>
        </w:rPr>
        <w:t xml:space="preserve">, </w:t>
      </w:r>
      <w:hyperlink w:history="0" w:anchor="P21366" w:tooltip="434">
        <w:r>
          <w:rPr>
            <w:sz w:val="24"/>
            <w:color w:val="0000ff"/>
          </w:rPr>
          <w:t xml:space="preserve">434</w:t>
        </w:r>
      </w:hyperlink>
      <w:r>
        <w:rPr>
          <w:sz w:val="24"/>
        </w:rPr>
        <w:t xml:space="preserve">, </w:t>
      </w:r>
      <w:hyperlink w:history="0" w:anchor="P22226" w:tooltip="460">
        <w:r>
          <w:rPr>
            <w:sz w:val="24"/>
            <w:color w:val="0000ff"/>
          </w:rPr>
          <w:t xml:space="preserve">460</w:t>
        </w:r>
      </w:hyperlink>
      <w:r>
        <w:rPr>
          <w:sz w:val="24"/>
        </w:rPr>
        <w:t xml:space="preserve">, </w:t>
      </w:r>
      <w:hyperlink w:history="0" w:anchor="P22904" w:tooltip="477">
        <w:r>
          <w:rPr>
            <w:sz w:val="24"/>
            <w:color w:val="0000ff"/>
          </w:rPr>
          <w:t xml:space="preserve">477</w:t>
        </w:r>
      </w:hyperlink>
      <w:r>
        <w:rPr>
          <w:sz w:val="24"/>
        </w:rPr>
        <w:t xml:space="preserve">) и показателю "Дата платежа" </w:t>
      </w:r>
      <w:hyperlink w:history="0" w:anchor="P27708" w:tooltip="656">
        <w:r>
          <w:rPr>
            <w:sz w:val="24"/>
            <w:color w:val="0000ff"/>
          </w:rPr>
          <w:t xml:space="preserve">(строка 656)</w:t>
        </w:r>
      </w:hyperlink>
      <w:r>
        <w:rPr>
          <w:sz w:val="24"/>
        </w:rPr>
        <w:t xml:space="preserve">.</w:t>
      </w:r>
    </w:p>
    <w:p>
      <w:pPr>
        <w:pStyle w:val="0"/>
        <w:spacing w:before="240" w:lineRule="auto"/>
        <w:ind w:firstLine="540"/>
        <w:jc w:val="both"/>
      </w:pPr>
      <w:r>
        <w:rPr>
          <w:sz w:val="24"/>
        </w:rPr>
        <w:t xml:space="preserve">По группе аналитических признаков "Идентификатор платежа" </w:t>
      </w:r>
      <w:hyperlink w:history="0" w:anchor="P27640" w:tooltip="Раздел 8.">
        <w:r>
          <w:rPr>
            <w:sz w:val="24"/>
            <w:color w:val="0000ff"/>
          </w:rPr>
          <w:t xml:space="preserve">раздела 8</w:t>
        </w:r>
      </w:hyperlink>
      <w:r>
        <w:rPr>
          <w:sz w:val="24"/>
        </w:rPr>
        <w:t xml:space="preserve"> отчетности по форме 0420154 указывается порядковый номер платежа начиная с номера 1 в зависимости от количества платежей после даты окончания отчетного периода до даты исполнения обязательств в полном объеме в соответствии с условиями договора банковского вклада (депозита), займа, выпуска облигаций.</w:t>
      </w:r>
    </w:p>
    <w:bookmarkStart w:id="28690" w:name="P28690"/>
    <w:bookmarkEnd w:id="28690"/>
    <w:p>
      <w:pPr>
        <w:pStyle w:val="0"/>
        <w:spacing w:before="240" w:lineRule="auto"/>
        <w:ind w:firstLine="540"/>
        <w:jc w:val="both"/>
      </w:pPr>
      <w:r>
        <w:rPr>
          <w:sz w:val="24"/>
        </w:rPr>
        <w:t xml:space="preserve">52. При формировании значения идентификатора ценной бумаги, указываемого по группам аналитических признаков "Идентификатор фонда или депозитарной расписки", "Идентификатор актива", "Идентификатор инвестиционного фонда", "Идентификатор ценной бумаги",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"_" (нижнее подчеркивание (без пробелов):</w:t>
      </w:r>
    </w:p>
    <w:p>
      <w:pPr>
        <w:pStyle w:val="0"/>
        <w:spacing w:before="240" w:lineRule="auto"/>
        <w:ind w:firstLine="540"/>
        <w:jc w:val="both"/>
      </w:pPr>
      <w:r>
        <w:rPr>
          <w:sz w:val="24"/>
        </w:rPr>
        <w:t xml:space="preserve">код ISIN (в случае его отсутствия указываются три нуля);</w:t>
      </w:r>
    </w:p>
    <w:p>
      <w:pPr>
        <w:pStyle w:val="0"/>
        <w:spacing w:before="240" w:lineRule="auto"/>
        <w:ind w:firstLine="540"/>
        <w:jc w:val="both"/>
      </w:pPr>
      <w:r>
        <w:rPr>
          <w:sz w:val="24"/>
        </w:rPr>
        <w:t xml:space="preserve">регистрационный номер выпуска (дополнительного выпуска) ценных бумаг (для выпусков ценных бумаг, зарегистрированных до 1 января 2020 года, указывается государственный регистрационный номер выпуска (дополнительного выпуска) ценной бумаги, для паев паевых инвестиционных фондов - регистрационный номер правил доверительного управления паевым инвестиционным фондом), в случае его отсутствия указываются три нуля;</w:t>
      </w:r>
    </w:p>
    <w:p>
      <w:pPr>
        <w:pStyle w:val="0"/>
        <w:spacing w:before="240" w:lineRule="auto"/>
        <w:ind w:firstLine="540"/>
        <w:jc w:val="both"/>
      </w:pPr>
      <w:r>
        <w:rPr>
          <w:sz w:val="24"/>
        </w:rPr>
        <w:t xml:space="preserve">номер ценной бумаги, позволяющий ее идентифицировать, начиная с номера 1 (в том числе 000_000_1, 000_000_2, 000_000_3).</w:t>
      </w:r>
    </w:p>
    <w:p>
      <w:pPr>
        <w:pStyle w:val="0"/>
        <w:spacing w:before="240" w:lineRule="auto"/>
        <w:ind w:firstLine="540"/>
        <w:jc w:val="both"/>
      </w:pPr>
      <w:r>
        <w:rPr>
          <w:sz w:val="24"/>
        </w:rPr>
        <w:t xml:space="preserve">53. По показателям </w:t>
      </w:r>
      <w:hyperlink w:history="0" w:anchor="P2350" w:tooltip="Раздел 1.">
        <w:r>
          <w:rPr>
            <w:sz w:val="24"/>
            <w:color w:val="0000ff"/>
          </w:rPr>
          <w:t xml:space="preserve">раздела 1</w:t>
        </w:r>
      </w:hyperlink>
      <w:r>
        <w:rPr>
          <w:sz w:val="24"/>
        </w:rPr>
        <w:t xml:space="preserve"> отчетности по форме 0420154 отражается стоимость активов, обязательств и капитала страховщика на конец отчетного периода.</w:t>
      </w:r>
    </w:p>
    <w:p>
      <w:pPr>
        <w:pStyle w:val="0"/>
        <w:spacing w:before="240" w:lineRule="auto"/>
        <w:ind w:firstLine="540"/>
        <w:jc w:val="both"/>
      </w:pPr>
      <w:r>
        <w:rPr>
          <w:sz w:val="24"/>
        </w:rPr>
        <w:t xml:space="preserve">По показателям </w:t>
      </w:r>
      <w:hyperlink w:history="0" w:anchor="P2350" w:tooltip="Раздел 1.">
        <w:r>
          <w:rPr>
            <w:sz w:val="24"/>
            <w:color w:val="0000ff"/>
          </w:rPr>
          <w:t xml:space="preserve">раздела 1</w:t>
        </w:r>
      </w:hyperlink>
      <w:r>
        <w:rPr>
          <w:sz w:val="24"/>
        </w:rPr>
        <w:t xml:space="preserve"> отчетности по форме 0420154 из стоимости активов страховщика, отраженной по аналитическому признаку "Итого активов" группы аналитических признаков "Вид актива", выделяется стоимость активов страховщика, находящихся на конец отчетного периода в доверительном управлении (по аналитическому признаку "Активы, находящиеся в доверительном управлении" группы аналитических признаков "Вид актива").</w:t>
      </w:r>
    </w:p>
    <w:p>
      <w:pPr>
        <w:pStyle w:val="0"/>
        <w:spacing w:before="240" w:lineRule="auto"/>
        <w:ind w:firstLine="540"/>
        <w:jc w:val="both"/>
      </w:pPr>
      <w:r>
        <w:rPr>
          <w:sz w:val="24"/>
        </w:rPr>
        <w:t xml:space="preserve">По показателям </w:t>
      </w:r>
      <w:hyperlink w:history="0" w:anchor="P2350" w:tooltip="Раздел 1.">
        <w:r>
          <w:rPr>
            <w:sz w:val="24"/>
            <w:color w:val="0000ff"/>
          </w:rPr>
          <w:t xml:space="preserve">раздела 1</w:t>
        </w:r>
      </w:hyperlink>
      <w:r>
        <w:rPr>
          <w:sz w:val="24"/>
        </w:rPr>
        <w:t xml:space="preserve"> отчетности по форме 0420154 стоимость активов страховщика, отраженная по аналитическому признаку "Итого активов" группы аналитических признаков "Вид актива", указывается в разбивке на стоимость активов страховщика, находящихся на территории Российской Федерации, и стоимость активов страховщика, находящихся за пределами территории Российской Федерации (по аналитическим признакам "Активы на территории Российской Федерации" и "Активы за пределами территории Российской Федерации" соответственно группы аналитических признаков "Территориальный признак").</w:t>
      </w:r>
    </w:p>
    <w:p>
      <w:pPr>
        <w:pStyle w:val="0"/>
        <w:spacing w:before="240" w:lineRule="auto"/>
        <w:ind w:firstLine="540"/>
        <w:jc w:val="both"/>
      </w:pPr>
      <w:r>
        <w:rPr>
          <w:sz w:val="24"/>
        </w:rPr>
        <w:t xml:space="preserve">В целях составления отчетности по </w:t>
      </w:r>
      <w:hyperlink w:history="0" w:anchor="P2335" w:tooltip="Отчетность по форме 0420154">
        <w:r>
          <w:rPr>
            <w:sz w:val="24"/>
            <w:color w:val="0000ff"/>
          </w:rPr>
          <w:t xml:space="preserve">форме 0420154</w:t>
        </w:r>
      </w:hyperlink>
      <w:r>
        <w:rPr>
          <w:sz w:val="24"/>
        </w:rPr>
        <w:t xml:space="preserve"> к активам страховщика, находящимся на территории Российской Федерации, относятся:</w:t>
      </w:r>
    </w:p>
    <w:p>
      <w:pPr>
        <w:pStyle w:val="0"/>
        <w:spacing w:before="240" w:lineRule="auto"/>
        <w:ind w:firstLine="540"/>
        <w:jc w:val="both"/>
      </w:pPr>
      <w:r>
        <w:rPr>
          <w:sz w:val="24"/>
        </w:rPr>
        <w:t xml:space="preserve">государственные ценные бумаги Российской Федерации и ценные бумаги, исполнение обязательств по которым гарантированы Российской Федерацией;</w:t>
      </w:r>
    </w:p>
    <w:p>
      <w:pPr>
        <w:pStyle w:val="0"/>
        <w:spacing w:before="240" w:lineRule="auto"/>
        <w:ind w:firstLine="540"/>
        <w:jc w:val="both"/>
      </w:pPr>
      <w:r>
        <w:rPr>
          <w:sz w:val="24"/>
        </w:rPr>
        <w:t xml:space="preserve">государственные ценные бумаги субъектов Российской Федерации;</w:t>
      </w:r>
    </w:p>
    <w:p>
      <w:pPr>
        <w:pStyle w:val="0"/>
        <w:spacing w:before="240" w:lineRule="auto"/>
        <w:ind w:firstLine="540"/>
        <w:jc w:val="both"/>
      </w:pPr>
      <w:r>
        <w:rPr>
          <w:sz w:val="24"/>
        </w:rPr>
        <w:t xml:space="preserve">муниципальные ценные бумаги;</w:t>
      </w:r>
    </w:p>
    <w:p>
      <w:pPr>
        <w:pStyle w:val="0"/>
        <w:spacing w:before="240" w:lineRule="auto"/>
        <w:ind w:firstLine="540"/>
        <w:jc w:val="both"/>
      </w:pPr>
      <w:r>
        <w:rPr>
          <w:sz w:val="24"/>
        </w:rPr>
        <w:t xml:space="preserve">иные ценные бумаги, выпущенные (выданные) резидентами Российской Федерации;</w:t>
      </w:r>
    </w:p>
    <w:p>
      <w:pPr>
        <w:pStyle w:val="0"/>
        <w:spacing w:before="240" w:lineRule="auto"/>
        <w:ind w:firstLine="540"/>
        <w:jc w:val="both"/>
      </w:pPr>
      <w:r>
        <w:rPr>
          <w:sz w:val="24"/>
        </w:rPr>
        <w:t xml:space="preserve">наличные денежные средства в рублях;</w:t>
      </w:r>
    </w:p>
    <w:p>
      <w:pPr>
        <w:pStyle w:val="0"/>
        <w:spacing w:before="240" w:lineRule="auto"/>
        <w:ind w:firstLine="540"/>
        <w:jc w:val="both"/>
      </w:pPr>
      <w:r>
        <w:rPr>
          <w:sz w:val="24"/>
        </w:rPr>
        <w:t xml:space="preserve">денежные средства на счетах, а также денежные средства, размещенные в депозиты, в том числе удостоверенные депозитными сертификатами, а также остатки по обезличенным металлическим счетам в кредитных организациях, являющихся резидентами Российской Федерации;</w:t>
      </w:r>
    </w:p>
    <w:p>
      <w:pPr>
        <w:pStyle w:val="0"/>
        <w:spacing w:before="240" w:lineRule="auto"/>
        <w:ind w:firstLine="540"/>
        <w:jc w:val="both"/>
      </w:pPr>
      <w:r>
        <w:rPr>
          <w:sz w:val="24"/>
        </w:rPr>
        <w:t xml:space="preserve">недвижимое имущество, расположенное на территории Российской Федерации;</w:t>
      </w:r>
    </w:p>
    <w:p>
      <w:pPr>
        <w:pStyle w:val="0"/>
        <w:spacing w:before="240" w:lineRule="auto"/>
        <w:ind w:firstLine="540"/>
        <w:jc w:val="both"/>
      </w:pPr>
      <w:r>
        <w:rPr>
          <w:sz w:val="24"/>
        </w:rPr>
        <w:t xml:space="preserve">доля в страховых резервах, сформированных в соответствии с </w:t>
      </w:r>
      <w:hyperlink w:history="0" r:id="rId24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перестраховщиков, являющихся резидентами Российской Федерации;</w:t>
      </w:r>
    </w:p>
    <w:p>
      <w:pPr>
        <w:pStyle w:val="0"/>
        <w:spacing w:before="240" w:lineRule="auto"/>
        <w:ind w:firstLine="540"/>
        <w:jc w:val="both"/>
      </w:pPr>
      <w:r>
        <w:rPr>
          <w:sz w:val="24"/>
        </w:rPr>
        <w:t xml:space="preserve">права требования к обязанным лицам, являющимся резидентами Российской Федерации;</w:t>
      </w:r>
    </w:p>
    <w:p>
      <w:pPr>
        <w:pStyle w:val="0"/>
        <w:spacing w:before="240" w:lineRule="auto"/>
        <w:ind w:firstLine="540"/>
        <w:jc w:val="both"/>
      </w:pPr>
      <w:r>
        <w:rPr>
          <w:sz w:val="24"/>
        </w:rPr>
        <w:t xml:space="preserve">займы, выданные юридическим и физическим лицам, являющимся резидентами Российской Федерации;</w:t>
      </w:r>
    </w:p>
    <w:p>
      <w:pPr>
        <w:pStyle w:val="0"/>
        <w:spacing w:before="240" w:lineRule="auto"/>
        <w:ind w:firstLine="540"/>
        <w:jc w:val="both"/>
      </w:pPr>
      <w:r>
        <w:rPr>
          <w:sz w:val="24"/>
        </w:rPr>
        <w:t xml:space="preserve">иные активы страховщика, расположенные на территории Российской Федерации либо созданные (выпущенные, выданные) резидентами Российской Федерации.</w:t>
      </w:r>
    </w:p>
    <w:p>
      <w:pPr>
        <w:pStyle w:val="0"/>
        <w:spacing w:before="240" w:lineRule="auto"/>
        <w:ind w:firstLine="540"/>
        <w:jc w:val="both"/>
      </w:pPr>
      <w:r>
        <w:rPr>
          <w:sz w:val="24"/>
        </w:rPr>
        <w:t xml:space="preserve">В целях составления отчетности по </w:t>
      </w:r>
      <w:hyperlink w:history="0" w:anchor="P2335" w:tooltip="Отчетность по форме 0420154">
        <w:r>
          <w:rPr>
            <w:sz w:val="24"/>
            <w:color w:val="0000ff"/>
          </w:rPr>
          <w:t xml:space="preserve">форме 0420154</w:t>
        </w:r>
      </w:hyperlink>
      <w:r>
        <w:rPr>
          <w:sz w:val="24"/>
        </w:rPr>
        <w:t xml:space="preserve"> к активам страховщика, находящимся за пределами территории Российской Федерации, относятся:</w:t>
      </w:r>
    </w:p>
    <w:p>
      <w:pPr>
        <w:pStyle w:val="0"/>
        <w:spacing w:before="240" w:lineRule="auto"/>
        <w:ind w:firstLine="540"/>
        <w:jc w:val="both"/>
      </w:pPr>
      <w:r>
        <w:rPr>
          <w:sz w:val="24"/>
        </w:rPr>
        <w:t xml:space="preserve">ценные бумаги иностранных государств;</w:t>
      </w:r>
    </w:p>
    <w:p>
      <w:pPr>
        <w:pStyle w:val="0"/>
        <w:spacing w:before="240" w:lineRule="auto"/>
        <w:ind w:firstLine="540"/>
        <w:jc w:val="both"/>
      </w:pPr>
      <w:r>
        <w:rPr>
          <w:sz w:val="24"/>
        </w:rPr>
        <w:t xml:space="preserve">иные ценные бумаги, выпущенные (выданные) нерезидентами;</w:t>
      </w:r>
    </w:p>
    <w:p>
      <w:pPr>
        <w:pStyle w:val="0"/>
        <w:spacing w:before="240" w:lineRule="auto"/>
        <w:ind w:firstLine="540"/>
        <w:jc w:val="both"/>
      </w:pPr>
      <w:r>
        <w:rPr>
          <w:sz w:val="24"/>
        </w:rPr>
        <w:t xml:space="preserve">наличные денежные средства в иностранной валюте;</w:t>
      </w:r>
    </w:p>
    <w:p>
      <w:pPr>
        <w:pStyle w:val="0"/>
        <w:spacing w:before="240" w:lineRule="auto"/>
        <w:ind w:firstLine="540"/>
        <w:jc w:val="both"/>
      </w:pPr>
      <w:r>
        <w:rPr>
          <w:sz w:val="24"/>
        </w:rPr>
        <w:t xml:space="preserve">денежные средства на счетах, а также денежные средства, размещенные в депозиты, в том числе удостоверенные депозитными сертификатами, а также остатки по обезличенным металлическим счетам в кредитных организациях, являющихся нерезидентами;</w:t>
      </w:r>
    </w:p>
    <w:p>
      <w:pPr>
        <w:pStyle w:val="0"/>
        <w:spacing w:before="240" w:lineRule="auto"/>
        <w:ind w:firstLine="540"/>
        <w:jc w:val="both"/>
      </w:pPr>
      <w:r>
        <w:rPr>
          <w:sz w:val="24"/>
        </w:rPr>
        <w:t xml:space="preserve">недвижимое имущество, расположенное за пределами территории Российской Федерации;</w:t>
      </w:r>
    </w:p>
    <w:p>
      <w:pPr>
        <w:pStyle w:val="0"/>
        <w:spacing w:before="240" w:lineRule="auto"/>
        <w:ind w:firstLine="540"/>
        <w:jc w:val="both"/>
      </w:pPr>
      <w:r>
        <w:rPr>
          <w:sz w:val="24"/>
        </w:rPr>
        <w:t xml:space="preserve">доля в страховых резервах, сформированных в соответствии с </w:t>
      </w:r>
      <w:hyperlink w:history="0" r:id="rId25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перестраховщиков, являющихся нерезидентами;</w:t>
      </w:r>
    </w:p>
    <w:p>
      <w:pPr>
        <w:pStyle w:val="0"/>
        <w:spacing w:before="240" w:lineRule="auto"/>
        <w:ind w:firstLine="540"/>
        <w:jc w:val="both"/>
      </w:pPr>
      <w:r>
        <w:rPr>
          <w:sz w:val="24"/>
        </w:rPr>
        <w:t xml:space="preserve">права требования к обязанным лицам, являющимся нерезидентами;</w:t>
      </w:r>
    </w:p>
    <w:p>
      <w:pPr>
        <w:pStyle w:val="0"/>
        <w:spacing w:before="240" w:lineRule="auto"/>
        <w:ind w:firstLine="540"/>
        <w:jc w:val="both"/>
      </w:pPr>
      <w:r>
        <w:rPr>
          <w:sz w:val="24"/>
        </w:rPr>
        <w:t xml:space="preserve">займы, выданные юридическим и физическим лицам, являющимся нерезидентами;</w:t>
      </w:r>
    </w:p>
    <w:p>
      <w:pPr>
        <w:pStyle w:val="0"/>
        <w:spacing w:before="240" w:lineRule="auto"/>
        <w:ind w:firstLine="540"/>
        <w:jc w:val="both"/>
      </w:pPr>
      <w:r>
        <w:rPr>
          <w:sz w:val="24"/>
        </w:rPr>
        <w:t xml:space="preserve">иные активы страховщика, расположенные за пределами территории Российской Федерации либо созданные (выпущенные, выданные) нерезидентами.</w:t>
      </w:r>
    </w:p>
    <w:p>
      <w:pPr>
        <w:pStyle w:val="0"/>
        <w:spacing w:before="240" w:lineRule="auto"/>
        <w:ind w:firstLine="540"/>
        <w:jc w:val="both"/>
      </w:pPr>
      <w:r>
        <w:rPr>
          <w:sz w:val="24"/>
        </w:rPr>
        <w:t xml:space="preserve">53.1. По показателю "Полная балансовая стоимость" </w:t>
      </w:r>
      <w:hyperlink w:history="0" w:anchor="P2352" w:tooltip="1">
        <w:r>
          <w:rPr>
            <w:sz w:val="24"/>
            <w:color w:val="0000ff"/>
          </w:rPr>
          <w:t xml:space="preserve">(строка 1)</w:t>
        </w:r>
      </w:hyperlink>
      <w:r>
        <w:rPr>
          <w:sz w:val="24"/>
        </w:rPr>
        <w:t xml:space="preserve"> отражается стоимость активов, отраженная в бухгалтерском балансе (далее - балансовая стоимость), до вычета резерва под обесценение, оценочного резерва под ожидаемые кредитные убытки (далее при совместном упоминании - резерв под обесценение).</w:t>
      </w:r>
    </w:p>
    <w:p>
      <w:pPr>
        <w:pStyle w:val="0"/>
        <w:spacing w:before="240" w:lineRule="auto"/>
        <w:ind w:firstLine="540"/>
        <w:jc w:val="both"/>
      </w:pPr>
      <w:r>
        <w:rPr>
          <w:sz w:val="24"/>
        </w:rPr>
        <w:t xml:space="preserve">По показателю "Резерв под обесценение" </w:t>
      </w:r>
      <w:hyperlink w:history="0" w:anchor="P2364" w:tooltip="2">
        <w:r>
          <w:rPr>
            <w:sz w:val="24"/>
            <w:color w:val="0000ff"/>
          </w:rPr>
          <w:t xml:space="preserve">(строка 2)</w:t>
        </w:r>
      </w:hyperlink>
      <w:r>
        <w:rPr>
          <w:sz w:val="24"/>
        </w:rPr>
        <w:t xml:space="preserve"> отражается величина резерва под обесценение, на которую уменьшается полная балансовая стоимость актива. Значение данного показателя указывается со знаком "-" (минус).</w:t>
      </w:r>
    </w:p>
    <w:p>
      <w:pPr>
        <w:pStyle w:val="0"/>
        <w:spacing w:before="240" w:lineRule="auto"/>
        <w:ind w:firstLine="540"/>
        <w:jc w:val="both"/>
      </w:pPr>
      <w:r>
        <w:rPr>
          <w:sz w:val="24"/>
        </w:rPr>
        <w:t xml:space="preserve">По каждому виду актива сумма значений показателей "Полная балансовая стоимость" </w:t>
      </w:r>
      <w:hyperlink w:history="0" w:anchor="P2352" w:tooltip="1">
        <w:r>
          <w:rPr>
            <w:sz w:val="24"/>
            <w:color w:val="0000ff"/>
          </w:rPr>
          <w:t xml:space="preserve">(строка 1)</w:t>
        </w:r>
      </w:hyperlink>
      <w:r>
        <w:rPr>
          <w:sz w:val="24"/>
        </w:rPr>
        <w:t xml:space="preserve"> и "Резерв под обесценение" </w:t>
      </w:r>
      <w:hyperlink w:history="0" w:anchor="P2364" w:tooltip="2">
        <w:r>
          <w:rPr>
            <w:sz w:val="24"/>
            <w:color w:val="0000ff"/>
          </w:rPr>
          <w:t xml:space="preserve">(строка 2)</w:t>
        </w:r>
      </w:hyperlink>
      <w:r>
        <w:rPr>
          <w:sz w:val="24"/>
        </w:rPr>
        <w:t xml:space="preserve"> должна соответствовать значению показателя "Балансовая стоимость" </w:t>
      </w:r>
      <w:hyperlink w:history="0" w:anchor="P2376" w:tooltip="3">
        <w:r>
          <w:rPr>
            <w:sz w:val="24"/>
            <w:color w:val="0000ff"/>
          </w:rPr>
          <w:t xml:space="preserve">(строка 3)</w:t>
        </w:r>
      </w:hyperlink>
      <w:r>
        <w:rPr>
          <w:sz w:val="24"/>
        </w:rPr>
        <w:t xml:space="preserve">.</w:t>
      </w:r>
    </w:p>
    <w:p>
      <w:pPr>
        <w:pStyle w:val="0"/>
        <w:spacing w:before="240" w:lineRule="auto"/>
        <w:ind w:firstLine="540"/>
        <w:jc w:val="both"/>
      </w:pPr>
      <w:r>
        <w:rPr>
          <w:sz w:val="24"/>
        </w:rPr>
        <w:t xml:space="preserve">По показателю "Балансовая стоимость" </w:t>
      </w:r>
      <w:hyperlink w:history="0" w:anchor="P2376" w:tooltip="3">
        <w:r>
          <w:rPr>
            <w:sz w:val="24"/>
            <w:color w:val="0000ff"/>
          </w:rPr>
          <w:t xml:space="preserve">(строка 3)</w:t>
        </w:r>
      </w:hyperlink>
      <w:r>
        <w:rPr>
          <w:sz w:val="24"/>
        </w:rPr>
        <w:t xml:space="preserve"> отражается балансовая стоимость активов, обязательств, капитала.</w:t>
      </w:r>
    </w:p>
    <w:p>
      <w:pPr>
        <w:pStyle w:val="0"/>
        <w:spacing w:before="240" w:lineRule="auto"/>
        <w:ind w:firstLine="540"/>
        <w:jc w:val="both"/>
      </w:pPr>
      <w:r>
        <w:rPr>
          <w:sz w:val="24"/>
        </w:rPr>
        <w:t xml:space="preserve">Значение показателя "Балансовая стоимость" </w:t>
      </w:r>
      <w:hyperlink w:history="0" w:anchor="P2376" w:tooltip="3">
        <w:r>
          <w:rPr>
            <w:sz w:val="24"/>
            <w:color w:val="0000ff"/>
          </w:rPr>
          <w:t xml:space="preserve">(строка 3)</w:t>
        </w:r>
      </w:hyperlink>
      <w:r>
        <w:rPr>
          <w:sz w:val="24"/>
        </w:rPr>
        <w:t xml:space="preserve"> должно соответствовать балансовой стоимости, отраженной в подразделах </w:t>
      </w:r>
      <w:hyperlink w:history="0" w:anchor="P2420" w:tooltip="Раздел 2.">
        <w:r>
          <w:rPr>
            <w:sz w:val="24"/>
            <w:color w:val="0000ff"/>
          </w:rPr>
          <w:t xml:space="preserve">раздела 2</w:t>
        </w:r>
      </w:hyperlink>
      <w:r>
        <w:rPr>
          <w:sz w:val="24"/>
        </w:rPr>
        <w:t xml:space="preserve"> (по аналитическим признакам группы аналитических признаков "Вид актива") и подразделах </w:t>
      </w:r>
      <w:hyperlink w:history="0" w:anchor="P25242" w:tooltip="Раздел 3.">
        <w:r>
          <w:rPr>
            <w:sz w:val="24"/>
            <w:color w:val="0000ff"/>
          </w:rPr>
          <w:t xml:space="preserve">раздела 3</w:t>
        </w:r>
      </w:hyperlink>
      <w:r>
        <w:rPr>
          <w:sz w:val="24"/>
        </w:rPr>
        <w:t xml:space="preserve"> (по аналитическим признакам группы аналитических признаков "Вид обязательства") отчетности по форме 0420154.</w:t>
      </w:r>
    </w:p>
    <w:p>
      <w:pPr>
        <w:pStyle w:val="0"/>
        <w:spacing w:before="240" w:lineRule="auto"/>
        <w:ind w:firstLine="540"/>
        <w:jc w:val="both"/>
      </w:pPr>
      <w:r>
        <w:rPr>
          <w:sz w:val="24"/>
        </w:rPr>
        <w:t xml:space="preserve">Значение показателя "Балансовая стоимость" </w:t>
      </w:r>
      <w:hyperlink w:history="0" w:anchor="P2376" w:tooltip="3">
        <w:r>
          <w:rPr>
            <w:sz w:val="24"/>
            <w:color w:val="0000ff"/>
          </w:rPr>
          <w:t xml:space="preserve">(строка 3)</w:t>
        </w:r>
      </w:hyperlink>
      <w:r>
        <w:rPr>
          <w:sz w:val="24"/>
        </w:rPr>
        <w:t xml:space="preserve"> по аналитическому признаку "Итого активов" группы аналитических признаков "Вид актива" должно соответствовать значению показателя "Итого активов" бухгалтерского баланса.</w:t>
      </w:r>
    </w:p>
    <w:p>
      <w:pPr>
        <w:pStyle w:val="0"/>
        <w:spacing w:before="240" w:lineRule="auto"/>
        <w:ind w:firstLine="540"/>
        <w:jc w:val="both"/>
      </w:pPr>
      <w:r>
        <w:rPr>
          <w:sz w:val="24"/>
        </w:rPr>
        <w:t xml:space="preserve">Значение показателя "Балансовая стоимость" </w:t>
      </w:r>
      <w:hyperlink w:history="0" w:anchor="P2376" w:tooltip="3">
        <w:r>
          <w:rPr>
            <w:sz w:val="24"/>
            <w:color w:val="0000ff"/>
          </w:rPr>
          <w:t xml:space="preserve">(строка 3)</w:t>
        </w:r>
      </w:hyperlink>
      <w:r>
        <w:rPr>
          <w:sz w:val="24"/>
        </w:rPr>
        <w:t xml:space="preserve"> по аналитическому признаку "Итого обязательств" группы аналитических признаков "Вид обязательства" должно соответствовать значению показателя "Итого обязательств" бухгалтерского баланса.</w:t>
      </w:r>
    </w:p>
    <w:p>
      <w:pPr>
        <w:pStyle w:val="0"/>
        <w:spacing w:before="240" w:lineRule="auto"/>
        <w:ind w:firstLine="540"/>
        <w:jc w:val="both"/>
      </w:pPr>
      <w:r>
        <w:rPr>
          <w:sz w:val="24"/>
        </w:rPr>
        <w:t xml:space="preserve">53.2. Показатели "Полная балансовая стоимость" </w:t>
      </w:r>
      <w:hyperlink w:history="0" w:anchor="P2352" w:tooltip="1">
        <w:r>
          <w:rPr>
            <w:sz w:val="24"/>
            <w:color w:val="0000ff"/>
          </w:rPr>
          <w:t xml:space="preserve">(строка 1)</w:t>
        </w:r>
      </w:hyperlink>
      <w:r>
        <w:rPr>
          <w:sz w:val="24"/>
        </w:rPr>
        <w:t xml:space="preserve">, "Резерв под обесценение" </w:t>
      </w:r>
      <w:hyperlink w:history="0" w:anchor="P2364" w:tooltip="2">
        <w:r>
          <w:rPr>
            <w:sz w:val="24"/>
            <w:color w:val="0000ff"/>
          </w:rPr>
          <w:t xml:space="preserve">(строка 2)</w:t>
        </w:r>
      </w:hyperlink>
      <w:r>
        <w:rPr>
          <w:sz w:val="24"/>
        </w:rPr>
        <w:t xml:space="preserve"> и "Балансовая стоимость" </w:t>
      </w:r>
      <w:hyperlink w:history="0" w:anchor="P2376" w:tooltip="3">
        <w:r>
          <w:rPr>
            <w:sz w:val="24"/>
            <w:color w:val="0000ff"/>
          </w:rPr>
          <w:t xml:space="preserve">(строка 3)</w:t>
        </w:r>
      </w:hyperlink>
      <w:r>
        <w:rPr>
          <w:sz w:val="24"/>
        </w:rPr>
        <w:t xml:space="preserve"> в разрезе аналитических признаков "Доля перестраховщиков в страховых резервах по страхованию жизни" и "Доля перестраховщиков в страховых резервах по страхованию иному, чем страхование жизни" группы аналитических признаков "Вид актива" не формируются.</w:t>
      </w:r>
    </w:p>
    <w:p>
      <w:pPr>
        <w:pStyle w:val="0"/>
        <w:spacing w:before="240" w:lineRule="auto"/>
        <w:ind w:firstLine="540"/>
        <w:jc w:val="both"/>
      </w:pPr>
      <w:r>
        <w:rPr>
          <w:sz w:val="24"/>
        </w:rPr>
        <w:t xml:space="preserve">По аналитическому признаку "Средства обязательного медицинского страхования" группы аналитических признаков "Вид актива" отражаются средства обязательного медицинского страхования, предназначенные для оплаты медицинской помощи, поступающие в страховую медицинскую организацию в соответствии с Федеральным </w:t>
      </w:r>
      <w:hyperlink w:history="0" r:id="rId251"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законом</w:t>
        </w:r>
      </w:hyperlink>
      <w:r>
        <w:rPr>
          <w:sz w:val="24"/>
        </w:rPr>
        <w:t xml:space="preserve"> от 29 ноября 2010 года N 326-ФЗ "Об обязательном медицинском страховании в Российской Федерации" (далее - Федеральный закон N 326-ФЗ), включая средства, находящиеся на отдельном счете в кредитной организации, и права требования по операциям в сфере обязательного медицинского страхования (за исключением средств, признаваемых в соответствии с </w:t>
      </w:r>
      <w:hyperlink w:history="0" r:id="rId252"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частью 4 статьи 28</w:t>
        </w:r>
      </w:hyperlink>
      <w:r>
        <w:rPr>
          <w:sz w:val="24"/>
        </w:rPr>
        <w:t xml:space="preserve"> Федерального закона N 326-ФЗ собственными средствами страховой медицинской организации).</w:t>
      </w:r>
    </w:p>
    <w:p>
      <w:pPr>
        <w:pStyle w:val="0"/>
        <w:spacing w:before="240" w:lineRule="auto"/>
        <w:ind w:firstLine="540"/>
        <w:jc w:val="both"/>
      </w:pPr>
      <w:r>
        <w:rPr>
          <w:sz w:val="24"/>
        </w:rPr>
        <w:t xml:space="preserve">По аналитическому признаку "Прочие активы" группы аналитических признаков "Вид актива" отражаются активы, стоимость которых не отражена по конкретным видам активов (</w:t>
      </w:r>
      <w:hyperlink w:history="0" w:anchor="P40641" w:tooltip="1.1">
        <w:r>
          <w:rPr>
            <w:sz w:val="24"/>
            <w:color w:val="0000ff"/>
          </w:rPr>
          <w:t xml:space="preserve">строки 1.1</w:t>
        </w:r>
      </w:hyperlink>
      <w:r>
        <w:rPr>
          <w:sz w:val="24"/>
        </w:rPr>
        <w:t xml:space="preserve"> - </w:t>
      </w:r>
      <w:hyperlink w:history="0" w:anchor="P40777" w:tooltip="1.35">
        <w:r>
          <w:rPr>
            <w:sz w:val="24"/>
            <w:color w:val="0000ff"/>
          </w:rPr>
          <w:t xml:space="preserve">1.35 подраздела 4.1 раздела 4 части II</w:t>
        </w:r>
      </w:hyperlink>
      <w:r>
        <w:rPr>
          <w:sz w:val="24"/>
        </w:rPr>
        <w:t xml:space="preserve"> настоящего приложения), в том числе активы по портфелям договоров страхования, выпущенных (принятых) договоров перестрахования и удерживаемых (переданных) договоров перестрахования, учитываемых на счетах бухгалтерского учета в соответствии с требованиями Международного </w:t>
      </w:r>
      <w:hyperlink w:history="0" r:id="rId253"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стандарта</w:t>
        </w:r>
      </w:hyperlink>
      <w:r>
        <w:rPr>
          <w:sz w:val="24"/>
        </w:rPr>
        <w:t xml:space="preserve"> финансовой отчетности (IFRS) 17 "Договоры страхования" &lt;4&gt; (далее - </w:t>
      </w:r>
      <w:hyperlink w:history="0" r:id="rId254"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&lt;4&gt; Введен в действие на территории Российской Федерации </w:t>
      </w:r>
      <w:hyperlink w:history="0" r:id="rId255" w:tooltip="Приказ Минфина России от 20.04.2021 N 65н &quot;О введении Международного стандарта финансовой отчетности (IFRS) 17 &quot;Договоры страхования&quot; в действие на территории Российской Федерации и о прекращении действия отдельных положений приказов Министерства финансов Российской Федерации на территории Российской Федерации&quot; (Зарегистрировано в Минюсте России 21.05.2021 N 63562) {КонсультантПлюс}">
        <w:r>
          <w:rPr>
            <w:sz w:val="24"/>
            <w:color w:val="0000ff"/>
          </w:rPr>
          <w:t xml:space="preserve">приказом</w:t>
        </w:r>
      </w:hyperlink>
      <w:r>
        <w:rPr>
          <w:sz w:val="24"/>
        </w:rPr>
        <w:t xml:space="preserve"> Минфина России от 20 апреля 2021 года N 65н "О введении Международного стандарта финансовой отчетности (IFRS) 17 "Договоры страхования" в действие на территории Российской Федерации и о прекращении действия отдельных положений приказов Министерства финансов Российской Федерации на территории Российской Федерации" (зарегистрирован Минюстом России 21 мая 2021 года, регистрационный N 63562), с поправками, введенными в действие на территории Российской Федерации приказом Минфина России от 4 октября 2023 года N 155н "О введении документов Международных стандартов финансовой отчетности "Первоначальное применение </w:t>
      </w:r>
      <w:hyperlink w:history="0" r:id="rId256"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и МСФО (IFRS) 9 - Сравнительная информация (Поправка к </w:t>
      </w:r>
      <w:hyperlink w:history="0" r:id="rId257"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"Определение бухгалтерских оценок (Поправки к МСФО (IAS) 8 "Учетная политика, изменения в бухгалтерских оценках и ошибки")", "Обязательство по аренде в операции продажи с обратной арендой (Поправки к МСФО (IFRS) 16)" в действие на территории Российской Федерации" (зарегистрирован Минюстом России 23 ноября 2023 года, регистрационный N 76077).</w:t>
      </w:r>
    </w:p>
    <w:p>
      <w:pPr>
        <w:pStyle w:val="0"/>
        <w:ind w:firstLine="540"/>
        <w:jc w:val="both"/>
      </w:pPr>
      <w:r>
        <w:rPr>
          <w:sz w:val="24"/>
        </w:rPr>
      </w:r>
    </w:p>
    <w:p>
      <w:pPr>
        <w:pStyle w:val="0"/>
        <w:ind w:firstLine="540"/>
        <w:jc w:val="both"/>
      </w:pPr>
      <w:r>
        <w:rPr>
          <w:sz w:val="24"/>
        </w:rPr>
        <w:t xml:space="preserve">Значения показателей </w:t>
      </w:r>
      <w:hyperlink w:history="0" w:anchor="P2350" w:tooltip="Раздел 1.">
        <w:r>
          <w:rPr>
            <w:sz w:val="24"/>
            <w:color w:val="0000ff"/>
          </w:rPr>
          <w:t xml:space="preserve">раздела 1</w:t>
        </w:r>
      </w:hyperlink>
      <w:r>
        <w:rPr>
          <w:sz w:val="24"/>
        </w:rPr>
        <w:t xml:space="preserve"> отчетности по форме 0420154 по аналитическим признакам группы аналитических признаков "Вид актива" (</w:t>
      </w:r>
      <w:hyperlink w:history="0" w:anchor="P40637" w:tooltip="1">
        <w:r>
          <w:rPr>
            <w:sz w:val="24"/>
            <w:color w:val="0000ff"/>
          </w:rPr>
          <w:t xml:space="preserve">строка 1 подраздела 4.1 раздела 4 части II</w:t>
        </w:r>
      </w:hyperlink>
      <w:r>
        <w:rPr>
          <w:sz w:val="24"/>
        </w:rPr>
        <w:t xml:space="preserve"> настоящего приложения) определяются следующим образом:</w:t>
      </w:r>
    </w:p>
    <w:p>
      <w:pPr>
        <w:pStyle w:val="0"/>
        <w:spacing w:before="240" w:lineRule="auto"/>
        <w:ind w:firstLine="540"/>
        <w:jc w:val="both"/>
      </w:pPr>
      <w:r>
        <w:rPr>
          <w:sz w:val="24"/>
        </w:rPr>
        <w:t xml:space="preserve">при определении значений показателей "Полная балансовая стоимость" </w:t>
      </w:r>
      <w:hyperlink w:history="0" w:anchor="P2352" w:tooltip="1">
        <w:r>
          <w:rPr>
            <w:sz w:val="24"/>
            <w:color w:val="0000ff"/>
          </w:rPr>
          <w:t xml:space="preserve">(строка 1)</w:t>
        </w:r>
      </w:hyperlink>
      <w:r>
        <w:rPr>
          <w:sz w:val="24"/>
        </w:rPr>
        <w:t xml:space="preserve">, "Резерв под обесценение" </w:t>
      </w:r>
      <w:hyperlink w:history="0" w:anchor="P2364" w:tooltip="2">
        <w:r>
          <w:rPr>
            <w:sz w:val="24"/>
            <w:color w:val="0000ff"/>
          </w:rPr>
          <w:t xml:space="preserve">(строка 2)</w:t>
        </w:r>
      </w:hyperlink>
      <w:r>
        <w:rPr>
          <w:sz w:val="24"/>
        </w:rPr>
        <w:t xml:space="preserve"> и "Балансовая стоимость" </w:t>
      </w:r>
      <w:hyperlink w:history="0" w:anchor="P2376" w:tooltip="3">
        <w:r>
          <w:rPr>
            <w:sz w:val="24"/>
            <w:color w:val="0000ff"/>
          </w:rPr>
          <w:t xml:space="preserve">(строка 3)</w:t>
        </w:r>
      </w:hyperlink>
      <w:r>
        <w:rPr>
          <w:sz w:val="24"/>
        </w:rPr>
        <w:t xml:space="preserve"> данные по </w:t>
      </w:r>
      <w:hyperlink w:history="0" w:anchor="P40785" w:tooltip="1.37">
        <w:r>
          <w:rPr>
            <w:sz w:val="24"/>
            <w:color w:val="0000ff"/>
          </w:rPr>
          <w:t xml:space="preserve">строке 1.37</w:t>
        </w:r>
      </w:hyperlink>
      <w:r>
        <w:rPr>
          <w:sz w:val="24"/>
        </w:rPr>
        <w:t xml:space="preserve"> должны быть равны сумме данных по </w:t>
      </w:r>
      <w:hyperlink w:history="0" w:anchor="P40641" w:tooltip="1.1">
        <w:r>
          <w:rPr>
            <w:sz w:val="24"/>
            <w:color w:val="0000ff"/>
          </w:rPr>
          <w:t xml:space="preserve">строкам 1.1</w:t>
        </w:r>
      </w:hyperlink>
      <w:r>
        <w:rPr>
          <w:sz w:val="24"/>
        </w:rPr>
        <w:t xml:space="preserve"> - </w:t>
      </w:r>
      <w:hyperlink w:history="0" w:anchor="P40741" w:tooltip="1.26">
        <w:r>
          <w:rPr>
            <w:sz w:val="24"/>
            <w:color w:val="0000ff"/>
          </w:rPr>
          <w:t xml:space="preserve">1.26</w:t>
        </w:r>
      </w:hyperlink>
      <w:r>
        <w:rPr>
          <w:sz w:val="24"/>
        </w:rPr>
        <w:t xml:space="preserve"> и </w:t>
      </w:r>
      <w:hyperlink w:history="0" w:anchor="P40753" w:tooltip="1.29">
        <w:r>
          <w:rPr>
            <w:sz w:val="24"/>
            <w:color w:val="0000ff"/>
          </w:rPr>
          <w:t xml:space="preserve">строкам 1.29</w:t>
        </w:r>
      </w:hyperlink>
      <w:r>
        <w:rPr>
          <w:sz w:val="24"/>
        </w:rPr>
        <w:t xml:space="preserve"> - </w:t>
      </w:r>
      <w:hyperlink w:history="0" w:anchor="P40781" w:tooltip="1.36">
        <w:r>
          <w:rPr>
            <w:sz w:val="24"/>
            <w:color w:val="0000ff"/>
          </w:rPr>
          <w:t xml:space="preserve">1.36</w:t>
        </w:r>
      </w:hyperlink>
      <w:r>
        <w:rPr>
          <w:sz w:val="24"/>
        </w:rPr>
        <w:t xml:space="preserve">;</w:t>
      </w:r>
    </w:p>
    <w:p>
      <w:pPr>
        <w:pStyle w:val="0"/>
        <w:spacing w:before="240" w:lineRule="auto"/>
        <w:ind w:firstLine="540"/>
        <w:jc w:val="both"/>
      </w:pPr>
      <w:r>
        <w:rPr>
          <w:sz w:val="24"/>
        </w:rPr>
        <w:t xml:space="preserve">при определении значений показателя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(строка 4)</w:t>
        </w:r>
      </w:hyperlink>
      <w:r>
        <w:rPr>
          <w:sz w:val="24"/>
        </w:rPr>
        <w:t xml:space="preserve">, в том числе по аналитическим признакам группы аналитических признаков "Стоимость активов, в которые инвестированы средства страховых резервов, собственные средства (капитал)" данные по </w:t>
      </w:r>
      <w:hyperlink w:history="0" w:anchor="P40785" w:tooltip="1.37">
        <w:r>
          <w:rPr>
            <w:sz w:val="24"/>
            <w:color w:val="0000ff"/>
          </w:rPr>
          <w:t xml:space="preserve">строке 1.37</w:t>
        </w:r>
      </w:hyperlink>
      <w:r>
        <w:rPr>
          <w:sz w:val="24"/>
        </w:rPr>
        <w:t xml:space="preserve"> должны быть равны сумме данных по </w:t>
      </w:r>
      <w:hyperlink w:history="0" w:anchor="P40641" w:tooltip="1.1">
        <w:r>
          <w:rPr>
            <w:sz w:val="24"/>
            <w:color w:val="0000ff"/>
          </w:rPr>
          <w:t xml:space="preserve">строкам 1.1</w:t>
        </w:r>
      </w:hyperlink>
      <w:r>
        <w:rPr>
          <w:sz w:val="24"/>
        </w:rPr>
        <w:t xml:space="preserve"> - </w:t>
      </w:r>
      <w:hyperlink w:history="0" w:anchor="P40781" w:tooltip="1.36">
        <w:r>
          <w:rPr>
            <w:sz w:val="24"/>
            <w:color w:val="0000ff"/>
          </w:rPr>
          <w:t xml:space="preserve">1.36</w:t>
        </w:r>
      </w:hyperlink>
      <w:r>
        <w:rPr>
          <w:sz w:val="24"/>
        </w:rPr>
        <w:t xml:space="preserve">.</w:t>
      </w:r>
    </w:p>
    <w:p>
      <w:pPr>
        <w:pStyle w:val="0"/>
        <w:spacing w:before="240" w:lineRule="auto"/>
        <w:ind w:firstLine="540"/>
        <w:jc w:val="both"/>
      </w:pPr>
      <w:r>
        <w:rPr>
          <w:sz w:val="24"/>
        </w:rPr>
        <w:t xml:space="preserve">53.3. Показатели "Полная балансовая стоимость" </w:t>
      </w:r>
      <w:hyperlink w:history="0" w:anchor="P2352" w:tooltip="1">
        <w:r>
          <w:rPr>
            <w:sz w:val="24"/>
            <w:color w:val="0000ff"/>
          </w:rPr>
          <w:t xml:space="preserve">(строка 1)</w:t>
        </w:r>
      </w:hyperlink>
      <w:r>
        <w:rPr>
          <w:sz w:val="24"/>
        </w:rPr>
        <w:t xml:space="preserve"> и "Резерв под обесценение" </w:t>
      </w:r>
      <w:hyperlink w:history="0" w:anchor="P2364" w:tooltip="2">
        <w:r>
          <w:rPr>
            <w:sz w:val="24"/>
            <w:color w:val="0000ff"/>
          </w:rPr>
          <w:t xml:space="preserve">(строка 2)</w:t>
        </w:r>
      </w:hyperlink>
      <w:r>
        <w:rPr>
          <w:sz w:val="24"/>
        </w:rPr>
        <w:t xml:space="preserve"> в разрезе аналитических признаков группы аналитических признаков "Вид обязательства" не формируются.</w:t>
      </w:r>
    </w:p>
    <w:p>
      <w:pPr>
        <w:pStyle w:val="0"/>
        <w:spacing w:before="240" w:lineRule="auto"/>
        <w:ind w:firstLine="540"/>
        <w:jc w:val="both"/>
      </w:pPr>
      <w:r>
        <w:rPr>
          <w:sz w:val="24"/>
        </w:rPr>
        <w:t xml:space="preserve">Показатель "Балансовая стоимость" </w:t>
      </w:r>
      <w:hyperlink w:history="0" w:anchor="P2376" w:tooltip="3">
        <w:r>
          <w:rPr>
            <w:sz w:val="24"/>
            <w:color w:val="0000ff"/>
          </w:rPr>
          <w:t xml:space="preserve">(строка 3)</w:t>
        </w:r>
      </w:hyperlink>
      <w:r>
        <w:rPr>
          <w:sz w:val="24"/>
        </w:rPr>
        <w:t xml:space="preserve"> в разрезе аналитического признака "Страховые резервы по страхованию жизни" и входящих в него аналитических признаков (за исключением аналитического признака "Права требования в части уплаты страховых премий (взносов), учтенные в страховых резервах по страхованию жизни") и аналитического признака "Страховые резервы по страхованию иному, чем страхование жизни" и входящих в него аналитических признаков (за исключением аналитического признака "Права требования в части уплаты страховых премий (взносов), учтенные в страховых резервах по страхованию иному, чем страхование жизни") группы аналитических признаков "Вид обязательства" не формируется.</w:t>
      </w:r>
    </w:p>
    <w:p>
      <w:pPr>
        <w:pStyle w:val="0"/>
        <w:spacing w:before="240" w:lineRule="auto"/>
        <w:ind w:firstLine="540"/>
        <w:jc w:val="both"/>
      </w:pPr>
      <w:r>
        <w:rPr>
          <w:sz w:val="24"/>
        </w:rPr>
        <w:t xml:space="preserve">По группе аналитических признаков "Вид обязательства":</w:t>
      </w:r>
    </w:p>
    <w:p>
      <w:pPr>
        <w:pStyle w:val="0"/>
        <w:spacing w:before="240" w:lineRule="auto"/>
        <w:ind w:firstLine="540"/>
        <w:jc w:val="both"/>
      </w:pPr>
      <w:r>
        <w:rPr>
          <w:sz w:val="24"/>
        </w:rPr>
        <w:t xml:space="preserve">взвешенная по вероятности реализации денежного потока сумма денежных потоков, дисконтированных на срок денежного потока, определенный в соответствии с </w:t>
      </w:r>
      <w:hyperlink w:history="0" r:id="rId25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четырнадцатым</w:t>
        </w:r>
      </w:hyperlink>
      <w:r>
        <w:rPr>
          <w:sz w:val="24"/>
        </w:rPr>
        <w:t xml:space="preserve"> и </w:t>
      </w:r>
      <w:hyperlink w:history="0" r:id="rId25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пятнадцатым подпункта 5.3.14 пункта 5.3</w:t>
        </w:r>
      </w:hyperlink>
      <w:r>
        <w:rPr>
          <w:sz w:val="24"/>
        </w:rPr>
        <w:t xml:space="preserve"> Положения Банка России N 858-П (далее - наилучшая оценка приведенной стоимости всех денежных потоков), входящих в прогноз денежных потоков, по исполнению обязательств, учитываемых в расчете величины резерва премий, до наиболее поздней предполагаемой даты полного исполнения обязательств по договорам страхования, сострахования, входящего перестрахования, относящимся к учетным группам, предусмотренным </w:t>
      </w:r>
      <w:hyperlink w:history="0" r:id="rId26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5.1.4 пункта 5.1</w:t>
        </w:r>
      </w:hyperlink>
      <w:r>
        <w:rPr>
          <w:sz w:val="24"/>
        </w:rPr>
        <w:t xml:space="preserve"> Положения Банка России N 858-П, отражается по аналитическому признаку "Оценка ожидаемой величины обязательств по резерву премий (ДПП) по страхованию жизни";</w:t>
      </w:r>
    </w:p>
    <w:p>
      <w:pPr>
        <w:pStyle w:val="0"/>
        <w:spacing w:before="240" w:lineRule="auto"/>
        <w:ind w:firstLine="540"/>
        <w:jc w:val="both"/>
      </w:pPr>
      <w:r>
        <w:rPr>
          <w:sz w:val="24"/>
        </w:rPr>
        <w:t xml:space="preserve">неотрицательная наилучшая оценка приведенной стоимости всех денежных потоков, входящих в прогноз денежных потоков, по исполнению обязательств, учитываемых в расчете величины резерва премий, до наиболее поздней предполагаемой даты полного исполнения обязательств по договорам страхования, сострахования, входящего перестрахования, относящимся к учетным группам, предусмотренным </w:t>
      </w:r>
      <w:hyperlink w:history="0" r:id="rId26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5.1.3 пункта 5.1</w:t>
        </w:r>
      </w:hyperlink>
      <w:r>
        <w:rPr>
          <w:sz w:val="24"/>
        </w:rPr>
        <w:t xml:space="preserve"> Положения Банка России N 858-П, отражается по аналитическому признаку "Оценка ожидаемой величины обязательств по резерву премий (ДПП) по страхованию иному, чем страхование жизни";</w:t>
      </w:r>
    </w:p>
    <w:p>
      <w:pPr>
        <w:pStyle w:val="0"/>
        <w:spacing w:before="240" w:lineRule="auto"/>
        <w:ind w:firstLine="540"/>
        <w:jc w:val="both"/>
      </w:pPr>
      <w:r>
        <w:rPr>
          <w:sz w:val="24"/>
        </w:rPr>
        <w:t xml:space="preserve">неотрицательная наилучшая оценка приведенной стоимости всех денежных потоков, входящих в прогноз денежных потоков, по исполнению обязательств, учитываемых в расчете величины резерва убытков, до наиболее поздней предполагаемой даты полного исполнения обязательств по договорам страхования, сострахования, входящего перестрахования отражается по аналитическим признакам "Оценка ожидаемой величины убытков (ДПУ) по страхованию жизни" и "Оценка ожидаемой величины убытков (ДПУ) по страхованию иному, чем страхование жизни".</w:t>
      </w:r>
    </w:p>
    <w:p>
      <w:pPr>
        <w:pStyle w:val="0"/>
        <w:spacing w:before="240" w:lineRule="auto"/>
        <w:ind w:firstLine="540"/>
        <w:jc w:val="both"/>
      </w:pPr>
      <w:r>
        <w:rPr>
          <w:sz w:val="24"/>
        </w:rPr>
        <w:t xml:space="preserve">По аналитическому признаку "Обязательства по обязательному медицинскому страхованию" группы аналитических признаков "Вид обязательства" отражаются обязательства по обязательному медицинскому страхованию, возникающие в соответствии с Федеральным </w:t>
      </w:r>
      <w:hyperlink w:history="0" r:id="rId262"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законом</w:t>
        </w:r>
      </w:hyperlink>
      <w:r>
        <w:rPr>
          <w:sz w:val="24"/>
        </w:rPr>
        <w:t xml:space="preserve"> N 326-ФЗ.</w:t>
      </w:r>
    </w:p>
    <w:p>
      <w:pPr>
        <w:pStyle w:val="0"/>
        <w:spacing w:before="240" w:lineRule="auto"/>
        <w:ind w:firstLine="540"/>
        <w:jc w:val="both"/>
      </w:pPr>
      <w:r>
        <w:rPr>
          <w:sz w:val="24"/>
        </w:rPr>
        <w:t xml:space="preserve">По аналитическому признаку "Прочие обязательства" группы аналитических признаков "Вид обязательства" отражаются обязательства, стоимость которых не отражена по конкретным видам обязательств (</w:t>
      </w:r>
      <w:hyperlink w:history="0" w:anchor="P40797" w:tooltip="2.1">
        <w:r>
          <w:rPr>
            <w:sz w:val="24"/>
            <w:color w:val="0000ff"/>
          </w:rPr>
          <w:t xml:space="preserve">строки 2.1</w:t>
        </w:r>
      </w:hyperlink>
      <w:r>
        <w:rPr>
          <w:sz w:val="24"/>
        </w:rPr>
        <w:t xml:space="preserve"> - </w:t>
      </w:r>
      <w:hyperlink w:history="0" w:anchor="P40909" w:tooltip="2.12">
        <w:r>
          <w:rPr>
            <w:sz w:val="24"/>
            <w:color w:val="0000ff"/>
          </w:rPr>
          <w:t xml:space="preserve">2.12 подраздела 4.1 раздела 4 части II</w:t>
        </w:r>
      </w:hyperlink>
      <w:r>
        <w:rPr>
          <w:sz w:val="24"/>
        </w:rPr>
        <w:t xml:space="preserve"> настоящего приложения), в том числе обязательства по портфелям договоров страхования, выпущенных (принятых) договоров перестрахования и удерживаемых (переданных) договоров перестрахования, учитываемых на счетах бухгалтерского учета в соответствии с требованиями </w:t>
      </w:r>
      <w:hyperlink w:history="0" r:id="rId263"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w:t>
      </w:r>
    </w:p>
    <w:p>
      <w:pPr>
        <w:pStyle w:val="0"/>
        <w:spacing w:before="240" w:lineRule="auto"/>
        <w:ind w:firstLine="540"/>
        <w:jc w:val="both"/>
      </w:pPr>
      <w:r>
        <w:rPr>
          <w:sz w:val="24"/>
        </w:rPr>
        <w:t xml:space="preserve">Значения показателей </w:t>
      </w:r>
      <w:hyperlink w:history="0" w:anchor="P2350" w:tooltip="Раздел 1.">
        <w:r>
          <w:rPr>
            <w:sz w:val="24"/>
            <w:color w:val="0000ff"/>
          </w:rPr>
          <w:t xml:space="preserve">раздела 1</w:t>
        </w:r>
      </w:hyperlink>
      <w:r>
        <w:rPr>
          <w:sz w:val="24"/>
        </w:rPr>
        <w:t xml:space="preserve"> отчетности по форме 0420154 по аналитическим признакам группы аналитических признаков "Вид обязательства" (</w:t>
      </w:r>
      <w:hyperlink w:history="0" w:anchor="P40793" w:tooltip="2">
        <w:r>
          <w:rPr>
            <w:sz w:val="24"/>
            <w:color w:val="0000ff"/>
          </w:rPr>
          <w:t xml:space="preserve">строка 2 подраздела 4.1 раздела 4 части II</w:t>
        </w:r>
      </w:hyperlink>
      <w:r>
        <w:rPr>
          <w:sz w:val="24"/>
        </w:rPr>
        <w:t xml:space="preserve"> настоящего приложения) определяются следующим образом:</w:t>
      </w:r>
    </w:p>
    <w:p>
      <w:pPr>
        <w:pStyle w:val="0"/>
        <w:spacing w:before="240" w:lineRule="auto"/>
        <w:ind w:firstLine="540"/>
        <w:jc w:val="both"/>
      </w:pPr>
      <w:r>
        <w:rPr>
          <w:sz w:val="24"/>
        </w:rPr>
        <w:t xml:space="preserve">при определении значений показателя "Балансовая стоимость" </w:t>
      </w:r>
      <w:hyperlink w:history="0" w:anchor="P2376" w:tooltip="3">
        <w:r>
          <w:rPr>
            <w:sz w:val="24"/>
            <w:color w:val="0000ff"/>
          </w:rPr>
          <w:t xml:space="preserve">(строка 3)</w:t>
        </w:r>
      </w:hyperlink>
      <w:r>
        <w:rPr>
          <w:sz w:val="24"/>
        </w:rPr>
        <w:t xml:space="preserve"> данные по </w:t>
      </w:r>
      <w:hyperlink w:history="0" w:anchor="P40917" w:tooltip="2.14">
        <w:r>
          <w:rPr>
            <w:sz w:val="24"/>
            <w:color w:val="0000ff"/>
          </w:rPr>
          <w:t xml:space="preserve">строке 2.14</w:t>
        </w:r>
      </w:hyperlink>
      <w:r>
        <w:rPr>
          <w:sz w:val="24"/>
        </w:rPr>
        <w:t xml:space="preserve"> должны быть равны сумме данных по </w:t>
      </w:r>
      <w:hyperlink w:history="0" w:anchor="P40873" w:tooltip="2.3">
        <w:r>
          <w:rPr>
            <w:sz w:val="24"/>
            <w:color w:val="0000ff"/>
          </w:rPr>
          <w:t xml:space="preserve">строкам 2.3</w:t>
        </w:r>
      </w:hyperlink>
      <w:r>
        <w:rPr>
          <w:sz w:val="24"/>
        </w:rPr>
        <w:t xml:space="preserve"> - </w:t>
      </w:r>
      <w:hyperlink w:history="0" w:anchor="P40913" w:tooltip="2.13">
        <w:r>
          <w:rPr>
            <w:sz w:val="24"/>
            <w:color w:val="0000ff"/>
          </w:rPr>
          <w:t xml:space="preserve">2.13</w:t>
        </w:r>
      </w:hyperlink>
      <w:r>
        <w:rPr>
          <w:sz w:val="24"/>
        </w:rPr>
        <w:t xml:space="preserve">;</w:t>
      </w:r>
    </w:p>
    <w:p>
      <w:pPr>
        <w:pStyle w:val="0"/>
        <w:spacing w:before="240" w:lineRule="auto"/>
        <w:ind w:firstLine="540"/>
        <w:jc w:val="both"/>
      </w:pPr>
      <w:r>
        <w:rPr>
          <w:sz w:val="24"/>
        </w:rPr>
        <w:t xml:space="preserve">при определении значений показателя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(строка 4)</w:t>
        </w:r>
      </w:hyperlink>
      <w:r>
        <w:rPr>
          <w:sz w:val="24"/>
        </w:rPr>
        <w:t xml:space="preserve">:</w:t>
      </w:r>
    </w:p>
    <w:p>
      <w:pPr>
        <w:pStyle w:val="0"/>
        <w:spacing w:before="240" w:lineRule="auto"/>
        <w:ind w:firstLine="540"/>
        <w:jc w:val="both"/>
      </w:pPr>
      <w:r>
        <w:rPr>
          <w:sz w:val="24"/>
        </w:rPr>
        <w:t xml:space="preserve">данные по </w:t>
      </w:r>
      <w:hyperlink w:history="0" w:anchor="P40797" w:tooltip="2.1">
        <w:r>
          <w:rPr>
            <w:sz w:val="24"/>
            <w:color w:val="0000ff"/>
          </w:rPr>
          <w:t xml:space="preserve">строке 2.1</w:t>
        </w:r>
      </w:hyperlink>
      <w:r>
        <w:rPr>
          <w:sz w:val="24"/>
        </w:rPr>
        <w:t xml:space="preserve"> должны быть равны сумме данных по </w:t>
      </w:r>
      <w:hyperlink w:history="0" w:anchor="P40801" w:tooltip="2.1.1">
        <w:r>
          <w:rPr>
            <w:sz w:val="24"/>
            <w:color w:val="0000ff"/>
          </w:rPr>
          <w:t xml:space="preserve">строкам 2.1.1</w:t>
        </w:r>
      </w:hyperlink>
      <w:r>
        <w:rPr>
          <w:sz w:val="24"/>
        </w:rPr>
        <w:t xml:space="preserve">, </w:t>
      </w:r>
      <w:hyperlink w:history="0" w:anchor="P40817" w:tooltip="2.1.2">
        <w:r>
          <w:rPr>
            <w:sz w:val="24"/>
            <w:color w:val="0000ff"/>
          </w:rPr>
          <w:t xml:space="preserve">2.1.2</w:t>
        </w:r>
      </w:hyperlink>
      <w:r>
        <w:rPr>
          <w:sz w:val="24"/>
        </w:rPr>
        <w:t xml:space="preserve"> и </w:t>
      </w:r>
      <w:hyperlink w:history="0" w:anchor="P40829" w:tooltip="2.1.3">
        <w:r>
          <w:rPr>
            <w:sz w:val="24"/>
            <w:color w:val="0000ff"/>
          </w:rPr>
          <w:t xml:space="preserve">2.1.3</w:t>
        </w:r>
      </w:hyperlink>
      <w:r>
        <w:rPr>
          <w:sz w:val="24"/>
        </w:rPr>
        <w:t xml:space="preserve">;</w:t>
      </w:r>
    </w:p>
    <w:p>
      <w:pPr>
        <w:pStyle w:val="0"/>
        <w:spacing w:before="240" w:lineRule="auto"/>
        <w:ind w:firstLine="540"/>
        <w:jc w:val="both"/>
      </w:pPr>
      <w:r>
        <w:rPr>
          <w:sz w:val="24"/>
        </w:rPr>
        <w:t xml:space="preserve">данные по </w:t>
      </w:r>
      <w:hyperlink w:history="0" w:anchor="P40801" w:tooltip="2.1.1">
        <w:r>
          <w:rPr>
            <w:sz w:val="24"/>
            <w:color w:val="0000ff"/>
          </w:rPr>
          <w:t xml:space="preserve">строке 2.1.1</w:t>
        </w:r>
      </w:hyperlink>
      <w:r>
        <w:rPr>
          <w:sz w:val="24"/>
        </w:rPr>
        <w:t xml:space="preserve"> должны быть равны сумме данных по </w:t>
      </w:r>
      <w:hyperlink w:history="0" w:anchor="P40805" w:tooltip="2.1.1.1.">
        <w:r>
          <w:rPr>
            <w:sz w:val="24"/>
            <w:color w:val="0000ff"/>
          </w:rPr>
          <w:t xml:space="preserve">строкам 2.1.1.1</w:t>
        </w:r>
      </w:hyperlink>
      <w:r>
        <w:rPr>
          <w:sz w:val="24"/>
        </w:rPr>
        <w:t xml:space="preserve"> и </w:t>
      </w:r>
      <w:hyperlink w:history="0" w:anchor="P40849" w:tooltip="2.2.1.2">
        <w:r>
          <w:rPr>
            <w:sz w:val="24"/>
            <w:color w:val="0000ff"/>
          </w:rPr>
          <w:t xml:space="preserve">2.1.1.2</w:t>
        </w:r>
      </w:hyperlink>
      <w:r>
        <w:rPr>
          <w:sz w:val="24"/>
        </w:rPr>
        <w:t xml:space="preserve">;</w:t>
      </w:r>
    </w:p>
    <w:p>
      <w:pPr>
        <w:pStyle w:val="0"/>
        <w:spacing w:before="240" w:lineRule="auto"/>
        <w:ind w:firstLine="540"/>
        <w:jc w:val="both"/>
      </w:pPr>
      <w:r>
        <w:rPr>
          <w:sz w:val="24"/>
        </w:rPr>
        <w:t xml:space="preserve">данные по </w:t>
      </w:r>
      <w:hyperlink w:history="0" w:anchor="P40817" w:tooltip="2.1.2">
        <w:r>
          <w:rPr>
            <w:sz w:val="24"/>
            <w:color w:val="0000ff"/>
          </w:rPr>
          <w:t xml:space="preserve">строке 2.1.2</w:t>
        </w:r>
      </w:hyperlink>
      <w:r>
        <w:rPr>
          <w:sz w:val="24"/>
        </w:rPr>
        <w:t xml:space="preserve"> должны быть равны сумме данных по </w:t>
      </w:r>
      <w:hyperlink w:history="0" w:anchor="P40857" w:tooltip="2.2.2.1">
        <w:r>
          <w:rPr>
            <w:sz w:val="24"/>
            <w:color w:val="0000ff"/>
          </w:rPr>
          <w:t xml:space="preserve">строкам 2.1.2.1</w:t>
        </w:r>
      </w:hyperlink>
      <w:r>
        <w:rPr>
          <w:sz w:val="24"/>
        </w:rPr>
        <w:t xml:space="preserve"> и </w:t>
      </w:r>
      <w:hyperlink w:history="0" w:anchor="P40861" w:tooltip="2.2.2.2">
        <w:r>
          <w:rPr>
            <w:sz w:val="24"/>
            <w:color w:val="0000ff"/>
          </w:rPr>
          <w:t xml:space="preserve">2.1.2.2</w:t>
        </w:r>
      </w:hyperlink>
      <w:r>
        <w:rPr>
          <w:sz w:val="24"/>
        </w:rPr>
        <w:t xml:space="preserve">;</w:t>
      </w:r>
    </w:p>
    <w:p>
      <w:pPr>
        <w:pStyle w:val="0"/>
        <w:spacing w:before="240" w:lineRule="auto"/>
        <w:ind w:firstLine="540"/>
        <w:jc w:val="both"/>
      </w:pPr>
      <w:r>
        <w:rPr>
          <w:sz w:val="24"/>
        </w:rPr>
        <w:t xml:space="preserve">данные по </w:t>
      </w:r>
      <w:hyperlink w:history="0" w:anchor="P40833" w:tooltip="2.2">
        <w:r>
          <w:rPr>
            <w:sz w:val="24"/>
            <w:color w:val="0000ff"/>
          </w:rPr>
          <w:t xml:space="preserve">строке 2.2</w:t>
        </w:r>
      </w:hyperlink>
      <w:r>
        <w:rPr>
          <w:sz w:val="24"/>
        </w:rPr>
        <w:t xml:space="preserve"> должны быть равны сумме данных по </w:t>
      </w:r>
      <w:hyperlink w:history="0" w:anchor="P40837" w:tooltip="2.2.1">
        <w:r>
          <w:rPr>
            <w:sz w:val="24"/>
            <w:color w:val="0000ff"/>
          </w:rPr>
          <w:t xml:space="preserve">строкам 2.2.1</w:t>
        </w:r>
      </w:hyperlink>
      <w:r>
        <w:rPr>
          <w:sz w:val="24"/>
        </w:rPr>
        <w:t xml:space="preserve">, </w:t>
      </w:r>
      <w:hyperlink w:history="0" w:anchor="P40853" w:tooltip="2.2.2">
        <w:r>
          <w:rPr>
            <w:sz w:val="24"/>
            <w:color w:val="0000ff"/>
          </w:rPr>
          <w:t xml:space="preserve">2.2.2</w:t>
        </w:r>
      </w:hyperlink>
      <w:r>
        <w:rPr>
          <w:sz w:val="24"/>
        </w:rPr>
        <w:t xml:space="preserve">, </w:t>
      </w:r>
      <w:hyperlink w:history="0" w:anchor="P40865" w:tooltip="2.2.3">
        <w:r>
          <w:rPr>
            <w:sz w:val="24"/>
            <w:color w:val="0000ff"/>
          </w:rPr>
          <w:t xml:space="preserve">2.2.3</w:t>
        </w:r>
      </w:hyperlink>
      <w:r>
        <w:rPr>
          <w:sz w:val="24"/>
        </w:rPr>
        <w:t xml:space="preserve"> и </w:t>
      </w:r>
      <w:hyperlink w:history="0" w:anchor="P40877" w:tooltip="2.4">
        <w:r>
          <w:rPr>
            <w:sz w:val="24"/>
            <w:color w:val="0000ff"/>
          </w:rPr>
          <w:t xml:space="preserve">2.2.4</w:t>
        </w:r>
      </w:hyperlink>
      <w:r>
        <w:rPr>
          <w:sz w:val="24"/>
        </w:rPr>
        <w:t xml:space="preserve">;</w:t>
      </w:r>
    </w:p>
    <w:p>
      <w:pPr>
        <w:pStyle w:val="0"/>
        <w:spacing w:before="240" w:lineRule="auto"/>
        <w:ind w:firstLine="540"/>
        <w:jc w:val="both"/>
      </w:pPr>
      <w:r>
        <w:rPr>
          <w:sz w:val="24"/>
        </w:rPr>
        <w:t xml:space="preserve">данные по </w:t>
      </w:r>
      <w:hyperlink w:history="0" w:anchor="P40837" w:tooltip="2.2.1">
        <w:r>
          <w:rPr>
            <w:sz w:val="24"/>
            <w:color w:val="0000ff"/>
          </w:rPr>
          <w:t xml:space="preserve">строке 2.2.1</w:t>
        </w:r>
      </w:hyperlink>
      <w:r>
        <w:rPr>
          <w:sz w:val="24"/>
        </w:rPr>
        <w:t xml:space="preserve"> должны быть равны сумме данных по </w:t>
      </w:r>
      <w:hyperlink w:history="0" w:anchor="P40801" w:tooltip="2.1.1">
        <w:r>
          <w:rPr>
            <w:sz w:val="24"/>
            <w:color w:val="0000ff"/>
          </w:rPr>
          <w:t xml:space="preserve">строкам 2.2.1.1</w:t>
        </w:r>
      </w:hyperlink>
      <w:r>
        <w:rPr>
          <w:sz w:val="24"/>
        </w:rPr>
        <w:t xml:space="preserve"> и </w:t>
      </w:r>
      <w:hyperlink w:history="0" w:anchor="P40849" w:tooltip="2.2.1.2">
        <w:r>
          <w:rPr>
            <w:sz w:val="24"/>
            <w:color w:val="0000ff"/>
          </w:rPr>
          <w:t xml:space="preserve">2.2.1.2</w:t>
        </w:r>
      </w:hyperlink>
      <w:r>
        <w:rPr>
          <w:sz w:val="24"/>
        </w:rPr>
        <w:t xml:space="preserve">;</w:t>
      </w:r>
    </w:p>
    <w:p>
      <w:pPr>
        <w:pStyle w:val="0"/>
        <w:spacing w:before="240" w:lineRule="auto"/>
        <w:ind w:firstLine="540"/>
        <w:jc w:val="both"/>
      </w:pPr>
      <w:r>
        <w:rPr>
          <w:sz w:val="24"/>
        </w:rPr>
        <w:t xml:space="preserve">данные по </w:t>
      </w:r>
      <w:hyperlink w:history="0" w:anchor="P40853" w:tooltip="2.2.2">
        <w:r>
          <w:rPr>
            <w:sz w:val="24"/>
            <w:color w:val="0000ff"/>
          </w:rPr>
          <w:t xml:space="preserve">строке 2.2.2</w:t>
        </w:r>
      </w:hyperlink>
      <w:r>
        <w:rPr>
          <w:sz w:val="24"/>
        </w:rPr>
        <w:t xml:space="preserve"> должны быть равны сумме данных по </w:t>
      </w:r>
      <w:hyperlink w:history="0" w:anchor="P40857" w:tooltip="2.2.2.1">
        <w:r>
          <w:rPr>
            <w:sz w:val="24"/>
            <w:color w:val="0000ff"/>
          </w:rPr>
          <w:t xml:space="preserve">строкам 2.2.2.1</w:t>
        </w:r>
      </w:hyperlink>
      <w:r>
        <w:rPr>
          <w:sz w:val="24"/>
        </w:rPr>
        <w:t xml:space="preserve"> и </w:t>
      </w:r>
      <w:hyperlink w:history="0" w:anchor="P40861" w:tooltip="2.2.2.2">
        <w:r>
          <w:rPr>
            <w:sz w:val="24"/>
            <w:color w:val="0000ff"/>
          </w:rPr>
          <w:t xml:space="preserve">2.2.2.2</w:t>
        </w:r>
      </w:hyperlink>
      <w:r>
        <w:rPr>
          <w:sz w:val="24"/>
        </w:rPr>
        <w:t xml:space="preserve">;</w:t>
      </w:r>
    </w:p>
    <w:p>
      <w:pPr>
        <w:pStyle w:val="0"/>
        <w:spacing w:before="240" w:lineRule="auto"/>
        <w:ind w:firstLine="540"/>
        <w:jc w:val="both"/>
      </w:pPr>
      <w:r>
        <w:rPr>
          <w:sz w:val="24"/>
        </w:rPr>
        <w:t xml:space="preserve">данные по </w:t>
      </w:r>
      <w:hyperlink w:history="0" w:anchor="P40917" w:tooltip="2.14">
        <w:r>
          <w:rPr>
            <w:sz w:val="24"/>
            <w:color w:val="0000ff"/>
          </w:rPr>
          <w:t xml:space="preserve">строке 2.14</w:t>
        </w:r>
      </w:hyperlink>
      <w:r>
        <w:rPr>
          <w:sz w:val="24"/>
        </w:rPr>
        <w:t xml:space="preserve"> должны быть равны сумме данных по </w:t>
      </w:r>
      <w:hyperlink w:history="0" w:anchor="P40797" w:tooltip="2.1">
        <w:r>
          <w:rPr>
            <w:sz w:val="24"/>
            <w:color w:val="0000ff"/>
          </w:rPr>
          <w:t xml:space="preserve">строкам 2.1</w:t>
        </w:r>
      </w:hyperlink>
      <w:r>
        <w:rPr>
          <w:sz w:val="24"/>
        </w:rPr>
        <w:t xml:space="preserve"> - </w:t>
      </w:r>
      <w:hyperlink w:history="0" w:anchor="P40913" w:tooltip="2.13">
        <w:r>
          <w:rPr>
            <w:sz w:val="24"/>
            <w:color w:val="0000ff"/>
          </w:rPr>
          <w:t xml:space="preserve">2.13</w:t>
        </w:r>
      </w:hyperlink>
      <w:r>
        <w:rPr>
          <w:sz w:val="24"/>
        </w:rPr>
        <w:t xml:space="preserve">.</w:t>
      </w:r>
    </w:p>
    <w:p>
      <w:pPr>
        <w:pStyle w:val="0"/>
        <w:spacing w:before="240" w:lineRule="auto"/>
        <w:ind w:firstLine="540"/>
        <w:jc w:val="both"/>
      </w:pPr>
      <w:r>
        <w:rPr>
          <w:sz w:val="24"/>
        </w:rPr>
        <w:t xml:space="preserve">53.4. По показателю "Собственные средства (капитал)" </w:t>
      </w:r>
      <w:hyperlink w:history="0" w:anchor="P2412" w:tooltip="5">
        <w:r>
          <w:rPr>
            <w:sz w:val="24"/>
            <w:color w:val="0000ff"/>
          </w:rPr>
          <w:t xml:space="preserve">(строка 5)</w:t>
        </w:r>
      </w:hyperlink>
      <w:r>
        <w:rPr>
          <w:sz w:val="24"/>
        </w:rPr>
        <w:t xml:space="preserve"> указывается величина собственных средств (капитала) страховщика, определенная в соответствии с </w:t>
      </w:r>
      <w:hyperlink w:history="0" r:id="rId26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1</w:t>
        </w:r>
      </w:hyperlink>
      <w:r>
        <w:rPr>
          <w:sz w:val="24"/>
        </w:rPr>
        <w:t xml:space="preserve"> Положения Банка России N 858-П.</w:t>
      </w:r>
    </w:p>
    <w:p>
      <w:pPr>
        <w:pStyle w:val="0"/>
        <w:spacing w:before="240" w:lineRule="auto"/>
        <w:ind w:firstLine="540"/>
        <w:jc w:val="both"/>
      </w:pPr>
      <w:r>
        <w:rPr>
          <w:sz w:val="24"/>
        </w:rPr>
        <w:t xml:space="preserve">Значение показателя "Собственные средства (капитал)" </w:t>
      </w:r>
      <w:hyperlink w:history="0" w:anchor="P2412" w:tooltip="5">
        <w:r>
          <w:rPr>
            <w:sz w:val="24"/>
            <w:color w:val="0000ff"/>
          </w:rPr>
          <w:t xml:space="preserve">(строка 5)</w:t>
        </w:r>
      </w:hyperlink>
      <w:r>
        <w:rPr>
          <w:sz w:val="24"/>
        </w:rPr>
        <w:t xml:space="preserve"> определяется как разница значений показателя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(строка 4)</w:t>
        </w:r>
      </w:hyperlink>
      <w:r>
        <w:rPr>
          <w:sz w:val="24"/>
        </w:rPr>
        <w:t xml:space="preserve"> по аналитическому признаку "Итого активов" группы аналитических признаков "Вид актива" и по аналитическому признаку "Итого обязательств" группы аналитических признаков "Вид обязательства", уменьшенная на сумму значений показателя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(строка 4)</w:t>
        </w:r>
      </w:hyperlink>
      <w:r>
        <w:rPr>
          <w:sz w:val="24"/>
        </w:rPr>
        <w:t xml:space="preserve"> по аналитическим признакам "Выданные поручительства и независимые гарантии" и "Прочие внебалансовые обязательства" группы аналитических признаков "Вид обязательства".</w:t>
      </w:r>
    </w:p>
    <w:p>
      <w:pPr>
        <w:pStyle w:val="0"/>
        <w:spacing w:before="240" w:lineRule="auto"/>
        <w:ind w:firstLine="540"/>
        <w:jc w:val="both"/>
      </w:pPr>
      <w:r>
        <w:rPr>
          <w:sz w:val="24"/>
        </w:rPr>
        <w:t xml:space="preserve">53.5. По показателю "Собственные средства (капитал), балансовая стоимость" </w:t>
      </w:r>
      <w:hyperlink w:history="0" w:anchor="P2416" w:tooltip="6">
        <w:r>
          <w:rPr>
            <w:sz w:val="24"/>
            <w:color w:val="0000ff"/>
          </w:rPr>
          <w:t xml:space="preserve">(строка 6)</w:t>
        </w:r>
      </w:hyperlink>
      <w:r>
        <w:rPr>
          <w:sz w:val="24"/>
        </w:rPr>
        <w:t xml:space="preserve"> указывается величина собственных средств (капитала) страховщика, отраженная в бухгалтерском балансе.</w:t>
      </w:r>
    </w:p>
    <w:p>
      <w:pPr>
        <w:pStyle w:val="0"/>
        <w:spacing w:before="240" w:lineRule="auto"/>
        <w:ind w:firstLine="540"/>
        <w:jc w:val="both"/>
      </w:pPr>
      <w:r>
        <w:rPr>
          <w:sz w:val="24"/>
        </w:rPr>
        <w:t xml:space="preserve">Значение показателя "Собственные средства (капитал), балансовая стоимость" </w:t>
      </w:r>
      <w:hyperlink w:history="0" w:anchor="P2416" w:tooltip="6">
        <w:r>
          <w:rPr>
            <w:sz w:val="24"/>
            <w:color w:val="0000ff"/>
          </w:rPr>
          <w:t xml:space="preserve">(строка 6)</w:t>
        </w:r>
      </w:hyperlink>
      <w:r>
        <w:rPr>
          <w:sz w:val="24"/>
        </w:rPr>
        <w:t xml:space="preserve"> определяется как разница значений показателя "Балансовая стоимость" </w:t>
      </w:r>
      <w:hyperlink w:history="0" w:anchor="P2376" w:tooltip="3">
        <w:r>
          <w:rPr>
            <w:sz w:val="24"/>
            <w:color w:val="0000ff"/>
          </w:rPr>
          <w:t xml:space="preserve">(строка 3)</w:t>
        </w:r>
      </w:hyperlink>
      <w:r>
        <w:rPr>
          <w:sz w:val="24"/>
        </w:rPr>
        <w:t xml:space="preserve"> по аналитическому признаку "Итого активов" группы аналитических признаков "Вид актива" и по аналитическому признаку "Итого обязательств" группы аналитических признаков "Вид обязательства".</w:t>
      </w:r>
    </w:p>
    <w:p>
      <w:pPr>
        <w:pStyle w:val="0"/>
        <w:spacing w:before="240" w:lineRule="auto"/>
        <w:ind w:firstLine="540"/>
        <w:jc w:val="both"/>
      </w:pPr>
      <w:r>
        <w:rPr>
          <w:sz w:val="24"/>
        </w:rPr>
        <w:t xml:space="preserve">Значение показателя "Собственные средства (капитал), балансовая стоимость" </w:t>
      </w:r>
      <w:hyperlink w:history="0" w:anchor="P2416" w:tooltip="6">
        <w:r>
          <w:rPr>
            <w:sz w:val="24"/>
            <w:color w:val="0000ff"/>
          </w:rPr>
          <w:t xml:space="preserve">(строка 6)</w:t>
        </w:r>
      </w:hyperlink>
      <w:r>
        <w:rPr>
          <w:sz w:val="24"/>
        </w:rPr>
        <w:t xml:space="preserve"> должно соответствовать значению показателя "Итого капитала" бухгалтерского баланса.</w:t>
      </w:r>
    </w:p>
    <w:p>
      <w:pPr>
        <w:pStyle w:val="0"/>
        <w:spacing w:before="240" w:lineRule="auto"/>
        <w:ind w:firstLine="540"/>
        <w:jc w:val="both"/>
      </w:pPr>
      <w:r>
        <w:rPr>
          <w:sz w:val="24"/>
        </w:rPr>
        <w:t xml:space="preserve">54. По показателям </w:t>
      </w:r>
      <w:hyperlink w:history="0" w:anchor="P2420" w:tooltip="Раздел 2.">
        <w:r>
          <w:rPr>
            <w:sz w:val="24"/>
            <w:color w:val="0000ff"/>
          </w:rPr>
          <w:t xml:space="preserve">раздела 2</w:t>
        </w:r>
      </w:hyperlink>
      <w:r>
        <w:rPr>
          <w:sz w:val="24"/>
        </w:rPr>
        <w:t xml:space="preserve"> отчетности по форме 0420154 отражаются сведения об активах страховщика.</w:t>
      </w:r>
    </w:p>
    <w:p>
      <w:pPr>
        <w:pStyle w:val="0"/>
        <w:spacing w:before="240" w:lineRule="auto"/>
        <w:ind w:firstLine="540"/>
        <w:jc w:val="both"/>
      </w:pPr>
      <w:r>
        <w:rPr>
          <w:sz w:val="24"/>
        </w:rPr>
        <w:t xml:space="preserve">54.1. По показателям </w:t>
      </w:r>
      <w:hyperlink w:history="0" w:anchor="P2422" w:tooltip="Подраздел 2.1.">
        <w:r>
          <w:rPr>
            <w:sz w:val="24"/>
            <w:color w:val="0000ff"/>
          </w:rPr>
          <w:t xml:space="preserve">подраздела 2.1 раздела 2</w:t>
        </w:r>
      </w:hyperlink>
      <w:r>
        <w:rPr>
          <w:sz w:val="24"/>
        </w:rPr>
        <w:t xml:space="preserve"> отчетности по форме 0420154 отражаются сведения о наличных денежных средствах в кассе, в пути.</w:t>
      </w:r>
    </w:p>
    <w:p>
      <w:pPr>
        <w:pStyle w:val="0"/>
        <w:spacing w:before="240" w:lineRule="auto"/>
        <w:ind w:firstLine="540"/>
        <w:jc w:val="both"/>
      </w:pPr>
      <w:r>
        <w:rPr>
          <w:sz w:val="24"/>
        </w:rPr>
        <w:t xml:space="preserve">Данные </w:t>
      </w:r>
      <w:hyperlink w:history="0" w:anchor="P2422" w:tooltip="Подраздел 2.1.">
        <w:r>
          <w:rPr>
            <w:sz w:val="24"/>
            <w:color w:val="0000ff"/>
          </w:rPr>
          <w:t xml:space="preserve">подраздела 2.1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"Наличные денежные средства в кассе, в пути" группы аналитических признаков "Вид актива".</w:t>
      </w:r>
    </w:p>
    <w:p>
      <w:pPr>
        <w:pStyle w:val="0"/>
        <w:spacing w:before="240" w:lineRule="auto"/>
        <w:ind w:firstLine="540"/>
        <w:jc w:val="both"/>
      </w:pPr>
      <w:r>
        <w:rPr>
          <w:sz w:val="24"/>
        </w:rPr>
        <w:t xml:space="preserve">54.2. По показателям </w:t>
      </w:r>
      <w:hyperlink w:history="0" w:anchor="P2436" w:tooltip="Подраздел 2.2.">
        <w:r>
          <w:rPr>
            <w:sz w:val="24"/>
            <w:color w:val="0000ff"/>
          </w:rPr>
          <w:t xml:space="preserve">подраздела 2.2 раздела 2</w:t>
        </w:r>
      </w:hyperlink>
      <w:r>
        <w:rPr>
          <w:sz w:val="24"/>
        </w:rPr>
        <w:t xml:space="preserve"> отчетности по форме 0420154 отражаются сведения о денежных средствах на счетах в кредитных организациях, а также сведения о цифровых рублях, учитываемых на счете цифрового рубля страховщика.</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банковского счета страховщика, счета цифрового рубля страховщика (с указанием по группе аналитических признаков "Идентификатор контрагента" идентификатора кредитной организации или оператора платформы цифрового рубля соответственно).</w:t>
      </w:r>
    </w:p>
    <w:p>
      <w:pPr>
        <w:pStyle w:val="0"/>
        <w:spacing w:before="240" w:lineRule="auto"/>
        <w:ind w:firstLine="540"/>
        <w:jc w:val="both"/>
      </w:pPr>
      <w:r>
        <w:rPr>
          <w:sz w:val="24"/>
        </w:rPr>
        <w:t xml:space="preserve">В отношении денежных средств, переданных в доверительное управление, по группе аналитических признаков "Идентификатор актива" указывается номера счета доверительного управляющего, указанного по группе аналитических признаков "Идентификатор доверительного управляющего", в кредитной организации, на котором находятся денежные средства страховщика - учредителя управления (с указанием по группе аналитических признаков "Идентификатор контрагента" идентификатора указанной кредитной организации).</w:t>
      </w:r>
    </w:p>
    <w:p>
      <w:pPr>
        <w:pStyle w:val="0"/>
        <w:spacing w:before="240" w:lineRule="auto"/>
        <w:ind w:firstLine="540"/>
        <w:jc w:val="both"/>
      </w:pPr>
      <w:r>
        <w:rPr>
          <w:sz w:val="24"/>
        </w:rPr>
        <w:t xml:space="preserve">54.2.1. По показателю "Стоимость согласно условиям договора" </w:t>
      </w:r>
      <w:hyperlink w:history="0" w:anchor="P2750" w:tooltip="15">
        <w:r>
          <w:rPr>
            <w:sz w:val="24"/>
            <w:color w:val="0000ff"/>
          </w:rPr>
          <w:t xml:space="preserve">(строка 15)</w:t>
        </w:r>
      </w:hyperlink>
      <w:r>
        <w:rPr>
          <w:sz w:val="24"/>
        </w:rPr>
        <w:t xml:space="preserve"> указывается остаток на банковском счете страховщика в кредитной организации на конец отчетного периода (с учетом суммы процентов) либо остаток на счете цифрового рубля страховщика у оператора платформы цифрового рубля на конец отчетного периода на основании первичных учетных документов.</w:t>
      </w:r>
    </w:p>
    <w:p>
      <w:pPr>
        <w:pStyle w:val="0"/>
        <w:spacing w:before="240" w:lineRule="auto"/>
        <w:ind w:firstLine="540"/>
        <w:jc w:val="both"/>
      </w:pPr>
      <w:r>
        <w:rPr>
          <w:sz w:val="24"/>
        </w:rPr>
        <w:t xml:space="preserve">54.2.2. По показателю "Актив является цифровым рублем" </w:t>
      </w:r>
      <w:hyperlink w:history="0" w:anchor="P2794" w:tooltip="16">
        <w:r>
          <w:rPr>
            <w:sz w:val="24"/>
            <w:color w:val="0000ff"/>
          </w:rPr>
          <w:t xml:space="preserve">(строка 16)</w:t>
        </w:r>
      </w:hyperlink>
      <w:r>
        <w:rPr>
          <w:sz w:val="24"/>
        </w:rPr>
        <w:t xml:space="preserve"> указывается значение "Да", если активом являются цифровые рубли, учитываемые на счете цифрового рубля страховщика, значение "Нет", если активом не являются указанные цифровые рубли.</w:t>
      </w:r>
    </w:p>
    <w:p>
      <w:pPr>
        <w:pStyle w:val="0"/>
        <w:spacing w:before="240" w:lineRule="auto"/>
        <w:ind w:firstLine="540"/>
        <w:jc w:val="both"/>
      </w:pPr>
      <w:r>
        <w:rPr>
          <w:sz w:val="24"/>
        </w:rPr>
        <w:t xml:space="preserve">54.2.3. Данные </w:t>
      </w:r>
      <w:hyperlink w:history="0" w:anchor="P2436" w:tooltip="Подраздел 2.2.">
        <w:r>
          <w:rPr>
            <w:sz w:val="24"/>
            <w:color w:val="0000ff"/>
          </w:rPr>
          <w:t xml:space="preserve">подраздела 2.2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"Денежные средства, кроме наличных денежных средств в кассе, в пути" группы аналитических признаков "Вид актива".</w:t>
      </w:r>
    </w:p>
    <w:p>
      <w:pPr>
        <w:pStyle w:val="0"/>
        <w:spacing w:before="240" w:lineRule="auto"/>
        <w:ind w:firstLine="540"/>
        <w:jc w:val="both"/>
      </w:pPr>
      <w:r>
        <w:rPr>
          <w:sz w:val="24"/>
        </w:rPr>
        <w:t xml:space="preserve">54.3. По показателям </w:t>
      </w:r>
      <w:hyperlink w:history="0" w:anchor="P3190" w:tooltip="Подраздел 2.3.">
        <w:r>
          <w:rPr>
            <w:sz w:val="24"/>
            <w:color w:val="0000ff"/>
          </w:rPr>
          <w:t xml:space="preserve">подраздела 2.3 раздела 2</w:t>
        </w:r>
      </w:hyperlink>
      <w:r>
        <w:rPr>
          <w:sz w:val="24"/>
        </w:rPr>
        <w:t xml:space="preserve"> отчетности по форме 0420154 отражаются сведения о банковских вкладах (депозитах) в кредитных организациях.</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счета в кредитной организации (с указанием по группе аналитических признаков "Идентификатор контрагента" идентификатора указанной кредитной организации).</w:t>
      </w:r>
    </w:p>
    <w:p>
      <w:pPr>
        <w:pStyle w:val="0"/>
        <w:spacing w:before="240" w:lineRule="auto"/>
        <w:ind w:firstLine="540"/>
        <w:jc w:val="both"/>
      </w:pPr>
      <w:r>
        <w:rPr>
          <w:sz w:val="24"/>
        </w:rPr>
        <w:t xml:space="preserve">54.3.1. По показателю "Вид депозита" </w:t>
      </w:r>
      <w:hyperlink w:history="0" w:anchor="P3192" w:tooltip="25">
        <w:r>
          <w:rPr>
            <w:sz w:val="24"/>
            <w:color w:val="0000ff"/>
          </w:rPr>
          <w:t xml:space="preserve">(строка 25)</w:t>
        </w:r>
      </w:hyperlink>
      <w:r>
        <w:rPr>
          <w:sz w:val="24"/>
        </w:rPr>
        <w:t xml:space="preserve"> указывается одно из следующих значений: "Срочный, удостоверенный депозитным сертификатом", "Срочный, удостоверенный иным документом, кроме депозитного сертификата", "До востребования" или "Неснижаемый остаток на расчетном счете".</w:t>
      </w:r>
    </w:p>
    <w:p>
      <w:pPr>
        <w:pStyle w:val="0"/>
        <w:spacing w:before="240" w:lineRule="auto"/>
        <w:ind w:firstLine="540"/>
        <w:jc w:val="both"/>
      </w:pPr>
      <w:r>
        <w:rPr>
          <w:sz w:val="24"/>
        </w:rPr>
        <w:t xml:space="preserve">54.3.2. По показателю "Дата открытия депозита" </w:t>
      </w:r>
      <w:hyperlink w:history="0" w:anchor="P3356" w:tooltip="29">
        <w:r>
          <w:rPr>
            <w:sz w:val="24"/>
            <w:color w:val="0000ff"/>
          </w:rPr>
          <w:t xml:space="preserve">(строка 29)</w:t>
        </w:r>
      </w:hyperlink>
      <w:r>
        <w:rPr>
          <w:sz w:val="24"/>
        </w:rPr>
        <w:t xml:space="preserve"> указывается дата открытия страховщиком в кредитной организации банковского вклада (депозита).</w:t>
      </w:r>
    </w:p>
    <w:p>
      <w:pPr>
        <w:pStyle w:val="0"/>
        <w:spacing w:before="240" w:lineRule="auto"/>
        <w:ind w:firstLine="540"/>
        <w:jc w:val="both"/>
      </w:pPr>
      <w:r>
        <w:rPr>
          <w:sz w:val="24"/>
        </w:rPr>
        <w:t xml:space="preserve">54.3.3. По показателю "Дата возврата (погашения, оферты)" </w:t>
      </w:r>
      <w:hyperlink w:history="0" w:anchor="P3396" w:tooltip="30">
        <w:r>
          <w:rPr>
            <w:sz w:val="24"/>
            <w:color w:val="0000ff"/>
          </w:rPr>
          <w:t xml:space="preserve">(строка 30)</w:t>
        </w:r>
      </w:hyperlink>
      <w:r>
        <w:rPr>
          <w:sz w:val="24"/>
        </w:rPr>
        <w:t xml:space="preserve"> указывается (при наличии) дата возврата кредитной организацией банковского вклада (депозита) в соответствии с условиями договора банковского вклада (депозита).</w:t>
      </w:r>
    </w:p>
    <w:p>
      <w:pPr>
        <w:pStyle w:val="0"/>
        <w:spacing w:before="240" w:lineRule="auto"/>
        <w:ind w:firstLine="540"/>
        <w:jc w:val="both"/>
      </w:pPr>
      <w:r>
        <w:rPr>
          <w:sz w:val="24"/>
        </w:rPr>
        <w:t xml:space="preserve">54.3.4. По показателю "Сумма депозита (без учета процентов)" </w:t>
      </w:r>
      <w:hyperlink w:history="0" w:anchor="P3636" w:tooltip="36">
        <w:r>
          <w:rPr>
            <w:sz w:val="24"/>
            <w:color w:val="0000ff"/>
          </w:rPr>
          <w:t xml:space="preserve">(строка 36)</w:t>
        </w:r>
      </w:hyperlink>
      <w:r>
        <w:rPr>
          <w:sz w:val="24"/>
        </w:rPr>
        <w:t xml:space="preserve"> указывается сумма банковского вклада (депозита) на счете страховщика в кредитной организации (без учета процентов) на конец отчетного периода.</w:t>
      </w:r>
    </w:p>
    <w:p>
      <w:pPr>
        <w:pStyle w:val="0"/>
        <w:spacing w:before="240" w:lineRule="auto"/>
        <w:ind w:firstLine="540"/>
        <w:jc w:val="both"/>
      </w:pPr>
      <w:r>
        <w:rPr>
          <w:sz w:val="24"/>
        </w:rPr>
        <w:t xml:space="preserve">54.3.5. По показателю "Стоимость согласно условиям договора" </w:t>
      </w:r>
      <w:hyperlink w:history="0" w:anchor="P3676" w:tooltip="37">
        <w:r>
          <w:rPr>
            <w:sz w:val="24"/>
            <w:color w:val="0000ff"/>
          </w:rPr>
          <w:t xml:space="preserve">(строка 37)</w:t>
        </w:r>
      </w:hyperlink>
      <w:r>
        <w:rPr>
          <w:sz w:val="24"/>
        </w:rPr>
        <w:t xml:space="preserve"> указывается сумма банковского вклада (депозита) на счете страховщика в кредитной организации (с учетом суммы процентов) на конец отчетного периода на основании первичных учетных документов.</w:t>
      </w:r>
    </w:p>
    <w:p>
      <w:pPr>
        <w:pStyle w:val="0"/>
        <w:spacing w:before="240" w:lineRule="auto"/>
        <w:ind w:firstLine="540"/>
        <w:jc w:val="both"/>
      </w:pPr>
      <w:r>
        <w:rPr>
          <w:sz w:val="24"/>
        </w:rPr>
        <w:t xml:space="preserve">54.3.6. По показателю "Условия досрочного возврата депозита" </w:t>
      </w:r>
      <w:hyperlink w:history="0" w:anchor="P3716" w:tooltip="38">
        <w:r>
          <w:rPr>
            <w:sz w:val="24"/>
            <w:color w:val="0000ff"/>
          </w:rPr>
          <w:t xml:space="preserve">(строка 38)</w:t>
        </w:r>
      </w:hyperlink>
      <w:r>
        <w:rPr>
          <w:sz w:val="24"/>
        </w:rPr>
        <w:t xml:space="preserve"> указывается значение "Да", если условиями договора банковского вклада (депозита) предусмотрен его возврат в срок, указанный в </w:t>
      </w:r>
      <w:hyperlink w:history="0" r:id="rId26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пункте 3.2</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54.3.7. Данные </w:t>
      </w:r>
      <w:hyperlink w:history="0" w:anchor="P3190" w:tooltip="Подраздел 2.3.">
        <w:r>
          <w:rPr>
            <w:sz w:val="24"/>
            <w:color w:val="0000ff"/>
          </w:rPr>
          <w:t xml:space="preserve">подраздела 2.3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"Банковские вклады (депозиты)" группы аналитических признаков "Вид актива".</w:t>
      </w:r>
    </w:p>
    <w:p>
      <w:pPr>
        <w:pStyle w:val="0"/>
        <w:spacing w:before="240" w:lineRule="auto"/>
        <w:ind w:firstLine="540"/>
        <w:jc w:val="both"/>
      </w:pPr>
      <w:r>
        <w:rPr>
          <w:sz w:val="24"/>
        </w:rPr>
        <w:t xml:space="preserve">54.4. По показателям </w:t>
      </w:r>
      <w:hyperlink w:history="0" w:anchor="P4316" w:tooltip="Подраздел 2.4.">
        <w:r>
          <w:rPr>
            <w:sz w:val="24"/>
            <w:color w:val="0000ff"/>
          </w:rPr>
          <w:t xml:space="preserve">подраздела 2.4 раздела 2</w:t>
        </w:r>
      </w:hyperlink>
      <w:r>
        <w:rPr>
          <w:sz w:val="24"/>
        </w:rPr>
        <w:t xml:space="preserve"> отчетности по форме 0420154 отражаются сведения об акциях, подпадающих под исключение, предусмотренное </w:t>
      </w:r>
      <w:hyperlink w:history="0" r:id="rId26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 пункта 3.1</w:t>
        </w:r>
      </w:hyperlink>
      <w:r>
        <w:rPr>
          <w:sz w:val="24"/>
        </w:rPr>
        <w:t xml:space="preserve"> Положения Банка России N 858-П, кроме ценных бумаг иностранных инвестиционных фондов.</w:t>
      </w:r>
    </w:p>
    <w:p>
      <w:pPr>
        <w:pStyle w:val="0"/>
        <w:spacing w:before="240" w:lineRule="auto"/>
        <w:ind w:firstLine="540"/>
        <w:jc w:val="both"/>
      </w:pPr>
      <w:r>
        <w:rPr>
          <w:sz w:val="24"/>
        </w:rPr>
        <w:t xml:space="preserve">По группе аналитических признаков "Идентификатор актива" указывается идентификатор ценной бумаги, сформированный страховщиком в соответствии с </w:t>
      </w:r>
      <w:hyperlink w:history="0" w:anchor="P28690" w:tooltip="52. При формировании значения идентификатора ценной бумаги, указываемого по группам аналитических признаков &quot;Идентификатор фонда или депозитарной расписки&quot;, &quot;Идентификатор актива&quot;, &quot;Идентификатор инвестиционного фонда&quot;, &quot;Идентификатор ценной бумаги&quot;,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quot;_&quot; (нижнее подчеркивание (без пробелов):">
        <w:r>
          <w:rPr>
            <w:sz w:val="24"/>
            <w:color w:val="0000ff"/>
          </w:rPr>
          <w:t xml:space="preserve">пунктом 52</w:t>
        </w:r>
      </w:hyperlink>
      <w:r>
        <w:rPr>
          <w:sz w:val="24"/>
        </w:rPr>
        <w:t xml:space="preserve"> настоящих Порядка и сроков (с указанием по группе аналитических признаков "Идентификатор контрагента" идентификатора эмитента акций).</w:t>
      </w:r>
    </w:p>
    <w:p>
      <w:pPr>
        <w:pStyle w:val="0"/>
        <w:spacing w:before="240" w:lineRule="auto"/>
        <w:ind w:firstLine="540"/>
        <w:jc w:val="both"/>
      </w:pPr>
      <w:r>
        <w:rPr>
          <w:sz w:val="24"/>
        </w:rPr>
        <w:t xml:space="preserve">54.4.1. По показателю "Количество единиц актива" </w:t>
      </w:r>
      <w:hyperlink w:history="0" w:anchor="P4542" w:tooltip="57">
        <w:r>
          <w:rPr>
            <w:sz w:val="24"/>
            <w:color w:val="0000ff"/>
          </w:rPr>
          <w:t xml:space="preserve">(строка 57)</w:t>
        </w:r>
      </w:hyperlink>
      <w:r>
        <w:rPr>
          <w:sz w:val="24"/>
        </w:rPr>
        <w:t xml:space="preserve"> указывается количество акций на конец отчетного периода.</w:t>
      </w:r>
    </w:p>
    <w:p>
      <w:pPr>
        <w:pStyle w:val="0"/>
        <w:spacing w:before="240" w:lineRule="auto"/>
        <w:ind w:firstLine="540"/>
        <w:jc w:val="both"/>
      </w:pPr>
      <w:r>
        <w:rPr>
          <w:sz w:val="24"/>
        </w:rPr>
        <w:t xml:space="preserve">54.4.2. По показателю "Доля участия в уставном капитале" </w:t>
      </w:r>
      <w:hyperlink w:history="0" w:anchor="P4882" w:tooltip="63">
        <w:r>
          <w:rPr>
            <w:sz w:val="24"/>
            <w:color w:val="0000ff"/>
          </w:rPr>
          <w:t xml:space="preserve">(строка 63)</w:t>
        </w:r>
      </w:hyperlink>
      <w:r>
        <w:rPr>
          <w:sz w:val="24"/>
        </w:rPr>
        <w:t xml:space="preserve"> указывается доля участия страховщика в уставном капитале акционерного общества - эмитента акций в процентах. В случае если доля участия страховщика в уставном капитале акционерного общества - эмитента акций составляет менее 5 процентов, по данному показателю указывается значение "менее 5%".</w:t>
      </w:r>
    </w:p>
    <w:p>
      <w:pPr>
        <w:pStyle w:val="0"/>
        <w:spacing w:before="240" w:lineRule="auto"/>
        <w:ind w:firstLine="540"/>
        <w:jc w:val="both"/>
      </w:pPr>
      <w:r>
        <w:rPr>
          <w:sz w:val="24"/>
        </w:rPr>
        <w:t xml:space="preserve">54.4.3. По показателю "Акции соответствуют условиям для включения в состав активов вместо долей участия в уставном капитале" </w:t>
      </w:r>
      <w:hyperlink w:history="0" w:anchor="P4994" w:tooltip="65">
        <w:r>
          <w:rPr>
            <w:sz w:val="24"/>
            <w:color w:val="0000ff"/>
          </w:rPr>
          <w:t xml:space="preserve">(строка 65)</w:t>
        </w:r>
      </w:hyperlink>
      <w:r>
        <w:rPr>
          <w:sz w:val="24"/>
        </w:rPr>
        <w:t xml:space="preserve"> указывается значение "Да", если на конец отчетного периода обыкновенные акции соответствуют одновременно всем условиям, указанным в </w:t>
      </w:r>
      <w:hyperlink w:history="0" r:id="rId26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1.4.6 пункта 1.4</w:t>
        </w:r>
      </w:hyperlink>
      <w:r>
        <w:rPr>
          <w:sz w:val="24"/>
        </w:rPr>
        <w:t xml:space="preserve"> Положения Банка России N 858-П, значение "Нет", если на конец отчетного периода обыкновенные акции не соответствуют хотя бы одному из условий, указанных в </w:t>
      </w:r>
      <w:hyperlink w:history="0" r:id="rId26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1.4.6 пункта 1.4</w:t>
        </w:r>
      </w:hyperlink>
      <w:r>
        <w:rPr>
          <w:sz w:val="24"/>
        </w:rPr>
        <w:t xml:space="preserve"> Положения Банка России N 858-П. В отношении привилегированных акций указывается значение "Неприменимо".</w:t>
      </w:r>
    </w:p>
    <w:p>
      <w:pPr>
        <w:pStyle w:val="0"/>
        <w:spacing w:before="240" w:lineRule="auto"/>
        <w:ind w:firstLine="540"/>
        <w:jc w:val="both"/>
      </w:pPr>
      <w:r>
        <w:rPr>
          <w:sz w:val="24"/>
        </w:rPr>
        <w:t xml:space="preserve">54.4.4. Данные </w:t>
      </w:r>
      <w:hyperlink w:history="0" w:anchor="P4316" w:tooltip="Подраздел 2.4.">
        <w:r>
          <w:rPr>
            <w:sz w:val="24"/>
            <w:color w:val="0000ff"/>
          </w:rPr>
          <w:t xml:space="preserve">подраздела 2.4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"Акции" группы аналитических признаков "Вид актива".</w:t>
      </w:r>
    </w:p>
    <w:p>
      <w:pPr>
        <w:pStyle w:val="0"/>
        <w:spacing w:before="240" w:lineRule="auto"/>
        <w:ind w:firstLine="540"/>
        <w:jc w:val="both"/>
      </w:pPr>
      <w:r>
        <w:rPr>
          <w:sz w:val="24"/>
        </w:rPr>
        <w:t xml:space="preserve">54.5. По показателям </w:t>
      </w:r>
      <w:hyperlink w:history="0" w:anchor="P5722" w:tooltip="Подраздел 2.5.">
        <w:r>
          <w:rPr>
            <w:sz w:val="24"/>
            <w:color w:val="0000ff"/>
          </w:rPr>
          <w:t xml:space="preserve">подраздела 2.5 раздела 2</w:t>
        </w:r>
      </w:hyperlink>
      <w:r>
        <w:rPr>
          <w:sz w:val="24"/>
        </w:rPr>
        <w:t xml:space="preserve"> отчетности по форме 0420154 отражаются сведения об акциях, не подпадающих под исключение, предусмотренное </w:t>
      </w:r>
      <w:hyperlink w:history="0" r:id="rId26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 пункта 3.1</w:t>
        </w:r>
      </w:hyperlink>
      <w:r>
        <w:rPr>
          <w:sz w:val="24"/>
        </w:rPr>
        <w:t xml:space="preserve"> Положения Банка России N 858-П, кроме ценных бумаг иностранных инвестиционных фондов.</w:t>
      </w:r>
    </w:p>
    <w:p>
      <w:pPr>
        <w:pStyle w:val="0"/>
        <w:spacing w:before="240" w:lineRule="auto"/>
        <w:ind w:firstLine="540"/>
        <w:jc w:val="both"/>
      </w:pPr>
      <w:r>
        <w:rPr>
          <w:sz w:val="24"/>
        </w:rPr>
        <w:t xml:space="preserve">По группе аналитических признаков "Идентификатор актива" указывается идентификатор ценной бумаги, сформированный страховщиком в соответствии с </w:t>
      </w:r>
      <w:hyperlink w:history="0" w:anchor="P28690" w:tooltip="52. При формировании значения идентификатора ценной бумаги, указываемого по группам аналитических признаков &quot;Идентификатор фонда или депозитарной расписки&quot;, &quot;Идентификатор актива&quot;, &quot;Идентификатор инвестиционного фонда&quot;, &quot;Идентификатор ценной бумаги&quot;,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quot;_&quot; (нижнее подчеркивание (без пробелов):">
        <w:r>
          <w:rPr>
            <w:sz w:val="24"/>
            <w:color w:val="0000ff"/>
          </w:rPr>
          <w:t xml:space="preserve">пунктом 52</w:t>
        </w:r>
      </w:hyperlink>
      <w:r>
        <w:rPr>
          <w:sz w:val="24"/>
        </w:rPr>
        <w:t xml:space="preserve"> настоящих Порядка и сроков (с указанием по группе аналитических признаков "Идентификатор контрагента" идентификатора эмитента акций).</w:t>
      </w:r>
    </w:p>
    <w:p>
      <w:pPr>
        <w:pStyle w:val="0"/>
        <w:spacing w:before="240" w:lineRule="auto"/>
        <w:ind w:firstLine="540"/>
        <w:jc w:val="both"/>
      </w:pPr>
      <w:r>
        <w:rPr>
          <w:sz w:val="24"/>
        </w:rPr>
        <w:t xml:space="preserve">54.5.1. По показателю "Количество единиц актива" </w:t>
      </w:r>
      <w:hyperlink w:history="0" w:anchor="P5868" w:tooltip="81">
        <w:r>
          <w:rPr>
            <w:sz w:val="24"/>
            <w:color w:val="0000ff"/>
          </w:rPr>
          <w:t xml:space="preserve">(строка 81)</w:t>
        </w:r>
      </w:hyperlink>
      <w:r>
        <w:rPr>
          <w:sz w:val="24"/>
        </w:rPr>
        <w:t xml:space="preserve"> указывается количество акций на конец отчетного периода.</w:t>
      </w:r>
    </w:p>
    <w:p>
      <w:pPr>
        <w:pStyle w:val="0"/>
        <w:spacing w:before="240" w:lineRule="auto"/>
        <w:ind w:firstLine="540"/>
        <w:jc w:val="both"/>
      </w:pPr>
      <w:r>
        <w:rPr>
          <w:sz w:val="24"/>
        </w:rPr>
        <w:t xml:space="preserve">54.5.2. По показателю "Доля участия в уставном капитале" </w:t>
      </w:r>
      <w:hyperlink w:history="0" w:anchor="P6012" w:tooltip="84">
        <w:r>
          <w:rPr>
            <w:sz w:val="24"/>
            <w:color w:val="0000ff"/>
          </w:rPr>
          <w:t xml:space="preserve">(строка 84)</w:t>
        </w:r>
      </w:hyperlink>
      <w:r>
        <w:rPr>
          <w:sz w:val="24"/>
        </w:rPr>
        <w:t xml:space="preserve"> указывается доля участия страховщика в уставном капитале акционерного общества - эмитента акций в процентах. В случае если доля участия страховщика в уставном капитале акционерного общества - эмитента акций составляет менее 5 процентов, по данному показателю указывается значение "менее 5%".</w:t>
      </w:r>
    </w:p>
    <w:p>
      <w:pPr>
        <w:pStyle w:val="0"/>
        <w:spacing w:before="240" w:lineRule="auto"/>
        <w:ind w:firstLine="540"/>
        <w:jc w:val="both"/>
      </w:pPr>
      <w:r>
        <w:rPr>
          <w:sz w:val="24"/>
        </w:rPr>
        <w:t xml:space="preserve">54.5.3. Данные </w:t>
      </w:r>
      <w:hyperlink w:history="0" w:anchor="P5722" w:tooltip="Подраздел 2.5.">
        <w:r>
          <w:rPr>
            <w:sz w:val="24"/>
            <w:color w:val="0000ff"/>
          </w:rPr>
          <w:t xml:space="preserve">подраздела 2.5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"Акции" группы аналитических признаков "Вид актива".</w:t>
      </w:r>
    </w:p>
    <w:p>
      <w:pPr>
        <w:pStyle w:val="0"/>
        <w:spacing w:before="240" w:lineRule="auto"/>
        <w:ind w:firstLine="540"/>
        <w:jc w:val="both"/>
      </w:pPr>
      <w:r>
        <w:rPr>
          <w:sz w:val="24"/>
        </w:rPr>
        <w:t xml:space="preserve">54.6. По показателям </w:t>
      </w:r>
      <w:hyperlink w:history="0" w:anchor="P6252" w:tooltip="Подраздел 2.6.">
        <w:r>
          <w:rPr>
            <w:sz w:val="24"/>
            <w:color w:val="0000ff"/>
          </w:rPr>
          <w:t xml:space="preserve">подраздела 2.6 раздела 2</w:t>
        </w:r>
      </w:hyperlink>
      <w:r>
        <w:rPr>
          <w:sz w:val="24"/>
        </w:rPr>
        <w:t xml:space="preserve"> отчетности по форме 0420154 отражаются сведения о долях, об ином участии страховщика в уставных капиталах юридических лиц, не являющихся акционерными обществами, и о вкладах страховщика в имущество юридических лиц, не увеличивающих их уставные (складочные) капиталы (с указанием по группе аналитических признаков "Идентификатор контрагента" идентификатора указанного юридического лица).</w:t>
      </w:r>
    </w:p>
    <w:p>
      <w:pPr>
        <w:pStyle w:val="0"/>
        <w:spacing w:before="240" w:lineRule="auto"/>
        <w:ind w:firstLine="540"/>
        <w:jc w:val="both"/>
      </w:pPr>
      <w:r>
        <w:rPr>
          <w:sz w:val="24"/>
        </w:rPr>
        <w:t xml:space="preserve">54.6.1. По показателю "Размер вклада в уставный (складочный) капитал других организаций, %" </w:t>
      </w:r>
      <w:hyperlink w:history="0" w:anchor="P6286" w:tooltip="90">
        <w:r>
          <w:rPr>
            <w:sz w:val="24"/>
            <w:color w:val="0000ff"/>
          </w:rPr>
          <w:t xml:space="preserve">(строка 90)</w:t>
        </w:r>
      </w:hyperlink>
      <w:r>
        <w:rPr>
          <w:sz w:val="24"/>
        </w:rPr>
        <w:t xml:space="preserve"> указывается доля страховщика в уставном (складочном) капитале юридического лица, не являющегося акционерным обществом, в процентах.</w:t>
      </w:r>
    </w:p>
    <w:p>
      <w:pPr>
        <w:pStyle w:val="0"/>
        <w:spacing w:before="240" w:lineRule="auto"/>
        <w:ind w:firstLine="540"/>
        <w:jc w:val="both"/>
      </w:pPr>
      <w:r>
        <w:rPr>
          <w:sz w:val="24"/>
        </w:rPr>
        <w:t xml:space="preserve">54.6.2. Данные </w:t>
      </w:r>
      <w:hyperlink w:history="0" w:anchor="P6252" w:tooltip="Подраздел 2.6.">
        <w:r>
          <w:rPr>
            <w:sz w:val="24"/>
            <w:color w:val="0000ff"/>
          </w:rPr>
          <w:t xml:space="preserve">подраздела 2.6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"Доли, иное участие в уставных капиталах юридических лиц, не являющихся акционерными обществами, вклады в имущество юридических лиц, не увеличивающие их уставные (складочные) капиталы" группы аналитических признаков "Вид актива".</w:t>
      </w:r>
    </w:p>
    <w:p>
      <w:pPr>
        <w:pStyle w:val="0"/>
        <w:spacing w:before="240" w:lineRule="auto"/>
        <w:ind w:firstLine="540"/>
        <w:jc w:val="both"/>
      </w:pPr>
      <w:r>
        <w:rPr>
          <w:sz w:val="24"/>
        </w:rPr>
        <w:t xml:space="preserve">54.7. По показателям </w:t>
      </w:r>
      <w:hyperlink w:history="0" w:anchor="P6382" w:tooltip="Подраздел 2.7.">
        <w:r>
          <w:rPr>
            <w:sz w:val="24"/>
            <w:color w:val="0000ff"/>
          </w:rPr>
          <w:t xml:space="preserve">подраздела 2.7 раздела 2</w:t>
        </w:r>
      </w:hyperlink>
      <w:r>
        <w:rPr>
          <w:sz w:val="24"/>
        </w:rPr>
        <w:t xml:space="preserve"> отчетности по форме 0420154 отражаются сведения об акциях и паях иностранных инвестиционных фондов.</w:t>
      </w:r>
    </w:p>
    <w:p>
      <w:pPr>
        <w:pStyle w:val="0"/>
        <w:spacing w:before="240" w:lineRule="auto"/>
        <w:ind w:firstLine="540"/>
        <w:jc w:val="both"/>
      </w:pPr>
      <w:r>
        <w:rPr>
          <w:sz w:val="24"/>
        </w:rPr>
        <w:t xml:space="preserve">По группе аналитических признаков "Идентификатор актива" указывается идентификатор ценной бумаги, сформированный страховщиком в соответствии с </w:t>
      </w:r>
      <w:hyperlink w:history="0" w:anchor="P28690" w:tooltip="52. При формировании значения идентификатора ценной бумаги, указываемого по группам аналитических признаков &quot;Идентификатор фонда или депозитарной расписки&quot;, &quot;Идентификатор актива&quot;, &quot;Идентификатор инвестиционного фонда&quot;, &quot;Идентификатор ценной бумаги&quot;,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quot;_&quot; (нижнее подчеркивание (без пробелов):">
        <w:r>
          <w:rPr>
            <w:sz w:val="24"/>
            <w:color w:val="0000ff"/>
          </w:rPr>
          <w:t xml:space="preserve">пунктом 52</w:t>
        </w:r>
      </w:hyperlink>
      <w:r>
        <w:rPr>
          <w:sz w:val="24"/>
        </w:rPr>
        <w:t xml:space="preserve"> настоящих Порядка и сроков (с указанием по группе аналитических признаков "Идентификатор контрагента" идентификатора иностранного инвестиционного фонда или идентификатора управляющей компании паевого инвестиционного фонда (для паев паевого инвестиционного фонда).</w:t>
      </w:r>
    </w:p>
    <w:p>
      <w:pPr>
        <w:pStyle w:val="0"/>
        <w:spacing w:before="240" w:lineRule="auto"/>
        <w:ind w:firstLine="540"/>
        <w:jc w:val="both"/>
      </w:pPr>
      <w:r>
        <w:rPr>
          <w:sz w:val="24"/>
        </w:rPr>
        <w:t xml:space="preserve">В случае если информация об активах, в которые инвестировано имущество иностранного инвестиционного фонда, раскрывается, для данного фонда по показателю "Стоимость, определенная в соответствии с требованиями к финансовой устойчивости и платежеспособности страховщиков" </w:t>
      </w:r>
      <w:hyperlink w:history="0" w:anchor="P6664" w:tooltip="98">
        <w:r>
          <w:rPr>
            <w:sz w:val="24"/>
            <w:color w:val="0000ff"/>
          </w:rPr>
          <w:t xml:space="preserve">(строка 98)</w:t>
        </w:r>
      </w:hyperlink>
      <w:r>
        <w:rPr>
          <w:sz w:val="24"/>
        </w:rPr>
        <w:t xml:space="preserve"> указывается значение 0 (ноль) и по показателям </w:t>
      </w:r>
      <w:hyperlink w:history="0" w:anchor="P2420" w:tooltip="Раздел 2.">
        <w:r>
          <w:rPr>
            <w:sz w:val="24"/>
            <w:color w:val="0000ff"/>
          </w:rPr>
          <w:t xml:space="preserve">раздела 2</w:t>
        </w:r>
      </w:hyperlink>
      <w:r>
        <w:rPr>
          <w:sz w:val="24"/>
        </w:rPr>
        <w:t xml:space="preserve"> отчетности по форме 0420154 раскрывается информация об активах, в которые инвестировано имущество данного фонда (с указанием идентификатора ценной бумаги, через которую страховщиком осуществляется владение имуществом, по группе аналитических признаков "Идентификатор фонда или депозитарной расписки").</w:t>
      </w:r>
    </w:p>
    <w:p>
      <w:pPr>
        <w:pStyle w:val="0"/>
        <w:spacing w:before="240" w:lineRule="auto"/>
        <w:ind w:firstLine="540"/>
        <w:jc w:val="both"/>
      </w:pPr>
      <w:r>
        <w:rPr>
          <w:sz w:val="24"/>
        </w:rPr>
        <w:t xml:space="preserve">54.7.1. По показателю "Количество единиц актива" </w:t>
      </w:r>
      <w:hyperlink w:history="0" w:anchor="P6552" w:tooltip="96">
        <w:r>
          <w:rPr>
            <w:sz w:val="24"/>
            <w:color w:val="0000ff"/>
          </w:rPr>
          <w:t xml:space="preserve">(строка 96)</w:t>
        </w:r>
      </w:hyperlink>
      <w:r>
        <w:rPr>
          <w:sz w:val="24"/>
        </w:rPr>
        <w:t xml:space="preserve"> указывается количество акций и паев иностранных инвестиционных фондов на конец отчетного периода.</w:t>
      </w:r>
    </w:p>
    <w:p>
      <w:pPr>
        <w:pStyle w:val="0"/>
        <w:spacing w:before="240" w:lineRule="auto"/>
        <w:ind w:firstLine="540"/>
        <w:jc w:val="both"/>
      </w:pPr>
      <w:r>
        <w:rPr>
          <w:sz w:val="24"/>
        </w:rPr>
        <w:t xml:space="preserve">54.7.2. По показателю "Ценные бумаги инвестиционных фондов подпадают под исключение, предусмотренное требованиями к финансовой устойчивости и платежеспособности страховщиков" </w:t>
      </w:r>
      <w:hyperlink w:history="0" w:anchor="P6836" w:tooltip="101">
        <w:r>
          <w:rPr>
            <w:sz w:val="24"/>
            <w:color w:val="0000ff"/>
          </w:rPr>
          <w:t xml:space="preserve">(строка 101)</w:t>
        </w:r>
      </w:hyperlink>
      <w:r>
        <w:rPr>
          <w:sz w:val="24"/>
        </w:rPr>
        <w:t xml:space="preserve"> указывается значение "Да", если ценные бумаги инвестиционных фондов подпадают под исключение, предусмотренное </w:t>
      </w:r>
      <w:hyperlink w:history="0" r:id="rId27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подпунктами 3.1.1</w:t>
        </w:r>
      </w:hyperlink>
      <w:r>
        <w:rPr>
          <w:sz w:val="24"/>
        </w:rPr>
        <w:t xml:space="preserve"> и </w:t>
      </w:r>
      <w:hyperlink w:history="0" r:id="rId27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3.1.2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54.7.3. Данные </w:t>
      </w:r>
      <w:hyperlink w:history="0" w:anchor="P6382" w:tooltip="Подраздел 2.7.">
        <w:r>
          <w:rPr>
            <w:sz w:val="24"/>
            <w:color w:val="0000ff"/>
          </w:rPr>
          <w:t xml:space="preserve">подраздела 2.7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"Паи" группы аналитических признаков "Вид актива".</w:t>
      </w:r>
    </w:p>
    <w:p>
      <w:pPr>
        <w:pStyle w:val="0"/>
        <w:spacing w:before="240" w:lineRule="auto"/>
        <w:ind w:firstLine="540"/>
        <w:jc w:val="both"/>
      </w:pPr>
      <w:r>
        <w:rPr>
          <w:sz w:val="24"/>
        </w:rPr>
        <w:t xml:space="preserve">54.8. По показателям </w:t>
      </w:r>
      <w:hyperlink w:history="0" w:anchor="P7732" w:tooltip="Подраздел 2.8.">
        <w:r>
          <w:rPr>
            <w:sz w:val="24"/>
            <w:color w:val="0000ff"/>
          </w:rPr>
          <w:t xml:space="preserve">подраздела 2.8 раздела 2</w:t>
        </w:r>
      </w:hyperlink>
      <w:r>
        <w:rPr>
          <w:sz w:val="24"/>
        </w:rPr>
        <w:t xml:space="preserve"> отчетности по форме 0420154 отражаются сведения о паях российских инвестиционных фондов.</w:t>
      </w:r>
    </w:p>
    <w:p>
      <w:pPr>
        <w:pStyle w:val="0"/>
        <w:spacing w:before="240" w:lineRule="auto"/>
        <w:ind w:firstLine="540"/>
        <w:jc w:val="both"/>
      </w:pPr>
      <w:r>
        <w:rPr>
          <w:sz w:val="24"/>
        </w:rPr>
        <w:t xml:space="preserve">По группе аналитических признаков "Идентификатор актива" указывается идентификатор ценной бумаги, сформированный страховщиком в соответствии с </w:t>
      </w:r>
      <w:hyperlink w:history="0" w:anchor="P28690" w:tooltip="52. При формировании значения идентификатора ценной бумаги, указываемого по группам аналитических признаков &quot;Идентификатор фонда или депозитарной расписки&quot;, &quot;Идентификатор актива&quot;, &quot;Идентификатор инвестиционного фонда&quot;, &quot;Идентификатор ценной бумаги&quot;,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quot;_&quot; (нижнее подчеркивание (без пробелов):">
        <w:r>
          <w:rPr>
            <w:sz w:val="24"/>
            <w:color w:val="0000ff"/>
          </w:rPr>
          <w:t xml:space="preserve">пунктом 52</w:t>
        </w:r>
      </w:hyperlink>
      <w:r>
        <w:rPr>
          <w:sz w:val="24"/>
        </w:rPr>
        <w:t xml:space="preserve"> настоящих Порядка и сроков (с указанием по группе аналитических признаков "Идентификатор контрагента" идентификатора управляющей компании паевого инвестиционного фонда).</w:t>
      </w:r>
    </w:p>
    <w:p>
      <w:pPr>
        <w:pStyle w:val="0"/>
        <w:spacing w:before="240" w:lineRule="auto"/>
        <w:ind w:firstLine="540"/>
        <w:jc w:val="both"/>
      </w:pPr>
      <w:r>
        <w:rPr>
          <w:sz w:val="24"/>
        </w:rPr>
        <w:t xml:space="preserve">В случае если информация об активах, в которые инвестировано имущество российского инвестиционного фонда, раскрывается, в подразделах </w:t>
      </w:r>
      <w:hyperlink w:history="0" w:anchor="P2420" w:tooltip="Раздел 2.">
        <w:r>
          <w:rPr>
            <w:sz w:val="24"/>
            <w:color w:val="0000ff"/>
          </w:rPr>
          <w:t xml:space="preserve">раздела 2</w:t>
        </w:r>
      </w:hyperlink>
      <w:r>
        <w:rPr>
          <w:sz w:val="24"/>
        </w:rPr>
        <w:t xml:space="preserve"> отчетности по форме 0420154 приводятся сведения об активах, в которые инвестировано имущество данного фонда (с указанием идентификатора ценной бумаги, через которую страховщиком осуществляется владение имуществом, по группе аналитических признаков "Идентификатор фонда или депозитарной расписки").</w:t>
      </w:r>
    </w:p>
    <w:p>
      <w:pPr>
        <w:pStyle w:val="0"/>
        <w:spacing w:before="240" w:lineRule="auto"/>
        <w:ind w:firstLine="540"/>
        <w:jc w:val="both"/>
      </w:pPr>
      <w:r>
        <w:rPr>
          <w:sz w:val="24"/>
        </w:rPr>
        <w:t xml:space="preserve">54.8.1. По показателю "Количество единиц актива" </w:t>
      </w:r>
      <w:hyperlink w:history="0" w:anchor="P7830" w:tooltip="119">
        <w:r>
          <w:rPr>
            <w:sz w:val="24"/>
            <w:color w:val="0000ff"/>
          </w:rPr>
          <w:t xml:space="preserve">(строка 119)</w:t>
        </w:r>
      </w:hyperlink>
      <w:r>
        <w:rPr>
          <w:sz w:val="24"/>
        </w:rPr>
        <w:t xml:space="preserve"> указывается количество паев российских инвестиционных фондов на конец отчетного периода.</w:t>
      </w:r>
    </w:p>
    <w:p>
      <w:pPr>
        <w:pStyle w:val="0"/>
        <w:spacing w:before="240" w:lineRule="auto"/>
        <w:ind w:firstLine="540"/>
        <w:jc w:val="both"/>
      </w:pPr>
      <w:r>
        <w:rPr>
          <w:sz w:val="24"/>
        </w:rPr>
        <w:t xml:space="preserve">54.8.2. По показателю "Интервальный паевой инвестиционный фонд подпадает под исключение, предусмотренное требованиями к финансовой устойчивости и платежеспособности страховщиков" </w:t>
      </w:r>
      <w:hyperlink w:history="0" w:anchor="P8022" w:tooltip="123">
        <w:r>
          <w:rPr>
            <w:sz w:val="24"/>
            <w:color w:val="0000ff"/>
          </w:rPr>
          <w:t xml:space="preserve">(строка 123)</w:t>
        </w:r>
      </w:hyperlink>
      <w:r>
        <w:rPr>
          <w:sz w:val="24"/>
        </w:rPr>
        <w:t xml:space="preserve"> указывается значение "Да", если интервальный паевой инвестиционный фонд подпадает под исключение, предусмотренное </w:t>
      </w:r>
      <w:hyperlink w:history="0" r:id="rId27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3.1.6 пункта 3.1</w:t>
        </w:r>
      </w:hyperlink>
      <w:r>
        <w:rPr>
          <w:sz w:val="24"/>
        </w:rPr>
        <w:t xml:space="preserve"> Положения Банка России N 858-П, или значение "Нет", если интервальный паевой инвестиционный фонд не подпадает под исключение, предусмотренное </w:t>
      </w:r>
      <w:hyperlink w:history="0" r:id="rId27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3.1.6 пункта 3.1</w:t>
        </w:r>
      </w:hyperlink>
      <w:r>
        <w:rPr>
          <w:sz w:val="24"/>
        </w:rPr>
        <w:t xml:space="preserve"> Положения Банка России N 858-П. В отношении паевых инвестиционных фондов, не относящихся к интервальным паевым инвестиционным фондам, по данному показателю указывается значение "Неприменимо".</w:t>
      </w:r>
    </w:p>
    <w:p>
      <w:pPr>
        <w:pStyle w:val="0"/>
        <w:spacing w:before="240" w:lineRule="auto"/>
        <w:ind w:firstLine="540"/>
        <w:jc w:val="both"/>
      </w:pPr>
      <w:r>
        <w:rPr>
          <w:sz w:val="24"/>
        </w:rPr>
        <w:t xml:space="preserve">54.8.3. Данные </w:t>
      </w:r>
      <w:hyperlink w:history="0" w:anchor="P7732" w:tooltip="Подраздел 2.8.">
        <w:r>
          <w:rPr>
            <w:sz w:val="24"/>
            <w:color w:val="0000ff"/>
          </w:rPr>
          <w:t xml:space="preserve">подраздела 2.8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"Паи" группы аналитических признаков "Вид актива".</w:t>
      </w:r>
    </w:p>
    <w:p>
      <w:pPr>
        <w:pStyle w:val="0"/>
        <w:spacing w:before="240" w:lineRule="auto"/>
        <w:ind w:firstLine="540"/>
        <w:jc w:val="both"/>
      </w:pPr>
      <w:r>
        <w:rPr>
          <w:sz w:val="24"/>
        </w:rPr>
        <w:t xml:space="preserve">54.9. По показателям </w:t>
      </w:r>
      <w:hyperlink w:history="0" w:anchor="P8214" w:tooltip="Подраздел 2.9.">
        <w:r>
          <w:rPr>
            <w:sz w:val="24"/>
            <w:color w:val="0000ff"/>
          </w:rPr>
          <w:t xml:space="preserve">подраздела 2.9 раздела 2</w:t>
        </w:r>
      </w:hyperlink>
      <w:r>
        <w:rPr>
          <w:sz w:val="24"/>
        </w:rPr>
        <w:t xml:space="preserve"> отчетности по форме 0420154 отражаются сведения об облигациях.</w:t>
      </w:r>
    </w:p>
    <w:p>
      <w:pPr>
        <w:pStyle w:val="0"/>
        <w:spacing w:before="240" w:lineRule="auto"/>
        <w:ind w:firstLine="540"/>
        <w:jc w:val="both"/>
      </w:pPr>
      <w:r>
        <w:rPr>
          <w:sz w:val="24"/>
        </w:rPr>
        <w:t xml:space="preserve">По группе аналитических признаков "Идентификатор актива" указывается идентификатор ценной бумаги, сформированный страховщиком в соответствии с </w:t>
      </w:r>
      <w:hyperlink w:history="0" w:anchor="P28690" w:tooltip="52. При формировании значения идентификатора ценной бумаги, указываемого по группам аналитических признаков &quot;Идентификатор фонда или депозитарной расписки&quot;, &quot;Идентификатор актива&quot;, &quot;Идентификатор инвестиционного фонда&quot;, &quot;Идентификатор ценной бумаги&quot;,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quot;_&quot; (нижнее подчеркивание (без пробелов):">
        <w:r>
          <w:rPr>
            <w:sz w:val="24"/>
            <w:color w:val="0000ff"/>
          </w:rPr>
          <w:t xml:space="preserve">пунктом 52</w:t>
        </w:r>
      </w:hyperlink>
      <w:r>
        <w:rPr>
          <w:sz w:val="24"/>
        </w:rPr>
        <w:t xml:space="preserve"> настоящих Порядка и сроков (с указанием по группе аналитических признаков "Идентификатор контрагента" идентификатора эмитента облигаций).</w:t>
      </w:r>
    </w:p>
    <w:p>
      <w:pPr>
        <w:pStyle w:val="0"/>
        <w:spacing w:before="240" w:lineRule="auto"/>
        <w:ind w:firstLine="540"/>
        <w:jc w:val="both"/>
      </w:pPr>
      <w:r>
        <w:rPr>
          <w:sz w:val="24"/>
        </w:rPr>
        <w:t xml:space="preserve">54.9.1. По показателю "Категория долговых ценных бумаг" </w:t>
      </w:r>
      <w:hyperlink w:history="0" w:anchor="P8328" w:tooltip="129">
        <w:r>
          <w:rPr>
            <w:sz w:val="24"/>
            <w:color w:val="0000ff"/>
          </w:rPr>
          <w:t xml:space="preserve">(строка 129)</w:t>
        </w:r>
      </w:hyperlink>
      <w:r>
        <w:rPr>
          <w:sz w:val="24"/>
        </w:rPr>
        <w:t xml:space="preserve"> указывается категория долговых ценных бумаг в зависимости от их эмитента: эмитенты-резиденты (Российская Федерация, субъекты Российской Федерации и органы местного самоуправления, кредитные организации, некредитные финансовые организации или нефинансовые организации) или эмитенты-нерезиденты (иностранные государства, банки-нерезиденты, предприятия специального назначения - нерезиденты или иные эмитенты). При этом значение "Долговые ценные бумаги предприятий специального назначения - нерезидентов" указывается в отношении облигаций, выпущенных юридическим лицом, зарегистрированным в иностранном государстве и созданным с целью привлечения капитала в интересах юридического лица, созданного в соответствии с законодательством Российской Федерации.</w:t>
      </w:r>
    </w:p>
    <w:p>
      <w:pPr>
        <w:pStyle w:val="0"/>
        <w:spacing w:before="240" w:lineRule="auto"/>
        <w:ind w:firstLine="540"/>
        <w:jc w:val="both"/>
      </w:pPr>
      <w:r>
        <w:rPr>
          <w:sz w:val="24"/>
        </w:rPr>
        <w:t xml:space="preserve">54.9.2. По показателю "Количество единиц актива" </w:t>
      </w:r>
      <w:hyperlink w:history="0" w:anchor="P8440" w:tooltip="131">
        <w:r>
          <w:rPr>
            <w:sz w:val="24"/>
            <w:color w:val="0000ff"/>
          </w:rPr>
          <w:t xml:space="preserve">(строка 131)</w:t>
        </w:r>
      </w:hyperlink>
      <w:r>
        <w:rPr>
          <w:sz w:val="24"/>
        </w:rPr>
        <w:t xml:space="preserve"> указывается количество облигаций на конец отчетного периода.</w:t>
      </w:r>
    </w:p>
    <w:p>
      <w:pPr>
        <w:pStyle w:val="0"/>
        <w:spacing w:before="240" w:lineRule="auto"/>
        <w:ind w:firstLine="540"/>
        <w:jc w:val="both"/>
      </w:pPr>
      <w:r>
        <w:rPr>
          <w:sz w:val="24"/>
        </w:rPr>
        <w:t xml:space="preserve">54.9.3. По показателю "Дата возврата (погашения, оферты)" </w:t>
      </w:r>
      <w:hyperlink w:history="0" w:anchor="P8612" w:tooltip="134">
        <w:r>
          <w:rPr>
            <w:sz w:val="24"/>
            <w:color w:val="0000ff"/>
          </w:rPr>
          <w:t xml:space="preserve">(строка 134)</w:t>
        </w:r>
      </w:hyperlink>
      <w:r>
        <w:rPr>
          <w:sz w:val="24"/>
        </w:rPr>
        <w:t xml:space="preserve"> указывается (при наличии) дата оферты или погашения облигаций выпуска (дополнительного выпуска).</w:t>
      </w:r>
    </w:p>
    <w:p>
      <w:pPr>
        <w:pStyle w:val="0"/>
        <w:spacing w:before="240" w:lineRule="auto"/>
        <w:ind w:firstLine="540"/>
        <w:jc w:val="both"/>
      </w:pPr>
      <w:r>
        <w:rPr>
          <w:sz w:val="24"/>
        </w:rPr>
        <w:t xml:space="preserve">54.9.4. По показателю "Иностранный финансовый инструмент квалифицирован в качестве ценной бумаги и признан в бухгалтерском учете как производный инструмент" </w:t>
      </w:r>
      <w:hyperlink w:history="0" w:anchor="P8948" w:tooltip="140">
        <w:r>
          <w:rPr>
            <w:sz w:val="24"/>
            <w:color w:val="0000ff"/>
          </w:rPr>
          <w:t xml:space="preserve">(строка 140)</w:t>
        </w:r>
      </w:hyperlink>
      <w:r>
        <w:rPr>
          <w:sz w:val="24"/>
        </w:rPr>
        <w:t xml:space="preserve"> указывается значение "Да", если облигация является иностранным финансовым инструментом, квалифицированным в качестве ценной бумаги в соответствии с </w:t>
      </w:r>
      <w:hyperlink w:history="0" r:id="rId274" w:tooltip="Указание Банка России от 03.10.2017 N 4561-У (ред. от 12.09.2018) &quot;О порядке квалификации иностранных финансовых инструментов в качестве ценных бумаг&quot; (Зарегистрировано в Минюсте России 03.04.2018 N 50596) {КонсультантПлюс}">
        <w:r>
          <w:rPr>
            <w:sz w:val="24"/>
            <w:color w:val="0000ff"/>
          </w:rPr>
          <w:t xml:space="preserve">Указанием</w:t>
        </w:r>
      </w:hyperlink>
      <w:r>
        <w:rPr>
          <w:sz w:val="24"/>
        </w:rPr>
        <w:t xml:space="preserve"> Банка России N 4561-У, признанным страховщиком в бухгалтерском учете как производный инструмент, или значение "Нет", если облигация является иностранным финансовым инструментом, квалифицированным в качестве ценной бумаги в соответствии с </w:t>
      </w:r>
      <w:hyperlink w:history="0" r:id="rId275" w:tooltip="Указание Банка России от 03.10.2017 N 4561-У (ред. от 12.09.2018) &quot;О порядке квалификации иностранных финансовых инструментов в качестве ценных бумаг&quot; (Зарегистрировано в Минюсте России 03.04.2018 N 50596) {КонсультантПлюс}">
        <w:r>
          <w:rPr>
            <w:sz w:val="24"/>
            <w:color w:val="0000ff"/>
          </w:rPr>
          <w:t xml:space="preserve">Указанием</w:t>
        </w:r>
      </w:hyperlink>
      <w:r>
        <w:rPr>
          <w:sz w:val="24"/>
        </w:rPr>
        <w:t xml:space="preserve"> Банка России N 4561-У, не признанным страховщиком в бухгалтерском учете как производный инструмент. В отношении облигации, не являющейся иностранным финансовым инструментом, квалифицированным в качестве ценной бумаги в соответствии с </w:t>
      </w:r>
      <w:hyperlink w:history="0" r:id="rId276" w:tooltip="Указание Банка России от 03.10.2017 N 4561-У (ред. от 12.09.2018) &quot;О порядке квалификации иностранных финансовых инструментов в качестве ценных бумаг&quot; (Зарегистрировано в Минюсте России 03.04.2018 N 50596) {КонсультантПлюс}">
        <w:r>
          <w:rPr>
            <w:sz w:val="24"/>
            <w:color w:val="0000ff"/>
          </w:rPr>
          <w:t xml:space="preserve">Указанием</w:t>
        </w:r>
      </w:hyperlink>
      <w:r>
        <w:rPr>
          <w:sz w:val="24"/>
        </w:rPr>
        <w:t xml:space="preserve"> Банка России N 4561-У, по данному показателю указывается значение "Неприменимо".</w:t>
      </w:r>
    </w:p>
    <w:p>
      <w:pPr>
        <w:pStyle w:val="0"/>
        <w:spacing w:before="240" w:lineRule="auto"/>
        <w:ind w:firstLine="540"/>
        <w:jc w:val="both"/>
      </w:pPr>
      <w:r>
        <w:rPr>
          <w:sz w:val="24"/>
        </w:rPr>
        <w:t xml:space="preserve">54.9.5. По показателю "Проектная облигация соответствует требованиям к финансовой устойчивости и платежеспособности страховщиков" </w:t>
      </w:r>
      <w:hyperlink w:history="0" w:anchor="P9284" w:tooltip="146">
        <w:r>
          <w:rPr>
            <w:sz w:val="24"/>
            <w:color w:val="0000ff"/>
          </w:rPr>
          <w:t xml:space="preserve">(строка 146)</w:t>
        </w:r>
      </w:hyperlink>
      <w:r>
        <w:rPr>
          <w:sz w:val="24"/>
        </w:rPr>
        <w:t xml:space="preserve"> указывается значение "Да", если на конец отчетного периода облигации российских эмитентов, решение о выпуске которых содержит условие об использовании всех денежных средств, полученных от размещения указанных облигаций, на цели, связанные с финансированием проектов технологического суверенитета и проектов структурной адаптации экономики Российской Федерации, определенных в соответствии с </w:t>
      </w:r>
      <w:hyperlink w:history="0" r:id="rId277" w:tooltip="Постановление Правительства РФ от 15.04.2023 N 603 (ред. от 06.11.2024) &quot;Об утверждении приоритетных направлений проектов технологического суверенитета и проектов структурной адаптации экономики Российской Федерации и Положения об условиях отнесения проектов к проектам технологического суверенитета и проектам структурной адаптации экономики Российской Федерации, о представлении сведений о проектах технологического суверенитета и проектах структурной адаптации экономики Российской Федерации и ведении реестра {КонсультантПлюс}">
        <w:r>
          <w:rPr>
            <w:sz w:val="24"/>
            <w:color w:val="0000ff"/>
          </w:rPr>
          <w:t xml:space="preserve">пунктом 2</w:t>
        </w:r>
      </w:hyperlink>
      <w:r>
        <w:rPr>
          <w:sz w:val="24"/>
        </w:rPr>
        <w:t xml:space="preserve"> Положения об условиях отнесения проектов к проектам технологического суверенитета и проектам структурной адаптации экономики Российской Федерации, о представлении сведений о проектах технологического суверенитета и проектах структурной адаптации экономики Российской Федерации и ведении реестра указанных проектов, а также о требованиях к организациям, уполномоченным представлять заключения о соответствии проектов требованиям к проектам технологического суверенитета и проектам структурной адаптации экономики Российской Федерации, утвержденного постановлением Правительства Российской Федерации от 15 апреля 2023 года N 603 (далее - проектные облигации), одновременно соответствуют условиям, указанным в </w:t>
      </w:r>
      <w:hyperlink w:history="0" r:id="rId27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абзацах четырнадцатом</w:t>
        </w:r>
      </w:hyperlink>
      <w:r>
        <w:rPr>
          <w:sz w:val="24"/>
        </w:rPr>
        <w:t xml:space="preserve"> - </w:t>
      </w:r>
      <w:hyperlink w:history="0" r:id="rId27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двадцать первом подпункта 6.5.10.1 пункта 6.5</w:t>
        </w:r>
      </w:hyperlink>
      <w:r>
        <w:rPr>
          <w:sz w:val="24"/>
        </w:rPr>
        <w:t xml:space="preserve"> Положения Банка России N 858-П, значение "Нет", если на конец отчетного периода проектные облигации не соответствуют хотя бы одному из условий, указанных в </w:t>
      </w:r>
      <w:hyperlink w:history="0" r:id="rId28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абзацах четырнадцатом</w:t>
        </w:r>
      </w:hyperlink>
      <w:r>
        <w:rPr>
          <w:sz w:val="24"/>
        </w:rPr>
        <w:t xml:space="preserve"> - </w:t>
      </w:r>
      <w:hyperlink w:history="0" r:id="rId28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двадцать первым подпункта 6.5.10.1 пункта 6.5</w:t>
        </w:r>
      </w:hyperlink>
      <w:r>
        <w:rPr>
          <w:sz w:val="24"/>
        </w:rPr>
        <w:t xml:space="preserve"> Положения Банка России N 858-П. В отношении облигаций, не являющихся проектными облигациями, указывается значение "Неприменимо".</w:t>
      </w:r>
    </w:p>
    <w:p>
      <w:pPr>
        <w:pStyle w:val="0"/>
        <w:spacing w:before="240" w:lineRule="auto"/>
        <w:ind w:firstLine="540"/>
        <w:jc w:val="both"/>
      </w:pPr>
      <w:r>
        <w:rPr>
          <w:sz w:val="24"/>
        </w:rPr>
        <w:t xml:space="preserve">54.9.6. По показателю "Облигация соответствует требованиям к финансовой устойчивости и платежеспособности страховщиков в отношении кредитного рейтинга" </w:t>
      </w:r>
      <w:hyperlink w:history="0" w:anchor="P9340" w:tooltip="147">
        <w:r>
          <w:rPr>
            <w:sz w:val="24"/>
            <w:color w:val="0000ff"/>
          </w:rPr>
          <w:t xml:space="preserve">(строка 147)</w:t>
        </w:r>
      </w:hyperlink>
      <w:r>
        <w:rPr>
          <w:sz w:val="24"/>
        </w:rPr>
        <w:t xml:space="preserve"> указывается значение "Соответствует, два кредитных рейтинга и более", если облигация, указанная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соответствует требованиям к кредитному рейтингу, указанным в </w:t>
      </w:r>
      <w:hyperlink w:history="0" r:id="rId28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3.1.8 пункта 3.1</w:t>
        </w:r>
      </w:hyperlink>
      <w:r>
        <w:rPr>
          <w:sz w:val="24"/>
        </w:rPr>
        <w:t xml:space="preserve"> Положения Банка России N 858-П, значение "Соответствует, один кредитный рейтинг", если облигация, указанная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соответствует исключениям из требований к кредитному рейтингу, указанным в </w:t>
      </w:r>
      <w:hyperlink w:history="0" r:id="rId28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3.1.8 пункта 3.1</w:t>
        </w:r>
      </w:hyperlink>
      <w:r>
        <w:rPr>
          <w:sz w:val="24"/>
        </w:rPr>
        <w:t xml:space="preserve"> Положения Банка России N 858-П, значение "Не соответствует", если облигация не соответствует требованиям к кредитному рейтингу, указанным в </w:t>
      </w:r>
      <w:hyperlink w:history="0" r:id="rId28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3.1.8 пункта 3.1</w:t>
        </w:r>
      </w:hyperlink>
      <w:r>
        <w:rPr>
          <w:sz w:val="24"/>
        </w:rPr>
        <w:t xml:space="preserve"> Положения Банка России N 858-П. В случае если облигация не является облигацией,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по данному показателю указывается значение "Неприменимо".</w:t>
      </w:r>
    </w:p>
    <w:p>
      <w:pPr>
        <w:pStyle w:val="0"/>
        <w:spacing w:before="240" w:lineRule="auto"/>
        <w:ind w:firstLine="540"/>
        <w:jc w:val="both"/>
      </w:pPr>
      <w:r>
        <w:rPr>
          <w:sz w:val="24"/>
        </w:rPr>
        <w:t xml:space="preserve">54.9.7. По показателю "Облигация соответствует иным требованиям к финансовой устойчивости и платежеспособности страховщиков" </w:t>
      </w:r>
      <w:hyperlink w:history="0" w:anchor="P9396" w:tooltip="148">
        <w:r>
          <w:rPr>
            <w:sz w:val="24"/>
            <w:color w:val="0000ff"/>
          </w:rPr>
          <w:t xml:space="preserve">(строка 148)</w:t>
        </w:r>
      </w:hyperlink>
      <w:r>
        <w:rPr>
          <w:sz w:val="24"/>
        </w:rPr>
        <w:t xml:space="preserve"> указывается значение "Да", если определение стоимости облигации соответствует требованиям </w:t>
      </w:r>
      <w:hyperlink w:history="0" r:id="rId28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 3.7</w:t>
        </w:r>
      </w:hyperlink>
      <w:r>
        <w:rPr>
          <w:sz w:val="24"/>
        </w:rPr>
        <w:t xml:space="preserve"> Положения Банка России N 858-П, или значение "Нет", если определение стоимости облигации не соответствует требованиям указанного пункта. В случае если облигация не является облигацией,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по данному показателю указывается значение "Неприменимо".</w:t>
      </w:r>
    </w:p>
    <w:p>
      <w:pPr>
        <w:pStyle w:val="0"/>
        <w:spacing w:before="240" w:lineRule="auto"/>
        <w:ind w:firstLine="540"/>
        <w:jc w:val="both"/>
      </w:pPr>
      <w:r>
        <w:rPr>
          <w:sz w:val="24"/>
        </w:rPr>
        <w:t xml:space="preserve">54.9.8. По показателю "Облигации без срока погашения, по которым решение об их выпуске не предусматривает право эмитента отказаться в одностороннем порядке от выплаты процентов по таким облигациям" </w:t>
      </w:r>
      <w:hyperlink w:history="0" w:anchor="P9508" w:tooltip="150">
        <w:r>
          <w:rPr>
            <w:sz w:val="24"/>
            <w:color w:val="0000ff"/>
          </w:rPr>
          <w:t xml:space="preserve">(строка 150)</w:t>
        </w:r>
      </w:hyperlink>
      <w:r>
        <w:rPr>
          <w:sz w:val="24"/>
        </w:rPr>
        <w:t xml:space="preserve"> указывается значение "Да", если облигации в соответствии со </w:t>
      </w:r>
      <w:hyperlink w:history="0" r:id="rId286" w:tooltip="Федеральный закон от 22.04.1996 N 39-ФЗ (ред. от 27.10.2025) &quot;О рынке ценных бумаг&quot; {КонсультантПлюс}">
        <w:r>
          <w:rPr>
            <w:sz w:val="24"/>
            <w:color w:val="0000ff"/>
          </w:rPr>
          <w:t xml:space="preserve">статьей 27.5-7</w:t>
        </w:r>
      </w:hyperlink>
      <w:r>
        <w:rPr>
          <w:sz w:val="24"/>
        </w:rPr>
        <w:t xml:space="preserve"> Федерального закона от 22 апреля 1996 года N 39-ФЗ "О рынке ценных бумаг" являются облигациями без определения в решении о выпуске таких облигаций срока их погашения, по которым решение об их выпуске не предусматривает право эмитента отказаться в одностороннем порядке от выплаты процентов по таким облигациям. В ином случае указывается значение "Нет".</w:t>
      </w:r>
    </w:p>
    <w:p>
      <w:pPr>
        <w:pStyle w:val="0"/>
        <w:spacing w:before="240" w:lineRule="auto"/>
        <w:ind w:firstLine="540"/>
        <w:jc w:val="both"/>
      </w:pPr>
      <w:r>
        <w:rPr>
          <w:sz w:val="24"/>
        </w:rPr>
        <w:t xml:space="preserve">54.9.9. Данные </w:t>
      </w:r>
      <w:hyperlink w:history="0" w:anchor="P8214" w:tooltip="Подраздел 2.9.">
        <w:r>
          <w:rPr>
            <w:sz w:val="24"/>
            <w:color w:val="0000ff"/>
          </w:rPr>
          <w:t xml:space="preserve">подраздела 2.9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"Облигации" группы аналитических признаков "Вид актива".</w:t>
      </w:r>
    </w:p>
    <w:p>
      <w:pPr>
        <w:pStyle w:val="0"/>
        <w:spacing w:before="240" w:lineRule="auto"/>
        <w:ind w:firstLine="540"/>
        <w:jc w:val="both"/>
      </w:pPr>
      <w:r>
        <w:rPr>
          <w:sz w:val="24"/>
        </w:rPr>
        <w:t xml:space="preserve">54.9.10. По показателям </w:t>
      </w:r>
      <w:hyperlink w:history="0" w:anchor="P10460" w:tooltip="Подраздел 2.9.1.">
        <w:r>
          <w:rPr>
            <w:sz w:val="24"/>
            <w:color w:val="0000ff"/>
          </w:rPr>
          <w:t xml:space="preserve">подраздела 2.9.1 раздела 2</w:t>
        </w:r>
      </w:hyperlink>
      <w:r>
        <w:rPr>
          <w:sz w:val="24"/>
        </w:rPr>
        <w:t xml:space="preserve"> отчетности по форме 0420154 отражаются сведения об активах, от которых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по указанным облигациям, сведения о которых отражены по показателям </w:t>
      </w:r>
      <w:hyperlink w:history="0" w:anchor="P8214" w:tooltip="Подраздел 2.9.">
        <w:r>
          <w:rPr>
            <w:sz w:val="24"/>
            <w:color w:val="0000ff"/>
          </w:rPr>
          <w:t xml:space="preserve">подраздела 2.9 раздела 2</w:t>
        </w:r>
      </w:hyperlink>
      <w:r>
        <w:rPr>
          <w:sz w:val="24"/>
        </w:rPr>
        <w:t xml:space="preserve"> отчетности по форме 0420154 (с указанием по показателю "Облигация соответствует иным требованиям к финансовой устойчивости и платежеспособности страховщиков" </w:t>
      </w:r>
      <w:hyperlink w:history="0" w:anchor="P9396" w:tooltip="148">
        <w:r>
          <w:rPr>
            <w:sz w:val="24"/>
            <w:color w:val="0000ff"/>
          </w:rPr>
          <w:t xml:space="preserve">(строка 148)</w:t>
        </w:r>
      </w:hyperlink>
      <w:r>
        <w:rPr>
          <w:sz w:val="24"/>
        </w:rPr>
        <w:t xml:space="preserve"> значения "Да" или "Нет").</w:t>
      </w:r>
    </w:p>
    <w:p>
      <w:pPr>
        <w:pStyle w:val="0"/>
        <w:spacing w:before="240" w:lineRule="auto"/>
        <w:ind w:firstLine="540"/>
        <w:jc w:val="both"/>
      </w:pPr>
      <w:r>
        <w:rPr>
          <w:sz w:val="24"/>
        </w:rPr>
        <w:t xml:space="preserve">Данные, указанные по группе аналитических признаков "Идентификатор актива", должны соответствовать данным, указанным по группе аналитических признаков "Идентификатор актива" </w:t>
      </w:r>
      <w:hyperlink w:history="0" w:anchor="P8214" w:tooltip="Подраздел 2.9.">
        <w:r>
          <w:rPr>
            <w:sz w:val="24"/>
            <w:color w:val="0000ff"/>
          </w:rPr>
          <w:t xml:space="preserve">подраздела 2.9 раздела 2</w:t>
        </w:r>
      </w:hyperlink>
      <w:r>
        <w:rPr>
          <w:sz w:val="24"/>
        </w:rPr>
        <w:t xml:space="preserve"> отчетности по форме 0420154.</w:t>
      </w:r>
    </w:p>
    <w:bookmarkStart w:id="28815" w:name="P28815"/>
    <w:bookmarkEnd w:id="28815"/>
    <w:p>
      <w:pPr>
        <w:pStyle w:val="0"/>
        <w:spacing w:before="240" w:lineRule="auto"/>
        <w:ind w:firstLine="540"/>
        <w:jc w:val="both"/>
      </w:pPr>
      <w:r>
        <w:rPr>
          <w:sz w:val="24"/>
        </w:rPr>
        <w:t xml:space="preserve">По показателю "Примечание" </w:t>
      </w:r>
      <w:hyperlink w:history="0" w:anchor="P10462" w:tooltip="167">
        <w:r>
          <w:rPr>
            <w:sz w:val="24"/>
            <w:color w:val="0000ff"/>
          </w:rPr>
          <w:t xml:space="preserve">(строка 167)</w:t>
        </w:r>
      </w:hyperlink>
      <w:r>
        <w:rPr>
          <w:sz w:val="24"/>
        </w:rPr>
        <w:t xml:space="preserve"> указывается дополнительная информация в отношении активов, от которых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являющаяся по решению страховщика существенной. В случае отсутствия указанной информации по данному показателю указывается значение "НП".</w:t>
      </w:r>
    </w:p>
    <w:p>
      <w:pPr>
        <w:pStyle w:val="0"/>
        <w:spacing w:before="240" w:lineRule="auto"/>
        <w:ind w:firstLine="540"/>
        <w:jc w:val="both"/>
      </w:pPr>
      <w:r>
        <w:rPr>
          <w:sz w:val="24"/>
        </w:rPr>
        <w:t xml:space="preserve">По аналитическим признакам группы аналитических признаков "Код валюты" указывается код валюты актива, от которого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w:t>
      </w:r>
    </w:p>
    <w:p>
      <w:pPr>
        <w:pStyle w:val="0"/>
        <w:spacing w:before="240" w:lineRule="auto"/>
        <w:ind w:firstLine="540"/>
        <w:jc w:val="both"/>
      </w:pPr>
      <w:r>
        <w:rPr>
          <w:sz w:val="24"/>
        </w:rPr>
        <w:t xml:space="preserve">54.10. По показателям </w:t>
      </w:r>
      <w:hyperlink w:history="0" w:anchor="P10490" w:tooltip="Подраздел 2.10.">
        <w:r>
          <w:rPr>
            <w:sz w:val="24"/>
            <w:color w:val="0000ff"/>
          </w:rPr>
          <w:t xml:space="preserve">подраздела 2.10 раздела 2</w:t>
        </w:r>
      </w:hyperlink>
      <w:r>
        <w:rPr>
          <w:sz w:val="24"/>
        </w:rPr>
        <w:t xml:space="preserve"> отчетности по форме 0420154 отражаются сведения о депозитарных расписках.</w:t>
      </w:r>
    </w:p>
    <w:p>
      <w:pPr>
        <w:pStyle w:val="0"/>
        <w:spacing w:before="240" w:lineRule="auto"/>
        <w:ind w:firstLine="540"/>
        <w:jc w:val="both"/>
      </w:pPr>
      <w:r>
        <w:rPr>
          <w:sz w:val="24"/>
        </w:rPr>
        <w:t xml:space="preserve">По группе аналитических признаков "Идентификатор актива" указывается идентификатор ценной бумаги, сформированный страховщиком в соответствии с </w:t>
      </w:r>
      <w:hyperlink w:history="0" w:anchor="P28690" w:tooltip="52. При формировании значения идентификатора ценной бумаги, указываемого по группам аналитических признаков &quot;Идентификатор фонда или депозитарной расписки&quot;, &quot;Идентификатор актива&quot;, &quot;Идентификатор инвестиционного фонда&quot;, &quot;Идентификатор ценной бумаги&quot;,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quot;_&quot; (нижнее подчеркивание (без пробелов):">
        <w:r>
          <w:rPr>
            <w:sz w:val="24"/>
            <w:color w:val="0000ff"/>
          </w:rPr>
          <w:t xml:space="preserve">пунктом 52</w:t>
        </w:r>
      </w:hyperlink>
      <w:r>
        <w:rPr>
          <w:sz w:val="24"/>
        </w:rPr>
        <w:t xml:space="preserve"> настоящих Порядка и сроков (с указанием по группе аналитических признаков "Идентификатор контрагента" идентификатора эмитента депозитарной расписки).</w:t>
      </w:r>
    </w:p>
    <w:p>
      <w:pPr>
        <w:pStyle w:val="0"/>
        <w:spacing w:before="240" w:lineRule="auto"/>
        <w:ind w:firstLine="540"/>
        <w:jc w:val="both"/>
      </w:pPr>
      <w:r>
        <w:rPr>
          <w:sz w:val="24"/>
        </w:rPr>
        <w:t xml:space="preserve">В </w:t>
      </w:r>
      <w:hyperlink w:history="0" w:anchor="P2420" w:tooltip="Раздел 2.">
        <w:r>
          <w:rPr>
            <w:sz w:val="24"/>
            <w:color w:val="0000ff"/>
          </w:rPr>
          <w:t xml:space="preserve">разделе 2</w:t>
        </w:r>
      </w:hyperlink>
      <w:r>
        <w:rPr>
          <w:sz w:val="24"/>
        </w:rPr>
        <w:t xml:space="preserve"> отчетности по форме 0420154 раскрывается информация о ценных бумагах, права собственности на которые удостоверяют депозитарные расписки, сведения о которых приведены в </w:t>
      </w:r>
      <w:hyperlink w:history="0" w:anchor="P10490" w:tooltip="Подраздел 2.10.">
        <w:r>
          <w:rPr>
            <w:sz w:val="24"/>
            <w:color w:val="0000ff"/>
          </w:rPr>
          <w:t xml:space="preserve">подразделе 2.10 раздела 2</w:t>
        </w:r>
      </w:hyperlink>
      <w:r>
        <w:rPr>
          <w:sz w:val="24"/>
        </w:rPr>
        <w:t xml:space="preserve"> отчетности по форме 0420154 (с указанием идентификатора ценной бумаги, через которую страховщиком осуществляется владение имуществом, по группе аналитических признаков "Идентификатор фонда или депозитарной расписки").</w:t>
      </w:r>
    </w:p>
    <w:p>
      <w:pPr>
        <w:pStyle w:val="0"/>
        <w:spacing w:before="240" w:lineRule="auto"/>
        <w:ind w:firstLine="540"/>
        <w:jc w:val="both"/>
      </w:pPr>
      <w:r>
        <w:rPr>
          <w:sz w:val="24"/>
        </w:rPr>
        <w:t xml:space="preserve">54.10.1. По показателю "Количество единиц актива" </w:t>
      </w:r>
      <w:hyperlink w:history="0" w:anchor="P10580" w:tooltip="170">
        <w:r>
          <w:rPr>
            <w:sz w:val="24"/>
            <w:color w:val="0000ff"/>
          </w:rPr>
          <w:t xml:space="preserve">(строка 171)</w:t>
        </w:r>
      </w:hyperlink>
      <w:r>
        <w:rPr>
          <w:sz w:val="24"/>
        </w:rPr>
        <w:t xml:space="preserve"> указывается количество депозитарных расписок на конец отчетного периода.</w:t>
      </w:r>
    </w:p>
    <w:p>
      <w:pPr>
        <w:pStyle w:val="0"/>
        <w:spacing w:before="240" w:lineRule="auto"/>
        <w:ind w:firstLine="540"/>
        <w:jc w:val="both"/>
      </w:pPr>
      <w:r>
        <w:rPr>
          <w:sz w:val="24"/>
        </w:rPr>
        <w:t xml:space="preserve">54.10.2. Данные </w:t>
      </w:r>
      <w:hyperlink w:history="0" w:anchor="P10490" w:tooltip="Подраздел 2.10.">
        <w:r>
          <w:rPr>
            <w:sz w:val="24"/>
            <w:color w:val="0000ff"/>
          </w:rPr>
          <w:t xml:space="preserve">подраздела 2.10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"Депозитарные расписки" группы аналитических признаков "Вид актива".</w:t>
      </w:r>
    </w:p>
    <w:p>
      <w:pPr>
        <w:pStyle w:val="0"/>
        <w:spacing w:before="240" w:lineRule="auto"/>
        <w:ind w:firstLine="540"/>
        <w:jc w:val="both"/>
      </w:pPr>
      <w:r>
        <w:rPr>
          <w:sz w:val="24"/>
        </w:rPr>
        <w:t xml:space="preserve">54.11. По показателям </w:t>
      </w:r>
      <w:hyperlink w:history="0" w:anchor="P10932" w:tooltip="Подраздел 2.11.">
        <w:r>
          <w:rPr>
            <w:sz w:val="24"/>
            <w:color w:val="0000ff"/>
          </w:rPr>
          <w:t xml:space="preserve">подраздела 2.11 раздела 2</w:t>
        </w:r>
      </w:hyperlink>
      <w:r>
        <w:rPr>
          <w:sz w:val="24"/>
        </w:rPr>
        <w:t xml:space="preserve"> отчетности по форме 0420154 отражаются сведения об активах, возникших в результате заключения страховщиком срочных сделок, указанных в </w:t>
      </w:r>
      <w:hyperlink w:history="0" r:id="rId28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2.4.3 пункта 2.4</w:t>
        </w:r>
      </w:hyperlink>
      <w:r>
        <w:rPr>
          <w:sz w:val="24"/>
        </w:rPr>
        <w:t xml:space="preserve"> Положения Банка России N 858-П.</w:t>
      </w:r>
    </w:p>
    <w:p>
      <w:pPr>
        <w:pStyle w:val="0"/>
        <w:spacing w:before="240" w:lineRule="auto"/>
        <w:ind w:firstLine="540"/>
        <w:jc w:val="both"/>
      </w:pPr>
      <w:r>
        <w:rPr>
          <w:sz w:val="24"/>
        </w:rPr>
        <w:t xml:space="preserve">По группе аналитических признаков "Идентификатор актива" указываются код контракта и наименование биржи в виде последовательности "код контракта_наименование биржи" (для биржевых инструментов) или номер договора (для внебиржевых инструментов) (с указанием по группе аналитических признаков "Идентификатор контрагента" идентификатора контрагента по указанному контракту, договору).</w:t>
      </w:r>
    </w:p>
    <w:p>
      <w:pPr>
        <w:pStyle w:val="0"/>
        <w:spacing w:before="240" w:lineRule="auto"/>
        <w:ind w:firstLine="540"/>
        <w:jc w:val="both"/>
      </w:pPr>
      <w:r>
        <w:rPr>
          <w:sz w:val="24"/>
        </w:rPr>
        <w:t xml:space="preserve">54.11.1. По показателю "Стоимость, определенная в соответствии с требованиями к финансовой устойчивости и платежеспособности страховщиков" </w:t>
      </w:r>
      <w:hyperlink w:history="0" w:anchor="P11078" w:tooltip="182">
        <w:r>
          <w:rPr>
            <w:sz w:val="24"/>
            <w:color w:val="0000ff"/>
          </w:rPr>
          <w:t xml:space="preserve">(строка 182)</w:t>
        </w:r>
      </w:hyperlink>
      <w:r>
        <w:rPr>
          <w:sz w:val="24"/>
        </w:rPr>
        <w:t xml:space="preserve"> указывается значение со знаком "-" (минус) в случае, если срочные сделки относятся к срочным сделкам, предусмотренным </w:t>
      </w:r>
      <w:hyperlink w:history="0" r:id="rId28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вторым пункта 3.3</w:t>
        </w:r>
      </w:hyperlink>
      <w:r>
        <w:rPr>
          <w:sz w:val="24"/>
        </w:rPr>
        <w:t xml:space="preserve"> Положения Банка России N 858-П.</w:t>
      </w:r>
    </w:p>
    <w:p>
      <w:pPr>
        <w:pStyle w:val="0"/>
        <w:spacing w:before="240" w:lineRule="auto"/>
        <w:ind w:firstLine="540"/>
        <w:jc w:val="both"/>
      </w:pPr>
      <w:r>
        <w:rPr>
          <w:sz w:val="24"/>
        </w:rPr>
        <w:t xml:space="preserve">54.11.2. По показателю "Дата возврата (погашения, оферты)" </w:t>
      </w:r>
      <w:hyperlink w:history="0" w:anchor="P11118" w:tooltip="183">
        <w:r>
          <w:rPr>
            <w:sz w:val="24"/>
            <w:color w:val="0000ff"/>
          </w:rPr>
          <w:t xml:space="preserve">(строка 183)</w:t>
        </w:r>
      </w:hyperlink>
      <w:r>
        <w:rPr>
          <w:sz w:val="24"/>
        </w:rPr>
        <w:t xml:space="preserve"> указывается (при наличии) дата исполнения требования по срочной сделке в соответствии с условиями контракта (договора).</w:t>
      </w:r>
    </w:p>
    <w:p>
      <w:pPr>
        <w:pStyle w:val="0"/>
        <w:spacing w:before="240" w:lineRule="auto"/>
        <w:ind w:firstLine="540"/>
        <w:jc w:val="both"/>
      </w:pPr>
      <w:r>
        <w:rPr>
          <w:sz w:val="24"/>
        </w:rPr>
        <w:t xml:space="preserve">54.11.3. Данные </w:t>
      </w:r>
      <w:hyperlink w:history="0" w:anchor="P10932" w:tooltip="Подраздел 2.11.">
        <w:r>
          <w:rPr>
            <w:sz w:val="24"/>
            <w:color w:val="0000ff"/>
          </w:rPr>
          <w:t xml:space="preserve">подраздела 2.11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"Активы, возникшие в результате заключения страховщиком срочных сделок" группы аналитических признаков "Вид актива", за исключением срочных сделок, предусмотренных </w:t>
      </w:r>
      <w:hyperlink w:history="0" r:id="rId28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вторым пункта 3.3</w:t>
        </w:r>
      </w:hyperlink>
      <w:r>
        <w:rPr>
          <w:sz w:val="24"/>
        </w:rPr>
        <w:t xml:space="preserve"> Положения Банка России N 858-П, которые отражаются по аналитическому признаку "Срочные сделки, отраженные в бухгалтерском балансе страховщика как активы" группы аналитических признаков "Вид обязательства".</w:t>
      </w:r>
    </w:p>
    <w:p>
      <w:pPr>
        <w:pStyle w:val="0"/>
        <w:spacing w:before="240" w:lineRule="auto"/>
        <w:ind w:firstLine="540"/>
        <w:jc w:val="both"/>
      </w:pPr>
      <w:r>
        <w:rPr>
          <w:sz w:val="24"/>
        </w:rPr>
        <w:t xml:space="preserve">54.11.4. В </w:t>
      </w:r>
      <w:hyperlink w:history="0" w:anchor="P12054" w:tooltip="Подраздел 2.11.1.">
        <w:r>
          <w:rPr>
            <w:sz w:val="24"/>
            <w:color w:val="0000ff"/>
          </w:rPr>
          <w:t xml:space="preserve">подразделе 2.11.1 раздела 2</w:t>
        </w:r>
      </w:hyperlink>
      <w:r>
        <w:rPr>
          <w:sz w:val="24"/>
        </w:rPr>
        <w:t xml:space="preserve"> отчетности по форме 0420154 отражаются сведения о базисных активах по срочной сделке, указанной в </w:t>
      </w:r>
      <w:hyperlink w:history="0" r:id="rId29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2.4.3 пункта 2.4</w:t>
        </w:r>
      </w:hyperlink>
      <w:r>
        <w:rPr>
          <w:sz w:val="24"/>
        </w:rPr>
        <w:t xml:space="preserve"> Положения Банка России N 858-П, по активам, сведения о которых отражены по показателям </w:t>
      </w:r>
      <w:hyperlink w:history="0" w:anchor="P10932" w:tooltip="Подраздел 2.11.">
        <w:r>
          <w:rPr>
            <w:sz w:val="24"/>
            <w:color w:val="0000ff"/>
          </w:rPr>
          <w:t xml:space="preserve">подраздела 2.11 раздела 2</w:t>
        </w:r>
      </w:hyperlink>
      <w:r>
        <w:rPr>
          <w:sz w:val="24"/>
        </w:rPr>
        <w:t xml:space="preserve"> отчетности по форме 0420154.</w:t>
      </w:r>
    </w:p>
    <w:p>
      <w:pPr>
        <w:pStyle w:val="0"/>
        <w:spacing w:before="240" w:lineRule="auto"/>
        <w:ind w:firstLine="540"/>
        <w:jc w:val="both"/>
      </w:pPr>
      <w:r>
        <w:rPr>
          <w:sz w:val="24"/>
        </w:rPr>
        <w:t xml:space="preserve">Данные, указанные по группе аналитических признаков "Идентификатор актива", должны соответствовать данным, указанным по группе аналитических признаков "Идентификатор актива" </w:t>
      </w:r>
      <w:hyperlink w:history="0" w:anchor="P10932" w:tooltip="Подраздел 2.11.">
        <w:r>
          <w:rPr>
            <w:sz w:val="24"/>
            <w:color w:val="0000ff"/>
          </w:rPr>
          <w:t xml:space="preserve">подраздела 2.11 раздела 2</w:t>
        </w:r>
      </w:hyperlink>
      <w:r>
        <w:rPr>
          <w:sz w:val="24"/>
        </w:rPr>
        <w:t xml:space="preserve"> отчетности по форме 0420154.</w:t>
      </w:r>
    </w:p>
    <w:bookmarkStart w:id="28829" w:name="P28829"/>
    <w:bookmarkEnd w:id="28829"/>
    <w:p>
      <w:pPr>
        <w:pStyle w:val="0"/>
        <w:spacing w:before="240" w:lineRule="auto"/>
        <w:ind w:firstLine="540"/>
        <w:jc w:val="both"/>
      </w:pPr>
      <w:r>
        <w:rPr>
          <w:sz w:val="24"/>
        </w:rPr>
        <w:t xml:space="preserve">По показателю "Примечание" </w:t>
      </w:r>
      <w:hyperlink w:history="0" w:anchor="P12056" w:tooltip="209">
        <w:r>
          <w:rPr>
            <w:sz w:val="24"/>
            <w:color w:val="0000ff"/>
          </w:rPr>
          <w:t xml:space="preserve">(строка 209)</w:t>
        </w:r>
      </w:hyperlink>
      <w:r>
        <w:rPr>
          <w:sz w:val="24"/>
        </w:rPr>
        <w:t xml:space="preserve"> указывается дополнительная информация в отношении базисных активов по срочной сделке, являющаяся по решению страховщика существенной. В случае отсутствия указанной информации по данному показателю указывается значение "НП".</w:t>
      </w:r>
    </w:p>
    <w:p>
      <w:pPr>
        <w:pStyle w:val="0"/>
        <w:spacing w:before="240" w:lineRule="auto"/>
        <w:ind w:firstLine="540"/>
        <w:jc w:val="both"/>
      </w:pPr>
      <w:r>
        <w:rPr>
          <w:sz w:val="24"/>
        </w:rPr>
        <w:t xml:space="preserve">По аналитическим признакам группы аналитических признаков "Код валюты" указывается код валюты базисного актива по срочной сделке.</w:t>
      </w:r>
    </w:p>
    <w:p>
      <w:pPr>
        <w:pStyle w:val="0"/>
        <w:spacing w:before="240" w:lineRule="auto"/>
        <w:ind w:firstLine="540"/>
        <w:jc w:val="both"/>
      </w:pPr>
      <w:r>
        <w:rPr>
          <w:sz w:val="24"/>
        </w:rPr>
        <w:t xml:space="preserve">54.12. По показателям </w:t>
      </w:r>
      <w:hyperlink w:history="0" w:anchor="P12084" w:tooltip="Подраздел 2.12.">
        <w:r>
          <w:rPr>
            <w:sz w:val="24"/>
            <w:color w:val="0000ff"/>
          </w:rPr>
          <w:t xml:space="preserve">подраздела 2.12 раздела 2</w:t>
        </w:r>
      </w:hyperlink>
      <w:r>
        <w:rPr>
          <w:sz w:val="24"/>
        </w:rPr>
        <w:t xml:space="preserve"> отчетности по форме 0420154 отражаются сведения о займах выданных, кроме прав требования по обязательствам страхователя - физического лица по возврату займа, полученного при осуществлении страхования жизни.</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договора займа (с указанием по группе аналитических признаков "Идентификатор контрагента" идентификатора заемщика по указанному договору займа).</w:t>
      </w:r>
    </w:p>
    <w:p>
      <w:pPr>
        <w:pStyle w:val="0"/>
        <w:spacing w:before="240" w:lineRule="auto"/>
        <w:ind w:firstLine="540"/>
        <w:jc w:val="both"/>
      </w:pPr>
      <w:r>
        <w:rPr>
          <w:sz w:val="24"/>
        </w:rPr>
        <w:t xml:space="preserve">54.12.1. По показателю "Дата возврата (погашения, оферты)" </w:t>
      </w:r>
      <w:hyperlink w:history="0" w:anchor="P12198" w:tooltip="213">
        <w:r>
          <w:rPr>
            <w:sz w:val="24"/>
            <w:color w:val="0000ff"/>
          </w:rPr>
          <w:t xml:space="preserve">(строка 213)</w:t>
        </w:r>
      </w:hyperlink>
      <w:r>
        <w:rPr>
          <w:sz w:val="24"/>
        </w:rPr>
        <w:t xml:space="preserve"> указывается дата возврата займа (при наличии) в соответствии с условиями договора займа.</w:t>
      </w:r>
    </w:p>
    <w:p>
      <w:pPr>
        <w:pStyle w:val="0"/>
        <w:spacing w:before="240" w:lineRule="auto"/>
        <w:ind w:firstLine="540"/>
        <w:jc w:val="both"/>
      </w:pPr>
      <w:r>
        <w:rPr>
          <w:sz w:val="24"/>
        </w:rPr>
        <w:t xml:space="preserve">54.12.2. Данные </w:t>
      </w:r>
      <w:hyperlink w:history="0" w:anchor="P12084" w:tooltip="Подраздел 2.12.">
        <w:r>
          <w:rPr>
            <w:sz w:val="24"/>
            <w:color w:val="0000ff"/>
          </w:rPr>
          <w:t xml:space="preserve">подраздела 2.12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"Займы выданные, кроме прав требования по обязательствам страхователя - физического лица по возврату займа, полученного при осуществлении страхования жизни" группы аналитических признаков "Вид актива".</w:t>
      </w:r>
    </w:p>
    <w:p>
      <w:pPr>
        <w:pStyle w:val="0"/>
        <w:spacing w:before="240" w:lineRule="auto"/>
        <w:ind w:firstLine="540"/>
        <w:jc w:val="both"/>
      </w:pPr>
      <w:r>
        <w:rPr>
          <w:sz w:val="24"/>
        </w:rPr>
        <w:t xml:space="preserve">54.13. По показателям </w:t>
      </w:r>
      <w:hyperlink w:history="0" w:anchor="P12810" w:tooltip="Подраздел 2.13.">
        <w:r>
          <w:rPr>
            <w:sz w:val="24"/>
            <w:color w:val="0000ff"/>
          </w:rPr>
          <w:t xml:space="preserve">подраздела 2.13 раздела 2</w:t>
        </w:r>
      </w:hyperlink>
      <w:r>
        <w:rPr>
          <w:sz w:val="24"/>
        </w:rPr>
        <w:t xml:space="preserve"> отчетности по форме 0420154 отражаются сведения о правах требования к центральному депозитарию.</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к центральному депозитарию"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12810" w:tooltip="Подраздел 2.13.">
        <w:r>
          <w:rPr>
            <w:sz w:val="24"/>
            <w:color w:val="0000ff"/>
          </w:rPr>
          <w:t xml:space="preserve">подразделом 2.13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центрального депозитария).</w:t>
      </w:r>
    </w:p>
    <w:p>
      <w:pPr>
        <w:pStyle w:val="0"/>
        <w:spacing w:before="240" w:lineRule="auto"/>
        <w:ind w:firstLine="540"/>
        <w:jc w:val="both"/>
      </w:pPr>
      <w:r>
        <w:rPr>
          <w:sz w:val="24"/>
        </w:rPr>
        <w:t xml:space="preserve">В </w:t>
      </w:r>
      <w:hyperlink w:history="0" w:anchor="P12810" w:tooltip="Подраздел 2.13.">
        <w:r>
          <w:rPr>
            <w:sz w:val="24"/>
            <w:color w:val="0000ff"/>
          </w:rPr>
          <w:t xml:space="preserve">подразделе 2.13 раздела 2</w:t>
        </w:r>
      </w:hyperlink>
      <w:r>
        <w:rPr>
          <w:sz w:val="24"/>
        </w:rPr>
        <w:t xml:space="preserve"> отчетности по форме 0420154 отражаются также сведения о прогнозе денежных потоков по каждому праву требования к центральному депозитарию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Данные </w:t>
      </w:r>
      <w:hyperlink w:history="0" w:anchor="P12810" w:tooltip="Подраздел 2.13.">
        <w:r>
          <w:rPr>
            <w:sz w:val="24"/>
            <w:color w:val="0000ff"/>
          </w:rPr>
          <w:t xml:space="preserve">подраздела 2.13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группы аналитических признаков "Вид актива".</w:t>
      </w:r>
    </w:p>
    <w:p>
      <w:pPr>
        <w:pStyle w:val="0"/>
        <w:spacing w:before="240" w:lineRule="auto"/>
        <w:ind w:firstLine="540"/>
        <w:jc w:val="both"/>
      </w:pPr>
      <w:r>
        <w:rPr>
          <w:sz w:val="24"/>
        </w:rPr>
        <w:t xml:space="preserve">54.14. По показателям </w:t>
      </w:r>
      <w:hyperlink w:history="0" w:anchor="P13344" w:tooltip="Подраздел 2.14.">
        <w:r>
          <w:rPr>
            <w:sz w:val="24"/>
            <w:color w:val="0000ff"/>
          </w:rPr>
          <w:t xml:space="preserve">подраздела 2.14 раздела 2</w:t>
        </w:r>
      </w:hyperlink>
      <w:r>
        <w:rPr>
          <w:sz w:val="24"/>
        </w:rPr>
        <w:t xml:space="preserve"> отчетности по форме 0420154 отражаются сведения о правах требования к квалифицированному центральному контрагенту.</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к квалифицированному центральному контрагенту"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13344" w:tooltip="Подраздел 2.14.">
        <w:r>
          <w:rPr>
            <w:sz w:val="24"/>
            <w:color w:val="0000ff"/>
          </w:rPr>
          <w:t xml:space="preserve">подразделом 2.14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квалифицированного центрального контрагента).</w:t>
      </w:r>
    </w:p>
    <w:p>
      <w:pPr>
        <w:pStyle w:val="0"/>
        <w:spacing w:before="240" w:lineRule="auto"/>
        <w:ind w:firstLine="540"/>
        <w:jc w:val="both"/>
      </w:pPr>
      <w:r>
        <w:rPr>
          <w:sz w:val="24"/>
        </w:rPr>
        <w:t xml:space="preserve">В </w:t>
      </w:r>
      <w:hyperlink w:history="0" w:anchor="P13344" w:tooltip="Подраздел 2.14.">
        <w:r>
          <w:rPr>
            <w:sz w:val="24"/>
            <w:color w:val="0000ff"/>
          </w:rPr>
          <w:t xml:space="preserve">подразделе 2.14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квалифицированному центральному контрагенту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Данные </w:t>
      </w:r>
      <w:hyperlink w:history="0" w:anchor="P13344" w:tooltip="Подраздел 2.14.">
        <w:r>
          <w:rPr>
            <w:sz w:val="24"/>
            <w:color w:val="0000ff"/>
          </w:rPr>
          <w:t xml:space="preserve">подраздела 2.14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группы аналитических признаков "Вид актива".</w:t>
      </w:r>
    </w:p>
    <w:p>
      <w:pPr>
        <w:pStyle w:val="0"/>
        <w:spacing w:before="240" w:lineRule="auto"/>
        <w:ind w:firstLine="540"/>
        <w:jc w:val="both"/>
      </w:pPr>
      <w:r>
        <w:rPr>
          <w:sz w:val="24"/>
        </w:rPr>
        <w:t xml:space="preserve">54.15. По показателям </w:t>
      </w:r>
      <w:hyperlink w:history="0" w:anchor="P13878" w:tooltip="Подраздел 2.15.">
        <w:r>
          <w:rPr>
            <w:sz w:val="24"/>
            <w:color w:val="0000ff"/>
          </w:rPr>
          <w:t xml:space="preserve">подраздела 2.15 раздела 2</w:t>
        </w:r>
      </w:hyperlink>
      <w:r>
        <w:rPr>
          <w:sz w:val="24"/>
        </w:rPr>
        <w:t xml:space="preserve"> отчетности по форме 0420154 отражаются сведения о правах требования по денежным обязательствам к брокерам, не являющимся кредитными организациями, из договоров о брокерском обслуживании, указанных в </w:t>
      </w:r>
      <w:hyperlink w:history="0" r:id="rId29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3.1.12.4 пункта 3.1</w:t>
        </w:r>
      </w:hyperlink>
      <w:r>
        <w:rPr>
          <w:sz w:val="24"/>
        </w:rPr>
        <w:t xml:space="preserve"> Положения Банка России N 858-П.</w:t>
      </w:r>
    </w:p>
    <w:p>
      <w:pPr>
        <w:pStyle w:val="0"/>
        <w:spacing w:before="240" w:lineRule="auto"/>
        <w:ind w:firstLine="540"/>
        <w:jc w:val="both"/>
      </w:pPr>
      <w:r>
        <w:rPr>
          <w:sz w:val="24"/>
        </w:rPr>
        <w:t xml:space="preserve">По группе аналитических признаков "Идентификатор актива" отражается номер счета в кредитной организации, указанного в </w:t>
      </w:r>
      <w:hyperlink w:history="0" r:id="rId29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третьем подпункта 3.1.12.4 пункта 3.1</w:t>
        </w:r>
      </w:hyperlink>
      <w:r>
        <w:rPr>
          <w:sz w:val="24"/>
        </w:rPr>
        <w:t xml:space="preserve"> Положения Банка России N 858-П (с указанием по группе аналитических признаков "Идентификатор контрагента" идентификатора указанной кредитной организации).</w:t>
      </w:r>
    </w:p>
    <w:p>
      <w:pPr>
        <w:pStyle w:val="0"/>
        <w:spacing w:before="240" w:lineRule="auto"/>
        <w:ind w:firstLine="540"/>
        <w:jc w:val="both"/>
      </w:pPr>
      <w:r>
        <w:rPr>
          <w:sz w:val="24"/>
        </w:rPr>
        <w:t xml:space="preserve">В </w:t>
      </w:r>
      <w:hyperlink w:history="0" w:anchor="P13878" w:tooltip="Подраздел 2.15.">
        <w:r>
          <w:rPr>
            <w:sz w:val="24"/>
            <w:color w:val="0000ff"/>
          </w:rPr>
          <w:t xml:space="preserve">подразделе 2.15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брокеру, не являющемуся кредитной организацией,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Данные </w:t>
      </w:r>
      <w:hyperlink w:history="0" w:anchor="P13878" w:tooltip="Подраздел 2.15.">
        <w:r>
          <w:rPr>
            <w:sz w:val="24"/>
            <w:color w:val="0000ff"/>
          </w:rPr>
          <w:t xml:space="preserve">подраздела 2.15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группы аналитических признаков "Вид актива".</w:t>
      </w:r>
    </w:p>
    <w:p>
      <w:pPr>
        <w:pStyle w:val="0"/>
        <w:spacing w:before="240" w:lineRule="auto"/>
        <w:ind w:firstLine="540"/>
        <w:jc w:val="both"/>
      </w:pPr>
      <w:r>
        <w:rPr>
          <w:sz w:val="24"/>
        </w:rPr>
        <w:t xml:space="preserve">54.16. По показателям </w:t>
      </w:r>
      <w:hyperlink w:history="0" w:anchor="P14508" w:tooltip="Подраздел 2.16.">
        <w:r>
          <w:rPr>
            <w:sz w:val="24"/>
            <w:color w:val="0000ff"/>
          </w:rPr>
          <w:t xml:space="preserve">подраздела 2.16 раздела 2</w:t>
        </w:r>
      </w:hyperlink>
      <w:r>
        <w:rPr>
          <w:sz w:val="24"/>
        </w:rPr>
        <w:t xml:space="preserve"> отчетности по форме 0420154 отражаются сведения о правах требования к специализированным депозитариям.</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к специализированным депозитариям"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14508" w:tooltip="Подраздел 2.16.">
        <w:r>
          <w:rPr>
            <w:sz w:val="24"/>
            <w:color w:val="0000ff"/>
          </w:rPr>
          <w:t xml:space="preserve">подразделом 2.16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специализированного депозитария).</w:t>
      </w:r>
    </w:p>
    <w:p>
      <w:pPr>
        <w:pStyle w:val="0"/>
        <w:spacing w:before="240" w:lineRule="auto"/>
        <w:ind w:firstLine="540"/>
        <w:jc w:val="both"/>
      </w:pPr>
      <w:r>
        <w:rPr>
          <w:sz w:val="24"/>
        </w:rPr>
        <w:t xml:space="preserve">В </w:t>
      </w:r>
      <w:hyperlink w:history="0" w:anchor="P14508" w:tooltip="Подраздел 2.16.">
        <w:r>
          <w:rPr>
            <w:sz w:val="24"/>
            <w:color w:val="0000ff"/>
          </w:rPr>
          <w:t xml:space="preserve">подразделе 2.16 раздела 2</w:t>
        </w:r>
      </w:hyperlink>
      <w:r>
        <w:rPr>
          <w:sz w:val="24"/>
        </w:rPr>
        <w:t xml:space="preserve"> отчетности по форме 0420154 отражаются также сведения о прогнозе денежных потоков по каждому праву требования к специализированному депозитарию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54.16.1. По показателю "Права требования относятся к правам требования к депозитарию по выплатам по ценным бумагам в установленный срок" </w:t>
      </w:r>
      <w:hyperlink w:history="0" w:anchor="P14778" w:tooltip="273">
        <w:r>
          <w:rPr>
            <w:sz w:val="24"/>
            <w:color w:val="0000ff"/>
          </w:rPr>
          <w:t xml:space="preserve">(строка 273)</w:t>
        </w:r>
      </w:hyperlink>
      <w:r>
        <w:rPr>
          <w:sz w:val="24"/>
        </w:rPr>
        <w:t xml:space="preserve"> указывается значение "Да", если права требования соответствуют требованиям </w:t>
      </w:r>
      <w:hyperlink w:history="0" r:id="rId29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 3.1.12.5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54.16.2. Данные </w:t>
      </w:r>
      <w:hyperlink w:history="0" w:anchor="P14508" w:tooltip="Подраздел 2.16.">
        <w:r>
          <w:rPr>
            <w:sz w:val="24"/>
            <w:color w:val="0000ff"/>
          </w:rPr>
          <w:t xml:space="preserve">подраздела 2.16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группы аналитических признаков "Вид актива".</w:t>
      </w:r>
    </w:p>
    <w:p>
      <w:pPr>
        <w:pStyle w:val="0"/>
        <w:spacing w:before="240" w:lineRule="auto"/>
        <w:ind w:firstLine="540"/>
        <w:jc w:val="both"/>
      </w:pPr>
      <w:r>
        <w:rPr>
          <w:sz w:val="24"/>
        </w:rPr>
        <w:t xml:space="preserve">54.17. По показателям </w:t>
      </w:r>
      <w:hyperlink w:history="0" w:anchor="P15086" w:tooltip="Подраздел 2.17.">
        <w:r>
          <w:rPr>
            <w:sz w:val="24"/>
            <w:color w:val="0000ff"/>
          </w:rPr>
          <w:t xml:space="preserve">подраздела 2.17 раздела 2</w:t>
        </w:r>
      </w:hyperlink>
      <w:r>
        <w:rPr>
          <w:sz w:val="24"/>
        </w:rPr>
        <w:t xml:space="preserve"> отчетности по форме 0420154 отражаются сведения о правах требования по договорам репо, а также сведения о ценных бумагах, полученных по договорам репо (обратное репо).</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договора (с указанием по группе аналитических признаков "Идентификатор контрагента" идентификатора контрагента по указанному договору).</w:t>
      </w:r>
    </w:p>
    <w:p>
      <w:pPr>
        <w:pStyle w:val="0"/>
        <w:spacing w:before="240" w:lineRule="auto"/>
        <w:ind w:firstLine="540"/>
        <w:jc w:val="both"/>
      </w:pPr>
      <w:r>
        <w:rPr>
          <w:sz w:val="24"/>
        </w:rPr>
        <w:t xml:space="preserve">В отношении ценных бумаг, полученных по договорам репо (обратное репо), указываются сведения о количестве ценных бумаг, являющихся объектом договора репо (по показателю "Количество единиц актива" </w:t>
      </w:r>
      <w:hyperlink w:history="0" w:anchor="P15484" w:tooltip="287">
        <w:r>
          <w:rPr>
            <w:sz w:val="24"/>
            <w:color w:val="0000ff"/>
          </w:rPr>
          <w:t xml:space="preserve">(строка 287)</w:t>
        </w:r>
      </w:hyperlink>
      <w:r>
        <w:rPr>
          <w:sz w:val="24"/>
        </w:rPr>
        <w:t xml:space="preserve">, и об их эмитенте (по группе аналитических признаков "Идентификатор эмитента"). При этом по группе аналитических признаков "Идентификатор ценной бумаги" указывается идентификатор указанных ценных бумаг, сформированный страховщиком в соответствии с </w:t>
      </w:r>
      <w:hyperlink w:history="0" w:anchor="P28690" w:tooltip="52. При формировании значения идентификатора ценной бумаги, указываемого по группам аналитических признаков &quot;Идентификатор фонда или депозитарной расписки&quot;, &quot;Идентификатор актива&quot;, &quot;Идентификатор инвестиционного фонда&quot;, &quot;Идентификатор ценной бумаги&quot;, страховщик должен указать следующие характеристики (с сохранением приведенной последовательности их указания, использованием в качестве разделителя характеристик символа &quot;_&quot; (нижнее подчеркивание (без пробелов):">
        <w:r>
          <w:rPr>
            <w:sz w:val="24"/>
            <w:color w:val="0000ff"/>
          </w:rPr>
          <w:t xml:space="preserve">пунктом 52</w:t>
        </w:r>
      </w:hyperlink>
      <w:r>
        <w:rPr>
          <w:sz w:val="24"/>
        </w:rPr>
        <w:t xml:space="preserve"> настоящих Порядка и сроков.</w:t>
      </w:r>
    </w:p>
    <w:p>
      <w:pPr>
        <w:pStyle w:val="0"/>
        <w:spacing w:before="240" w:lineRule="auto"/>
        <w:ind w:firstLine="540"/>
        <w:jc w:val="both"/>
      </w:pPr>
      <w:r>
        <w:rPr>
          <w:sz w:val="24"/>
        </w:rPr>
        <w:t xml:space="preserve">В </w:t>
      </w:r>
      <w:hyperlink w:history="0" w:anchor="P15086" w:tooltip="Подраздел 2.17.">
        <w:r>
          <w:rPr>
            <w:sz w:val="24"/>
            <w:color w:val="0000ff"/>
          </w:rPr>
          <w:t xml:space="preserve">подразделе 2.17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контрагенту по договору репо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По аналитическим признакам группы аналитических признаков "Актив относится к ценным бумагам (денежным средствам), полученным по первой части договора репо" указывается значение "Да", если актив соответствует требованиям </w:t>
      </w:r>
      <w:hyperlink w:history="0" r:id="rId29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 2.4.1 пункта 2.4</w:t>
        </w:r>
      </w:hyperlink>
      <w:r>
        <w:rPr>
          <w:sz w:val="24"/>
        </w:rPr>
        <w:t xml:space="preserve"> Положения Банка России N 858-П. В случае если актив подпадает под исключение, предусмотренное </w:t>
      </w:r>
      <w:hyperlink w:history="0" r:id="rId29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2.4.1 пункта 2.4</w:t>
        </w:r>
      </w:hyperlink>
      <w:r>
        <w:rPr>
          <w:sz w:val="24"/>
        </w:rPr>
        <w:t xml:space="preserve"> Положения Банка России N 858-П, указывается значение "Нет".</w:t>
      </w:r>
    </w:p>
    <w:p>
      <w:pPr>
        <w:pStyle w:val="0"/>
        <w:spacing w:before="240" w:lineRule="auto"/>
        <w:ind w:firstLine="540"/>
        <w:jc w:val="both"/>
      </w:pPr>
      <w:r>
        <w:rPr>
          <w:sz w:val="24"/>
        </w:rPr>
        <w:t xml:space="preserve">54.17.1. По показателю "Предметом договора репо являются активы, предусмотренные требованиями к финансовой устойчивости и платежеспособности страховщиков" </w:t>
      </w:r>
      <w:hyperlink w:history="0" w:anchor="P15428" w:tooltip="286">
        <w:r>
          <w:rPr>
            <w:sz w:val="24"/>
            <w:color w:val="0000ff"/>
          </w:rPr>
          <w:t xml:space="preserve">(строка 286)</w:t>
        </w:r>
      </w:hyperlink>
      <w:r>
        <w:rPr>
          <w:sz w:val="24"/>
        </w:rPr>
        <w:t xml:space="preserve"> указывается значение "Да", если предметом договора репо являются активы, предусмотренные </w:t>
      </w:r>
      <w:hyperlink w:history="0" r:id="rId29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3.1.12.6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54.17.2. Данные </w:t>
      </w:r>
      <w:hyperlink w:history="0" w:anchor="P15086" w:tooltip="Подраздел 2.17.">
        <w:r>
          <w:rPr>
            <w:sz w:val="24"/>
            <w:color w:val="0000ff"/>
          </w:rPr>
          <w:t xml:space="preserve">подраздела 2.17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группы аналитических признаков "Вид актива".</w:t>
      </w:r>
    </w:p>
    <w:p>
      <w:pPr>
        <w:pStyle w:val="0"/>
        <w:spacing w:before="240" w:lineRule="auto"/>
        <w:ind w:firstLine="540"/>
        <w:jc w:val="both"/>
      </w:pPr>
      <w:r>
        <w:rPr>
          <w:sz w:val="24"/>
        </w:rPr>
        <w:t xml:space="preserve">54.18. По показателям </w:t>
      </w:r>
      <w:hyperlink w:history="0" w:anchor="P15876" w:tooltip="Подраздел 2.18.">
        <w:r>
          <w:rPr>
            <w:sz w:val="24"/>
            <w:color w:val="0000ff"/>
          </w:rPr>
          <w:t xml:space="preserve">подраздела 2.18 раздела 2</w:t>
        </w:r>
      </w:hyperlink>
      <w:r>
        <w:rPr>
          <w:sz w:val="24"/>
        </w:rPr>
        <w:t xml:space="preserve"> отчетности по форме 0420154 отражаются сведения о правах требования по обязательствам страховых агентов и страховых брокеров по перечислению страховых премий (взносов), не учтенных в страховых резервах.</w:t>
      </w:r>
    </w:p>
    <w:p>
      <w:pPr>
        <w:pStyle w:val="0"/>
        <w:spacing w:before="240" w:lineRule="auto"/>
        <w:ind w:firstLine="540"/>
        <w:jc w:val="both"/>
      </w:pPr>
      <w:r>
        <w:rPr>
          <w:sz w:val="24"/>
        </w:rPr>
        <w:t xml:space="preserve">По показателю "Права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 </w:t>
      </w:r>
      <w:hyperlink w:history="0" w:anchor="P16124" w:tooltip="299">
        <w:r>
          <w:rPr>
            <w:sz w:val="24"/>
            <w:color w:val="0000ff"/>
          </w:rPr>
          <w:t xml:space="preserve">(строка 299)</w:t>
        </w:r>
      </w:hyperlink>
      <w:r>
        <w:rPr>
          <w:sz w:val="24"/>
        </w:rPr>
        <w:t xml:space="preserve">, аналитическому признаку группы аналитических признаков "Права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 указывается значение "Да", если права требования соответствуют требованиям </w:t>
      </w:r>
      <w:hyperlink w:history="0" r:id="rId29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 3.1.12.7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54.18.1. По показателям </w:t>
      </w:r>
      <w:hyperlink w:history="0" w:anchor="P15878" w:tooltip="Подраздел 2.18.1.">
        <w:r>
          <w:rPr>
            <w:sz w:val="24"/>
            <w:color w:val="0000ff"/>
          </w:rPr>
          <w:t xml:space="preserve">подраздела 2.18.1 раздела 2</w:t>
        </w:r>
      </w:hyperlink>
      <w:r>
        <w:rPr>
          <w:sz w:val="24"/>
        </w:rPr>
        <w:t xml:space="preserve"> отчетности по форме 0420154 указываются сведения о правах требования по обязательствам страховых агентов и страховых брокеров по перечислению страховых премий (взносов), не учтенных в страховых резервах, стоимость которых не признана равной нулю, по обязанным лицам, отнесенным к первой - третьей категориям контрагентов (кроме обязанных лиц, отраженных в </w:t>
      </w:r>
      <w:hyperlink w:history="0" w:anchor="P16508" w:tooltip="Подраздел 2.18.2.">
        <w:r>
          <w:rPr>
            <w:sz w:val="24"/>
            <w:color w:val="0000ff"/>
          </w:rPr>
          <w:t xml:space="preserve">подразделе 2.18.2</w:t>
        </w:r>
      </w:hyperlink>
      <w:r>
        <w:rPr>
          <w:sz w:val="24"/>
        </w:rPr>
        <w:t xml:space="preserve"> отчетности по форме 0420154) в соответствии с </w:t>
      </w:r>
      <w:hyperlink w:history="0" r:id="rId29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девятым</w:t>
        </w:r>
      </w:hyperlink>
      <w:r>
        <w:rPr>
          <w:sz w:val="24"/>
        </w:rPr>
        <w:t xml:space="preserve"> - </w:t>
      </w:r>
      <w:hyperlink w:history="0" r:id="rId29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шестнадцатым пункта 8</w:t>
        </w:r>
      </w:hyperlink>
      <w:r>
        <w:rPr>
          <w:sz w:val="24"/>
        </w:rPr>
        <w:t xml:space="preserve"> приложения 1 к Положению Банка России N 858-П, и обязанным лицам, активы которых в соответствии с </w:t>
      </w:r>
      <w:hyperlink w:history="0" r:id="rId30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6.5.10.1 пункта 6.5</w:t>
        </w:r>
      </w:hyperlink>
      <w:r>
        <w:rPr>
          <w:sz w:val="24"/>
        </w:rPr>
        <w:t xml:space="preserve"> Положения Банка России N 858-П не учитываются при определении концентрации на обязанное лицо для целей расчета риска 2 (по аналитическому признаку "Не участвует в оценке риска 2" группы аналитических признаков "Категория контрагентов для оценки риска 2").</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к страховым агентам и страховым брокерам по перечислению страховых премий (взносов), не учтенные в страховых резервах"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15878" w:tooltip="Подраздел 2.18.1.">
        <w:r>
          <w:rPr>
            <w:sz w:val="24"/>
            <w:color w:val="0000ff"/>
          </w:rPr>
          <w:t xml:space="preserve">подразделом 2.18.1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страхового агента, страхового брокера).</w:t>
      </w:r>
    </w:p>
    <w:p>
      <w:pPr>
        <w:pStyle w:val="0"/>
        <w:spacing w:before="240" w:lineRule="auto"/>
        <w:ind w:firstLine="540"/>
        <w:jc w:val="both"/>
      </w:pPr>
      <w:r>
        <w:rPr>
          <w:sz w:val="24"/>
        </w:rPr>
        <w:t xml:space="preserve">В </w:t>
      </w:r>
      <w:hyperlink w:history="0" w:anchor="P15878" w:tooltip="Подраздел 2.18.1.">
        <w:r>
          <w:rPr>
            <w:sz w:val="24"/>
            <w:color w:val="0000ff"/>
          </w:rPr>
          <w:t xml:space="preserve">подразделе 2.18.1 раздела 2</w:t>
        </w:r>
      </w:hyperlink>
      <w:r>
        <w:rPr>
          <w:sz w:val="24"/>
        </w:rPr>
        <w:t xml:space="preserve"> отчетности по форме 0420154 отражаются также сведения о прогнозе денежных потоков по каждому праву требования к страховому агенту, страховому брокеру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54.18.2. По показателям </w:t>
      </w:r>
      <w:hyperlink w:history="0" w:anchor="P16508" w:tooltip="Подраздел 2.18.2.">
        <w:r>
          <w:rPr>
            <w:sz w:val="24"/>
            <w:color w:val="0000ff"/>
          </w:rPr>
          <w:t xml:space="preserve">подраздела 2.18.2 раздела 2</w:t>
        </w:r>
      </w:hyperlink>
      <w:r>
        <w:rPr>
          <w:sz w:val="24"/>
        </w:rPr>
        <w:t xml:space="preserve"> отчетности по форме 0420154 отражаются сведения о правах требования по обязательствам страховых агентов и страховых брокеров по перечислению страховых премий (взносов), не учтенных в страховых резервах, стоимость которых не признана равной нулю, по обязанным лицам, отнесенным ко второй - пятой категориям контрагентов в соответствии с </w:t>
      </w:r>
      <w:hyperlink w:history="0" r:id="rId30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 </w:t>
      </w:r>
      <w:hyperlink w:history="0" r:id="rId30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восемнадцатым пункта 8</w:t>
        </w:r>
      </w:hyperlink>
      <w:r>
        <w:rPr>
          <w:sz w:val="24"/>
        </w:rPr>
        <w:t xml:space="preserve"> приложения 1 к Положению Банка России N 858-П. При этом к обязанным лицам, отнесенным ко второй и третьей категориям контрагентов, относятся резиденты - юридические лица, которые в рамках оценки риска 2 распределены соответственно во вторую и третью категории контрагентов в соответствии с </w:t>
      </w:r>
      <w:hyperlink w:history="0" r:id="rId30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и </w:t>
      </w:r>
      <w:hyperlink w:history="0" r:id="rId30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шестнадцатым пункта 8</w:t>
        </w:r>
      </w:hyperlink>
      <w:r>
        <w:rPr>
          <w:sz w:val="24"/>
        </w:rPr>
        <w:t xml:space="preserve"> приложения 1 к Положению Банка России N 858-П и являются обязанными лицами только по указанным правам требования, либо такие резиденты - юридические лица, стоимость по другим активам которых признана равной нулю.</w:t>
      </w:r>
    </w:p>
    <w:p>
      <w:pPr>
        <w:pStyle w:val="0"/>
        <w:spacing w:before="240" w:lineRule="auto"/>
        <w:ind w:firstLine="540"/>
        <w:jc w:val="both"/>
      </w:pPr>
      <w:r>
        <w:rPr>
          <w:sz w:val="24"/>
        </w:rPr>
        <w:t xml:space="preserve">54.18.3. Сведения о правах требования по обязательствам страховых агентов и страховых брокеров по перечислению страховых премий (взносов), не учтенных в страховых резервах, стоимость которых признана равной нулю, отражаются отдельно в </w:t>
      </w:r>
      <w:hyperlink w:history="0" w:anchor="P16754" w:tooltip="Подраздел 2.18.3.">
        <w:r>
          <w:rPr>
            <w:sz w:val="24"/>
            <w:color w:val="0000ff"/>
          </w:rPr>
          <w:t xml:space="preserve">подразделе 2.18.3 раздела 2</w:t>
        </w:r>
      </w:hyperlink>
      <w:r>
        <w:rPr>
          <w:sz w:val="24"/>
        </w:rPr>
        <w:t xml:space="preserve"> отчетности по форме 0420154.</w:t>
      </w:r>
    </w:p>
    <w:p>
      <w:pPr>
        <w:pStyle w:val="0"/>
        <w:spacing w:before="240" w:lineRule="auto"/>
        <w:ind w:firstLine="540"/>
        <w:jc w:val="both"/>
      </w:pPr>
      <w:r>
        <w:rPr>
          <w:sz w:val="24"/>
        </w:rPr>
        <w:t xml:space="preserve">По показателю "Стоимость согласно условиям договора" </w:t>
      </w:r>
      <w:hyperlink w:history="0" w:anchor="P16756" w:tooltip="311">
        <w:r>
          <w:rPr>
            <w:sz w:val="24"/>
            <w:color w:val="0000ff"/>
          </w:rPr>
          <w:t xml:space="preserve">(строка 311)</w:t>
        </w:r>
      </w:hyperlink>
      <w:r>
        <w:rPr>
          <w:sz w:val="24"/>
        </w:rPr>
        <w:t xml:space="preserve"> указывается стоимость прав требования согласно условиям договора со страховым агентом, страховым брокером на конец отчетного периода (без учета резерва под обесценение).</w:t>
      </w:r>
    </w:p>
    <w:p>
      <w:pPr>
        <w:pStyle w:val="0"/>
        <w:spacing w:before="240" w:lineRule="auto"/>
        <w:ind w:firstLine="540"/>
        <w:jc w:val="both"/>
      </w:pPr>
      <w:r>
        <w:rPr>
          <w:sz w:val="24"/>
        </w:rPr>
        <w:t xml:space="preserve">54.18.4. Данные </w:t>
      </w:r>
      <w:hyperlink w:history="0" w:anchor="P15878" w:tooltip="Подраздел 2.18.1.">
        <w:r>
          <w:rPr>
            <w:sz w:val="24"/>
            <w:color w:val="0000ff"/>
          </w:rPr>
          <w:t xml:space="preserve">подразделов 2.18.1</w:t>
        </w:r>
      </w:hyperlink>
      <w:r>
        <w:rPr>
          <w:sz w:val="24"/>
        </w:rPr>
        <w:t xml:space="preserve"> - </w:t>
      </w:r>
      <w:hyperlink w:history="0" w:anchor="P16754" w:tooltip="Подраздел 2.18.3.">
        <w:r>
          <w:rPr>
            <w:sz w:val="24"/>
            <w:color w:val="0000ff"/>
          </w:rPr>
          <w:t xml:space="preserve">2.18.3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к страховым агентам и страховым брокерам по перечислению страховых премий (взносов),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54.19. По показателям </w:t>
      </w:r>
      <w:hyperlink w:history="0" w:anchor="P16844" w:tooltip="Подраздел 2.19.">
        <w:r>
          <w:rPr>
            <w:sz w:val="24"/>
            <w:color w:val="0000ff"/>
          </w:rPr>
          <w:t xml:space="preserve">подраздела 2.19 раздела 2</w:t>
        </w:r>
      </w:hyperlink>
      <w:r>
        <w:rPr>
          <w:sz w:val="24"/>
        </w:rPr>
        <w:t xml:space="preserve"> отчетности по форме 0420154 отражаются сведения о правах требования по обязательствам страхователей, перестрахователей (ретроцедентов) по уплате страховых премий (взносов), не учтенных в страховых резервах.</w:t>
      </w:r>
    </w:p>
    <w:p>
      <w:pPr>
        <w:pStyle w:val="0"/>
        <w:spacing w:before="240" w:lineRule="auto"/>
        <w:ind w:firstLine="540"/>
        <w:jc w:val="both"/>
      </w:pPr>
      <w:r>
        <w:rPr>
          <w:sz w:val="24"/>
        </w:rPr>
        <w:t xml:space="preserve">По показателю "По договору страхования существует просрочка страховой премии (взноса)" </w:t>
      </w:r>
      <w:hyperlink w:history="0" w:anchor="P17140" w:tooltip="319">
        <w:r>
          <w:rPr>
            <w:sz w:val="24"/>
            <w:color w:val="0000ff"/>
          </w:rPr>
          <w:t xml:space="preserve">(строка 319)</w:t>
        </w:r>
      </w:hyperlink>
      <w:r>
        <w:rPr>
          <w:sz w:val="24"/>
        </w:rPr>
        <w:t xml:space="preserve">, аналитическим признакам группы аналитических признаков "По договору страхования существует просрочка страховой премии (взноса)" указывается значение "Да", если по договору страхования, к которому относится актив, существует просрочка уплаты страховой премии (взноса) на срок, указанный в </w:t>
      </w:r>
      <w:hyperlink w:history="0" r:id="rId30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шестом пункта 8</w:t>
        </w:r>
      </w:hyperlink>
      <w:r>
        <w:rPr>
          <w:sz w:val="24"/>
        </w:rPr>
        <w:t xml:space="preserve"> приложения 1 к Положению Банка России N 858-П. В ином случае указывается значение "Нет" или "Неприменимо".</w:t>
      </w:r>
    </w:p>
    <w:p>
      <w:pPr>
        <w:pStyle w:val="0"/>
        <w:spacing w:before="240" w:lineRule="auto"/>
        <w:ind w:firstLine="540"/>
        <w:jc w:val="both"/>
      </w:pPr>
      <w:r>
        <w:rPr>
          <w:sz w:val="24"/>
        </w:rPr>
        <w:t xml:space="preserve">54.19.1. По показателям </w:t>
      </w:r>
      <w:hyperlink w:history="0" w:anchor="P16846" w:tooltip="Подраздел 2.19.1.">
        <w:r>
          <w:rPr>
            <w:sz w:val="24"/>
            <w:color w:val="0000ff"/>
          </w:rPr>
          <w:t xml:space="preserve">подраздела 2.19.1 раздела 2</w:t>
        </w:r>
      </w:hyperlink>
      <w:r>
        <w:rPr>
          <w:sz w:val="24"/>
        </w:rPr>
        <w:t xml:space="preserve"> отчетности по форме 0420154 отражаются сведения о правах требования по обязательствам страхователей, перестрахователей по уплате страховых премий (взносов), не учтенных в страховых резервах, стоимость которых не признана равной нулю, по обязанным лицам, отнесенным к первой категории контрагентов в соответствии с </w:t>
      </w:r>
      <w:hyperlink w:history="0" r:id="rId30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девятым</w:t>
        </w:r>
      </w:hyperlink>
      <w:r>
        <w:rPr>
          <w:sz w:val="24"/>
        </w:rPr>
        <w:t xml:space="preserve"> - </w:t>
      </w:r>
      <w:hyperlink w:history="0" r:id="rId30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четырнадцатым пункта 8</w:t>
        </w:r>
      </w:hyperlink>
      <w:r>
        <w:rPr>
          <w:sz w:val="24"/>
        </w:rPr>
        <w:t xml:space="preserve"> приложения 1 к Положению Банка России N 858-П, и обязанным лицам, активы которых в соответствии с </w:t>
      </w:r>
      <w:hyperlink w:history="0" r:id="rId30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6.5.10.1 пункта 6.5</w:t>
        </w:r>
      </w:hyperlink>
      <w:r>
        <w:rPr>
          <w:sz w:val="24"/>
        </w:rPr>
        <w:t xml:space="preserve"> Положения Банка России N 858-П не учитываются при определении концентрации на обязанное лицо для целей расчета риска 2 (по аналитическому признаку "Не участвует в оценке риска 2" группы аналитических признаков "Категория контрагентов для оценки риска 2").</w:t>
      </w:r>
    </w:p>
    <w:p>
      <w:pPr>
        <w:pStyle w:val="0"/>
        <w:spacing w:before="240" w:lineRule="auto"/>
        <w:ind w:firstLine="540"/>
        <w:jc w:val="both"/>
      </w:pPr>
      <w:r>
        <w:rPr>
          <w:sz w:val="24"/>
        </w:rPr>
        <w:t xml:space="preserve">Для прав требования к обязанному лицу, указанному по аналитическому признаку "Не участвует в оценке риска 2" группы аналитических признаков "Категория контрагентов для оценки риска 2", показатель "Дата возврата (погашения, оферты)" </w:t>
      </w:r>
      <w:hyperlink w:history="0" w:anchor="P16900" w:tooltip="314">
        <w:r>
          <w:rPr>
            <w:sz w:val="24"/>
            <w:color w:val="0000ff"/>
          </w:rPr>
          <w:t xml:space="preserve">(строка 314)</w:t>
        </w:r>
      </w:hyperlink>
      <w:r>
        <w:rPr>
          <w:sz w:val="24"/>
        </w:rPr>
        <w:t xml:space="preserve"> не формируется.</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(уникальный идентификатор) договора страхования (сострахования, перестрахования) (с указанием по группе аналитических признаков "Идентификатор контрагента" идентификатора обязанного лица по указанному договору страхования (сострахования, перестрахования).</w:t>
      </w:r>
    </w:p>
    <w:p>
      <w:pPr>
        <w:pStyle w:val="0"/>
        <w:spacing w:before="240" w:lineRule="auto"/>
        <w:ind w:firstLine="540"/>
        <w:jc w:val="both"/>
      </w:pPr>
      <w:r>
        <w:rPr>
          <w:sz w:val="24"/>
        </w:rPr>
        <w:t xml:space="preserve">В </w:t>
      </w:r>
      <w:hyperlink w:history="0" w:anchor="P16846" w:tooltip="Подраздел 2.19.1.">
        <w:r>
          <w:rPr>
            <w:sz w:val="24"/>
            <w:color w:val="0000ff"/>
          </w:rPr>
          <w:t xml:space="preserve">подразделе 2.19.1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обязанному лицу по договору страхования (сострахования, перестрахования) (кроме права требования к обязанному лицу, сведения о котором отражены по аналитическому признаку "Не участвует в оценке риска 2" группы аналитических признаков "Категория контрагентов для оценки риска 2")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54.19.2. По показателям </w:t>
      </w:r>
      <w:hyperlink w:history="0" w:anchor="P17428" w:tooltip="Подраздел 2.19.2.">
        <w:r>
          <w:rPr>
            <w:sz w:val="24"/>
            <w:color w:val="0000ff"/>
          </w:rPr>
          <w:t xml:space="preserve">подраздела 2.19.2 раздела 2</w:t>
        </w:r>
      </w:hyperlink>
      <w:r>
        <w:rPr>
          <w:sz w:val="24"/>
        </w:rPr>
        <w:t xml:space="preserve"> отчетности по форме 0420154 отражаются сведения о правах требования по обязательствам страхователей, перестрахователей по уплате страховых премий (взносов), не учтенных в страховых резервах, стоимость которых не признана равной нулю, по обязанным лицам, отнесенным ко второй - пятой категориям контрагентов в соответствии с </w:t>
      </w:r>
      <w:hyperlink w:history="0" r:id="rId30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 </w:t>
      </w:r>
      <w:hyperlink w:history="0" r:id="rId31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восемнадцатым пункта 8</w:t>
        </w:r>
      </w:hyperlink>
      <w:r>
        <w:rPr>
          <w:sz w:val="24"/>
        </w:rPr>
        <w:t xml:space="preserve"> приложения 1 к Положению Банка России N 858-П. При этом к обязанным лицам, отнесенным ко второй и третьей категориям контрагентов, относятся резиденты - юридические лица, которые в рамках оценки риска 2 распределены соответственно во вторую и третью категории контрагентов в соответствии с </w:t>
      </w:r>
      <w:hyperlink w:history="0" r:id="rId31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и </w:t>
      </w:r>
      <w:hyperlink w:history="0" r:id="rId31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шестнадцатым пункта 8</w:t>
        </w:r>
      </w:hyperlink>
      <w:r>
        <w:rPr>
          <w:sz w:val="24"/>
        </w:rPr>
        <w:t xml:space="preserve"> приложения 1 к Положению Банка России N 858-П и являются обязанными лицами только по указанным правам требования, либо такие резиденты - юридические лица, стоимость по другим активам которых признана равной нулю.</w:t>
      </w:r>
    </w:p>
    <w:p>
      <w:pPr>
        <w:pStyle w:val="0"/>
        <w:spacing w:before="240" w:lineRule="auto"/>
        <w:ind w:firstLine="540"/>
        <w:jc w:val="both"/>
      </w:pPr>
      <w:r>
        <w:rPr>
          <w:sz w:val="24"/>
        </w:rPr>
        <w:t xml:space="preserve">54.19.3. Сведения о правах требования по обязательствам страхователей, перестрахователей по уплате страховых премий (взносов), не учтенных в страховых резервах, стоимость которых признана равной нулю, отражаются отдельно в </w:t>
      </w:r>
      <w:hyperlink w:history="0" w:anchor="P17658" w:tooltip="Подраздел 2.19.3.">
        <w:r>
          <w:rPr>
            <w:sz w:val="24"/>
            <w:color w:val="0000ff"/>
          </w:rPr>
          <w:t xml:space="preserve">подразделе 2.19.3 раздела 2</w:t>
        </w:r>
      </w:hyperlink>
      <w:r>
        <w:rPr>
          <w:sz w:val="24"/>
        </w:rPr>
        <w:t xml:space="preserve"> отчетности по форме 0420154.</w:t>
      </w:r>
    </w:p>
    <w:p>
      <w:pPr>
        <w:pStyle w:val="0"/>
        <w:spacing w:before="240" w:lineRule="auto"/>
        <w:ind w:firstLine="540"/>
        <w:jc w:val="both"/>
      </w:pPr>
      <w:r>
        <w:rPr>
          <w:sz w:val="24"/>
        </w:rPr>
        <w:t xml:space="preserve">По показателю "Стоимость согласно условиям договора" </w:t>
      </w:r>
      <w:hyperlink w:history="0" w:anchor="P17660" w:tooltip="329">
        <w:r>
          <w:rPr>
            <w:sz w:val="24"/>
            <w:color w:val="0000ff"/>
          </w:rPr>
          <w:t xml:space="preserve">(строка 329)</w:t>
        </w:r>
      </w:hyperlink>
      <w:r>
        <w:rPr>
          <w:sz w:val="24"/>
        </w:rPr>
        <w:t xml:space="preserve"> указывается стоимость прав требования согласно условиям договора страхования (сострахования, перестрахования) на конец отчетного периода (без учета резерва под обесценение).</w:t>
      </w:r>
    </w:p>
    <w:p>
      <w:pPr>
        <w:pStyle w:val="0"/>
        <w:spacing w:before="240" w:lineRule="auto"/>
        <w:ind w:firstLine="540"/>
        <w:jc w:val="both"/>
      </w:pPr>
      <w:r>
        <w:rPr>
          <w:sz w:val="24"/>
        </w:rPr>
        <w:t xml:space="preserve">54.19.4. Данные </w:t>
      </w:r>
      <w:hyperlink w:history="0" w:anchor="P16846" w:tooltip="Подраздел 2.19.1.">
        <w:r>
          <w:rPr>
            <w:sz w:val="24"/>
            <w:color w:val="0000ff"/>
          </w:rPr>
          <w:t xml:space="preserve">подразделов 2.19.1</w:t>
        </w:r>
      </w:hyperlink>
      <w:r>
        <w:rPr>
          <w:sz w:val="24"/>
        </w:rPr>
        <w:t xml:space="preserve"> - </w:t>
      </w:r>
      <w:hyperlink w:history="0" w:anchor="P17658" w:tooltip="Подраздел 2.19.3.">
        <w:r>
          <w:rPr>
            <w:sz w:val="24"/>
            <w:color w:val="0000ff"/>
          </w:rPr>
          <w:t xml:space="preserve">2.19.3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по обязательствам страхователей, перестрахователей по уплате страховых премий (взносов),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54.20. По показателям </w:t>
      </w:r>
      <w:hyperlink w:history="0" w:anchor="P17748" w:tooltip="Подраздел 2.20.">
        <w:r>
          <w:rPr>
            <w:sz w:val="24"/>
            <w:color w:val="0000ff"/>
          </w:rPr>
          <w:t xml:space="preserve">подраздела 2.20 раздела 2</w:t>
        </w:r>
      </w:hyperlink>
      <w:r>
        <w:rPr>
          <w:sz w:val="24"/>
        </w:rPr>
        <w:t xml:space="preserve"> отчетности по форме 0420154 отражаются сведения о правах требования в части уплаты страховых премий (взносов), учтенных в страховых резервах, по видам прав требования: "Права требования к страховым агентам и страховым брокерам по перечислению страховых премий (взносов)" и "Права требования по обязательствам страхователей, перестрахователей по уплате страховых премий (взносов)", в том числе по договорам страхования, о которых на отчетную дату страховщик не имеет достоверных данных в связи с более поздним получением первичных учетных документов, указанным в </w:t>
      </w:r>
      <w:hyperlink w:history="0" r:id="rId31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втором подпункта 5.3.13 пункта 5.3</w:t>
        </w:r>
      </w:hyperlink>
      <w:r>
        <w:rPr>
          <w:sz w:val="24"/>
        </w:rPr>
        <w:t xml:space="preserve"> Положения Банка России N 858-П (далее - договоры, по которым нет достоверных данных).</w:t>
      </w:r>
    </w:p>
    <w:p>
      <w:pPr>
        <w:pStyle w:val="0"/>
        <w:spacing w:before="240" w:lineRule="auto"/>
        <w:ind w:firstLine="540"/>
        <w:jc w:val="both"/>
      </w:pPr>
      <w:r>
        <w:rPr>
          <w:sz w:val="24"/>
        </w:rPr>
        <w:t xml:space="preserve">По показателю "Стоимость, определенная в соответствии с требованиями к финансовой устойчивости и платежеспособности страховщиков" (</w:t>
      </w:r>
      <w:hyperlink w:history="0" w:anchor="P17752" w:tooltip="331">
        <w:r>
          <w:rPr>
            <w:sz w:val="24"/>
            <w:color w:val="0000ff"/>
          </w:rPr>
          <w:t xml:space="preserve">строки 331</w:t>
        </w:r>
      </w:hyperlink>
      <w:r>
        <w:rPr>
          <w:sz w:val="24"/>
        </w:rPr>
        <w:t xml:space="preserve">, </w:t>
      </w:r>
      <w:hyperlink w:history="0" w:anchor="P18090" w:tooltip="338">
        <w:r>
          <w:rPr>
            <w:sz w:val="24"/>
            <w:color w:val="0000ff"/>
          </w:rPr>
          <w:t xml:space="preserve">338</w:t>
        </w:r>
      </w:hyperlink>
      <w:r>
        <w:rPr>
          <w:sz w:val="24"/>
        </w:rPr>
        <w:t xml:space="preserve">) отражается стоимость прав требования в части уплаты страховых премий (взносов), учтенных в страховых резервах, на конец отчетного периода, определенная в соответствии с </w:t>
      </w:r>
      <w:hyperlink w:history="0" r:id="rId31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третьим пункта 6.4</w:t>
        </w:r>
      </w:hyperlink>
      <w:r>
        <w:rPr>
          <w:sz w:val="24"/>
        </w:rPr>
        <w:t xml:space="preserve"> Положения Банка России N 858-П.</w:t>
      </w:r>
    </w:p>
    <w:p>
      <w:pPr>
        <w:pStyle w:val="0"/>
        <w:spacing w:before="240" w:lineRule="auto"/>
        <w:ind w:firstLine="540"/>
        <w:jc w:val="both"/>
      </w:pPr>
      <w:r>
        <w:rPr>
          <w:sz w:val="24"/>
        </w:rPr>
        <w:t xml:space="preserve">По аналитическим признакам группы аналитических признаков "Права требования в части уплаты страховых премий (взносов), исключенные из концентрации на обязанное лицо" указывается значение "Да", если права требования относятся к правам требования, исключаемым из концентрации на обязанное лицо в соответствии с </w:t>
      </w:r>
      <w:hyperlink w:history="0" r:id="rId31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двадцать вторым пункта 1</w:t>
        </w:r>
      </w:hyperlink>
      <w:r>
        <w:rPr>
          <w:sz w:val="24"/>
        </w:rPr>
        <w:t xml:space="preserve"> приложения 1 к Положению Банка России N 858-П, или значение "Нет", если права требования не относятся к правам требования, исключаемым из концентрации на обязанное лицо в соответствии с </w:t>
      </w:r>
      <w:hyperlink w:history="0" r:id="rId31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двадцать вторым пункта 1</w:t>
        </w:r>
      </w:hyperlink>
      <w:r>
        <w:rPr>
          <w:sz w:val="24"/>
        </w:rPr>
        <w:t xml:space="preserve"> приложения 1 к Положению Банка России N 858-П. В отношении договоров страхования иного, чем страхование жизни, указывается значение "Неприменимо".</w:t>
      </w:r>
    </w:p>
    <w:p>
      <w:pPr>
        <w:pStyle w:val="0"/>
        <w:spacing w:before="240" w:lineRule="auto"/>
        <w:ind w:firstLine="540"/>
        <w:jc w:val="both"/>
      </w:pPr>
      <w:r>
        <w:rPr>
          <w:sz w:val="24"/>
        </w:rPr>
        <w:t xml:space="preserve">По аналитическим признакам группы аналитических признаков "По договору страхования существует просрочка страховой премии (взноса)" указывается значение "Да", если по договору страхования, к которому относится актив, существует просрочка уплаты страховой премии (взноса) на срок, указанный в </w:t>
      </w:r>
      <w:hyperlink w:history="0" r:id="rId31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шестом пункта 8</w:t>
        </w:r>
      </w:hyperlink>
      <w:r>
        <w:rPr>
          <w:sz w:val="24"/>
        </w:rPr>
        <w:t xml:space="preserve"> приложения 1 к Положению Банка России N 858-П, или значение "Нет", если по договору страхования, к которому относится актив, существует просрочка уплаты страховой премии (взноса) менее срока, указанного в </w:t>
      </w:r>
      <w:hyperlink w:history="0" r:id="rId31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шестом пункта 8</w:t>
        </w:r>
      </w:hyperlink>
      <w:r>
        <w:rPr>
          <w:sz w:val="24"/>
        </w:rPr>
        <w:t xml:space="preserve"> приложения 1 к Положению Банка России N 858-П, либо просрочка уплаты страховой премии (взноса) отсутствует. В отношении договоров страхования жизни указывается значение "Неприменимо".</w:t>
      </w:r>
    </w:p>
    <w:p>
      <w:pPr>
        <w:pStyle w:val="0"/>
        <w:spacing w:before="240" w:lineRule="auto"/>
        <w:ind w:firstLine="540"/>
        <w:jc w:val="both"/>
      </w:pPr>
      <w:r>
        <w:rPr>
          <w:sz w:val="24"/>
        </w:rPr>
        <w:t xml:space="preserve">54.20.1. По показателям </w:t>
      </w:r>
      <w:hyperlink w:history="0" w:anchor="P17750" w:tooltip="Подраздел 2.20.1.">
        <w:r>
          <w:rPr>
            <w:sz w:val="24"/>
            <w:color w:val="0000ff"/>
          </w:rPr>
          <w:t xml:space="preserve">подраздела 2.20.1 раздела 2</w:t>
        </w:r>
      </w:hyperlink>
      <w:r>
        <w:rPr>
          <w:sz w:val="24"/>
        </w:rPr>
        <w:t xml:space="preserve"> отчетности по форме 0420154 отражаются сведения о правах требования в части уплаты страховых премий (взносов), учтенных в страховых резервах, стоимость которых не признана равной нулю, по обязанным лицам, отнесенным к первой - третьей категориям контрагентов (кроме обязанных лиц, отраженных в </w:t>
      </w:r>
      <w:hyperlink w:history="0" w:anchor="P18088" w:tooltip="Подраздел 2.20.2.">
        <w:r>
          <w:rPr>
            <w:sz w:val="24"/>
            <w:color w:val="0000ff"/>
          </w:rPr>
          <w:t xml:space="preserve">подразделе 2.20.2 раздела 2</w:t>
        </w:r>
      </w:hyperlink>
      <w:r>
        <w:rPr>
          <w:sz w:val="24"/>
        </w:rPr>
        <w:t xml:space="preserve"> отчетности по форме 0420154) в соответствии с </w:t>
      </w:r>
      <w:hyperlink w:history="0" r:id="rId31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девятым</w:t>
        </w:r>
      </w:hyperlink>
      <w:r>
        <w:rPr>
          <w:sz w:val="24"/>
        </w:rPr>
        <w:t xml:space="preserve"> - </w:t>
      </w:r>
      <w:hyperlink w:history="0" r:id="rId32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шестнадцатым пункта 8</w:t>
        </w:r>
      </w:hyperlink>
      <w:r>
        <w:rPr>
          <w:sz w:val="24"/>
        </w:rPr>
        <w:t xml:space="preserve"> приложения 1 к Положению Банка России N 858-П, и обязанным лицам, активы которых в соответствии с </w:t>
      </w:r>
      <w:hyperlink w:history="0" r:id="rId32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6.5.10.1 пункта 6.5</w:t>
        </w:r>
      </w:hyperlink>
      <w:r>
        <w:rPr>
          <w:sz w:val="24"/>
        </w:rPr>
        <w:t xml:space="preserve"> Положения Банка России N 858-П не учитываются при определении концентрации на обязанное лицо для целей расчета риска 2 (по аналитическому признаку "Не участвует в оценке риска 2" группы аналитических признаков "Категория контрагентов для оценки риска 2").</w:t>
      </w:r>
    </w:p>
    <w:p>
      <w:pPr>
        <w:pStyle w:val="0"/>
        <w:spacing w:before="240" w:lineRule="auto"/>
        <w:ind w:firstLine="540"/>
        <w:jc w:val="both"/>
      </w:pPr>
      <w:r>
        <w:rPr>
          <w:sz w:val="24"/>
        </w:rPr>
        <w:t xml:space="preserve">Сведения о правах требования в части уплаты страховых премий (взносов), учитываемых в прогнозе денежных потоков, строящемся в соответствии с </w:t>
      </w:r>
      <w:hyperlink w:history="0" r:id="rId32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5.3.1 пункта 5.3</w:t>
        </w:r>
      </w:hyperlink>
      <w:r>
        <w:rPr>
          <w:sz w:val="24"/>
        </w:rPr>
        <w:t xml:space="preserve"> Положения Банка России N 858-П по договорам страхования жизни, которые по каждому обязанному лицу составляют менее 0,5 процента от суммарной стоимости активов страховщика, отражаются в </w:t>
      </w:r>
      <w:hyperlink w:history="0" w:anchor="P17750" w:tooltip="Подраздел 2.20.1.">
        <w:r>
          <w:rPr>
            <w:sz w:val="24"/>
            <w:color w:val="0000ff"/>
          </w:rPr>
          <w:t xml:space="preserve">подразделе 2.20.1 раздела 2</w:t>
        </w:r>
      </w:hyperlink>
      <w:r>
        <w:rPr>
          <w:sz w:val="24"/>
        </w:rPr>
        <w:t xml:space="preserve"> отчетности по форме 0420154 совокупно.</w:t>
      </w:r>
    </w:p>
    <w:p>
      <w:pPr>
        <w:pStyle w:val="0"/>
        <w:spacing w:before="240" w:lineRule="auto"/>
        <w:ind w:firstLine="540"/>
        <w:jc w:val="both"/>
      </w:pPr>
      <w:r>
        <w:rPr>
          <w:sz w:val="24"/>
        </w:rPr>
        <w:t xml:space="preserve">Для прав требования к обязанному лицу (обязанным лицам), указанному (указанным) по аналитическому признаку "Не участвует в оценке риска 2" группы аналитических признаков "Категория контрагентов для оценки риска 2", показатель "Дата возврата (погашения, оферты)" </w:t>
      </w:r>
      <w:hyperlink w:history="0" w:anchor="P17800" w:tooltip="332">
        <w:r>
          <w:rPr>
            <w:sz w:val="24"/>
            <w:color w:val="0000ff"/>
          </w:rPr>
          <w:t xml:space="preserve">(строка 332)</w:t>
        </w:r>
      </w:hyperlink>
      <w:r>
        <w:rPr>
          <w:sz w:val="24"/>
        </w:rPr>
        <w:t xml:space="preserve"> не формируется.</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(уникальный идентификатор) договора страхования (сострахования, перестрахования) (с указанием по группе аналитических признаков "Идентификатор контрагента" идентификатора обязанного лица по указанному договору страхования (сострахования, перестрахования), кроме прав требования, указанных в </w:t>
      </w:r>
      <w:hyperlink w:history="0" w:anchor="P28907" w:tooltip="54.22.2. Сведения о правах требования к перестраховщикам по урегулированию убытков, не учтенных в страховых резервах, стоимость которых признана равной нулю, отражаются отдельно в подразделе 2.22.1 раздела 2 отчетности по форме 0420154 (в том числе в отношении прав требования по уплате просроченной задолженности в целом по активу).">
        <w:r>
          <w:rPr>
            <w:sz w:val="24"/>
            <w:color w:val="0000ff"/>
          </w:rPr>
          <w:t xml:space="preserve">абзаце втором</w:t>
        </w:r>
      </w:hyperlink>
      <w:r>
        <w:rPr>
          <w:sz w:val="24"/>
        </w:rPr>
        <w:t xml:space="preserve"> настоящего подпункта. Для прав требования, указанных в </w:t>
      </w:r>
      <w:hyperlink w:history="0" w:anchor="P28907" w:tooltip="54.22.2. Сведения о правах требования к перестраховщикам по урегулированию убытков, не учтенных в страховых резервах, стоимость которых признана равной нулю, отражаются отдельно в подразделе 2.22.1 раздела 2 отчетности по форме 0420154 (в том числе в отношении прав требования по уплате просроченной задолженности в целом по активу).">
        <w:r>
          <w:rPr>
            <w:sz w:val="24"/>
            <w:color w:val="0000ff"/>
          </w:rPr>
          <w:t xml:space="preserve">абзаце втором</w:t>
        </w:r>
      </w:hyperlink>
      <w:r>
        <w:rPr>
          <w:sz w:val="24"/>
        </w:rPr>
        <w:t xml:space="preserve"> настоящего подпункта, по группе аналитических признаков "Идентификатор актива" указываются значение "СЖ" и порядковый номер, начиная с номера 1 без отступов (пробелов) (с указанием по группам аналитических признаков "Идентификатор контрагента" и "Идентификатор поручителя (гаранта)" значения "НП").</w:t>
      </w:r>
    </w:p>
    <w:p>
      <w:pPr>
        <w:pStyle w:val="0"/>
        <w:spacing w:before="240" w:lineRule="auto"/>
        <w:ind w:firstLine="540"/>
        <w:jc w:val="both"/>
      </w:pPr>
      <w:r>
        <w:rPr>
          <w:sz w:val="24"/>
        </w:rPr>
        <w:t xml:space="preserve">В </w:t>
      </w:r>
      <w:hyperlink w:history="0" w:anchor="P17750" w:tooltip="Подраздел 2.20.1.">
        <w:r>
          <w:rPr>
            <w:sz w:val="24"/>
            <w:color w:val="0000ff"/>
          </w:rPr>
          <w:t xml:space="preserve">подразделе 2.20.1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обязанному лицу по договору страхования (сострахования, перестрахования) (кроме прав требования к обязанным лицам, сведения о которых отражены по аналитическому признаку "Не участвует в оценке риска 2" группы аналитических признаков "Категория контрагентов для оценки риска 2")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В отношении договоров, по которым нет достоверных данных:</w:t>
      </w:r>
    </w:p>
    <w:p>
      <w:pPr>
        <w:pStyle w:val="0"/>
        <w:spacing w:before="240" w:lineRule="auto"/>
        <w:ind w:firstLine="540"/>
        <w:jc w:val="both"/>
      </w:pPr>
      <w:r>
        <w:rPr>
          <w:sz w:val="24"/>
        </w:rPr>
        <w:t xml:space="preserve">по группе аналитических признаков "Идентификатор контрагента" в значении идентификатора контрагента по характеристикам, приведенным в </w:t>
      </w:r>
      <w:hyperlink w:history="0" w:anchor="P969" w:tooltip="8.27.1. Для контрагента-резидента, являющегося юридическим лицом, указываются следующие характеристики:">
        <w:r>
          <w:rPr>
            <w:sz w:val="24"/>
            <w:color w:val="0000ff"/>
          </w:rPr>
          <w:t xml:space="preserve">подпунктах 8.27.1</w:t>
        </w:r>
      </w:hyperlink>
      <w:r>
        <w:rPr>
          <w:sz w:val="24"/>
        </w:rPr>
        <w:t xml:space="preserve"> - </w:t>
      </w:r>
      <w:hyperlink w:history="0" w:anchor="P987" w:tooltip="8.27.5. Для контрагента-нерезидента, являющегося физическим лицом (в том числе зарегистрированным в качестве индивидуального предпринимателя в соответствии с законодательством иностранного государства), указываются следующие характеристики:">
        <w:r>
          <w:rPr>
            <w:sz w:val="24"/>
            <w:color w:val="0000ff"/>
          </w:rPr>
          <w:t xml:space="preserve">8.27.5 пункта 8</w:t>
        </w:r>
      </w:hyperlink>
      <w:r>
        <w:rPr>
          <w:sz w:val="24"/>
        </w:rPr>
        <w:t xml:space="preserve"> Порядка и сроков составления отчетности по форме 0420150 "Общие сведения о страховщике", указываются нули, после них слова "по договорам нет данных" и порядковый номер начиная с номера 1 (в случае если конкретное обязанное лицо, которое может быть отнесено к первой - третьей категориям контрагентов, не может быть определено) (в том числе "999_0000000000_0000000000000_по договорам нет данных 1", где 999 указывается в случае отсутствия данных о стране контрагента, "643_0000000000_0000000000000_по договорам нет данных 2"). В случае если по договорам, по которым нет достоверных данных, конкретное обязанное лицо, которое может быть отнесено к первой - третьей категориям контрагентов, может быть определено, по группе аналитических признаков "Идентификатор контрагента" указывается идентификатор этого обязанного лица, слова "по договорам нет данных" и порядковый номер не указываются;</w:t>
      </w:r>
    </w:p>
    <w:p>
      <w:pPr>
        <w:pStyle w:val="0"/>
        <w:spacing w:before="240" w:lineRule="auto"/>
        <w:ind w:firstLine="540"/>
        <w:jc w:val="both"/>
      </w:pPr>
      <w:r>
        <w:rPr>
          <w:sz w:val="24"/>
        </w:rPr>
        <w:t xml:space="preserve">по группе аналитических признаков "Идентификатор актива" отражается номер договора (при наличии) с использованием значения "АДП" и указанием порядкового номера, начиная с номера 1 без отступов (пробелов).</w:t>
      </w:r>
    </w:p>
    <w:p>
      <w:pPr>
        <w:pStyle w:val="0"/>
        <w:spacing w:before="240" w:lineRule="auto"/>
        <w:ind w:firstLine="540"/>
        <w:jc w:val="both"/>
      </w:pPr>
      <w:r>
        <w:rPr>
          <w:sz w:val="24"/>
        </w:rPr>
        <w:t xml:space="preserve">54.20.2. По показателям </w:t>
      </w:r>
      <w:hyperlink w:history="0" w:anchor="P18088" w:tooltip="Подраздел 2.20.2.">
        <w:r>
          <w:rPr>
            <w:sz w:val="24"/>
            <w:color w:val="0000ff"/>
          </w:rPr>
          <w:t xml:space="preserve">подраздела 2.20.2 раздела 2</w:t>
        </w:r>
      </w:hyperlink>
      <w:r>
        <w:rPr>
          <w:sz w:val="24"/>
        </w:rPr>
        <w:t xml:space="preserve"> отчетности по форме 0420154 отражаются сведения о правах требования в части уплаты страховых премий (взносов), учтенных в страховых резервах, стоимость которых не признана равной нулю, по обязанным лицам, отнесенным ко второй - пятой категориям контрагентов в соответствии с </w:t>
      </w:r>
      <w:hyperlink w:history="0" r:id="rId32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 </w:t>
      </w:r>
      <w:hyperlink w:history="0" r:id="rId32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восемнадцатым пункта 8</w:t>
        </w:r>
      </w:hyperlink>
      <w:r>
        <w:rPr>
          <w:sz w:val="24"/>
        </w:rPr>
        <w:t xml:space="preserve"> приложения 1 к Положению Банка России N 858-П. При этом к обязанным лицам, отнесенным ко второй и третьей категориям контрагентов, относятся резиденты - юридические лица, которые в рамках оценки риска 2 распределены соответственно во вторую и третью категории контрагентов в соответствии с </w:t>
      </w:r>
      <w:hyperlink w:history="0" r:id="rId32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и </w:t>
      </w:r>
      <w:hyperlink w:history="0" r:id="rId32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шестнадцатым пункта 8</w:t>
        </w:r>
      </w:hyperlink>
      <w:r>
        <w:rPr>
          <w:sz w:val="24"/>
        </w:rPr>
        <w:t xml:space="preserve"> приложения 1 к Положению Банка России N 858-П и являются обязанными лицами только по указанным правам требования, либо такие резиденты - юридические лица, стоимость по другим активам которых признана равной нулю.</w:t>
      </w:r>
    </w:p>
    <w:p>
      <w:pPr>
        <w:pStyle w:val="0"/>
        <w:spacing w:before="240" w:lineRule="auto"/>
        <w:ind w:firstLine="540"/>
        <w:jc w:val="both"/>
      </w:pPr>
      <w:r>
        <w:rPr>
          <w:sz w:val="24"/>
        </w:rPr>
        <w:t xml:space="preserve">54.20.3. Сведения о правах требования в части уплаты страховых премий (взносов), учтенных в страховых резервах, стоимость которых признана равной нулю, отражаются отдельно в </w:t>
      </w:r>
      <w:hyperlink w:history="0" w:anchor="P18178" w:tooltip="Подраздел 2.20.3.">
        <w:r>
          <w:rPr>
            <w:sz w:val="24"/>
            <w:color w:val="0000ff"/>
          </w:rPr>
          <w:t xml:space="preserve">подразделе 2.20.3 раздела 2</w:t>
        </w:r>
      </w:hyperlink>
      <w:r>
        <w:rPr>
          <w:sz w:val="24"/>
        </w:rPr>
        <w:t xml:space="preserve"> отчетности по форме 0420154.</w:t>
      </w:r>
    </w:p>
    <w:p>
      <w:pPr>
        <w:pStyle w:val="0"/>
        <w:spacing w:before="240" w:lineRule="auto"/>
        <w:ind w:firstLine="540"/>
        <w:jc w:val="both"/>
      </w:pPr>
      <w:r>
        <w:rPr>
          <w:sz w:val="24"/>
        </w:rPr>
        <w:t xml:space="preserve">По показателю "Стоимость согласно условиям договора" </w:t>
      </w:r>
      <w:hyperlink w:history="0" w:anchor="P18180" w:tooltip="340">
        <w:r>
          <w:rPr>
            <w:sz w:val="24"/>
            <w:color w:val="0000ff"/>
          </w:rPr>
          <w:t xml:space="preserve">(строка 340)</w:t>
        </w:r>
      </w:hyperlink>
      <w:r>
        <w:rPr>
          <w:sz w:val="24"/>
        </w:rPr>
        <w:t xml:space="preserve"> указывается стоимость прав требования согласно условиям договора страхования (сострахования, перестрахования) на конец отчетного периода (без учета резерва под обесценение).</w:t>
      </w:r>
    </w:p>
    <w:p>
      <w:pPr>
        <w:pStyle w:val="0"/>
        <w:spacing w:before="240" w:lineRule="auto"/>
        <w:ind w:firstLine="540"/>
        <w:jc w:val="both"/>
      </w:pPr>
      <w:r>
        <w:rPr>
          <w:sz w:val="24"/>
        </w:rPr>
        <w:t xml:space="preserve">54.20.4. Данные </w:t>
      </w:r>
      <w:hyperlink w:history="0" w:anchor="P17750" w:tooltip="Подраздел 2.20.1.">
        <w:r>
          <w:rPr>
            <w:sz w:val="24"/>
            <w:color w:val="0000ff"/>
          </w:rPr>
          <w:t xml:space="preserve">подразделов 2.20.1</w:t>
        </w:r>
      </w:hyperlink>
      <w:r>
        <w:rPr>
          <w:sz w:val="24"/>
        </w:rPr>
        <w:t xml:space="preserve"> - </w:t>
      </w:r>
      <w:hyperlink w:history="0" w:anchor="P18178" w:tooltip="Подраздел 2.20.3.">
        <w:r>
          <w:rPr>
            <w:sz w:val="24"/>
            <w:color w:val="0000ff"/>
          </w:rPr>
          <w:t xml:space="preserve">2.20.3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w:t>
      </w:r>
    </w:p>
    <w:p>
      <w:pPr>
        <w:pStyle w:val="0"/>
        <w:spacing w:before="240" w:lineRule="auto"/>
        <w:ind w:firstLine="540"/>
        <w:jc w:val="both"/>
      </w:pPr>
      <w:r>
        <w:rPr>
          <w:sz w:val="24"/>
        </w:rPr>
        <w:t xml:space="preserve">по показателям "Полная балансовая стоимость" </w:t>
      </w:r>
      <w:hyperlink w:history="0" w:anchor="P2352" w:tooltip="1">
        <w:r>
          <w:rPr>
            <w:sz w:val="24"/>
            <w:color w:val="0000ff"/>
          </w:rPr>
          <w:t xml:space="preserve">(строка 1)</w:t>
        </w:r>
      </w:hyperlink>
      <w:r>
        <w:rPr>
          <w:sz w:val="24"/>
        </w:rPr>
        <w:t xml:space="preserve">, "Резерв под обесценение" </w:t>
      </w:r>
      <w:hyperlink w:history="0" w:anchor="P2364" w:tooltip="2">
        <w:r>
          <w:rPr>
            <w:sz w:val="24"/>
            <w:color w:val="0000ff"/>
          </w:rPr>
          <w:t xml:space="preserve">(строка 2)</w:t>
        </w:r>
      </w:hyperlink>
      <w:r>
        <w:rPr>
          <w:sz w:val="24"/>
        </w:rPr>
        <w:t xml:space="preserve"> и "Балансовая стоимость" </w:t>
      </w:r>
      <w:hyperlink w:history="0" w:anchor="P2376" w:tooltip="3">
        <w:r>
          <w:rPr>
            <w:sz w:val="24"/>
            <w:color w:val="0000ff"/>
          </w:rPr>
          <w:t xml:space="preserve">(строка 3)</w:t>
        </w:r>
      </w:hyperlink>
      <w:r>
        <w:rPr>
          <w:sz w:val="24"/>
        </w:rPr>
        <w:t xml:space="preserve">, аналитическому признаку "Прочие права требования" группы аналитических признаков "Вид актива" (при наличии);</w:t>
      </w:r>
    </w:p>
    <w:p>
      <w:pPr>
        <w:pStyle w:val="0"/>
        <w:spacing w:before="240" w:lineRule="auto"/>
        <w:ind w:firstLine="540"/>
        <w:jc w:val="both"/>
      </w:pPr>
      <w:r>
        <w:rPr>
          <w:sz w:val="24"/>
        </w:rPr>
        <w:t xml:space="preserve">по показателю "Балансовая стоимость" </w:t>
      </w:r>
      <w:hyperlink w:history="0" w:anchor="P2376" w:tooltip="3">
        <w:r>
          <w:rPr>
            <w:sz w:val="24"/>
            <w:color w:val="0000ff"/>
          </w:rPr>
          <w:t xml:space="preserve">(строка 3)</w:t>
        </w:r>
      </w:hyperlink>
      <w:r>
        <w:rPr>
          <w:sz w:val="24"/>
        </w:rPr>
        <w:t xml:space="preserve">, аналитическим признакам "Права требования в части уплаты страховых премий (взносов), учтенные в страховых резервах по страхованию жизни" и "Права требования в части уплаты страховых премий (взносов), учтенные в страховых резервах по страхованию иному, чем страхование жизни" группы аналитических признаков "Вид обязательства" (при наличии) (значения указываются со знаком "-" (минус);</w:t>
      </w:r>
    </w:p>
    <w:p>
      <w:pPr>
        <w:pStyle w:val="0"/>
        <w:spacing w:before="240" w:lineRule="auto"/>
        <w:ind w:firstLine="540"/>
        <w:jc w:val="both"/>
      </w:pPr>
      <w:r>
        <w:rPr>
          <w:sz w:val="24"/>
        </w:rPr>
        <w:t xml:space="preserve">по показателю "Стоимость, определенная в соответствии с требованиями к финансовой устойчивости и платежеспособности страховщиков" </w:t>
      </w:r>
      <w:hyperlink w:history="0" w:anchor="P2392" w:tooltip="4">
        <w:r>
          <w:rPr>
            <w:sz w:val="24"/>
            <w:color w:val="0000ff"/>
          </w:rPr>
          <w:t xml:space="preserve">(строка 4)</w:t>
        </w:r>
      </w:hyperlink>
      <w:r>
        <w:rPr>
          <w:sz w:val="24"/>
        </w:rPr>
        <w:t xml:space="preserve">, аналитическим признакам "Права требования в части уплаты страховых премий (взносов), учтенные в страховых резервах по страхованию жизни" и "Права требования в части уплаты страховых премий (взносов), учтенные в страховых резервах по страхованию иному, чем страхование жизни" группы аналитических признаков "Вид обязательства" (значения указываются со знаком "-" (минус).</w:t>
      </w:r>
    </w:p>
    <w:p>
      <w:pPr>
        <w:pStyle w:val="0"/>
        <w:spacing w:before="240" w:lineRule="auto"/>
        <w:ind w:firstLine="540"/>
        <w:jc w:val="both"/>
      </w:pPr>
      <w:r>
        <w:rPr>
          <w:sz w:val="24"/>
        </w:rPr>
        <w:t xml:space="preserve">54.21. По показателям </w:t>
      </w:r>
      <w:hyperlink w:history="0" w:anchor="P18244" w:tooltip="Подраздел 2.21.">
        <w:r>
          <w:rPr>
            <w:sz w:val="24"/>
            <w:color w:val="0000ff"/>
          </w:rPr>
          <w:t xml:space="preserve">подраздела 2.21 раздела 2</w:t>
        </w:r>
      </w:hyperlink>
      <w:r>
        <w:rPr>
          <w:sz w:val="24"/>
        </w:rPr>
        <w:t xml:space="preserve"> отчетности по форме 0420154 отражаются сведения о правах требования по обязательствам страхователя - физического лица по возврату займа, полученного при осуществлении страхования жизни.</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договора займа (с указанием по группе аналитических признаков "Идентификатор контрагента" идентификатора заемщика по указанному договору).</w:t>
      </w:r>
    </w:p>
    <w:p>
      <w:pPr>
        <w:pStyle w:val="0"/>
        <w:spacing w:before="240" w:lineRule="auto"/>
        <w:ind w:firstLine="540"/>
        <w:jc w:val="both"/>
      </w:pPr>
      <w:r>
        <w:rPr>
          <w:sz w:val="24"/>
        </w:rPr>
        <w:t xml:space="preserve">В </w:t>
      </w:r>
      <w:hyperlink w:history="0" w:anchor="P18244" w:tooltip="Подраздел 2.21.">
        <w:r>
          <w:rPr>
            <w:sz w:val="24"/>
            <w:color w:val="0000ff"/>
          </w:rPr>
          <w:t xml:space="preserve">подразделе 2.21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заемщику по договору займа, полученного при осуществлении страхования жизни, после даты окончания отчетного периода в разрезе платежей, предусмотренных договором, заключенным между страховщиком и страхователем (по группе аналитических признаков "Идентификатор платежа").</w:t>
      </w:r>
    </w:p>
    <w:p>
      <w:pPr>
        <w:pStyle w:val="0"/>
        <w:spacing w:before="240" w:lineRule="auto"/>
        <w:ind w:firstLine="540"/>
        <w:jc w:val="both"/>
      </w:pPr>
      <w:r>
        <w:rPr>
          <w:sz w:val="24"/>
        </w:rPr>
        <w:t xml:space="preserve">54.21.1. По показателю "Дата выдачи займа" </w:t>
      </w:r>
      <w:hyperlink w:history="0" w:anchor="P18358" w:tooltip="345">
        <w:r>
          <w:rPr>
            <w:sz w:val="24"/>
            <w:color w:val="0000ff"/>
          </w:rPr>
          <w:t xml:space="preserve">(строка 345)</w:t>
        </w:r>
      </w:hyperlink>
      <w:r>
        <w:rPr>
          <w:sz w:val="24"/>
        </w:rPr>
        <w:t xml:space="preserve"> указывается дата выдачи займа в соответствии с условиями договора, заключенного между страховщиком и страхователем.</w:t>
      </w:r>
    </w:p>
    <w:p>
      <w:pPr>
        <w:pStyle w:val="0"/>
        <w:spacing w:before="240" w:lineRule="auto"/>
        <w:ind w:firstLine="540"/>
        <w:jc w:val="both"/>
      </w:pPr>
      <w:r>
        <w:rPr>
          <w:sz w:val="24"/>
        </w:rPr>
        <w:t xml:space="preserve">54.21.2. По показателю "Права требования по обязательствам страхователя - физического лица по возврату займа соответствуют условиям, предусмотренным требованиями к финансовой устойчивости и платежеспособности страховщиков" </w:t>
      </w:r>
      <w:hyperlink w:history="0" w:anchor="P18502" w:tooltip="349">
        <w:r>
          <w:rPr>
            <w:sz w:val="24"/>
            <w:color w:val="0000ff"/>
          </w:rPr>
          <w:t xml:space="preserve">(строка 349)</w:t>
        </w:r>
      </w:hyperlink>
      <w:r>
        <w:rPr>
          <w:sz w:val="24"/>
        </w:rPr>
        <w:t xml:space="preserve"> указывается значение "Да", если права требования соответствуют условиям, предусмотренным </w:t>
      </w:r>
      <w:hyperlink w:history="0" r:id="rId32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3.1.12.8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54.21.3. Данные </w:t>
      </w:r>
      <w:hyperlink w:history="0" w:anchor="P18244" w:tooltip="Подраздел 2.21.">
        <w:r>
          <w:rPr>
            <w:sz w:val="24"/>
            <w:color w:val="0000ff"/>
          </w:rPr>
          <w:t xml:space="preserve">подраздела 2.21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по обязательствам страхователя - физического лица по возврату займа, полученного при осуществлении страхования жизни" группы аналитических признаков "Вид актива".</w:t>
      </w:r>
    </w:p>
    <w:p>
      <w:pPr>
        <w:pStyle w:val="0"/>
        <w:spacing w:before="240" w:lineRule="auto"/>
        <w:ind w:firstLine="540"/>
        <w:jc w:val="both"/>
      </w:pPr>
      <w:r>
        <w:rPr>
          <w:sz w:val="24"/>
        </w:rPr>
        <w:t xml:space="preserve">54.22. По показателям </w:t>
      </w:r>
      <w:hyperlink w:history="0" w:anchor="P18862" w:tooltip="Подраздел 2.22.">
        <w:r>
          <w:rPr>
            <w:sz w:val="24"/>
            <w:color w:val="0000ff"/>
          </w:rPr>
          <w:t xml:space="preserve">подраздела 2.22 раздела 2</w:t>
        </w:r>
      </w:hyperlink>
      <w:r>
        <w:rPr>
          <w:sz w:val="24"/>
        </w:rPr>
        <w:t xml:space="preserve"> отчетности по форме 0420154 отражаются сведения о правах требования к перестраховщикам (ретроцессионерам) по страховой выплате, включая расходы на рассмотрение заявления о наступлении страхового случая, покрываемые по договору перестрахования (ретроцессии), не учтенных в страховых резервах.</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к перестраховщикам по урегулированию убытков, не учтенные в страховых резервах"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18862" w:tooltip="Подраздел 2.22.">
        <w:r>
          <w:rPr>
            <w:sz w:val="24"/>
            <w:color w:val="0000ff"/>
          </w:rPr>
          <w:t xml:space="preserve">подразделом 2.22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перестраховщика (ретроцессионера).</w:t>
      </w:r>
    </w:p>
    <w:p>
      <w:pPr>
        <w:pStyle w:val="0"/>
        <w:spacing w:before="240" w:lineRule="auto"/>
        <w:ind w:firstLine="540"/>
        <w:jc w:val="both"/>
      </w:pPr>
      <w:r>
        <w:rPr>
          <w:sz w:val="24"/>
        </w:rPr>
        <w:t xml:space="preserve">В </w:t>
      </w:r>
      <w:hyperlink w:history="0" w:anchor="P18862" w:tooltip="Подраздел 2.22.">
        <w:r>
          <w:rPr>
            <w:sz w:val="24"/>
            <w:color w:val="0000ff"/>
          </w:rPr>
          <w:t xml:space="preserve">подразделе 2.22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перестраховщику (ретроцессионеру)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54.22.1. По показателю "Подтвержденная перестраховщиком сумма величины прав требования к нему" </w:t>
      </w:r>
      <w:hyperlink w:history="0" w:anchor="P19284" w:tooltip="372">
        <w:r>
          <w:rPr>
            <w:sz w:val="24"/>
            <w:color w:val="0000ff"/>
          </w:rPr>
          <w:t xml:space="preserve">(строка 372)</w:t>
        </w:r>
      </w:hyperlink>
      <w:r>
        <w:rPr>
          <w:sz w:val="24"/>
        </w:rPr>
        <w:t xml:space="preserve"> указывается сумма величины прав требования к перестраховщику, подтвержденная им.</w:t>
      </w:r>
    </w:p>
    <w:bookmarkStart w:id="28907" w:name="P28907"/>
    <w:bookmarkEnd w:id="28907"/>
    <w:p>
      <w:pPr>
        <w:pStyle w:val="0"/>
        <w:spacing w:before="240" w:lineRule="auto"/>
        <w:ind w:firstLine="540"/>
        <w:jc w:val="both"/>
      </w:pPr>
      <w:r>
        <w:rPr>
          <w:sz w:val="24"/>
        </w:rPr>
        <w:t xml:space="preserve">54.22.2. Сведения о правах требования к перестраховщикам по урегулированию убытков, не учтенных в страховых резервах, стоимость которых признана равной нулю, отражаются отдельно в </w:t>
      </w:r>
      <w:hyperlink w:history="0" w:anchor="P19476" w:tooltip="Подраздел 2.22.1.">
        <w:r>
          <w:rPr>
            <w:sz w:val="24"/>
            <w:color w:val="0000ff"/>
          </w:rPr>
          <w:t xml:space="preserve">подразделе 2.22.1 раздела 2</w:t>
        </w:r>
      </w:hyperlink>
      <w:r>
        <w:rPr>
          <w:sz w:val="24"/>
        </w:rPr>
        <w:t xml:space="preserve"> отчетности по форме 0420154 (в том числе в отношении прав требования по уплате просроченной задолженности в целом по активу).</w:t>
      </w:r>
    </w:p>
    <w:p>
      <w:pPr>
        <w:pStyle w:val="0"/>
        <w:spacing w:before="240" w:lineRule="auto"/>
        <w:ind w:firstLine="540"/>
        <w:jc w:val="both"/>
      </w:pPr>
      <w:r>
        <w:rPr>
          <w:sz w:val="24"/>
        </w:rPr>
        <w:t xml:space="preserve">Дополнительно в </w:t>
      </w:r>
      <w:hyperlink w:history="0" w:anchor="P19574" w:tooltip="Подраздел 2.22.1.1.">
        <w:r>
          <w:rPr>
            <w:sz w:val="24"/>
            <w:color w:val="0000ff"/>
          </w:rPr>
          <w:t xml:space="preserve">подразделе 2.22.1.1 раздела 2</w:t>
        </w:r>
      </w:hyperlink>
      <w:r>
        <w:rPr>
          <w:sz w:val="24"/>
        </w:rPr>
        <w:t xml:space="preserve"> отчетности по форме 0420154 по указанным в </w:t>
      </w:r>
      <w:hyperlink w:history="0" w:anchor="P28907" w:tooltip="54.22.2. Сведения о правах требования к перестраховщикам по урегулированию убытков, не учтенных в страховых резервах, стоимость которых признана равной нулю, отражаются отдельно в подразделе 2.22.1 раздела 2 отчетности по форме 0420154 (в том числе в отношении прав требования по уплате просроченной задолженности в целом по активу).">
        <w:r>
          <w:rPr>
            <w:sz w:val="24"/>
            <w:color w:val="0000ff"/>
          </w:rPr>
          <w:t xml:space="preserve">абзаце первом</w:t>
        </w:r>
      </w:hyperlink>
      <w:r>
        <w:rPr>
          <w:sz w:val="24"/>
        </w:rPr>
        <w:t xml:space="preserve"> настоящего подпункта правам требования отражаются сведения по 10 контрагентам, права требования по которым составляют 5 процентов и более от общей стоимости прав требования к перестраховщикам по урегулированию убытков на конец отчетного периода, отраженной в </w:t>
      </w:r>
      <w:hyperlink w:history="0" w:anchor="P19476" w:tooltip="Подраздел 2.22.1.">
        <w:r>
          <w:rPr>
            <w:sz w:val="24"/>
            <w:color w:val="0000ff"/>
          </w:rPr>
          <w:t xml:space="preserve">подразделе 2.22.1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перестраховщика (ретроцессионера).</w:t>
      </w:r>
    </w:p>
    <w:p>
      <w:pPr>
        <w:pStyle w:val="0"/>
        <w:spacing w:before="240" w:lineRule="auto"/>
        <w:ind w:firstLine="540"/>
        <w:jc w:val="both"/>
      </w:pPr>
      <w:r>
        <w:rPr>
          <w:sz w:val="24"/>
        </w:rPr>
        <w:t xml:space="preserve">В случае если у страховщика менее 10 контрагентов, в </w:t>
      </w:r>
      <w:hyperlink w:history="0" w:anchor="P19574" w:tooltip="Подраздел 2.22.1.1.">
        <w:r>
          <w:rPr>
            <w:sz w:val="24"/>
            <w:color w:val="0000ff"/>
          </w:rPr>
          <w:t xml:space="preserve">подразделе 2.22.1.1 раздела 2</w:t>
        </w:r>
      </w:hyperlink>
      <w:r>
        <w:rPr>
          <w:sz w:val="24"/>
        </w:rPr>
        <w:t xml:space="preserve"> отчетности по форме 0420154 указываются сведения по всем контрагентам, в случае если у страховщика более 10 контрагентов - сведения о 10 контрагентах с наибольшей стоимостью прав требования к ним.</w:t>
      </w:r>
    </w:p>
    <w:p>
      <w:pPr>
        <w:pStyle w:val="0"/>
        <w:spacing w:before="240" w:lineRule="auto"/>
        <w:ind w:firstLine="540"/>
        <w:jc w:val="both"/>
      </w:pPr>
      <w:r>
        <w:rPr>
          <w:sz w:val="24"/>
        </w:rPr>
        <w:t xml:space="preserve">По показателю "Стоимость согласно условиям договора" (</w:t>
      </w:r>
      <w:hyperlink w:history="0" w:anchor="P19478" w:tooltip="378">
        <w:r>
          <w:rPr>
            <w:sz w:val="24"/>
            <w:color w:val="0000ff"/>
          </w:rPr>
          <w:t xml:space="preserve">строки 378</w:t>
        </w:r>
      </w:hyperlink>
      <w:r>
        <w:rPr>
          <w:sz w:val="24"/>
        </w:rPr>
        <w:t xml:space="preserve">, </w:t>
      </w:r>
      <w:hyperlink w:history="0" w:anchor="P19576" w:tooltip="380">
        <w:r>
          <w:rPr>
            <w:sz w:val="24"/>
            <w:color w:val="0000ff"/>
          </w:rPr>
          <w:t xml:space="preserve">380</w:t>
        </w:r>
      </w:hyperlink>
      <w:r>
        <w:rPr>
          <w:sz w:val="24"/>
        </w:rPr>
        <w:t xml:space="preserve">) указывается стоимость прав требования согласно условиям договора перестрахования на конец отчетного периода (без учета резерва под обесценение).</w:t>
      </w:r>
    </w:p>
    <w:p>
      <w:pPr>
        <w:pStyle w:val="0"/>
        <w:spacing w:before="240" w:lineRule="auto"/>
        <w:ind w:firstLine="540"/>
        <w:jc w:val="both"/>
      </w:pPr>
      <w:r>
        <w:rPr>
          <w:sz w:val="24"/>
        </w:rPr>
        <w:t xml:space="preserve">54.22.3. Данные </w:t>
      </w:r>
      <w:hyperlink w:history="0" w:anchor="P18862" w:tooltip="Подраздел 2.22.">
        <w:r>
          <w:rPr>
            <w:sz w:val="24"/>
            <w:color w:val="0000ff"/>
          </w:rPr>
          <w:t xml:space="preserve">подразделов 2.22</w:t>
        </w:r>
      </w:hyperlink>
      <w:r>
        <w:rPr>
          <w:sz w:val="24"/>
        </w:rPr>
        <w:t xml:space="preserve"> и </w:t>
      </w:r>
      <w:hyperlink w:history="0" w:anchor="P19476" w:tooltip="Подраздел 2.22.1.">
        <w:r>
          <w:rPr>
            <w:sz w:val="24"/>
            <w:color w:val="0000ff"/>
          </w:rPr>
          <w:t xml:space="preserve">2.22.1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к перестраховщикам по урегулированию убытков,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54.23. По показателям </w:t>
      </w:r>
      <w:hyperlink w:history="0" w:anchor="P19592" w:tooltip="Подраздел 2.23.">
        <w:r>
          <w:rPr>
            <w:sz w:val="24"/>
            <w:color w:val="0000ff"/>
          </w:rPr>
          <w:t xml:space="preserve">подраздела 2.23 раздела 2</w:t>
        </w:r>
      </w:hyperlink>
      <w:r>
        <w:rPr>
          <w:sz w:val="24"/>
        </w:rPr>
        <w:t xml:space="preserve"> отчетности по форме 0420154 отражаются сведения о правах требования по расчетам, осуществляемым в рамках соглашения о прямом возмещении убытков по обязательному страхованию гражданской ответственности владельцев транспортных средств, предусмотренного </w:t>
      </w:r>
      <w:hyperlink w:history="0" r:id="rId328"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статьей 26.1</w:t>
        </w:r>
      </w:hyperlink>
      <w:r>
        <w:rPr>
          <w:sz w:val="24"/>
        </w:rPr>
        <w:t xml:space="preserve"> Федерального закона от 25 апреля 2002 года N 40-ФЗ "Об обязательном страховании гражданской ответственности владельцев транспортных средств", не учтенных в страховых резервах.</w:t>
      </w:r>
    </w:p>
    <w:p>
      <w:pPr>
        <w:pStyle w:val="0"/>
        <w:spacing w:before="240" w:lineRule="auto"/>
        <w:ind w:firstLine="540"/>
        <w:jc w:val="both"/>
      </w:pPr>
      <w:r>
        <w:rPr>
          <w:sz w:val="24"/>
        </w:rPr>
        <w:t xml:space="preserve">Данные </w:t>
      </w:r>
      <w:hyperlink w:history="0" w:anchor="P19592" w:tooltip="Подраздел 2.23.">
        <w:r>
          <w:rPr>
            <w:sz w:val="24"/>
            <w:color w:val="0000ff"/>
          </w:rPr>
          <w:t xml:space="preserve">подраздела 2.23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в рамках расчетов по прямому возмещению убытков,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54.24. По показателям </w:t>
      </w:r>
      <w:hyperlink w:history="0" w:anchor="P19658" w:tooltip="Подраздел 2.24.">
        <w:r>
          <w:rPr>
            <w:sz w:val="24"/>
            <w:color w:val="0000ff"/>
          </w:rPr>
          <w:t xml:space="preserve">подраздела 2.24 раздела 2</w:t>
        </w:r>
      </w:hyperlink>
      <w:r>
        <w:rPr>
          <w:sz w:val="24"/>
        </w:rPr>
        <w:t xml:space="preserve"> отчетности по форме 0420154 указываются сведения о правах требования по суброгациям и регрессам, не учтенных в страховых резервах, в том числе сведения о правах требования, не отраженных в </w:t>
      </w:r>
      <w:hyperlink w:history="0" w:anchor="P23986" w:tooltip="Подраздел 2.35.1.">
        <w:r>
          <w:rPr>
            <w:sz w:val="24"/>
            <w:color w:val="0000ff"/>
          </w:rPr>
          <w:t xml:space="preserve">подразделе 2.35.1 раздела 2</w:t>
        </w:r>
      </w:hyperlink>
      <w:r>
        <w:rPr>
          <w:sz w:val="24"/>
        </w:rPr>
        <w:t xml:space="preserve"> отчетности по форме 0420154.</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по суброгациям и регрессам, не учтенные в страховых резервах"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19658" w:tooltip="Подраздел 2.24.">
        <w:r>
          <w:rPr>
            <w:sz w:val="24"/>
            <w:color w:val="0000ff"/>
          </w:rPr>
          <w:t xml:space="preserve">подразделом 2.24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обязанного лица).</w:t>
      </w:r>
    </w:p>
    <w:p>
      <w:pPr>
        <w:pStyle w:val="0"/>
        <w:spacing w:before="240" w:lineRule="auto"/>
        <w:ind w:firstLine="540"/>
        <w:jc w:val="both"/>
      </w:pPr>
      <w:r>
        <w:rPr>
          <w:sz w:val="24"/>
        </w:rPr>
        <w:t xml:space="preserve">По показателю "Права требования относятся к правам требования к страховщику, основанным на суброгации или регрессе и установленным вступившим в законную силу решением суда" </w:t>
      </w:r>
      <w:hyperlink w:history="0" w:anchor="P19792" w:tooltip="388">
        <w:r>
          <w:rPr>
            <w:sz w:val="24"/>
            <w:color w:val="0000ff"/>
          </w:rPr>
          <w:t xml:space="preserve">(строка 388)</w:t>
        </w:r>
      </w:hyperlink>
      <w:r>
        <w:rPr>
          <w:sz w:val="24"/>
        </w:rPr>
        <w:t xml:space="preserve">, аналитическому признаку группы аналитических признаков "Права требования относятся к правам требования к страховщику, основанным на суброгации или регрессе и установленным вступившим в законную силу решением суда" указывается значение "Да", если права требования соответствуют требованиям </w:t>
      </w:r>
      <w:hyperlink w:history="0" r:id="rId32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 пятого подпункта 3.1.12.10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54.24.1. Сведения о правах требования по суброгациям и регрессам, не учтенных в страховых резервах, стоимость которых признана равной нулю, указываются отдельно в </w:t>
      </w:r>
      <w:hyperlink w:history="0" w:anchor="P20080" w:tooltip="Подраздел 2.24.1.">
        <w:r>
          <w:rPr>
            <w:sz w:val="24"/>
            <w:color w:val="0000ff"/>
          </w:rPr>
          <w:t xml:space="preserve">подразделе 2.24.1 раздела 2</w:t>
        </w:r>
      </w:hyperlink>
      <w:r>
        <w:rPr>
          <w:sz w:val="24"/>
        </w:rPr>
        <w:t xml:space="preserve"> отчетности по форме 0420154 (в том числе в отношении прав требования по уплате просроченной задолженности в целом по активу).</w:t>
      </w:r>
    </w:p>
    <w:p>
      <w:pPr>
        <w:pStyle w:val="0"/>
        <w:spacing w:before="240" w:lineRule="auto"/>
        <w:ind w:firstLine="540"/>
        <w:jc w:val="both"/>
      </w:pPr>
      <w:r>
        <w:rPr>
          <w:sz w:val="24"/>
        </w:rPr>
        <w:t xml:space="preserve">По показателю "Стоимость согласно условиям договора" </w:t>
      </w:r>
      <w:hyperlink w:history="0" w:anchor="P20082" w:tooltip="397">
        <w:r>
          <w:rPr>
            <w:sz w:val="24"/>
            <w:color w:val="0000ff"/>
          </w:rPr>
          <w:t xml:space="preserve">(строка 397)</w:t>
        </w:r>
      </w:hyperlink>
      <w:r>
        <w:rPr>
          <w:sz w:val="24"/>
        </w:rPr>
        <w:t xml:space="preserve"> указывается стоимость прав требования по суброгациям и регрессам на конец отчетного периода (без учета резерва под обесценение).</w:t>
      </w:r>
    </w:p>
    <w:p>
      <w:pPr>
        <w:pStyle w:val="0"/>
        <w:spacing w:before="240" w:lineRule="auto"/>
        <w:ind w:firstLine="540"/>
        <w:jc w:val="both"/>
      </w:pPr>
      <w:r>
        <w:rPr>
          <w:sz w:val="24"/>
        </w:rPr>
        <w:t xml:space="preserve">54.24.2. Данные </w:t>
      </w:r>
      <w:hyperlink w:history="0" w:anchor="P19658" w:tooltip="Подраздел 2.24.">
        <w:r>
          <w:rPr>
            <w:sz w:val="24"/>
            <w:color w:val="0000ff"/>
          </w:rPr>
          <w:t xml:space="preserve">подразделов 2.24</w:t>
        </w:r>
      </w:hyperlink>
      <w:r>
        <w:rPr>
          <w:sz w:val="24"/>
        </w:rPr>
        <w:t xml:space="preserve"> и </w:t>
      </w:r>
      <w:hyperlink w:history="0" w:anchor="P20080" w:tooltip="Подраздел 2.24.1.">
        <w:r>
          <w:rPr>
            <w:sz w:val="24"/>
            <w:color w:val="0000ff"/>
          </w:rPr>
          <w:t xml:space="preserve">2.24.1 раздела 2</w:t>
        </w:r>
      </w:hyperlink>
      <w:r>
        <w:rPr>
          <w:sz w:val="24"/>
        </w:rPr>
        <w:t xml:space="preserve"> отчетности по форме 0420154 (за исключением прав требования по регрессам к юридическим и физическим лицам, причинившим вред здоровью застрахованных лиц, в части средств обязательного медицинского страхования, являющихся средствами целевого финансирования)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по суброгациям и регрессам, не учтенные в страховых резервах" группы аналитических признаков "Вид актива", в отношении прав требования по регрессам к юридическим и физическим лицам, причинившим вред здоровью застрахованных лиц, в части средств обязательного медицинского страхования, являющихся средствами целевого финансирования, - по аналитическому признаку "Средства обязательного медицинского страхования" группы аналитических признаков "Вид актива".</w:t>
      </w:r>
    </w:p>
    <w:p>
      <w:pPr>
        <w:pStyle w:val="0"/>
        <w:spacing w:before="240" w:lineRule="auto"/>
        <w:ind w:firstLine="540"/>
        <w:jc w:val="both"/>
      </w:pPr>
      <w:r>
        <w:rPr>
          <w:sz w:val="24"/>
        </w:rPr>
        <w:t xml:space="preserve">54.25. По показателям </w:t>
      </w:r>
      <w:hyperlink w:history="0" w:anchor="P20178" w:tooltip="Подраздел 2.25.">
        <w:r>
          <w:rPr>
            <w:sz w:val="24"/>
            <w:color w:val="0000ff"/>
          </w:rPr>
          <w:t xml:space="preserve">подраздела 2.25 раздела 2</w:t>
        </w:r>
      </w:hyperlink>
      <w:r>
        <w:rPr>
          <w:sz w:val="24"/>
        </w:rPr>
        <w:t xml:space="preserve"> отчетности по форме 0420154 отражаются сведения о правах требования к медицинским организациям и учреждениям санаторно-курортного профиля, указанным в </w:t>
      </w:r>
      <w:hyperlink w:history="0" r:id="rId330" w:tooltip="Приказ Минтруда России N 301н, Минздрава России N 449н от 10.07.2013 &quot;Об утверждении перечня санаторно-курортных учреждений (государственной, муниципальной и частной систем здравоохранения), в которые предоставляются при наличии медицинских показаний путевки на санаторно-курортное лечение, осуществляемое в целях профилактики основных заболеваний граждан, имеющих право на получение государственной социальной помощи&quot; (Зарегистрировано в Минюсте России 05.08.2013 N 29269) {КонсультантПлюс}">
        <w:r>
          <w:rPr>
            <w:sz w:val="24"/>
            <w:color w:val="0000ff"/>
          </w:rPr>
          <w:t xml:space="preserve">перечне</w:t>
        </w:r>
      </w:hyperlink>
      <w:r>
        <w:rPr>
          <w:sz w:val="24"/>
        </w:rPr>
        <w:t xml:space="preserve"> санаторно-курортных учреждений (государственной, муниципальной и частной систем здравоохранения), в которые предоставляются при наличии медицинских показаний путевки на санаторно-курортное лечение, осуществляемое в целях профилактики основных заболеваний граждан, имеющих право на получение государственной социальной помощи &lt;5&gt;, в том числе сведения о правах требования, не отраженных в </w:t>
      </w:r>
      <w:hyperlink w:history="0" w:anchor="P23986" w:tooltip="Подраздел 2.35.1.">
        <w:r>
          <w:rPr>
            <w:sz w:val="24"/>
            <w:color w:val="0000ff"/>
          </w:rPr>
          <w:t xml:space="preserve">подразделе 2.35.1 раздела 2</w:t>
        </w:r>
      </w:hyperlink>
      <w:r>
        <w:rPr>
          <w:sz w:val="24"/>
        </w:rPr>
        <w:t xml:space="preserve"> отчетности по форме 0420154.</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&lt;5&gt; Утвержден </w:t>
      </w:r>
      <w:hyperlink w:history="0" r:id="rId331" w:tooltip="Приказ Минтруда России N 301н, Минздрава России N 449н от 10.07.2013 &quot;Об утверждении перечня санаторно-курортных учреждений (государственной, муниципальной и частной систем здравоохранения), в которые предоставляются при наличии медицинских показаний путевки на санаторно-курортное лечение, осуществляемое в целях профилактики основных заболеваний граждан, имеющих право на получение государственной социальной помощи&quot; (Зарегистрировано в Минюсте России 05.08.2013 N 29269) {КонсультантПлюс}">
        <w:r>
          <w:rPr>
            <w:sz w:val="24"/>
            <w:color w:val="0000ff"/>
          </w:rPr>
          <w:t xml:space="preserve">приказом</w:t>
        </w:r>
      </w:hyperlink>
      <w:r>
        <w:rPr>
          <w:sz w:val="24"/>
        </w:rPr>
        <w:t xml:space="preserve"> Минтруда России и Минздрава России от 10 июля 2013 года N 301н/449н "Об утверждении перечня санаторно-курортных учреждений (государственной, муниципальной и частной систем здравоохранения), в которые предоставляются при наличии медицинских показаний путевки на санаторно-курортное лечение, осуществляемое в целях профилактики основных заболеваний граждан, имеющих право на получение государственной социальной помощи" (зарегистрирован Минюстом России 5 августа 2013 года, регистрационный N 29269).</w:t>
      </w:r>
    </w:p>
    <w:p>
      <w:pPr>
        <w:pStyle w:val="0"/>
        <w:ind w:firstLine="540"/>
        <w:jc w:val="both"/>
      </w:pPr>
      <w:r>
        <w:rPr>
          <w:sz w:val="24"/>
        </w:rPr>
      </w:r>
    </w:p>
    <w:p>
      <w:pPr>
        <w:pStyle w:val="0"/>
        <w:ind w:firstLine="540"/>
        <w:jc w:val="both"/>
      </w:pPr>
      <w:r>
        <w:rPr>
          <w:sz w:val="24"/>
        </w:rPr>
        <w:t xml:space="preserve">По группе аналитических признаков "Идентификатор актива" указываются вид актива "Права требования к медицинским организациям и учреждениям санаторно-курортного профиля"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0178" w:tooltip="Подраздел 2.25.">
        <w:r>
          <w:rPr>
            <w:sz w:val="24"/>
            <w:color w:val="0000ff"/>
          </w:rPr>
          <w:t xml:space="preserve">подразделом 2.25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медицинской организации, учреждения санаторно-курортного профиля).</w:t>
      </w:r>
    </w:p>
    <w:p>
      <w:pPr>
        <w:pStyle w:val="0"/>
        <w:spacing w:before="240" w:lineRule="auto"/>
        <w:ind w:firstLine="540"/>
        <w:jc w:val="both"/>
      </w:pPr>
      <w:r>
        <w:rPr>
          <w:sz w:val="24"/>
        </w:rPr>
        <w:t xml:space="preserve">54.25.1. Сведения о правах требования к медицинским организациям и учреждениям санаторно-курортного профиля, стоимость которых признана равной нулю, отражаются отдельно в </w:t>
      </w:r>
      <w:hyperlink w:history="0" w:anchor="P20380" w:tooltip="Подраздел 2.25.1.">
        <w:r>
          <w:rPr>
            <w:sz w:val="24"/>
            <w:color w:val="0000ff"/>
          </w:rPr>
          <w:t xml:space="preserve">подразделе 2.25.1 раздела 2</w:t>
        </w:r>
      </w:hyperlink>
      <w:r>
        <w:rPr>
          <w:sz w:val="24"/>
        </w:rPr>
        <w:t xml:space="preserve"> отчетности по форме 0420154 (в том числе в отношении прав требования по уплате просроченной задолженности в целом по активу).</w:t>
      </w:r>
    </w:p>
    <w:p>
      <w:pPr>
        <w:pStyle w:val="0"/>
        <w:spacing w:before="240" w:lineRule="auto"/>
        <w:ind w:firstLine="540"/>
        <w:jc w:val="both"/>
      </w:pPr>
      <w:r>
        <w:rPr>
          <w:sz w:val="24"/>
        </w:rPr>
        <w:t xml:space="preserve">54.25.2. Данные </w:t>
      </w:r>
      <w:hyperlink w:history="0" w:anchor="P20178" w:tooltip="Подраздел 2.25.">
        <w:r>
          <w:rPr>
            <w:sz w:val="24"/>
            <w:color w:val="0000ff"/>
          </w:rPr>
          <w:t xml:space="preserve">подразделов 2.25</w:t>
        </w:r>
      </w:hyperlink>
      <w:r>
        <w:rPr>
          <w:sz w:val="24"/>
        </w:rPr>
        <w:t xml:space="preserve"> и </w:t>
      </w:r>
      <w:hyperlink w:history="0" w:anchor="P20380" w:tooltip="Подраздел 2.25.1.">
        <w:r>
          <w:rPr>
            <w:sz w:val="24"/>
            <w:color w:val="0000ff"/>
          </w:rPr>
          <w:t xml:space="preserve">2.25.1 раздела 2</w:t>
        </w:r>
      </w:hyperlink>
      <w:r>
        <w:rPr>
          <w:sz w:val="24"/>
        </w:rPr>
        <w:t xml:space="preserve"> отчетности по форме 0420154 (за исключением прав требования к медицинским организациям в части средств обязательного медицинского страхования, являющихся средствами целевого финансирования)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группы аналитических признаков "Вид актива", в отношении прав требования к медицинским организациям в части средств обязательного медицинского страхования, являющихся средствами целевого финансирования, - по аналитическому признаку "Средства обязательного медицинского страхования" группы аналитических признаков "Вид актива".</w:t>
      </w:r>
    </w:p>
    <w:p>
      <w:pPr>
        <w:pStyle w:val="0"/>
        <w:spacing w:before="240" w:lineRule="auto"/>
        <w:ind w:firstLine="540"/>
        <w:jc w:val="both"/>
      </w:pPr>
      <w:r>
        <w:rPr>
          <w:sz w:val="24"/>
        </w:rPr>
        <w:t xml:space="preserve">54.26. По показателям </w:t>
      </w:r>
      <w:hyperlink w:history="0" w:anchor="P20454" w:tooltip="Подраздел 2.26.">
        <w:r>
          <w:rPr>
            <w:sz w:val="24"/>
            <w:color w:val="0000ff"/>
          </w:rPr>
          <w:t xml:space="preserve">подраздела 2.26 раздела 2</w:t>
        </w:r>
      </w:hyperlink>
      <w:r>
        <w:rPr>
          <w:sz w:val="24"/>
        </w:rPr>
        <w:t xml:space="preserve"> отчетности по форме 0420154 отражаются сведения о правах требования по возврату излишне уплаченных (взысканных) страховых взносов по обязательному социальному страхованию от несчастных случаев на производстве и профессиональных заболеваний.</w:t>
      </w:r>
    </w:p>
    <w:p>
      <w:pPr>
        <w:pStyle w:val="0"/>
        <w:spacing w:before="240" w:lineRule="auto"/>
        <w:ind w:firstLine="540"/>
        <w:jc w:val="both"/>
      </w:pPr>
      <w:r>
        <w:rPr>
          <w:sz w:val="24"/>
        </w:rPr>
        <w:t xml:space="preserve">Данные </w:t>
      </w:r>
      <w:hyperlink w:history="0" w:anchor="P20454" w:tooltip="Подраздел 2.26.">
        <w:r>
          <w:rPr>
            <w:sz w:val="24"/>
            <w:color w:val="0000ff"/>
          </w:rPr>
          <w:t xml:space="preserve">подраздела 2.26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по возврату излишне уплаченных (взысканных) страховых взносов по обязательному социальному страхованию" группы аналитических признаков "Вид актива".</w:t>
      </w:r>
    </w:p>
    <w:p>
      <w:pPr>
        <w:pStyle w:val="0"/>
        <w:spacing w:before="240" w:lineRule="auto"/>
        <w:ind w:firstLine="540"/>
        <w:jc w:val="both"/>
      </w:pPr>
      <w:r>
        <w:rPr>
          <w:sz w:val="24"/>
        </w:rPr>
        <w:t xml:space="preserve">54.27. По показателям </w:t>
      </w:r>
      <w:hyperlink w:history="0" w:anchor="P20524" w:tooltip="Подраздел 2.27.">
        <w:r>
          <w:rPr>
            <w:sz w:val="24"/>
            <w:color w:val="0000ff"/>
          </w:rPr>
          <w:t xml:space="preserve">подраздела 2.27 раздела 2</w:t>
        </w:r>
      </w:hyperlink>
      <w:r>
        <w:rPr>
          <w:sz w:val="24"/>
        </w:rPr>
        <w:t xml:space="preserve"> отчетности по форме 0420154 отражаются сведения о правах требования по авансовым платежам по налогам, задолженности бюджетов по налогам и сборам.</w:t>
      </w:r>
    </w:p>
    <w:p>
      <w:pPr>
        <w:pStyle w:val="0"/>
        <w:spacing w:before="240" w:lineRule="auto"/>
        <w:ind w:firstLine="540"/>
        <w:jc w:val="both"/>
      </w:pPr>
      <w:r>
        <w:rPr>
          <w:sz w:val="24"/>
        </w:rPr>
        <w:t xml:space="preserve">Данные </w:t>
      </w:r>
      <w:hyperlink w:history="0" w:anchor="P20524" w:tooltip="Подраздел 2.27.">
        <w:r>
          <w:rPr>
            <w:sz w:val="24"/>
            <w:color w:val="0000ff"/>
          </w:rPr>
          <w:t xml:space="preserve">подраздела 2.27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по авансовым платежам по налогам, задолженности бюджетов по налогам и сборам" группы аналитических признаков "Вид актива".</w:t>
      </w:r>
    </w:p>
    <w:p>
      <w:pPr>
        <w:pStyle w:val="0"/>
        <w:spacing w:before="240" w:lineRule="auto"/>
        <w:ind w:firstLine="540"/>
        <w:jc w:val="both"/>
      </w:pPr>
      <w:r>
        <w:rPr>
          <w:sz w:val="24"/>
        </w:rPr>
        <w:t xml:space="preserve">54.28. По показателям </w:t>
      </w:r>
      <w:hyperlink w:history="0" w:anchor="P20626" w:tooltip="Подраздел 2.28.">
        <w:r>
          <w:rPr>
            <w:sz w:val="24"/>
            <w:color w:val="0000ff"/>
          </w:rPr>
          <w:t xml:space="preserve">подраздела 2.28 раздела 2</w:t>
        </w:r>
      </w:hyperlink>
      <w:r>
        <w:rPr>
          <w:sz w:val="24"/>
        </w:rPr>
        <w:t xml:space="preserve"> отчетности по форме 0420154 отражаются сведения о правах требования по сделке, направленной на последующий переход от страховщика права собственности на объект недвижимости.</w:t>
      </w:r>
    </w:p>
    <w:p>
      <w:pPr>
        <w:pStyle w:val="0"/>
        <w:spacing w:before="240" w:lineRule="auto"/>
        <w:ind w:firstLine="540"/>
        <w:jc w:val="both"/>
      </w:pPr>
      <w:r>
        <w:rPr>
          <w:sz w:val="24"/>
        </w:rPr>
        <w:t xml:space="preserve">По группе аналитических признаков "Идентификатор актива" отражается в соответствии с Единым государственным реестром недвижимости (далее - ЕГРП) кадастровый (условный) номер объекта недвижимости, права собственности на который будут переданы по сделке страховщика, указанный в выписке из ЕГРП или свидетельстве о государственной регистрации права на недвижимое имущество (с указанием по группе аналитических признаков "Идентификатор контрагента" идентификатора контрагента по сделке).</w:t>
      </w:r>
    </w:p>
    <w:p>
      <w:pPr>
        <w:pStyle w:val="0"/>
        <w:spacing w:before="240" w:lineRule="auto"/>
        <w:ind w:firstLine="540"/>
        <w:jc w:val="both"/>
      </w:pPr>
      <w:r>
        <w:rPr>
          <w:sz w:val="24"/>
        </w:rPr>
        <w:t xml:space="preserve">В </w:t>
      </w:r>
      <w:hyperlink w:history="0" w:anchor="P2420" w:tooltip="Раздел 2.">
        <w:r>
          <w:rPr>
            <w:sz w:val="24"/>
            <w:color w:val="0000ff"/>
          </w:rPr>
          <w:t xml:space="preserve">разделе 2</w:t>
        </w:r>
      </w:hyperlink>
      <w:r>
        <w:rPr>
          <w:sz w:val="24"/>
        </w:rPr>
        <w:t xml:space="preserve"> отчетности по форме 0420154 раскрывается информация об объектах недвижимости, права собственности на которые будут переданы по сделке страховщика.</w:t>
      </w:r>
    </w:p>
    <w:p>
      <w:pPr>
        <w:pStyle w:val="0"/>
        <w:spacing w:before="240" w:lineRule="auto"/>
        <w:ind w:firstLine="540"/>
        <w:jc w:val="both"/>
      </w:pPr>
      <w:r>
        <w:rPr>
          <w:sz w:val="24"/>
        </w:rPr>
        <w:t xml:space="preserve">Данные </w:t>
      </w:r>
      <w:hyperlink w:history="0" w:anchor="P20626" w:tooltip="Подраздел 2.28.">
        <w:r>
          <w:rPr>
            <w:sz w:val="24"/>
            <w:color w:val="0000ff"/>
          </w:rPr>
          <w:t xml:space="preserve">подраздела 2.28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по сделке, направленной на последующий переход от страховщика права собственности на объект недвижимости" группы аналитических признаков "Вид актива".</w:t>
      </w:r>
    </w:p>
    <w:p>
      <w:pPr>
        <w:pStyle w:val="0"/>
        <w:spacing w:before="240" w:lineRule="auto"/>
        <w:ind w:firstLine="540"/>
        <w:jc w:val="both"/>
      </w:pPr>
      <w:r>
        <w:rPr>
          <w:sz w:val="24"/>
        </w:rPr>
        <w:t xml:space="preserve">54.29. По показателям </w:t>
      </w:r>
      <w:hyperlink w:history="0" w:anchor="P20724" w:tooltip="Подраздел 2.29.">
        <w:r>
          <w:rPr>
            <w:sz w:val="24"/>
            <w:color w:val="0000ff"/>
          </w:rPr>
          <w:t xml:space="preserve">подраздела 2.29 раздела 2</w:t>
        </w:r>
      </w:hyperlink>
      <w:r>
        <w:rPr>
          <w:sz w:val="24"/>
        </w:rPr>
        <w:t xml:space="preserve"> отчетности по форме 0420154 отражаются сведения о правах требования, возникших в связи с авансовыми платежами страховщика по договорам перестрахования (ретроцессии), не учтенных в страховых резервах.</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возникшие в связи с авансовыми платежами страховщика по договорам перестрахования, не учтенные в страховых резервах"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0724" w:tooltip="Подраздел 2.29.">
        <w:r>
          <w:rPr>
            <w:sz w:val="24"/>
            <w:color w:val="0000ff"/>
          </w:rPr>
          <w:t xml:space="preserve">подразделом 2.29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перестраховщика).</w:t>
      </w:r>
    </w:p>
    <w:p>
      <w:pPr>
        <w:pStyle w:val="0"/>
        <w:spacing w:before="240" w:lineRule="auto"/>
        <w:ind w:firstLine="540"/>
        <w:jc w:val="both"/>
      </w:pPr>
      <w:r>
        <w:rPr>
          <w:sz w:val="24"/>
        </w:rPr>
        <w:t xml:space="preserve">По показателю "Права требования, возникшие в связи с авансовыми платежами страховщика по договору исходящего перестрахования, если такой договор не признан до расчетной даты включительно" </w:t>
      </w:r>
      <w:hyperlink w:history="0" w:anchor="P20950" w:tooltip="424">
        <w:r>
          <w:rPr>
            <w:sz w:val="24"/>
            <w:color w:val="0000ff"/>
          </w:rPr>
          <w:t xml:space="preserve">(строка 424)</w:t>
        </w:r>
      </w:hyperlink>
      <w:r>
        <w:rPr>
          <w:sz w:val="24"/>
        </w:rPr>
        <w:t xml:space="preserve">, аналитическому признаку группы аналитических признаков "Права требования, возникшие в связи с авансовыми платежами страховщика по договору исходящего перестрахования, если такой договор не признан до расчетной даты включительно" указывается значение "Да", если права требования возникли в связи с авансовыми платежами страховщика по договорам исходящего перестрахования (ретроцессии), не признанным до даты, по состоянию на которую осуществляется расчет стоимости активов страховщика, включительно. В ином случае указывается значение "Нет".</w:t>
      </w:r>
    </w:p>
    <w:p>
      <w:pPr>
        <w:pStyle w:val="0"/>
        <w:spacing w:before="240" w:lineRule="auto"/>
        <w:ind w:firstLine="540"/>
        <w:jc w:val="both"/>
      </w:pPr>
      <w:r>
        <w:rPr>
          <w:sz w:val="24"/>
        </w:rPr>
        <w:t xml:space="preserve">В </w:t>
      </w:r>
      <w:hyperlink w:history="0" w:anchor="P20724" w:tooltip="Подраздел 2.29.">
        <w:r>
          <w:rPr>
            <w:sz w:val="24"/>
            <w:color w:val="0000ff"/>
          </w:rPr>
          <w:t xml:space="preserve">подразделе 2.29 раздела 2</w:t>
        </w:r>
      </w:hyperlink>
      <w:r>
        <w:rPr>
          <w:sz w:val="24"/>
        </w:rPr>
        <w:t xml:space="preserve"> отчетности по форме 0420154 указываются также сведения о прогнозе денежных потоков по каждому праву требования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В случае если в </w:t>
      </w:r>
      <w:hyperlink w:history="0" w:anchor="P20724" w:tooltip="Подраздел 2.29.">
        <w:r>
          <w:rPr>
            <w:sz w:val="24"/>
            <w:color w:val="0000ff"/>
          </w:rPr>
          <w:t xml:space="preserve">подразделе 2.29 раздела 2</w:t>
        </w:r>
      </w:hyperlink>
      <w:r>
        <w:rPr>
          <w:sz w:val="24"/>
        </w:rPr>
        <w:t xml:space="preserve"> отчетности по форме 0420154 отражены сведения об авансе выданном, показатель "Дата возврата (погашения, оферты)" </w:t>
      </w:r>
      <w:hyperlink w:history="0" w:anchor="P20774" w:tooltip="420">
        <w:r>
          <w:rPr>
            <w:sz w:val="24"/>
            <w:color w:val="0000ff"/>
          </w:rPr>
          <w:t xml:space="preserve">(строка 420)</w:t>
        </w:r>
      </w:hyperlink>
      <w:r>
        <w:rPr>
          <w:sz w:val="24"/>
        </w:rPr>
        <w:t xml:space="preserve"> не формируется и по показателю "Оплата задолженности денежными средствами" </w:t>
      </w:r>
      <w:hyperlink w:history="0" w:anchor="P20906" w:tooltip="423">
        <w:r>
          <w:rPr>
            <w:sz w:val="24"/>
            <w:color w:val="0000ff"/>
          </w:rPr>
          <w:t xml:space="preserve">(строка 423)</w:t>
        </w:r>
      </w:hyperlink>
      <w:r>
        <w:rPr>
          <w:sz w:val="24"/>
        </w:rPr>
        <w:t xml:space="preserve"> указывается значение "Нет".</w:t>
      </w:r>
    </w:p>
    <w:p>
      <w:pPr>
        <w:pStyle w:val="0"/>
        <w:spacing w:before="240" w:lineRule="auto"/>
        <w:ind w:firstLine="540"/>
        <w:jc w:val="both"/>
      </w:pPr>
      <w:r>
        <w:rPr>
          <w:sz w:val="24"/>
        </w:rPr>
        <w:t xml:space="preserve">В случае если в </w:t>
      </w:r>
      <w:hyperlink w:history="0" w:anchor="P20724" w:tooltip="Подраздел 2.29.">
        <w:r>
          <w:rPr>
            <w:sz w:val="24"/>
            <w:color w:val="0000ff"/>
          </w:rPr>
          <w:t xml:space="preserve">подразделе 2.29 раздела 2</w:t>
        </w:r>
      </w:hyperlink>
      <w:r>
        <w:rPr>
          <w:sz w:val="24"/>
        </w:rPr>
        <w:t xml:space="preserve"> отчетности по форме 0420154 отражены сведения о возврате аванса в связи с излишне уплаченной страховой премией по договорам перестрахования, по показателю "Дата возврата (погашения, оферты)" </w:t>
      </w:r>
      <w:hyperlink w:history="0" w:anchor="P20774" w:tooltip="420">
        <w:r>
          <w:rPr>
            <w:sz w:val="24"/>
            <w:color w:val="0000ff"/>
          </w:rPr>
          <w:t xml:space="preserve">(строка 420)</w:t>
        </w:r>
      </w:hyperlink>
      <w:r>
        <w:rPr>
          <w:sz w:val="24"/>
        </w:rPr>
        <w:t xml:space="preserve"> указывается ожидаемая дата возврата аванса, по показателю "Оплата задолженности денежными средствами" </w:t>
      </w:r>
      <w:hyperlink w:history="0" w:anchor="P20906" w:tooltip="423">
        <w:r>
          <w:rPr>
            <w:sz w:val="24"/>
            <w:color w:val="0000ff"/>
          </w:rPr>
          <w:t xml:space="preserve">(строка 423)</w:t>
        </w:r>
      </w:hyperlink>
      <w:r>
        <w:rPr>
          <w:sz w:val="24"/>
        </w:rPr>
        <w:t xml:space="preserve"> - значение "Да".</w:t>
      </w:r>
    </w:p>
    <w:p>
      <w:pPr>
        <w:pStyle w:val="0"/>
        <w:spacing w:before="240" w:lineRule="auto"/>
        <w:ind w:firstLine="540"/>
        <w:jc w:val="both"/>
      </w:pPr>
      <w:r>
        <w:rPr>
          <w:sz w:val="24"/>
        </w:rPr>
        <w:t xml:space="preserve">54.29.1. Сведения о правах требования, возникших в связи с авансовыми платежами страховщика по договорам перестрахования, не учтенных в страховых резервах, стоимость которых признана равной нулю, отражаются отдельно в </w:t>
      </w:r>
      <w:hyperlink w:history="0" w:anchor="P10460" w:tooltip="Подраздел 2.9.1.">
        <w:r>
          <w:rPr>
            <w:sz w:val="24"/>
            <w:color w:val="0000ff"/>
          </w:rPr>
          <w:t xml:space="preserve">подразделе 2.29.1 раздела 2</w:t>
        </w:r>
      </w:hyperlink>
      <w:r>
        <w:rPr>
          <w:sz w:val="24"/>
        </w:rPr>
        <w:t xml:space="preserve"> отчетности по форме 0420154 (в том числе в отношении прав требования по уплате просроченной задолженности в целом по активу).</w:t>
      </w:r>
    </w:p>
    <w:p>
      <w:pPr>
        <w:pStyle w:val="0"/>
        <w:spacing w:before="240" w:lineRule="auto"/>
        <w:ind w:firstLine="540"/>
        <w:jc w:val="both"/>
      </w:pPr>
      <w:r>
        <w:rPr>
          <w:sz w:val="24"/>
        </w:rPr>
        <w:t xml:space="preserve">По показателю "Стоимость согласно условиям договора" </w:t>
      </w:r>
      <w:hyperlink w:history="0" w:anchor="P21216" w:tooltip="430">
        <w:r>
          <w:rPr>
            <w:sz w:val="24"/>
            <w:color w:val="0000ff"/>
          </w:rPr>
          <w:t xml:space="preserve">(строка 430)</w:t>
        </w:r>
      </w:hyperlink>
      <w:r>
        <w:rPr>
          <w:sz w:val="24"/>
        </w:rPr>
        <w:t xml:space="preserve"> указывается стоимость прав требования согласно условиям договора перестрахования на конец отчетного периода (без учета резерва под обесценение).</w:t>
      </w:r>
    </w:p>
    <w:p>
      <w:pPr>
        <w:pStyle w:val="0"/>
        <w:spacing w:before="240" w:lineRule="auto"/>
        <w:ind w:firstLine="540"/>
        <w:jc w:val="both"/>
      </w:pPr>
      <w:r>
        <w:rPr>
          <w:sz w:val="24"/>
        </w:rPr>
        <w:t xml:space="preserve">54.29.2. Данные </w:t>
      </w:r>
      <w:hyperlink w:history="0" w:anchor="P20724" w:tooltip="Подраздел 2.29.">
        <w:r>
          <w:rPr>
            <w:sz w:val="24"/>
            <w:color w:val="0000ff"/>
          </w:rPr>
          <w:t xml:space="preserve">подразделов 2.29</w:t>
        </w:r>
      </w:hyperlink>
      <w:r>
        <w:rPr>
          <w:sz w:val="24"/>
        </w:rPr>
        <w:t xml:space="preserve"> и </w:t>
      </w:r>
      <w:hyperlink w:history="0" w:anchor="P20724" w:tooltip="Подраздел 2.29.">
        <w:r>
          <w:rPr>
            <w:sz w:val="24"/>
            <w:color w:val="0000ff"/>
          </w:rPr>
          <w:t xml:space="preserve">2.29.1 раздела 2</w:t>
        </w:r>
      </w:hyperlink>
      <w:r>
        <w:rPr>
          <w:sz w:val="24"/>
        </w:rPr>
        <w:t xml:space="preserve"> отчетности по форме 0420154 указываются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возникшие в связи с авансовыми платежами страховщика по договорам перестрахования,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54.30. По показателям </w:t>
      </w:r>
      <w:hyperlink w:history="0" w:anchor="P21296" w:tooltip="Подраздел 2.30.">
        <w:r>
          <w:rPr>
            <w:sz w:val="24"/>
            <w:color w:val="0000ff"/>
          </w:rPr>
          <w:t xml:space="preserve">подраздела 2.30 раздела 2</w:t>
        </w:r>
      </w:hyperlink>
      <w:r>
        <w:rPr>
          <w:sz w:val="24"/>
        </w:rPr>
        <w:t xml:space="preserve"> отчетности по форме 0420154 отражаются сведения о правах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учтенных в страховых резервах.</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к перестраховщикам, за исключением прав требования, указанных в </w:t>
      </w:r>
      <w:hyperlink w:history="0" w:anchor="P18862" w:tooltip="Подраздел 2.22.">
        <w:r>
          <w:rPr>
            <w:sz w:val="24"/>
            <w:color w:val="0000ff"/>
          </w:rPr>
          <w:t xml:space="preserve">подразделах 2.22</w:t>
        </w:r>
      </w:hyperlink>
      <w:r>
        <w:rPr>
          <w:sz w:val="24"/>
        </w:rPr>
        <w:t xml:space="preserve"> и </w:t>
      </w:r>
      <w:hyperlink w:history="0" w:anchor="P20724" w:tooltip="Подраздел 2.29.">
        <w:r>
          <w:rPr>
            <w:sz w:val="24"/>
            <w:color w:val="0000ff"/>
          </w:rPr>
          <w:t xml:space="preserve">2.29 раздела 2</w:t>
        </w:r>
      </w:hyperlink>
      <w:r>
        <w:rPr>
          <w:sz w:val="24"/>
        </w:rPr>
        <w:t xml:space="preserve">" и через символ "_"(нижнее подчеркивание (без пробелов) порядковый номер, позволяющий идентифицировать актив (с учетом сведений, предусмотренных </w:t>
      </w:r>
      <w:hyperlink w:history="0" w:anchor="P21296" w:tooltip="Подраздел 2.30.">
        <w:r>
          <w:rPr>
            <w:sz w:val="24"/>
            <w:color w:val="0000ff"/>
          </w:rPr>
          <w:t xml:space="preserve">подразделом 2.30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перестраховщика).</w:t>
      </w:r>
    </w:p>
    <w:p>
      <w:pPr>
        <w:pStyle w:val="0"/>
        <w:spacing w:before="240" w:lineRule="auto"/>
        <w:ind w:firstLine="540"/>
        <w:jc w:val="both"/>
      </w:pPr>
      <w:r>
        <w:rPr>
          <w:sz w:val="24"/>
        </w:rPr>
        <w:t xml:space="preserve">В </w:t>
      </w:r>
      <w:hyperlink w:history="0" w:anchor="P21296" w:tooltip="Подраздел 2.30.">
        <w:r>
          <w:rPr>
            <w:sz w:val="24"/>
            <w:color w:val="0000ff"/>
          </w:rPr>
          <w:t xml:space="preserve">подразделе 2.30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перестраховщику после даты окончания отчетного периода в разрезе предусмотренных договором платежей (по группе аналитических признаков "Идентификатор платежа").</w:t>
      </w:r>
    </w:p>
    <w:bookmarkStart w:id="28947" w:name="P28947"/>
    <w:bookmarkEnd w:id="28947"/>
    <w:p>
      <w:pPr>
        <w:pStyle w:val="0"/>
        <w:spacing w:before="240" w:lineRule="auto"/>
        <w:ind w:firstLine="540"/>
        <w:jc w:val="both"/>
      </w:pPr>
      <w:r>
        <w:rPr>
          <w:sz w:val="24"/>
        </w:rPr>
        <w:t xml:space="preserve">54.30.1. Сведения о правах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учтенных в страховых резервах, стоимость которых признана равной нулю, отражаются отдельно в </w:t>
      </w:r>
      <w:hyperlink w:history="0" w:anchor="P21878" w:tooltip="Подраздел 2.30.1.">
        <w:r>
          <w:rPr>
            <w:sz w:val="24"/>
            <w:color w:val="0000ff"/>
          </w:rPr>
          <w:t xml:space="preserve">подразделе 2.30.1 раздела 2</w:t>
        </w:r>
      </w:hyperlink>
      <w:r>
        <w:rPr>
          <w:sz w:val="24"/>
        </w:rPr>
        <w:t xml:space="preserve"> отчетности по форме 0420154 (в том числе в отношении прав требования по уплате просроченной задолженности в целом по активу).</w:t>
      </w:r>
    </w:p>
    <w:p>
      <w:pPr>
        <w:pStyle w:val="0"/>
        <w:spacing w:before="240" w:lineRule="auto"/>
        <w:ind w:firstLine="540"/>
        <w:jc w:val="both"/>
      </w:pPr>
      <w:r>
        <w:rPr>
          <w:sz w:val="24"/>
        </w:rPr>
        <w:t xml:space="preserve">Дополнительно в </w:t>
      </w:r>
      <w:hyperlink w:history="0" w:anchor="P21976" w:tooltip="Подраздел 2.30.1.1.">
        <w:r>
          <w:rPr>
            <w:sz w:val="24"/>
            <w:color w:val="0000ff"/>
          </w:rPr>
          <w:t xml:space="preserve">подразделе 2.30.1.1 раздела 2</w:t>
        </w:r>
      </w:hyperlink>
      <w:r>
        <w:rPr>
          <w:sz w:val="24"/>
        </w:rPr>
        <w:t xml:space="preserve"> отчетности по форме 0420154 по указанным в </w:t>
      </w:r>
      <w:hyperlink w:history="0" w:anchor="P28947" w:tooltip="54.30.1. Сведения о правах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х в страховых резервах, стоимость которых признана равной нулю, отражаются отдельно в подразделе 2.30.1 раздела 2 отчетности по форме 0420154 (в том числе в отношении прав требования по уплате просроченной задолженности в целом по активу).">
        <w:r>
          <w:rPr>
            <w:sz w:val="24"/>
            <w:color w:val="0000ff"/>
          </w:rPr>
          <w:t xml:space="preserve">абзаце первом</w:t>
        </w:r>
      </w:hyperlink>
      <w:r>
        <w:rPr>
          <w:sz w:val="24"/>
        </w:rPr>
        <w:t xml:space="preserve"> настоящего подпункта правам требования отражаются сведения по 10 контрагентам, права требования по которым составляют 5 процентов и более от общей стоимости прав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на конец отчетного периода, отраженной в </w:t>
      </w:r>
      <w:hyperlink w:history="0" w:anchor="P21878" w:tooltip="Подраздел 2.30.1.">
        <w:r>
          <w:rPr>
            <w:sz w:val="24"/>
            <w:color w:val="0000ff"/>
          </w:rPr>
          <w:t xml:space="preserve">подразделе 2.30.1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перестраховщика).</w:t>
      </w:r>
    </w:p>
    <w:p>
      <w:pPr>
        <w:pStyle w:val="0"/>
        <w:spacing w:before="240" w:lineRule="auto"/>
        <w:ind w:firstLine="540"/>
        <w:jc w:val="both"/>
      </w:pPr>
      <w:r>
        <w:rPr>
          <w:sz w:val="24"/>
        </w:rPr>
        <w:t xml:space="preserve">В случае если у страховщика менее 10 контрагентов, в </w:t>
      </w:r>
      <w:hyperlink w:history="0" w:anchor="P21976" w:tooltip="Подраздел 2.30.1.1.">
        <w:r>
          <w:rPr>
            <w:sz w:val="24"/>
            <w:color w:val="0000ff"/>
          </w:rPr>
          <w:t xml:space="preserve">подразделе 2.30.1.1 раздела 2</w:t>
        </w:r>
      </w:hyperlink>
      <w:r>
        <w:rPr>
          <w:sz w:val="24"/>
        </w:rPr>
        <w:t xml:space="preserve"> отчетности по форме 0420154 указываются сведения по всем контрагентам, в случае если у страховщика более 10 контрагентов - сведения о 10 контрагентах с наибольшей стоимостью прав требования к ним.</w:t>
      </w:r>
    </w:p>
    <w:p>
      <w:pPr>
        <w:pStyle w:val="0"/>
        <w:spacing w:before="240" w:lineRule="auto"/>
        <w:ind w:firstLine="540"/>
        <w:jc w:val="both"/>
      </w:pPr>
      <w:r>
        <w:rPr>
          <w:sz w:val="24"/>
        </w:rPr>
        <w:t xml:space="preserve">По показателю "Стоимость согласно условиям договора" (</w:t>
      </w:r>
      <w:hyperlink w:history="0" w:anchor="P21880" w:tooltip="450">
        <w:r>
          <w:rPr>
            <w:sz w:val="24"/>
            <w:color w:val="0000ff"/>
          </w:rPr>
          <w:t xml:space="preserve">строки 450</w:t>
        </w:r>
      </w:hyperlink>
      <w:r>
        <w:rPr>
          <w:sz w:val="24"/>
        </w:rPr>
        <w:t xml:space="preserve">, </w:t>
      </w:r>
      <w:hyperlink w:history="0" w:anchor="P21978" w:tooltip="452">
        <w:r>
          <w:rPr>
            <w:sz w:val="24"/>
            <w:color w:val="0000ff"/>
          </w:rPr>
          <w:t xml:space="preserve">452</w:t>
        </w:r>
      </w:hyperlink>
      <w:r>
        <w:rPr>
          <w:sz w:val="24"/>
        </w:rPr>
        <w:t xml:space="preserve">) указывается стоимость прав требования согласно условиям договора перестрахования на конец отчетного периода (без учета резерва под обесценение).</w:t>
      </w:r>
    </w:p>
    <w:p>
      <w:pPr>
        <w:pStyle w:val="0"/>
        <w:spacing w:before="240" w:lineRule="auto"/>
        <w:ind w:firstLine="540"/>
        <w:jc w:val="both"/>
      </w:pPr>
      <w:r>
        <w:rPr>
          <w:sz w:val="24"/>
        </w:rPr>
        <w:t xml:space="preserve">54.30.2. Данные </w:t>
      </w:r>
      <w:hyperlink w:history="0" w:anchor="P21296" w:tooltip="Подраздел 2.30.">
        <w:r>
          <w:rPr>
            <w:sz w:val="24"/>
            <w:color w:val="0000ff"/>
          </w:rPr>
          <w:t xml:space="preserve">подразделов 2.30</w:t>
        </w:r>
      </w:hyperlink>
      <w:r>
        <w:rPr>
          <w:sz w:val="24"/>
        </w:rPr>
        <w:t xml:space="preserve"> и </w:t>
      </w:r>
      <w:hyperlink w:history="0" w:anchor="P21878" w:tooltip="Подраздел 2.30.1.">
        <w:r>
          <w:rPr>
            <w:sz w:val="24"/>
            <w:color w:val="0000ff"/>
          </w:rPr>
          <w:t xml:space="preserve">2.30.1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54.31. По показателям </w:t>
      </w:r>
      <w:hyperlink w:history="0" w:anchor="P21994" w:tooltip="Подраздел 2.31.">
        <w:r>
          <w:rPr>
            <w:sz w:val="24"/>
            <w:color w:val="0000ff"/>
          </w:rPr>
          <w:t xml:space="preserve">подраздела 2.31 раздела 2</w:t>
        </w:r>
      </w:hyperlink>
      <w:r>
        <w:rPr>
          <w:sz w:val="24"/>
        </w:rPr>
        <w:t xml:space="preserve"> отчетности по форме 0420154 отражаются сведения о правах требования к предусмотренным </w:t>
      </w:r>
      <w:hyperlink w:history="0" r:id="rId33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статьей 14</w:t>
        </w:r>
      </w:hyperlink>
      <w:r>
        <w:rPr>
          <w:sz w:val="24"/>
        </w:rPr>
        <w:t xml:space="preserve"> Закона Российской Федерации N 4015-I объединениям страховщиков, не учтенных в страховых резервах.</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"Права требования к профессиональным объединениям страховщиков"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1994" w:tooltip="Подраздел 2.31.">
        <w:r>
          <w:rPr>
            <w:sz w:val="24"/>
            <w:color w:val="0000ff"/>
          </w:rPr>
          <w:t xml:space="preserve">подразделом 2.31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профессионального объединения страховщиков).</w:t>
      </w:r>
    </w:p>
    <w:p>
      <w:pPr>
        <w:pStyle w:val="0"/>
        <w:spacing w:before="240" w:lineRule="auto"/>
        <w:ind w:firstLine="540"/>
        <w:jc w:val="both"/>
      </w:pPr>
      <w:r>
        <w:rPr>
          <w:sz w:val="24"/>
        </w:rPr>
        <w:t xml:space="preserve">По показателю "Права требования относятся к правам требования к профессиональным объединениям страховщиков по видам обязательного страхования гражданской ответственности" </w:t>
      </w:r>
      <w:hyperlink w:history="0" w:anchor="P22084" w:tooltip="456">
        <w:r>
          <w:rPr>
            <w:sz w:val="24"/>
            <w:color w:val="0000ff"/>
          </w:rPr>
          <w:t xml:space="preserve">(строка 456)</w:t>
        </w:r>
      </w:hyperlink>
      <w:r>
        <w:rPr>
          <w:sz w:val="24"/>
        </w:rPr>
        <w:t xml:space="preserve"> указывается значение "Да", если права требования соответствуют </w:t>
      </w:r>
      <w:hyperlink w:history="0" r:id="rId33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подпункту 3.1.12.14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Данные </w:t>
      </w:r>
      <w:hyperlink w:history="0" w:anchor="P21994" w:tooltip="Подраздел 2.31.">
        <w:r>
          <w:rPr>
            <w:sz w:val="24"/>
            <w:color w:val="0000ff"/>
          </w:rPr>
          <w:t xml:space="preserve">подраздела 2.31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требования к профессиональным объединениям страховщиков,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54.32. По показателям </w:t>
      </w:r>
      <w:hyperlink w:history="0" w:anchor="P22140" w:tooltip="Подраздел 2.32.">
        <w:r>
          <w:rPr>
            <w:sz w:val="24"/>
            <w:color w:val="0000ff"/>
          </w:rPr>
          <w:t xml:space="preserve">подраздела 2.32 раздела 2</w:t>
        </w:r>
      </w:hyperlink>
      <w:r>
        <w:rPr>
          <w:sz w:val="24"/>
        </w:rPr>
        <w:t xml:space="preserve"> отчетности по форме 0420154 отражаются сведения о правах требования по договорам страхования, сострахования, перестрахования, не учтенных в страховых резервах, не отраженных в </w:t>
      </w:r>
      <w:hyperlink w:history="0" w:anchor="P15876" w:tooltip="Подраздел 2.18.">
        <w:r>
          <w:rPr>
            <w:sz w:val="24"/>
            <w:color w:val="0000ff"/>
          </w:rPr>
          <w:t xml:space="preserve">подразделах 2.18</w:t>
        </w:r>
      </w:hyperlink>
      <w:r>
        <w:rPr>
          <w:sz w:val="24"/>
        </w:rPr>
        <w:t xml:space="preserve">, </w:t>
      </w:r>
      <w:hyperlink w:history="0" w:anchor="P17748" w:tooltip="Подраздел 2.20.">
        <w:r>
          <w:rPr>
            <w:sz w:val="24"/>
            <w:color w:val="0000ff"/>
          </w:rPr>
          <w:t xml:space="preserve">2.20</w:t>
        </w:r>
      </w:hyperlink>
      <w:r>
        <w:rPr>
          <w:sz w:val="24"/>
        </w:rPr>
        <w:t xml:space="preserve">, </w:t>
      </w:r>
      <w:hyperlink w:history="0" w:anchor="P18862" w:tooltip="Подраздел 2.22.">
        <w:r>
          <w:rPr>
            <w:sz w:val="24"/>
            <w:color w:val="0000ff"/>
          </w:rPr>
          <w:t xml:space="preserve">2.22</w:t>
        </w:r>
      </w:hyperlink>
      <w:r>
        <w:rPr>
          <w:sz w:val="24"/>
        </w:rPr>
        <w:t xml:space="preserve"> - </w:t>
      </w:r>
      <w:hyperlink w:history="0" w:anchor="P19658" w:tooltip="Подраздел 2.24.">
        <w:r>
          <w:rPr>
            <w:sz w:val="24"/>
            <w:color w:val="0000ff"/>
          </w:rPr>
          <w:t xml:space="preserve">2.24</w:t>
        </w:r>
      </w:hyperlink>
      <w:r>
        <w:rPr>
          <w:sz w:val="24"/>
        </w:rPr>
        <w:t xml:space="preserve">, </w:t>
      </w:r>
      <w:hyperlink w:history="0" w:anchor="P20724" w:tooltip="Подраздел 2.29.">
        <w:r>
          <w:rPr>
            <w:sz w:val="24"/>
            <w:color w:val="0000ff"/>
          </w:rPr>
          <w:t xml:space="preserve">2.29</w:t>
        </w:r>
      </w:hyperlink>
      <w:r>
        <w:rPr>
          <w:sz w:val="24"/>
        </w:rPr>
        <w:t xml:space="preserve"> - </w:t>
      </w:r>
      <w:hyperlink w:history="0" w:anchor="P21994" w:tooltip="Подраздел 2.31.">
        <w:r>
          <w:rPr>
            <w:sz w:val="24"/>
            <w:color w:val="0000ff"/>
          </w:rPr>
          <w:t xml:space="preserve">2.31 раздела 2</w:t>
        </w:r>
      </w:hyperlink>
      <w:r>
        <w:rPr>
          <w:sz w:val="24"/>
        </w:rPr>
        <w:t xml:space="preserve"> отчетности по форме 0420154, в том числе сведения о правах требования по обязательствам страхователя, страховых агентов и страховых брокеров по перечислению страховой организации части страховых премий (взносов) по договорам долевого страхования жизни, направляемых в соответствии с указанием страхователя на приобретение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"Прочие права требования по договорам страхования, сострахования и перестрахования, не учтенные в страховых резервах"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2140" w:tooltip="Подраздел 2.32.">
        <w:r>
          <w:rPr>
            <w:sz w:val="24"/>
            <w:color w:val="0000ff"/>
          </w:rPr>
          <w:t xml:space="preserve">подразделом 2.32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обязанного лица).</w:t>
      </w:r>
    </w:p>
    <w:p>
      <w:pPr>
        <w:pStyle w:val="0"/>
        <w:spacing w:before="240" w:lineRule="auto"/>
        <w:ind w:firstLine="540"/>
        <w:jc w:val="both"/>
      </w:pPr>
      <w:r>
        <w:rPr>
          <w:sz w:val="24"/>
        </w:rPr>
        <w:t xml:space="preserve">По аналитическому признаку группы аналитических признаков "Права требования в части уплаты страховых премий (взносов) для приобретения инвестиционных паев по договору долевого страхования жизни" указывается значение "Да", если права требования соответствуют </w:t>
      </w:r>
      <w:hyperlink w:history="0" r:id="rId33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подпункту 3.1.27 пункта 3.1</w:t>
        </w:r>
      </w:hyperlink>
      <w:r>
        <w:rPr>
          <w:sz w:val="24"/>
        </w:rPr>
        <w:t xml:space="preserve"> Положения Банка России N 858-П, или значение "Нет", если права требования не соответствуют </w:t>
      </w:r>
      <w:hyperlink w:history="0" r:id="rId33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подпункту 3.1.27 пункта 3.1</w:t>
        </w:r>
      </w:hyperlink>
      <w:r>
        <w:rPr>
          <w:sz w:val="24"/>
        </w:rPr>
        <w:t xml:space="preserve"> Положения Банка России N 858-П.</w:t>
      </w:r>
    </w:p>
    <w:p>
      <w:pPr>
        <w:pStyle w:val="0"/>
        <w:spacing w:before="240" w:lineRule="auto"/>
        <w:ind w:firstLine="540"/>
        <w:jc w:val="both"/>
      </w:pPr>
      <w:r>
        <w:rPr>
          <w:sz w:val="24"/>
        </w:rPr>
        <w:t xml:space="preserve">В </w:t>
      </w:r>
      <w:hyperlink w:history="0" w:anchor="P22140" w:tooltip="Подраздел 2.32.">
        <w:r>
          <w:rPr>
            <w:sz w:val="24"/>
            <w:color w:val="0000ff"/>
          </w:rPr>
          <w:t xml:space="preserve">подразделе 2.32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обязанному лицу после даты окончания отчетного периода в разрезе предусмотренных договором платежей (по группе аналитических признаков "Идентификатор платежа").</w:t>
      </w:r>
    </w:p>
    <w:bookmarkStart w:id="28960" w:name="P28960"/>
    <w:bookmarkEnd w:id="28960"/>
    <w:p>
      <w:pPr>
        <w:pStyle w:val="0"/>
        <w:spacing w:before="240" w:lineRule="auto"/>
        <w:ind w:firstLine="540"/>
        <w:jc w:val="both"/>
      </w:pPr>
      <w:r>
        <w:rPr>
          <w:sz w:val="24"/>
        </w:rPr>
        <w:t xml:space="preserve">54.32.1. Сведения о правах требования по договорам страхования, сострахования, перестрахования, не учтенных в страховых резервах, стоимость которых признана равной нулю, отражаются отдельно в </w:t>
      </w:r>
      <w:hyperlink w:history="0" w:anchor="P22666" w:tooltip="Подраздел 2.32.1.">
        <w:r>
          <w:rPr>
            <w:sz w:val="24"/>
            <w:color w:val="0000ff"/>
          </w:rPr>
          <w:t xml:space="preserve">подразделе 2.32.1 раздела 2</w:t>
        </w:r>
      </w:hyperlink>
      <w:r>
        <w:rPr>
          <w:sz w:val="24"/>
        </w:rPr>
        <w:t xml:space="preserve"> отчетности по форме 0420154 (в том числе в отношении прав требования по уплате просроченной задолженности в целом по активу).</w:t>
      </w:r>
    </w:p>
    <w:p>
      <w:pPr>
        <w:pStyle w:val="0"/>
        <w:spacing w:before="240" w:lineRule="auto"/>
        <w:ind w:firstLine="540"/>
        <w:jc w:val="both"/>
      </w:pPr>
      <w:r>
        <w:rPr>
          <w:sz w:val="24"/>
        </w:rPr>
        <w:t xml:space="preserve">Дополнительно в </w:t>
      </w:r>
      <w:hyperlink w:history="0" w:anchor="P22748" w:tooltip="Подраздел 2.32.1.1.">
        <w:r>
          <w:rPr>
            <w:sz w:val="24"/>
            <w:color w:val="0000ff"/>
          </w:rPr>
          <w:t xml:space="preserve">подразделе 2.32.1.1 раздела 2</w:t>
        </w:r>
      </w:hyperlink>
      <w:r>
        <w:rPr>
          <w:sz w:val="24"/>
        </w:rPr>
        <w:t xml:space="preserve"> отчетности по форме 0420154 по указанным в </w:t>
      </w:r>
      <w:hyperlink w:history="0" w:anchor="P28960" w:tooltip="54.32.1. Сведения о правах требования по договорам страхования, сострахования, перестрахования, не учтенных в страховых резервах, стоимость которых признана равной нулю, отражаются отдельно в подразделе 2.32.1 раздела 2 отчетности по форме 0420154 (в том числе в отношении прав требования по уплате просроченной задолженности в целом по активу).">
        <w:r>
          <w:rPr>
            <w:sz w:val="24"/>
            <w:color w:val="0000ff"/>
          </w:rPr>
          <w:t xml:space="preserve">абзаце первом</w:t>
        </w:r>
      </w:hyperlink>
      <w:r>
        <w:rPr>
          <w:sz w:val="24"/>
        </w:rPr>
        <w:t xml:space="preserve"> настоящего подпункта правам требования отражаются сведения по 10 контрагентам, права требования по которым составляют 5 процентов и более от общей стоимости прав требования по договорам страхования, сострахования, перестрахования на конец отчетного периода, отраженной в </w:t>
      </w:r>
      <w:hyperlink w:history="0" w:anchor="P22666" w:tooltip="Подраздел 2.32.1.">
        <w:r>
          <w:rPr>
            <w:sz w:val="24"/>
            <w:color w:val="0000ff"/>
          </w:rPr>
          <w:t xml:space="preserve">подразделе 2.32.1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обязанного лица).</w:t>
      </w:r>
    </w:p>
    <w:p>
      <w:pPr>
        <w:pStyle w:val="0"/>
        <w:spacing w:before="240" w:lineRule="auto"/>
        <w:ind w:firstLine="540"/>
        <w:jc w:val="both"/>
      </w:pPr>
      <w:r>
        <w:rPr>
          <w:sz w:val="24"/>
        </w:rPr>
        <w:t xml:space="preserve">В случае если у страховщика менее 10 контрагентов, в </w:t>
      </w:r>
      <w:hyperlink w:history="0" w:anchor="P22748" w:tooltip="Подраздел 2.32.1.1.">
        <w:r>
          <w:rPr>
            <w:sz w:val="24"/>
            <w:color w:val="0000ff"/>
          </w:rPr>
          <w:t xml:space="preserve">подразделе 2.32.1.1 раздела 2</w:t>
        </w:r>
      </w:hyperlink>
      <w:r>
        <w:rPr>
          <w:sz w:val="24"/>
        </w:rPr>
        <w:t xml:space="preserve"> отчетности по форме 0420154 указываются сведения по всем контрагентам, в случае если у страховщика более 10 контрагентов - сведения о 10 контрагентах с наибольшей стоимостью прав требования к ним.</w:t>
      </w:r>
    </w:p>
    <w:p>
      <w:pPr>
        <w:pStyle w:val="0"/>
        <w:spacing w:before="240" w:lineRule="auto"/>
        <w:ind w:firstLine="540"/>
        <w:jc w:val="both"/>
      </w:pPr>
      <w:r>
        <w:rPr>
          <w:sz w:val="24"/>
        </w:rPr>
        <w:t xml:space="preserve">По показателю "Стоимость согласно условиям договора" (</w:t>
      </w:r>
      <w:hyperlink w:history="0" w:anchor="P22668" w:tooltip="471">
        <w:r>
          <w:rPr>
            <w:sz w:val="24"/>
            <w:color w:val="0000ff"/>
          </w:rPr>
          <w:t xml:space="preserve">строки 471</w:t>
        </w:r>
      </w:hyperlink>
      <w:r>
        <w:rPr>
          <w:sz w:val="24"/>
        </w:rPr>
        <w:t xml:space="preserve">, </w:t>
      </w:r>
      <w:hyperlink w:history="0" w:anchor="P22750" w:tooltip="473">
        <w:r>
          <w:rPr>
            <w:sz w:val="24"/>
            <w:color w:val="0000ff"/>
          </w:rPr>
          <w:t xml:space="preserve">473</w:t>
        </w:r>
      </w:hyperlink>
      <w:r>
        <w:rPr>
          <w:sz w:val="24"/>
        </w:rPr>
        <w:t xml:space="preserve">) указывается стоимость прав требования по договорам страхования, сострахования, перестрахования на конец отчетного периода (без учета резерва под обесценение).</w:t>
      </w:r>
    </w:p>
    <w:p>
      <w:pPr>
        <w:pStyle w:val="0"/>
        <w:spacing w:before="240" w:lineRule="auto"/>
        <w:ind w:firstLine="540"/>
        <w:jc w:val="both"/>
      </w:pPr>
      <w:r>
        <w:rPr>
          <w:sz w:val="24"/>
        </w:rPr>
        <w:t xml:space="preserve">54.32.2. Данные </w:t>
      </w:r>
      <w:hyperlink w:history="0" w:anchor="P22140" w:tooltip="Подраздел 2.32.">
        <w:r>
          <w:rPr>
            <w:sz w:val="24"/>
            <w:color w:val="0000ff"/>
          </w:rPr>
          <w:t xml:space="preserve">подразделов 2.32</w:t>
        </w:r>
      </w:hyperlink>
      <w:r>
        <w:rPr>
          <w:sz w:val="24"/>
        </w:rPr>
        <w:t xml:space="preserve"> и </w:t>
      </w:r>
      <w:hyperlink w:history="0" w:anchor="P22666" w:tooltip="Подраздел 2.32.1.">
        <w:r>
          <w:rPr>
            <w:sz w:val="24"/>
            <w:color w:val="0000ff"/>
          </w:rPr>
          <w:t xml:space="preserve">2.32.1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по договорам страхования, сострахования и перестрахования, не учтенные в страховых резервах" группы аналитических признаков "Вид актива".</w:t>
      </w:r>
    </w:p>
    <w:p>
      <w:pPr>
        <w:pStyle w:val="0"/>
        <w:spacing w:before="240" w:lineRule="auto"/>
        <w:ind w:firstLine="540"/>
        <w:jc w:val="both"/>
      </w:pPr>
      <w:r>
        <w:rPr>
          <w:sz w:val="24"/>
        </w:rPr>
        <w:t xml:space="preserve">54.33. По показателям </w:t>
      </w:r>
      <w:hyperlink w:history="0" w:anchor="P22766" w:tooltip="Подраздел 2.33.">
        <w:r>
          <w:rPr>
            <w:sz w:val="24"/>
            <w:color w:val="0000ff"/>
          </w:rPr>
          <w:t xml:space="preserve">подраздела 2.33 раздела 2</w:t>
        </w:r>
      </w:hyperlink>
      <w:r>
        <w:rPr>
          <w:sz w:val="24"/>
        </w:rPr>
        <w:t xml:space="preserve"> отчетности по форме 0420154 указываются сведения о правах требования, не отраженных в </w:t>
      </w:r>
      <w:hyperlink w:history="0" w:anchor="P2436" w:tooltip="Подраздел 2.2.">
        <w:r>
          <w:rPr>
            <w:sz w:val="24"/>
            <w:color w:val="0000ff"/>
          </w:rPr>
          <w:t xml:space="preserve">подразделах 2.2</w:t>
        </w:r>
      </w:hyperlink>
      <w:r>
        <w:rPr>
          <w:sz w:val="24"/>
        </w:rPr>
        <w:t xml:space="preserve"> - </w:t>
      </w:r>
      <w:hyperlink w:history="0" w:anchor="P5722" w:tooltip="Подраздел 2.5.">
        <w:r>
          <w:rPr>
            <w:sz w:val="24"/>
            <w:color w:val="0000ff"/>
          </w:rPr>
          <w:t xml:space="preserve">2.5</w:t>
        </w:r>
      </w:hyperlink>
      <w:r>
        <w:rPr>
          <w:sz w:val="24"/>
        </w:rPr>
        <w:t xml:space="preserve">, </w:t>
      </w:r>
      <w:hyperlink w:history="0" w:anchor="P6382" w:tooltip="Подраздел 2.7.">
        <w:r>
          <w:rPr>
            <w:sz w:val="24"/>
            <w:color w:val="0000ff"/>
          </w:rPr>
          <w:t xml:space="preserve">2.7</w:t>
        </w:r>
      </w:hyperlink>
      <w:r>
        <w:rPr>
          <w:sz w:val="24"/>
        </w:rPr>
        <w:t xml:space="preserve"> - </w:t>
      </w:r>
      <w:hyperlink w:history="0" w:anchor="P22140" w:tooltip="Подраздел 2.32.">
        <w:r>
          <w:rPr>
            <w:sz w:val="24"/>
            <w:color w:val="0000ff"/>
          </w:rPr>
          <w:t xml:space="preserve">2.32</w:t>
        </w:r>
      </w:hyperlink>
      <w:r>
        <w:rPr>
          <w:sz w:val="24"/>
        </w:rPr>
        <w:t xml:space="preserve"> и </w:t>
      </w:r>
      <w:hyperlink w:history="0" w:anchor="P23986" w:tooltip="Подраздел 2.35.1.">
        <w:r>
          <w:rPr>
            <w:sz w:val="24"/>
            <w:color w:val="0000ff"/>
          </w:rPr>
          <w:t xml:space="preserve">2.35.1 раздела 2</w:t>
        </w:r>
      </w:hyperlink>
      <w:r>
        <w:rPr>
          <w:sz w:val="24"/>
        </w:rPr>
        <w:t xml:space="preserve"> отчетности по форме 0420154.</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"Прочие права требования"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2766" w:tooltip="Подраздел 2.33.">
        <w:r>
          <w:rPr>
            <w:sz w:val="24"/>
            <w:color w:val="0000ff"/>
          </w:rPr>
          <w:t xml:space="preserve">подразделом 2.33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обязанного лица).</w:t>
      </w:r>
    </w:p>
    <w:p>
      <w:pPr>
        <w:pStyle w:val="0"/>
        <w:spacing w:before="240" w:lineRule="auto"/>
        <w:ind w:firstLine="540"/>
        <w:jc w:val="both"/>
      </w:pPr>
      <w:r>
        <w:rPr>
          <w:sz w:val="24"/>
        </w:rPr>
        <w:t xml:space="preserve">В </w:t>
      </w:r>
      <w:hyperlink w:history="0" w:anchor="P22766" w:tooltip="Подраздел 2.33.">
        <w:r>
          <w:rPr>
            <w:sz w:val="24"/>
            <w:color w:val="0000ff"/>
          </w:rPr>
          <w:t xml:space="preserve">подразделе 2.33 раздела 2</w:t>
        </w:r>
      </w:hyperlink>
      <w:r>
        <w:rPr>
          <w:sz w:val="24"/>
        </w:rPr>
        <w:t xml:space="preserve"> отчетности по форме 0420154 отражаются также сведения о прогнозе денежных потоков по каждому праву требования к обязанному лицу после даты окончания отчетного периода в разрезе предусмотренных договором платежей (по группе аналитических признаков "Идентификатор платежа").</w:t>
      </w:r>
    </w:p>
    <w:p>
      <w:pPr>
        <w:pStyle w:val="0"/>
        <w:spacing w:before="240" w:lineRule="auto"/>
        <w:ind w:firstLine="540"/>
        <w:jc w:val="both"/>
      </w:pPr>
      <w:r>
        <w:rPr>
          <w:sz w:val="24"/>
        </w:rPr>
        <w:t xml:space="preserve">54.33.1. Сведения о правах требования, стоимость которых признана равной нулю, отражаются отдельно в </w:t>
      </w:r>
      <w:hyperlink w:history="0" w:anchor="P23344" w:tooltip="Подраздел 2.33.1.">
        <w:r>
          <w:rPr>
            <w:sz w:val="24"/>
            <w:color w:val="0000ff"/>
          </w:rPr>
          <w:t xml:space="preserve">подразделе 2.33.1 раздела 2</w:t>
        </w:r>
      </w:hyperlink>
      <w:r>
        <w:rPr>
          <w:sz w:val="24"/>
        </w:rPr>
        <w:t xml:space="preserve"> отчетности по форме 0420154 (в том числе в отношении прав требования по уплате просроченной задолженности в целом по активу).</w:t>
      </w:r>
    </w:p>
    <w:p>
      <w:pPr>
        <w:pStyle w:val="0"/>
        <w:spacing w:before="240" w:lineRule="auto"/>
        <w:ind w:firstLine="540"/>
        <w:jc w:val="both"/>
      </w:pPr>
      <w:r>
        <w:rPr>
          <w:sz w:val="24"/>
        </w:rPr>
        <w:t xml:space="preserve">54.33.2. Данные </w:t>
      </w:r>
      <w:hyperlink w:history="0" w:anchor="P22766" w:tooltip="Подраздел 2.33.">
        <w:r>
          <w:rPr>
            <w:sz w:val="24"/>
            <w:color w:val="0000ff"/>
          </w:rPr>
          <w:t xml:space="preserve">подразделов 2.33</w:t>
        </w:r>
      </w:hyperlink>
      <w:r>
        <w:rPr>
          <w:sz w:val="24"/>
        </w:rPr>
        <w:t xml:space="preserve"> и </w:t>
      </w:r>
      <w:hyperlink w:history="0" w:anchor="P23344" w:tooltip="Подраздел 2.33.1.">
        <w:r>
          <w:rPr>
            <w:sz w:val="24"/>
            <w:color w:val="0000ff"/>
          </w:rPr>
          <w:t xml:space="preserve">2.33.1 раздела 2</w:t>
        </w:r>
      </w:hyperlink>
      <w:r>
        <w:rPr>
          <w:sz w:val="24"/>
        </w:rPr>
        <w:t xml:space="preserve"> отчетности по форме 0420154 (за исключением прав требования к территориальному фонду обязательного медицинского страхования в части средств обязательного медицинского страхования, являющихся средствами целевого финансирования)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права требования" группы аналитических признаков "Вид актива", в отношении прав требования к территориальному фонду обязательного медицинского страхования в части средств обязательного медицинского страхования, являющихся средствами целевого финансирования, - по аналитическому признаку "Средства обязательного медицинского страхования" группы аналитических признаков "Вид актива".</w:t>
      </w:r>
    </w:p>
    <w:p>
      <w:pPr>
        <w:pStyle w:val="0"/>
        <w:spacing w:before="240" w:lineRule="auto"/>
        <w:ind w:firstLine="540"/>
        <w:jc w:val="both"/>
      </w:pPr>
      <w:r>
        <w:rPr>
          <w:sz w:val="24"/>
        </w:rPr>
        <w:t xml:space="preserve">54.34. По показателям </w:t>
      </w:r>
      <w:hyperlink w:history="0" w:anchor="P23418" w:tooltip="Подраздел 2.34.">
        <w:r>
          <w:rPr>
            <w:sz w:val="24"/>
            <w:color w:val="0000ff"/>
          </w:rPr>
          <w:t xml:space="preserve">подраздела 2.34 раздела 2</w:t>
        </w:r>
      </w:hyperlink>
      <w:r>
        <w:rPr>
          <w:sz w:val="24"/>
        </w:rPr>
        <w:t xml:space="preserve"> отчетности по форме 0420154 отражаются сведения о доле перестраховщиков в страховых резервах.</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"Доля перестраховщиков в страховых резервах"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3418" w:tooltip="Подраздел 2.34.">
        <w:r>
          <w:rPr>
            <w:sz w:val="24"/>
            <w:color w:val="0000ff"/>
          </w:rPr>
          <w:t xml:space="preserve">подразделом 2.34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перестраховщика).</w:t>
      </w:r>
    </w:p>
    <w:p>
      <w:pPr>
        <w:pStyle w:val="0"/>
        <w:spacing w:before="240" w:lineRule="auto"/>
        <w:ind w:firstLine="540"/>
        <w:jc w:val="both"/>
      </w:pPr>
      <w:r>
        <w:rPr>
          <w:sz w:val="24"/>
        </w:rPr>
        <w:t xml:space="preserve">По аналитическому признаку группы аналитических признаков "Вид договора страхования, перестрахования" указывается значение "Договор страхования, сострахования, перестрахования относится к страхованию жизни", если доля перестраховщика в страховых резервах является долей перестраховщика в страховых резервах по страхованию жизни, либо значение "Договор страхования, сострахования, перестрахования относится к страхованию иному, чем страхование жизни", если доля перестраховщика в страховых резервах является долей перестраховщика в страховых резервах по страхованию иному, чем страхование жизни.</w:t>
      </w:r>
    </w:p>
    <w:p>
      <w:pPr>
        <w:pStyle w:val="0"/>
        <w:spacing w:before="240" w:lineRule="auto"/>
        <w:ind w:firstLine="540"/>
        <w:jc w:val="both"/>
      </w:pPr>
      <w:r>
        <w:rPr>
          <w:sz w:val="24"/>
        </w:rPr>
        <w:t xml:space="preserve">По аналитическому признаку группы аналитических признаков "Доля перестраховщиков во вспомогательной величине ЗНУ" указывается значение "Да", если доля перестраховщика в страховых резервах является долей во вспомогательной величине ЗНУ, рассчитанной в соответствии с </w:t>
      </w:r>
      <w:hyperlink w:history="0" r:id="rId33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3 к Положению Банка России N 858-П. В ином случае указывается значение "Нет".</w:t>
      </w:r>
    </w:p>
    <w:p>
      <w:pPr>
        <w:pStyle w:val="0"/>
        <w:spacing w:before="240" w:lineRule="auto"/>
        <w:ind w:firstLine="540"/>
        <w:jc w:val="both"/>
      </w:pPr>
      <w:r>
        <w:rPr>
          <w:sz w:val="24"/>
        </w:rPr>
        <w:t xml:space="preserve">По аналитическому признаку группы аналитических признаков "Актив соответствует условию для признания стоимости доли перестраховщиков в страховых резервах, не равной нулю" указывается значение "Да", если в отношении доли перестраховщика в страховых резервах выполняется хотя бы одно условие, предусмотренное </w:t>
      </w:r>
      <w:hyperlink w:history="0" r:id="rId33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3.1.12.13 пункта 3.1</w:t>
        </w:r>
      </w:hyperlink>
      <w:r>
        <w:rPr>
          <w:sz w:val="24"/>
        </w:rPr>
        <w:t xml:space="preserve"> Положения Банка России N 858-П. В ином случае указывается значение "Нет".</w:t>
      </w:r>
    </w:p>
    <w:p>
      <w:pPr>
        <w:pStyle w:val="0"/>
        <w:spacing w:before="240" w:lineRule="auto"/>
        <w:ind w:firstLine="540"/>
        <w:jc w:val="both"/>
      </w:pPr>
      <w:r>
        <w:rPr>
          <w:sz w:val="24"/>
        </w:rPr>
        <w:t xml:space="preserve">Данные </w:t>
      </w:r>
      <w:hyperlink w:history="0" w:anchor="P23418" w:tooltip="Подраздел 2.34.">
        <w:r>
          <w:rPr>
            <w:sz w:val="24"/>
            <w:color w:val="0000ff"/>
          </w:rPr>
          <w:t xml:space="preserve">подраздела 2.34 раздела 2</w:t>
        </w:r>
      </w:hyperlink>
      <w:r>
        <w:rPr>
          <w:sz w:val="24"/>
        </w:rPr>
        <w:t xml:space="preserve"> отчетности по форме 0420154 по аналитическому признаку "Договор страхования, сострахования, перестрахования относится к страхованию жизни" группы аналитических признаков "Вид договора страхования, перестрахования"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"Доля перестраховщиков в страховых резервах по страхованию жизни" группы аналитических признаков "Вид актива".</w:t>
      </w:r>
    </w:p>
    <w:p>
      <w:pPr>
        <w:pStyle w:val="0"/>
        <w:spacing w:before="240" w:lineRule="auto"/>
        <w:ind w:firstLine="540"/>
        <w:jc w:val="both"/>
      </w:pPr>
      <w:r>
        <w:rPr>
          <w:sz w:val="24"/>
        </w:rPr>
        <w:t xml:space="preserve">Данные </w:t>
      </w:r>
      <w:hyperlink w:history="0" w:anchor="P23418" w:tooltip="Подраздел 2.34.">
        <w:r>
          <w:rPr>
            <w:sz w:val="24"/>
            <w:color w:val="0000ff"/>
          </w:rPr>
          <w:t xml:space="preserve">подраздела 2.34 раздела 2</w:t>
        </w:r>
      </w:hyperlink>
      <w:r>
        <w:rPr>
          <w:sz w:val="24"/>
        </w:rPr>
        <w:t xml:space="preserve"> отчетности по форме 0420154 по аналитическому признаку "Договор страхования, сострахования, перестрахования относится к страхованию иному, чем страхование жизни" группы аналитических признаков "Вид договора страхования, перестрахования"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"Доля перестраховщиков в страховых резервах по страхованию иному, чем страхование жизни" группы аналитических признаков "Вид актива".</w:t>
      </w:r>
    </w:p>
    <w:p>
      <w:pPr>
        <w:pStyle w:val="0"/>
        <w:spacing w:before="240" w:lineRule="auto"/>
        <w:ind w:firstLine="540"/>
        <w:jc w:val="both"/>
      </w:pPr>
      <w:r>
        <w:rPr>
          <w:sz w:val="24"/>
        </w:rPr>
        <w:t xml:space="preserve">54.35. По показателям </w:t>
      </w:r>
      <w:hyperlink w:history="0" w:anchor="P23936" w:tooltip="Подраздел 2.35.">
        <w:r>
          <w:rPr>
            <w:sz w:val="24"/>
            <w:color w:val="0000ff"/>
          </w:rPr>
          <w:t xml:space="preserve">подраздела 2.35 раздела 2</w:t>
        </w:r>
      </w:hyperlink>
      <w:r>
        <w:rPr>
          <w:sz w:val="24"/>
        </w:rPr>
        <w:t xml:space="preserve"> отчетности по форме 0420154 отражаются сведения о средствах обязательного медицинского страхования, указанных в </w:t>
      </w:r>
      <w:hyperlink w:history="0" r:id="rId33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1.2.1 пункта 1.2</w:t>
        </w:r>
      </w:hyperlink>
      <w:r>
        <w:rPr>
          <w:sz w:val="24"/>
        </w:rPr>
        <w:t xml:space="preserve"> Положения Банка России N 858-П.</w:t>
      </w:r>
    </w:p>
    <w:p>
      <w:pPr>
        <w:pStyle w:val="0"/>
        <w:spacing w:before="240" w:lineRule="auto"/>
        <w:ind w:firstLine="540"/>
        <w:jc w:val="both"/>
      </w:pPr>
      <w:r>
        <w:rPr>
          <w:sz w:val="24"/>
        </w:rPr>
        <w:t xml:space="preserve">По группе аналитических признаков "Идентификатор актива" указывается номер счета в кредитной организации, на котором находятся средства обязательного медицинского страхования (с указанием по группе аналитических признаков "Идентификатор контрагента" идентификатора указанной кредитной организации).</w:t>
      </w:r>
    </w:p>
    <w:p>
      <w:pPr>
        <w:pStyle w:val="0"/>
        <w:spacing w:before="240" w:lineRule="auto"/>
        <w:ind w:firstLine="540"/>
        <w:jc w:val="both"/>
      </w:pPr>
      <w:r>
        <w:rPr>
          <w:sz w:val="24"/>
        </w:rPr>
        <w:t xml:space="preserve">54.35.1. Сведения об активах, соответствующих требованиям </w:t>
      </w:r>
      <w:hyperlink w:history="0" r:id="rId33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 1.2.4 пункта 1.2</w:t>
        </w:r>
      </w:hyperlink>
      <w:r>
        <w:rPr>
          <w:sz w:val="24"/>
        </w:rPr>
        <w:t xml:space="preserve"> Положения Банка России N 858-П, отражаются в </w:t>
      </w:r>
      <w:hyperlink w:history="0" w:anchor="P23986" w:tooltip="Подраздел 2.35.1.">
        <w:r>
          <w:rPr>
            <w:sz w:val="24"/>
            <w:color w:val="0000ff"/>
          </w:rPr>
          <w:t xml:space="preserve">подразделе 2.35.1 раздела 2</w:t>
        </w:r>
      </w:hyperlink>
      <w:r>
        <w:rPr>
          <w:sz w:val="24"/>
        </w:rPr>
        <w:t xml:space="preserve"> отчетности по форме 0420154.</w:t>
      </w:r>
    </w:p>
    <w:p>
      <w:pPr>
        <w:pStyle w:val="0"/>
        <w:spacing w:before="240" w:lineRule="auto"/>
        <w:ind w:firstLine="540"/>
        <w:jc w:val="both"/>
      </w:pPr>
      <w:r>
        <w:rPr>
          <w:sz w:val="24"/>
        </w:rPr>
        <w:t xml:space="preserve">По показателю "Стоимость согласно условиям договора" </w:t>
      </w:r>
      <w:hyperlink w:history="0" w:anchor="P23988" w:tooltip="500">
        <w:r>
          <w:rPr>
            <w:sz w:val="24"/>
            <w:color w:val="0000ff"/>
          </w:rPr>
          <w:t xml:space="preserve">(строка 500)</w:t>
        </w:r>
      </w:hyperlink>
      <w:r>
        <w:rPr>
          <w:sz w:val="24"/>
        </w:rPr>
        <w:t xml:space="preserve"> указывается стоимость прав требования на конец отчетного периода (без учета резерва под обесценение).</w:t>
      </w:r>
    </w:p>
    <w:p>
      <w:pPr>
        <w:pStyle w:val="0"/>
        <w:spacing w:before="240" w:lineRule="auto"/>
        <w:ind w:firstLine="540"/>
        <w:jc w:val="both"/>
      </w:pPr>
      <w:r>
        <w:rPr>
          <w:sz w:val="24"/>
        </w:rPr>
        <w:t xml:space="preserve">По группе аналитических признаков "Вид прав требования" указываются:</w:t>
      </w:r>
    </w:p>
    <w:p>
      <w:pPr>
        <w:pStyle w:val="0"/>
        <w:spacing w:before="240" w:lineRule="auto"/>
        <w:ind w:firstLine="540"/>
        <w:jc w:val="both"/>
      </w:pPr>
      <w:r>
        <w:rPr>
          <w:sz w:val="24"/>
        </w:rPr>
        <w:t xml:space="preserve">права требования к территориальному фонду обязательного медицинского страхования в части средств обязательного медицинского страхования, являющихся средствами целевого финансирования, - по аналитическому признаку "Права требования к территориальному фонду";</w:t>
      </w:r>
    </w:p>
    <w:p>
      <w:pPr>
        <w:pStyle w:val="0"/>
        <w:spacing w:before="240" w:lineRule="auto"/>
        <w:ind w:firstLine="540"/>
        <w:jc w:val="both"/>
      </w:pPr>
      <w:r>
        <w:rPr>
          <w:sz w:val="24"/>
        </w:rPr>
        <w:t xml:space="preserve">права требования к медицинским организациям в части средств обязательного медицинского страхования, являющихся средствами целевого финансирования, - по аналитическому признаку "Права требования к медицинским организациям";</w:t>
      </w:r>
    </w:p>
    <w:p>
      <w:pPr>
        <w:pStyle w:val="0"/>
        <w:spacing w:before="240" w:lineRule="auto"/>
        <w:ind w:firstLine="540"/>
        <w:jc w:val="both"/>
      </w:pPr>
      <w:r>
        <w:rPr>
          <w:sz w:val="24"/>
        </w:rPr>
        <w:t xml:space="preserve">права требования по регрессам к юридическим и физическим лицам, причинившим вред здоровью застрахованных лиц, за исключением собственных средств страховой медицинской организации, - по аналитическому признаку "Права требования по регрессам".</w:t>
      </w:r>
    </w:p>
    <w:p>
      <w:pPr>
        <w:pStyle w:val="0"/>
        <w:spacing w:before="240" w:lineRule="auto"/>
        <w:ind w:firstLine="540"/>
        <w:jc w:val="both"/>
      </w:pPr>
      <w:r>
        <w:rPr>
          <w:sz w:val="24"/>
        </w:rPr>
        <w:t xml:space="preserve">54.35.2. Данные </w:t>
      </w:r>
      <w:hyperlink w:history="0" w:anchor="P23936" w:tooltip="Подраздел 2.35.">
        <w:r>
          <w:rPr>
            <w:sz w:val="24"/>
            <w:color w:val="0000ff"/>
          </w:rPr>
          <w:t xml:space="preserve">подразделов 2.35</w:t>
        </w:r>
      </w:hyperlink>
      <w:r>
        <w:rPr>
          <w:sz w:val="24"/>
        </w:rPr>
        <w:t xml:space="preserve"> и </w:t>
      </w:r>
      <w:hyperlink w:history="0" w:anchor="P23986" w:tooltip="Подраздел 2.35.1.">
        <w:r>
          <w:rPr>
            <w:sz w:val="24"/>
            <w:color w:val="0000ff"/>
          </w:rPr>
          <w:t xml:space="preserve">2.35.1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"Средства обязательного медицинского страхования" группы аналитических признаков "Вид актива".</w:t>
      </w:r>
    </w:p>
    <w:p>
      <w:pPr>
        <w:pStyle w:val="0"/>
        <w:spacing w:before="240" w:lineRule="auto"/>
        <w:ind w:firstLine="540"/>
        <w:jc w:val="both"/>
      </w:pPr>
      <w:r>
        <w:rPr>
          <w:sz w:val="24"/>
        </w:rPr>
        <w:t xml:space="preserve">54.36. По показателям </w:t>
      </w:r>
      <w:hyperlink w:history="0" w:anchor="P24048" w:tooltip="Подраздел 2.36.">
        <w:r>
          <w:rPr>
            <w:sz w:val="24"/>
            <w:color w:val="0000ff"/>
          </w:rPr>
          <w:t xml:space="preserve">подраздела 2.36 раздела 2</w:t>
        </w:r>
      </w:hyperlink>
      <w:r>
        <w:rPr>
          <w:sz w:val="24"/>
        </w:rPr>
        <w:t xml:space="preserve"> отчетности по форме 0420154 отражаются сведения о товарах, подпадающих под исключение, предусмотренное </w:t>
      </w:r>
      <w:hyperlink w:history="0" r:id="rId34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 пункта 3.1</w:t>
        </w:r>
      </w:hyperlink>
      <w:r>
        <w:rPr>
          <w:sz w:val="24"/>
        </w:rPr>
        <w:t xml:space="preserve"> Положения Банка России N 858-П.</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"Товары, подпадающие под исключение"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4048" w:tooltip="Подраздел 2.36.">
        <w:r>
          <w:rPr>
            <w:sz w:val="24"/>
            <w:color w:val="0000ff"/>
          </w:rPr>
          <w:t xml:space="preserve">подразделом 2.36 раздела 2</w:t>
        </w:r>
      </w:hyperlink>
      <w:r>
        <w:rPr>
          <w:sz w:val="24"/>
        </w:rPr>
        <w:t xml:space="preserve"> отчетности по форме 0420154).</w:t>
      </w:r>
    </w:p>
    <w:p>
      <w:pPr>
        <w:pStyle w:val="0"/>
        <w:spacing w:before="240" w:lineRule="auto"/>
        <w:ind w:firstLine="540"/>
        <w:jc w:val="both"/>
      </w:pPr>
      <w:r>
        <w:rPr>
          <w:sz w:val="24"/>
        </w:rPr>
        <w:t xml:space="preserve">По аналитическому признаку группы аналитических признаков "Товар - аффинированное золото" указывается значение "Да", если товаром является аффинированное золото в стандартных и мерных слитках, учитываемое на металлических счетах ответственного хранения в кредитной организации на территории Российской Федерации. В ином случае указывается значение "Нет".</w:t>
      </w:r>
    </w:p>
    <w:p>
      <w:pPr>
        <w:pStyle w:val="0"/>
        <w:spacing w:before="240" w:lineRule="auto"/>
        <w:ind w:firstLine="540"/>
        <w:jc w:val="both"/>
      </w:pPr>
      <w:r>
        <w:rPr>
          <w:sz w:val="24"/>
        </w:rPr>
        <w:t xml:space="preserve">Данные </w:t>
      </w:r>
      <w:hyperlink w:history="0" w:anchor="P24048" w:tooltip="Подраздел 2.36.">
        <w:r>
          <w:rPr>
            <w:sz w:val="24"/>
            <w:color w:val="0000ff"/>
          </w:rPr>
          <w:t xml:space="preserve">подраздела 2.36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"Товары, подпадающие под исключение, предусмотренное требованиями к финансовой устойчивости и платежеспособности страховщиков" группы аналитических признаков "Вид актива".</w:t>
      </w:r>
    </w:p>
    <w:p>
      <w:pPr>
        <w:pStyle w:val="0"/>
        <w:spacing w:before="240" w:lineRule="auto"/>
        <w:ind w:firstLine="540"/>
        <w:jc w:val="both"/>
      </w:pPr>
      <w:r>
        <w:rPr>
          <w:sz w:val="24"/>
        </w:rPr>
        <w:t xml:space="preserve">54.37. По показателям </w:t>
      </w:r>
      <w:hyperlink w:history="0" w:anchor="P24438" w:tooltip="Подраздел 2.37.">
        <w:r>
          <w:rPr>
            <w:sz w:val="24"/>
            <w:color w:val="0000ff"/>
          </w:rPr>
          <w:t xml:space="preserve">подраздела 2.37 раздела 2</w:t>
        </w:r>
      </w:hyperlink>
      <w:r>
        <w:rPr>
          <w:sz w:val="24"/>
        </w:rPr>
        <w:t xml:space="preserve"> отчетности по форме 0420154 отражаются сведения о недвижимом имуществе (помещениях, зданиях, земельных участках (правах аренды на земельные участки), на которых расположены указанные здания, единых недвижимых комплексах, включающих здания), соответствующем требованиям </w:t>
      </w:r>
      <w:hyperlink w:history="0" r:id="rId34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 3.6</w:t>
        </w:r>
      </w:hyperlink>
      <w:r>
        <w:rPr>
          <w:sz w:val="24"/>
        </w:rPr>
        <w:t xml:space="preserve"> Положения Банка России N 858-П.</w:t>
      </w:r>
    </w:p>
    <w:p>
      <w:pPr>
        <w:pStyle w:val="0"/>
        <w:spacing w:before="240" w:lineRule="auto"/>
        <w:ind w:firstLine="540"/>
        <w:jc w:val="both"/>
      </w:pPr>
      <w:r>
        <w:rPr>
          <w:sz w:val="24"/>
        </w:rPr>
        <w:t xml:space="preserve">По группе аналитических признаков "Идентификатор актива" отражается в соответствии с ЕГРП кадастровый (условный) номер объекта недвижимости, указанный в выписке из ЕГРН.</w:t>
      </w:r>
    </w:p>
    <w:p>
      <w:pPr>
        <w:pStyle w:val="0"/>
        <w:spacing w:before="240" w:lineRule="auto"/>
        <w:ind w:firstLine="540"/>
        <w:jc w:val="both"/>
      </w:pPr>
      <w:r>
        <w:rPr>
          <w:sz w:val="24"/>
        </w:rPr>
        <w:t xml:space="preserve">54.37.1. По показателю "Наименование и назначение объекта недвижимости" </w:t>
      </w:r>
      <w:hyperlink w:history="0" w:anchor="P24440" w:tooltip="511">
        <w:r>
          <w:rPr>
            <w:sz w:val="24"/>
            <w:color w:val="0000ff"/>
          </w:rPr>
          <w:t xml:space="preserve">(строка 511)</w:t>
        </w:r>
      </w:hyperlink>
      <w:r>
        <w:rPr>
          <w:sz w:val="24"/>
        </w:rPr>
        <w:t xml:space="preserve"> для каждого объекта недвижимости указываются его наименование и назначение в соответствии с выпиской из ЕГРН.</w:t>
      </w:r>
    </w:p>
    <w:p>
      <w:pPr>
        <w:pStyle w:val="0"/>
        <w:spacing w:before="240" w:lineRule="auto"/>
        <w:ind w:firstLine="540"/>
        <w:jc w:val="both"/>
      </w:pPr>
      <w:r>
        <w:rPr>
          <w:sz w:val="24"/>
        </w:rPr>
        <w:t xml:space="preserve">54.37.2. По показателю "Адрес (местоположение) объекта недвижимости" </w:t>
      </w:r>
      <w:hyperlink w:history="0" w:anchor="P24472" w:tooltip="512">
        <w:r>
          <w:rPr>
            <w:sz w:val="24"/>
            <w:color w:val="0000ff"/>
          </w:rPr>
          <w:t xml:space="preserve">(строка 512)</w:t>
        </w:r>
      </w:hyperlink>
      <w:r>
        <w:rPr>
          <w:sz w:val="24"/>
        </w:rPr>
        <w:t xml:space="preserve"> для каждого объекта недвижимости указывается его адрес (местоположение) в соответствии с выпиской из ЕГРН.</w:t>
      </w:r>
    </w:p>
    <w:p>
      <w:pPr>
        <w:pStyle w:val="0"/>
        <w:spacing w:before="240" w:lineRule="auto"/>
        <w:ind w:firstLine="540"/>
        <w:jc w:val="both"/>
      </w:pPr>
      <w:r>
        <w:rPr>
          <w:sz w:val="24"/>
        </w:rPr>
        <w:t xml:space="preserve">54.37.3. По показателю "Категория вещей, в том числе недвижимости" </w:t>
      </w:r>
      <w:hyperlink w:history="0" w:anchor="P24504" w:tooltip="513">
        <w:r>
          <w:rPr>
            <w:sz w:val="24"/>
            <w:color w:val="0000ff"/>
          </w:rPr>
          <w:t xml:space="preserve">(строка 513)</w:t>
        </w:r>
      </w:hyperlink>
      <w:r>
        <w:rPr>
          <w:sz w:val="24"/>
        </w:rPr>
        <w:t xml:space="preserve"> для каждого объекта недвижимости указывается его категория: "Жилая недвижимость", "Земельный участок, на котором расположена жилая недвижимость", "Нежилая недвижимость", "Земельный участок, на котором расположена нежилая недвижимость".</w:t>
      </w:r>
    </w:p>
    <w:p>
      <w:pPr>
        <w:pStyle w:val="0"/>
        <w:spacing w:before="240" w:lineRule="auto"/>
        <w:ind w:firstLine="540"/>
        <w:jc w:val="both"/>
      </w:pPr>
      <w:r>
        <w:rPr>
          <w:sz w:val="24"/>
        </w:rPr>
        <w:t xml:space="preserve">54.37.4. По показателю "Дата принятия к учету" </w:t>
      </w:r>
      <w:hyperlink w:history="0" w:anchor="P24636" w:tooltip="517">
        <w:r>
          <w:rPr>
            <w:sz w:val="24"/>
            <w:color w:val="0000ff"/>
          </w:rPr>
          <w:t xml:space="preserve">(строка 517)</w:t>
        </w:r>
      </w:hyperlink>
      <w:r>
        <w:rPr>
          <w:sz w:val="24"/>
        </w:rPr>
        <w:t xml:space="preserve"> для каждого объекта недвижимости указывается дата принятия его к бухгалтерскому учету в соответствии с первичными учетными документами страховщика.</w:t>
      </w:r>
    </w:p>
    <w:p>
      <w:pPr>
        <w:pStyle w:val="0"/>
        <w:spacing w:before="240" w:lineRule="auto"/>
        <w:ind w:firstLine="540"/>
        <w:jc w:val="both"/>
      </w:pPr>
      <w:r>
        <w:rPr>
          <w:sz w:val="24"/>
        </w:rPr>
        <w:t xml:space="preserve">54.37.5. По показателю "Рыночная стоимость" </w:t>
      </w:r>
      <w:hyperlink w:history="0" w:anchor="P24668" w:tooltip="518">
        <w:r>
          <w:rPr>
            <w:sz w:val="24"/>
            <w:color w:val="0000ff"/>
          </w:rPr>
          <w:t xml:space="preserve">(строка 518)</w:t>
        </w:r>
      </w:hyperlink>
      <w:r>
        <w:rPr>
          <w:sz w:val="24"/>
        </w:rPr>
        <w:t xml:space="preserve"> для каждого объекта недвижимости указываются данные о подтверждении его рыночной стоимости оценщиком в соответствии с договором на проведение оценки и отчетом об оценке.</w:t>
      </w:r>
    </w:p>
    <w:p>
      <w:pPr>
        <w:pStyle w:val="0"/>
        <w:spacing w:before="240" w:lineRule="auto"/>
        <w:ind w:firstLine="540"/>
        <w:jc w:val="both"/>
      </w:pPr>
      <w:r>
        <w:rPr>
          <w:sz w:val="24"/>
        </w:rPr>
        <w:t xml:space="preserve">54.37.6. По показателю "Дата регистрации права собственности" </w:t>
      </w:r>
      <w:hyperlink w:history="0" w:anchor="P24700" w:tooltip="519">
        <w:r>
          <w:rPr>
            <w:sz w:val="24"/>
            <w:color w:val="0000ff"/>
          </w:rPr>
          <w:t xml:space="preserve">(строка 519)</w:t>
        </w:r>
      </w:hyperlink>
      <w:r>
        <w:rPr>
          <w:sz w:val="24"/>
        </w:rPr>
        <w:t xml:space="preserve"> для каждого объекта недвижимости указывается дата регистрации права собственности на него.</w:t>
      </w:r>
    </w:p>
    <w:p>
      <w:pPr>
        <w:pStyle w:val="0"/>
        <w:spacing w:before="240" w:lineRule="auto"/>
        <w:ind w:firstLine="540"/>
        <w:jc w:val="both"/>
      </w:pPr>
      <w:r>
        <w:rPr>
          <w:sz w:val="24"/>
        </w:rPr>
        <w:t xml:space="preserve">54.37.7. По показателю "Форма оплаты объекта недвижимости при покупке" </w:t>
      </w:r>
      <w:hyperlink w:history="0" w:anchor="P24732" w:tooltip="520">
        <w:r>
          <w:rPr>
            <w:sz w:val="24"/>
            <w:color w:val="0000ff"/>
          </w:rPr>
          <w:t xml:space="preserve">(строка 520)</w:t>
        </w:r>
      </w:hyperlink>
      <w:r>
        <w:rPr>
          <w:sz w:val="24"/>
        </w:rPr>
        <w:t xml:space="preserve"> для каждого объекта недвижимости указывается форма оплаты объекта недвижимости при покупке ("Денежные средства", "Взаимозачет", иные формы оплаты страховщиком объекта недвижимости при покупке). В случае если объект недвижимости получен на безвозмездной основе, по данному показателю указывается значение "Безвозмездно".</w:t>
      </w:r>
    </w:p>
    <w:p>
      <w:pPr>
        <w:pStyle w:val="0"/>
        <w:spacing w:before="240" w:lineRule="auto"/>
        <w:ind w:firstLine="540"/>
        <w:jc w:val="both"/>
      </w:pPr>
      <w:r>
        <w:rPr>
          <w:sz w:val="24"/>
        </w:rPr>
        <w:t xml:space="preserve">54.37.8. По показателю "Задолженность по оплате объекта недвижимости" </w:t>
      </w:r>
      <w:hyperlink w:history="0" w:anchor="P24764" w:tooltip="521">
        <w:r>
          <w:rPr>
            <w:sz w:val="24"/>
            <w:color w:val="0000ff"/>
          </w:rPr>
          <w:t xml:space="preserve">(строка 521)</w:t>
        </w:r>
      </w:hyperlink>
      <w:r>
        <w:rPr>
          <w:sz w:val="24"/>
        </w:rPr>
        <w:t xml:space="preserve"> для каждого объекта недвижимости указывается (при наличии) сумма задолженности страховщика по оплате объекта недвижимости на конец отчетного периода.</w:t>
      </w:r>
    </w:p>
    <w:p>
      <w:pPr>
        <w:pStyle w:val="0"/>
        <w:spacing w:before="240" w:lineRule="auto"/>
        <w:ind w:firstLine="540"/>
        <w:jc w:val="both"/>
      </w:pPr>
      <w:r>
        <w:rPr>
          <w:sz w:val="24"/>
        </w:rPr>
        <w:t xml:space="preserve">54.37.9. Данные </w:t>
      </w:r>
      <w:hyperlink w:history="0" w:anchor="P24438" w:tooltip="Подраздел 2.37.">
        <w:r>
          <w:rPr>
            <w:sz w:val="24"/>
            <w:color w:val="0000ff"/>
          </w:rPr>
          <w:t xml:space="preserve">подраздела 2.37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"Недвижимое имущество" группы аналитических признаков "Вид актива".</w:t>
      </w:r>
    </w:p>
    <w:p>
      <w:pPr>
        <w:pStyle w:val="0"/>
        <w:spacing w:before="240" w:lineRule="auto"/>
        <w:ind w:firstLine="540"/>
        <w:jc w:val="both"/>
      </w:pPr>
      <w:r>
        <w:rPr>
          <w:sz w:val="24"/>
        </w:rPr>
        <w:t xml:space="preserve">54.38. По показателям </w:t>
      </w:r>
      <w:hyperlink w:history="0" w:anchor="P24924" w:tooltip="Подраздел 2.38.">
        <w:r>
          <w:rPr>
            <w:sz w:val="24"/>
            <w:color w:val="0000ff"/>
          </w:rPr>
          <w:t xml:space="preserve">подраздела 2.38 раздела 2</w:t>
        </w:r>
      </w:hyperlink>
      <w:r>
        <w:rPr>
          <w:sz w:val="24"/>
        </w:rPr>
        <w:t xml:space="preserve"> отчетности по форме 0420154 отражаются сведения о вещах (кроме наличных денег, недвижимого имущества и прав аренды на земельные участки, указанных в </w:t>
      </w:r>
      <w:hyperlink w:history="0" r:id="rId34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пункте 3.6</w:t>
        </w:r>
      </w:hyperlink>
      <w:r>
        <w:rPr>
          <w:sz w:val="24"/>
        </w:rPr>
        <w:t xml:space="preserve"> Положения Банка России N 858-П, товаров, подпадающих под исключение, предусмотренное </w:t>
      </w:r>
      <w:hyperlink w:history="0" r:id="rId34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3.1.2 пункта 3.1</w:t>
        </w:r>
      </w:hyperlink>
      <w:r>
        <w:rPr>
          <w:sz w:val="24"/>
        </w:rPr>
        <w:t xml:space="preserve"> Положения Банка России N 858-П, документарных облигаций и акций) в разрезе их категорий: "Недвижимость", "Земельный участок", "Транспортные средства", "Оргтехника", "Иная категория" (по аналитическим признакам группы аналитических признаков "Категория вещей, в том числе недвижимости").</w:t>
      </w:r>
    </w:p>
    <w:p>
      <w:pPr>
        <w:pStyle w:val="0"/>
        <w:spacing w:before="240" w:lineRule="auto"/>
        <w:ind w:firstLine="540"/>
        <w:jc w:val="both"/>
      </w:pPr>
      <w:r>
        <w:rPr>
          <w:sz w:val="24"/>
        </w:rPr>
        <w:t xml:space="preserve">Данные </w:t>
      </w:r>
      <w:hyperlink w:history="0" w:anchor="P24924" w:tooltip="Подраздел 2.38.">
        <w:r>
          <w:rPr>
            <w:sz w:val="24"/>
            <w:color w:val="0000ff"/>
          </w:rPr>
          <w:t xml:space="preserve">подраздела 2.38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аналитическим признакам "Недвижимое имущество", "Основные средства, кроме недвижимого имущества" и "Прочие активы" группы аналитических признаков "Вид актива".</w:t>
      </w:r>
    </w:p>
    <w:p>
      <w:pPr>
        <w:pStyle w:val="0"/>
        <w:spacing w:before="240" w:lineRule="auto"/>
        <w:ind w:firstLine="540"/>
        <w:jc w:val="both"/>
      </w:pPr>
      <w:r>
        <w:rPr>
          <w:sz w:val="24"/>
        </w:rPr>
        <w:t xml:space="preserve">54.39. По показателям </w:t>
      </w:r>
      <w:hyperlink w:history="0" w:anchor="P24966" w:tooltip="Подраздел 2.39.">
        <w:r>
          <w:rPr>
            <w:sz w:val="24"/>
            <w:color w:val="0000ff"/>
          </w:rPr>
          <w:t xml:space="preserve">подраздела 2.39 раздела 2</w:t>
        </w:r>
      </w:hyperlink>
      <w:r>
        <w:rPr>
          <w:sz w:val="24"/>
        </w:rPr>
        <w:t xml:space="preserve"> отчетности по форме 0420154 отражаются сведения о правах пользования по договору аренды, признаваемых в соответствии с </w:t>
      </w:r>
      <w:hyperlink w:history="0" r:id="rId344" w:tooltip="Указание Банка России от 30.06.2025 N 7118-У &quot;О порядке отражения на счетах бухгалтерского учета договоров аренды некредитными финансовыми организациями, бюро кредитных историй, кредитными рейтинговыми агентствами&quot; (Зарегистрировано в Минюсте России 11.09.2025 N 83518) {КонсультантПлюс}">
        <w:r>
          <w:rPr>
            <w:sz w:val="24"/>
            <w:color w:val="0000ff"/>
          </w:rPr>
          <w:t xml:space="preserve">Указанием</w:t>
        </w:r>
      </w:hyperlink>
      <w:r>
        <w:rPr>
          <w:sz w:val="24"/>
        </w:rPr>
        <w:t xml:space="preserve"> Банка России от 30 июня 2025 года N 7118-У "О порядке отражения на счетах бухгалтерского учета договоров аренды некредитными финансовыми организациями, бюро кредитных историй, кредитными рейтинговыми агентствами" &lt;6&gt; (далее - Указание Банка России N 7118-У).</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&lt;6&gt; Зарегистрировано Минюстом России 11 сентября 2025 года, регистрационный N 83518.</w:t>
      </w:r>
    </w:p>
    <w:p>
      <w:pPr>
        <w:pStyle w:val="0"/>
        <w:ind w:firstLine="540"/>
        <w:jc w:val="both"/>
      </w:pPr>
      <w:r>
        <w:rPr>
          <w:sz w:val="24"/>
        </w:rPr>
      </w:r>
    </w:p>
    <w:p>
      <w:pPr>
        <w:pStyle w:val="0"/>
        <w:ind w:firstLine="540"/>
        <w:jc w:val="both"/>
      </w:pPr>
      <w:r>
        <w:rPr>
          <w:sz w:val="24"/>
        </w:rPr>
        <w:t xml:space="preserve">По группе аналитических признаков "Идентификатор актива" указывается номер договора аренды (с указанием по группе аналитических признаков "Идентификатор контрагента" идентификатора контрагента по указанному договору). В случае если номер договора аренды не является уникальным, требуется дополнить его характеристикой, позволяющей выделить один договор аренды из других договоров аренды. Одному и тому же договору аренды должен соответствовать один номер (уникальный идентификатор).</w:t>
      </w:r>
    </w:p>
    <w:p>
      <w:pPr>
        <w:pStyle w:val="0"/>
        <w:spacing w:before="240" w:lineRule="auto"/>
        <w:ind w:firstLine="540"/>
        <w:jc w:val="both"/>
      </w:pPr>
      <w:r>
        <w:rPr>
          <w:sz w:val="24"/>
        </w:rPr>
        <w:t xml:space="preserve">Данные </w:t>
      </w:r>
      <w:hyperlink w:history="0" w:anchor="P24966" w:tooltip="Подраздел 2.39.">
        <w:r>
          <w:rPr>
            <w:sz w:val="24"/>
            <w:color w:val="0000ff"/>
          </w:rPr>
          <w:t xml:space="preserve">подраздела 2.39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"Права пользования по договору аренды" группы аналитических признаков "Вид актива".</w:t>
      </w:r>
    </w:p>
    <w:p>
      <w:pPr>
        <w:pStyle w:val="0"/>
        <w:spacing w:before="240" w:lineRule="auto"/>
        <w:ind w:firstLine="540"/>
        <w:jc w:val="both"/>
      </w:pPr>
      <w:r>
        <w:rPr>
          <w:sz w:val="24"/>
        </w:rPr>
        <w:t xml:space="preserve">54.40. По показателям </w:t>
      </w:r>
      <w:hyperlink w:history="0" w:anchor="P25028" w:tooltip="Подраздел 2.40.">
        <w:r>
          <w:rPr>
            <w:sz w:val="24"/>
            <w:color w:val="0000ff"/>
          </w:rPr>
          <w:t xml:space="preserve">подраздела 2.40 раздела 2</w:t>
        </w:r>
      </w:hyperlink>
      <w:r>
        <w:rPr>
          <w:sz w:val="24"/>
        </w:rPr>
        <w:t xml:space="preserve"> отчетности по форме 0420154 отражаются сведения об активах страховщика, не отраженных в </w:t>
      </w:r>
      <w:hyperlink w:history="0" w:anchor="P2422" w:tooltip="Подраздел 2.1.">
        <w:r>
          <w:rPr>
            <w:sz w:val="24"/>
            <w:color w:val="0000ff"/>
          </w:rPr>
          <w:t xml:space="preserve">подразделах 2.1</w:t>
        </w:r>
      </w:hyperlink>
      <w:r>
        <w:rPr>
          <w:sz w:val="24"/>
        </w:rPr>
        <w:t xml:space="preserve"> - </w:t>
      </w:r>
      <w:hyperlink w:history="0" w:anchor="P24966" w:tooltip="Подраздел 2.39.">
        <w:r>
          <w:rPr>
            <w:sz w:val="24"/>
            <w:color w:val="0000ff"/>
          </w:rPr>
          <w:t xml:space="preserve">2.39 раздела 2</w:t>
        </w:r>
      </w:hyperlink>
      <w:r>
        <w:rPr>
          <w:sz w:val="24"/>
        </w:rPr>
        <w:t xml:space="preserve"> отчетности по форме 0420154, в том числе сведения о нематериальных активах, об отложенных налоговых активах, о цифровых финансовых активах, цифровых валютах, об активах по портфелям договоров страхования, выпущенных (принятых) договоров перестрахования и удерживаемых (переданных) договоров перестрахования, учитываемых на счетах бухгалтерского учета в соответствии с требованиями </w:t>
      </w:r>
      <w:hyperlink w:history="0" r:id="rId345"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(кроме ипотечных сертификатов участия, векселей).</w:t>
      </w:r>
    </w:p>
    <w:p>
      <w:pPr>
        <w:pStyle w:val="0"/>
        <w:spacing w:before="240" w:lineRule="auto"/>
        <w:ind w:firstLine="540"/>
        <w:jc w:val="both"/>
      </w:pPr>
      <w:r>
        <w:rPr>
          <w:sz w:val="24"/>
        </w:rPr>
        <w:t xml:space="preserve">По группе аналитических признаков "Идентификатор актива" указываются вид актива "Прочие активы" и через символ "_" (нижнее подчеркивание (без пробелов) порядковый номер, позволяющий идентифицировать актив (с учетом сведений, предусмотренных </w:t>
      </w:r>
      <w:hyperlink w:history="0" w:anchor="P25028" w:tooltip="Подраздел 2.40.">
        <w:r>
          <w:rPr>
            <w:sz w:val="24"/>
            <w:color w:val="0000ff"/>
          </w:rPr>
          <w:t xml:space="preserve">подразделом 2.40 раздела 2</w:t>
        </w:r>
      </w:hyperlink>
      <w:r>
        <w:rPr>
          <w:sz w:val="24"/>
        </w:rPr>
        <w:t xml:space="preserve"> отчетности по форме 0420154) (с указанием по группе аналитических признаков "Идентификатор контрагента" идентификатора контрагента по активу). В случае отсутствия контрагента (в том числе по нематериальным активам, отложенным налоговым активам) по группе аналитических признаков "Идентификатор контрагента" указывается значение "НП".</w:t>
      </w:r>
    </w:p>
    <w:p>
      <w:pPr>
        <w:pStyle w:val="0"/>
        <w:spacing w:before="240" w:lineRule="auto"/>
        <w:ind w:firstLine="540"/>
        <w:jc w:val="both"/>
      </w:pPr>
      <w:r>
        <w:rPr>
          <w:sz w:val="24"/>
        </w:rPr>
        <w:t xml:space="preserve">По активам по портфелям договоров страхования, выпущенных (принятых) договоров перестрахования и удерживаемых (переданных) договоров перестрахования, учитываемых на счетах бухгалтерского учета в соответствии с требованиями </w:t>
      </w:r>
      <w:hyperlink w:history="0" r:id="rId346"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значение показателя "Стоимость, определенная в соответствии с требованиями к финансовой устойчивости и платежеспособности страховщиков" </w:t>
      </w:r>
      <w:hyperlink w:history="0" w:anchor="P25082" w:tooltip="532">
        <w:r>
          <w:rPr>
            <w:sz w:val="24"/>
            <w:color w:val="0000ff"/>
          </w:rPr>
          <w:t xml:space="preserve">(строка 532)</w:t>
        </w:r>
      </w:hyperlink>
      <w:r>
        <w:rPr>
          <w:sz w:val="24"/>
        </w:rPr>
        <w:t xml:space="preserve"> не указывается, по аналитическому признаку группы аналитических признаков "Актив, подлежащий суммированию в соответствии с требованиями к финансовой устойчивости и платежеспособности страховщиков" указывается значение "Нет".</w:t>
      </w:r>
    </w:p>
    <w:p>
      <w:pPr>
        <w:pStyle w:val="0"/>
        <w:spacing w:before="240" w:lineRule="auto"/>
        <w:ind w:firstLine="540"/>
        <w:jc w:val="both"/>
      </w:pPr>
      <w:r>
        <w:rPr>
          <w:sz w:val="24"/>
        </w:rPr>
        <w:t xml:space="preserve">По показателю "Актив является цифровым финансовым активом, цифровой валютой" </w:t>
      </w:r>
      <w:hyperlink w:history="0" w:anchor="P25138" w:tooltip="533">
        <w:r>
          <w:rPr>
            <w:sz w:val="24"/>
            <w:color w:val="0000ff"/>
          </w:rPr>
          <w:t xml:space="preserve">(строка 533)</w:t>
        </w:r>
      </w:hyperlink>
      <w:r>
        <w:rPr>
          <w:sz w:val="24"/>
        </w:rPr>
        <w:t xml:space="preserve"> указывается значение "Да", если актив является цифровым финансовым активом, цифровой валютой. В ином случае указывается значение "Нет".</w:t>
      </w:r>
    </w:p>
    <w:p>
      <w:pPr>
        <w:pStyle w:val="0"/>
        <w:spacing w:before="240" w:lineRule="auto"/>
        <w:ind w:firstLine="540"/>
        <w:jc w:val="both"/>
      </w:pPr>
      <w:r>
        <w:rPr>
          <w:sz w:val="24"/>
        </w:rPr>
        <w:t xml:space="preserve">Данные </w:t>
      </w:r>
      <w:hyperlink w:history="0" w:anchor="P25028" w:tooltip="Подраздел 2.40.">
        <w:r>
          <w:rPr>
            <w:sz w:val="24"/>
            <w:color w:val="0000ff"/>
          </w:rPr>
          <w:t xml:space="preserve">подраздела 2.40 раздела 2</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активы" группы аналитических признаков "Вид актива".</w:t>
      </w:r>
    </w:p>
    <w:p>
      <w:pPr>
        <w:pStyle w:val="0"/>
        <w:spacing w:before="240" w:lineRule="auto"/>
        <w:ind w:firstLine="540"/>
        <w:jc w:val="both"/>
      </w:pPr>
      <w:r>
        <w:rPr>
          <w:sz w:val="24"/>
        </w:rPr>
        <w:t xml:space="preserve">55. По показателям </w:t>
      </w:r>
      <w:hyperlink w:history="0" w:anchor="P25242" w:tooltip="Раздел 3.">
        <w:r>
          <w:rPr>
            <w:sz w:val="24"/>
            <w:color w:val="0000ff"/>
          </w:rPr>
          <w:t xml:space="preserve">раздела 3</w:t>
        </w:r>
      </w:hyperlink>
      <w:r>
        <w:rPr>
          <w:sz w:val="24"/>
        </w:rPr>
        <w:t xml:space="preserve"> отчетности по форме 0420154 отражаются сведения об обязательствах страховщика.</w:t>
      </w:r>
    </w:p>
    <w:p>
      <w:pPr>
        <w:pStyle w:val="0"/>
        <w:spacing w:before="240" w:lineRule="auto"/>
        <w:ind w:firstLine="540"/>
        <w:jc w:val="both"/>
      </w:pPr>
      <w:r>
        <w:rPr>
          <w:sz w:val="24"/>
        </w:rPr>
        <w:t xml:space="preserve">55.1. По показателям </w:t>
      </w:r>
      <w:hyperlink w:history="0" w:anchor="P25244" w:tooltip="Подраздел 3.1.">
        <w:r>
          <w:rPr>
            <w:sz w:val="24"/>
            <w:color w:val="0000ff"/>
          </w:rPr>
          <w:t xml:space="preserve">подраздела 3.1 раздела 3</w:t>
        </w:r>
      </w:hyperlink>
      <w:r>
        <w:rPr>
          <w:sz w:val="24"/>
        </w:rPr>
        <w:t xml:space="preserve"> отчетности по форме 0420154 отражаются сведения об обязательствах, возникших в результате заключения страховщиком срочных сделок, указанных в </w:t>
      </w:r>
      <w:hyperlink w:history="0" r:id="rId34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2.4.3 пункта 2.4</w:t>
        </w:r>
      </w:hyperlink>
      <w:r>
        <w:rPr>
          <w:sz w:val="24"/>
        </w:rPr>
        <w:t xml:space="preserve"> Положения Банка России N 858-П.</w:t>
      </w:r>
    </w:p>
    <w:p>
      <w:pPr>
        <w:pStyle w:val="0"/>
        <w:spacing w:before="240" w:lineRule="auto"/>
        <w:ind w:firstLine="540"/>
        <w:jc w:val="both"/>
      </w:pPr>
      <w:r>
        <w:rPr>
          <w:sz w:val="24"/>
        </w:rPr>
        <w:t xml:space="preserve">По группе аналитических признаков "Идентификатор обязательства" указываются код контракта и наименование биржи в виде последовательности "код контракта_наименование биржи" (для биржевых инструментов) или номер договора (для внебиржевых инструментов) (с указанием по группе аналитических признаков "Идентификатор контрагента" идентификатора контрагента по указанному контракту, договору).</w:t>
      </w:r>
    </w:p>
    <w:p>
      <w:pPr>
        <w:pStyle w:val="0"/>
        <w:spacing w:before="240" w:lineRule="auto"/>
        <w:ind w:firstLine="540"/>
        <w:jc w:val="both"/>
      </w:pPr>
      <w:r>
        <w:rPr>
          <w:sz w:val="24"/>
        </w:rPr>
        <w:t xml:space="preserve">55.1.1. Данные </w:t>
      </w:r>
      <w:hyperlink w:history="0" w:anchor="P25244" w:tooltip="Подраздел 3.1.">
        <w:r>
          <w:rPr>
            <w:sz w:val="24"/>
            <w:color w:val="0000ff"/>
          </w:rPr>
          <w:t xml:space="preserve">подраздела 3.1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"Обязательства, возникшие в результате заключения страховщиком срочных сделок" группы аналитических признаков "Вид обязательства".</w:t>
      </w:r>
    </w:p>
    <w:bookmarkStart w:id="29018" w:name="P29018"/>
    <w:bookmarkEnd w:id="29018"/>
    <w:p>
      <w:pPr>
        <w:pStyle w:val="0"/>
        <w:spacing w:before="240" w:lineRule="auto"/>
        <w:ind w:firstLine="540"/>
        <w:jc w:val="both"/>
      </w:pPr>
      <w:r>
        <w:rPr>
          <w:sz w:val="24"/>
        </w:rPr>
        <w:t xml:space="preserve">55.1.2. В </w:t>
      </w:r>
      <w:hyperlink w:history="0" w:anchor="P27036" w:tooltip="Подраздел 3.11.">
        <w:r>
          <w:rPr>
            <w:sz w:val="24"/>
            <w:color w:val="0000ff"/>
          </w:rPr>
          <w:t xml:space="preserve">подразделе 3.1.1 раздела 3</w:t>
        </w:r>
      </w:hyperlink>
      <w:r>
        <w:rPr>
          <w:sz w:val="24"/>
        </w:rPr>
        <w:t xml:space="preserve"> отчетности по форме 0420154 отражаются сведения о базисных активах по срочной сделке, указанной в </w:t>
      </w:r>
      <w:hyperlink w:history="0" r:id="rId34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2.4.3 пункта 2.4</w:t>
        </w:r>
      </w:hyperlink>
      <w:r>
        <w:rPr>
          <w:sz w:val="24"/>
        </w:rPr>
        <w:t xml:space="preserve"> Положения Банка России N 858-П, по обязательствам, сведения о которых отражены по показателям </w:t>
      </w:r>
      <w:hyperlink w:history="0" w:anchor="P25244" w:tooltip="Подраздел 3.1.">
        <w:r>
          <w:rPr>
            <w:sz w:val="24"/>
            <w:color w:val="0000ff"/>
          </w:rPr>
          <w:t xml:space="preserve">подраздела 3.1 раздела 3</w:t>
        </w:r>
      </w:hyperlink>
      <w:r>
        <w:rPr>
          <w:sz w:val="24"/>
        </w:rPr>
        <w:t xml:space="preserve"> отчетности по форме 0420154.</w:t>
      </w:r>
    </w:p>
    <w:p>
      <w:pPr>
        <w:pStyle w:val="0"/>
        <w:spacing w:before="240" w:lineRule="auto"/>
        <w:ind w:firstLine="540"/>
        <w:jc w:val="both"/>
      </w:pPr>
      <w:r>
        <w:rPr>
          <w:sz w:val="24"/>
        </w:rPr>
        <w:t xml:space="preserve">Данные, указанные по группе аналитических признаков "Идентификатор обязательства", должны соответствовать данным, указанным по группе аналитических признаков "Идентификатор обязательства" </w:t>
      </w:r>
      <w:hyperlink w:history="0" w:anchor="P25244" w:tooltip="Подраздел 3.1.">
        <w:r>
          <w:rPr>
            <w:sz w:val="24"/>
            <w:color w:val="0000ff"/>
          </w:rPr>
          <w:t xml:space="preserve">подраздела 3.1 раздела 3</w:t>
        </w:r>
      </w:hyperlink>
      <w:r>
        <w:rPr>
          <w:sz w:val="24"/>
        </w:rPr>
        <w:t xml:space="preserve"> отчетности по форме 0420154.</w:t>
      </w:r>
    </w:p>
    <w:p>
      <w:pPr>
        <w:pStyle w:val="0"/>
        <w:spacing w:before="240" w:lineRule="auto"/>
        <w:ind w:firstLine="540"/>
        <w:jc w:val="both"/>
      </w:pPr>
      <w:r>
        <w:rPr>
          <w:sz w:val="24"/>
        </w:rPr>
        <w:t xml:space="preserve">По показателю "Примечание" </w:t>
      </w:r>
      <w:hyperlink w:history="0" w:anchor="P25920" w:tooltip="556">
        <w:r>
          <w:rPr>
            <w:sz w:val="24"/>
            <w:color w:val="0000ff"/>
          </w:rPr>
          <w:t xml:space="preserve">(строка 556)</w:t>
        </w:r>
      </w:hyperlink>
      <w:r>
        <w:rPr>
          <w:sz w:val="24"/>
        </w:rPr>
        <w:t xml:space="preserve"> указывается дополнительная информация в отношении базисных активов по срочной сделке, являющаяся по решению страховщика существенной. В случае отсутствия указанной информации по данному показателю указывается значение "НП".</w:t>
      </w:r>
    </w:p>
    <w:p>
      <w:pPr>
        <w:pStyle w:val="0"/>
        <w:spacing w:before="240" w:lineRule="auto"/>
        <w:ind w:firstLine="540"/>
        <w:jc w:val="both"/>
      </w:pPr>
      <w:r>
        <w:rPr>
          <w:sz w:val="24"/>
        </w:rPr>
        <w:t xml:space="preserve">По аналитическим признакам группы аналитических признаков "Код валюты" указывается код валюты базисного актива по срочной сделке.</w:t>
      </w:r>
    </w:p>
    <w:p>
      <w:pPr>
        <w:pStyle w:val="0"/>
        <w:spacing w:before="240" w:lineRule="auto"/>
        <w:ind w:firstLine="540"/>
        <w:jc w:val="both"/>
      </w:pPr>
      <w:r>
        <w:rPr>
          <w:sz w:val="24"/>
        </w:rPr>
        <w:t xml:space="preserve">55.2. По показателям </w:t>
      </w:r>
      <w:hyperlink w:history="0" w:anchor="P25948" w:tooltip="Подраздел 3.2.">
        <w:r>
          <w:rPr>
            <w:sz w:val="24"/>
            <w:color w:val="0000ff"/>
          </w:rPr>
          <w:t xml:space="preserve">подраздела 3.2 раздела 3</w:t>
        </w:r>
      </w:hyperlink>
      <w:r>
        <w:rPr>
          <w:sz w:val="24"/>
        </w:rPr>
        <w:t xml:space="preserve"> отчетности по форме 0420154 отражаются сведения о выпущенных страховщиком долговых ценных бумагах (векселях, облигациях).</w:t>
      </w:r>
    </w:p>
    <w:p>
      <w:pPr>
        <w:pStyle w:val="0"/>
        <w:spacing w:before="240" w:lineRule="auto"/>
        <w:ind w:firstLine="540"/>
        <w:jc w:val="both"/>
      </w:pPr>
      <w:r>
        <w:rPr>
          <w:sz w:val="24"/>
        </w:rPr>
        <w:t xml:space="preserve">По группе аналитических признаков "Идентификатор обязательства" указываются серия и номер векселя либо уникальный номер, присвоенный страховщиком векселю, в случае отсутствия серии и номера векселя (для векселей) или регистрационный номер выпуска облигаций (для облигаций).</w:t>
      </w:r>
    </w:p>
    <w:p>
      <w:pPr>
        <w:pStyle w:val="0"/>
        <w:spacing w:before="240" w:lineRule="auto"/>
        <w:ind w:firstLine="540"/>
        <w:jc w:val="both"/>
      </w:pPr>
      <w:r>
        <w:rPr>
          <w:sz w:val="24"/>
        </w:rPr>
        <w:t xml:space="preserve">Данные </w:t>
      </w:r>
      <w:hyperlink w:history="0" w:anchor="P25948" w:tooltip="Подраздел 3.2.">
        <w:r>
          <w:rPr>
            <w:sz w:val="24"/>
            <w:color w:val="0000ff"/>
          </w:rPr>
          <w:t xml:space="preserve">подраздела 3.2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"Выпущенные долговые ценные бумаги" группы аналитических признаков "Вид обязательства".</w:t>
      </w:r>
    </w:p>
    <w:p>
      <w:pPr>
        <w:pStyle w:val="0"/>
        <w:spacing w:before="240" w:lineRule="auto"/>
        <w:ind w:firstLine="540"/>
        <w:jc w:val="both"/>
      </w:pPr>
      <w:r>
        <w:rPr>
          <w:sz w:val="24"/>
        </w:rPr>
        <w:t xml:space="preserve">55.3. По показателям </w:t>
      </w:r>
      <w:hyperlink w:history="0" w:anchor="P26070" w:tooltip="Подраздел 3.3.">
        <w:r>
          <w:rPr>
            <w:sz w:val="24"/>
            <w:color w:val="0000ff"/>
          </w:rPr>
          <w:t xml:space="preserve">подраздела 3.3 раздела 3</w:t>
        </w:r>
      </w:hyperlink>
      <w:r>
        <w:rPr>
          <w:sz w:val="24"/>
        </w:rPr>
        <w:t xml:space="preserve"> отчетности по форме 0420154 отражаются сведения о займах и прочих привлеченных средствах (кроме субординированных займов, выпущенных долговых ценных бумаг).</w:t>
      </w:r>
    </w:p>
    <w:p>
      <w:pPr>
        <w:pStyle w:val="0"/>
        <w:spacing w:before="240" w:lineRule="auto"/>
        <w:ind w:firstLine="540"/>
        <w:jc w:val="both"/>
      </w:pPr>
      <w:r>
        <w:rPr>
          <w:sz w:val="24"/>
        </w:rPr>
        <w:t xml:space="preserve">По группе аналитических признаков "Идентификатор обязательства" указываются вид обязательства "Займы и прочие привлеченные средства" и через символ "_" (нижнее подчеркивание (без пробелов) порядковый номер, позволяющий идентифицировать обязательство (с учетом сведений, предусмотренных </w:t>
      </w:r>
      <w:hyperlink w:history="0" w:anchor="P26070" w:tooltip="Подраздел 3.3.">
        <w:r>
          <w:rPr>
            <w:sz w:val="24"/>
            <w:color w:val="0000ff"/>
          </w:rPr>
          <w:t xml:space="preserve">подразделом 3.3 раздела 3</w:t>
        </w:r>
      </w:hyperlink>
      <w:r>
        <w:rPr>
          <w:sz w:val="24"/>
        </w:rPr>
        <w:t xml:space="preserve"> отчетности по форме 0420154) (с указанием по группе аналитических признаков "Идентификатор контрагента" идентификатора заимодавца, кредитора).</w:t>
      </w:r>
    </w:p>
    <w:p>
      <w:pPr>
        <w:pStyle w:val="0"/>
        <w:spacing w:before="240" w:lineRule="auto"/>
        <w:ind w:firstLine="540"/>
        <w:jc w:val="both"/>
      </w:pPr>
      <w:r>
        <w:rPr>
          <w:sz w:val="24"/>
        </w:rPr>
        <w:t xml:space="preserve">Данные </w:t>
      </w:r>
      <w:hyperlink w:history="0" w:anchor="P26070" w:tooltip="Подраздел 3.3.">
        <w:r>
          <w:rPr>
            <w:sz w:val="24"/>
            <w:color w:val="0000ff"/>
          </w:rPr>
          <w:t xml:space="preserve">подраздела 3.3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"Займы и прочие привлеченные средства (кроме субординированных займов, выпущенных долговых ценных бумаг)" группы аналитических признаков "Вид обязательства".</w:t>
      </w:r>
    </w:p>
    <w:p>
      <w:pPr>
        <w:pStyle w:val="0"/>
        <w:spacing w:before="240" w:lineRule="auto"/>
        <w:ind w:firstLine="540"/>
        <w:jc w:val="both"/>
      </w:pPr>
      <w:r>
        <w:rPr>
          <w:sz w:val="24"/>
        </w:rPr>
        <w:t xml:space="preserve">55.4. По показателям </w:t>
      </w:r>
      <w:hyperlink w:history="0" w:anchor="P26192" w:tooltip="Подраздел 3.4.">
        <w:r>
          <w:rPr>
            <w:sz w:val="24"/>
            <w:color w:val="0000ff"/>
          </w:rPr>
          <w:t xml:space="preserve">подраздела 3.4 раздела 3</w:t>
        </w:r>
      </w:hyperlink>
      <w:r>
        <w:rPr>
          <w:sz w:val="24"/>
        </w:rPr>
        <w:t xml:space="preserve"> отчетности по форме 0420154 отражаются сведения о привлеченных страховщиком субординированных займах.</w:t>
      </w:r>
    </w:p>
    <w:p>
      <w:pPr>
        <w:pStyle w:val="0"/>
        <w:spacing w:before="240" w:lineRule="auto"/>
        <w:ind w:firstLine="540"/>
        <w:jc w:val="both"/>
      </w:pPr>
      <w:r>
        <w:rPr>
          <w:sz w:val="24"/>
        </w:rPr>
        <w:t xml:space="preserve">По группе аналитических признаков "Идентификатор обязательства" указывается номер договора субординированного займа (с указанием по группе аналитических признаков "Идентификатор контрагента" идентификатора заимодавца по указанному договору).</w:t>
      </w:r>
    </w:p>
    <w:p>
      <w:pPr>
        <w:pStyle w:val="0"/>
        <w:spacing w:before="240" w:lineRule="auto"/>
        <w:ind w:firstLine="540"/>
        <w:jc w:val="both"/>
      </w:pPr>
      <w:r>
        <w:rPr>
          <w:sz w:val="24"/>
        </w:rPr>
        <w:t xml:space="preserve">Данные </w:t>
      </w:r>
      <w:hyperlink w:history="0" w:anchor="P26192" w:tooltip="Подраздел 3.4.">
        <w:r>
          <w:rPr>
            <w:sz w:val="24"/>
            <w:color w:val="0000ff"/>
          </w:rPr>
          <w:t xml:space="preserve">подраздела 3.4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"Субординированные займы" группы аналитических признаков "Вид обязательства".</w:t>
      </w:r>
    </w:p>
    <w:p>
      <w:pPr>
        <w:pStyle w:val="0"/>
        <w:spacing w:before="240" w:lineRule="auto"/>
        <w:ind w:firstLine="540"/>
        <w:jc w:val="both"/>
      </w:pPr>
      <w:r>
        <w:rPr>
          <w:sz w:val="24"/>
        </w:rPr>
        <w:t xml:space="preserve">55.5. По показателям </w:t>
      </w:r>
      <w:hyperlink w:history="0" w:anchor="P26338" w:tooltip="Подраздел 3.5.">
        <w:r>
          <w:rPr>
            <w:sz w:val="24"/>
            <w:color w:val="0000ff"/>
          </w:rPr>
          <w:t xml:space="preserve">подраздела 3.5 раздела 3</w:t>
        </w:r>
      </w:hyperlink>
      <w:r>
        <w:rPr>
          <w:sz w:val="24"/>
        </w:rPr>
        <w:t xml:space="preserve"> отчетности по форме 0420154 отражаются сведения о страховых резервах по страхованию жизни.</w:t>
      </w:r>
    </w:p>
    <w:p>
      <w:pPr>
        <w:pStyle w:val="0"/>
        <w:spacing w:before="240" w:lineRule="auto"/>
        <w:ind w:firstLine="540"/>
        <w:jc w:val="both"/>
      </w:pPr>
      <w:r>
        <w:rPr>
          <w:sz w:val="24"/>
        </w:rPr>
        <w:t xml:space="preserve">55.5.1. По показателю "Стоимость, определенная в соответствии с требованиями к финансовой устойчивости и платежеспособности страховщиков" </w:t>
      </w:r>
      <w:hyperlink w:history="0" w:anchor="P26340" w:tooltip="574">
        <w:r>
          <w:rPr>
            <w:sz w:val="24"/>
            <w:color w:val="0000ff"/>
          </w:rPr>
          <w:t xml:space="preserve">(строка 574)</w:t>
        </w:r>
      </w:hyperlink>
      <w:r>
        <w:rPr>
          <w:sz w:val="24"/>
        </w:rPr>
        <w:t xml:space="preserve"> отражается величина страховых резервов по страхованию жизни (включая величину резерва инвестиционных обязательств, отраженную в </w:t>
      </w:r>
      <w:hyperlink w:history="0" w:anchor="P26412" w:tooltip="Подраздел 3.5.1.">
        <w:r>
          <w:rPr>
            <w:sz w:val="24"/>
            <w:color w:val="0000ff"/>
          </w:rPr>
          <w:t xml:space="preserve">подразделе 3.5.1 раздела 3</w:t>
        </w:r>
      </w:hyperlink>
      <w:r>
        <w:rPr>
          <w:sz w:val="24"/>
        </w:rPr>
        <w:t xml:space="preserve"> отчетности по форме 0420154), рассчитанная в соответствии с </w:t>
      </w:r>
      <w:hyperlink w:history="0" r:id="rId34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за вычетом вспомогательной величины ЭНП, рассчитанной в соответствии с </w:t>
      </w:r>
      <w:hyperlink w:history="0" r:id="rId35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w:t>
        </w:r>
      </w:hyperlink>
      <w:r>
        <w:rPr>
          <w:sz w:val="24"/>
        </w:rPr>
        <w:t xml:space="preserve"> приложения 5 к Положению Банка России N 858-П (далее - вспомогательная величина ЭНП).</w:t>
      </w:r>
    </w:p>
    <w:p>
      <w:pPr>
        <w:pStyle w:val="0"/>
        <w:spacing w:before="240" w:lineRule="auto"/>
        <w:ind w:firstLine="540"/>
        <w:jc w:val="both"/>
      </w:pPr>
      <w:r>
        <w:rPr>
          <w:sz w:val="24"/>
        </w:rPr>
        <w:t xml:space="preserve">Данные </w:t>
      </w:r>
      <w:hyperlink w:history="0" w:anchor="P26338" w:tooltip="Подраздел 3.5.">
        <w:r>
          <w:rPr>
            <w:sz w:val="24"/>
            <w:color w:val="0000ff"/>
          </w:rPr>
          <w:t xml:space="preserve">подраздела 3.5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"Страховые резервы по страхованию жизни" и входящим в него аналитическим признакам (за исключением аналитического признака "Права требования в части уплаты страховых премий (взносов), учтенные в страховых резервах по страхованию жизни") группы аналитических признаков "Вид обязательства".</w:t>
      </w:r>
    </w:p>
    <w:p>
      <w:pPr>
        <w:pStyle w:val="0"/>
        <w:spacing w:before="240" w:lineRule="auto"/>
        <w:ind w:firstLine="540"/>
        <w:jc w:val="both"/>
      </w:pPr>
      <w:r>
        <w:rPr>
          <w:sz w:val="24"/>
        </w:rPr>
        <w:t xml:space="preserve">55.5.2. Сведения о резерве инвестиционных обязательств указываются дополнительно в </w:t>
      </w:r>
      <w:hyperlink w:history="0" w:anchor="P26412" w:tooltip="Подраздел 3.5.1.">
        <w:r>
          <w:rPr>
            <w:sz w:val="24"/>
            <w:color w:val="0000ff"/>
          </w:rPr>
          <w:t xml:space="preserve">подразделе 3.5.1 раздела 3</w:t>
        </w:r>
      </w:hyperlink>
      <w:r>
        <w:rPr>
          <w:sz w:val="24"/>
        </w:rPr>
        <w:t xml:space="preserve"> отчетности по форме 0420154.</w:t>
      </w:r>
    </w:p>
    <w:p>
      <w:pPr>
        <w:pStyle w:val="0"/>
        <w:spacing w:before="240" w:lineRule="auto"/>
        <w:ind w:firstLine="540"/>
        <w:jc w:val="both"/>
      </w:pPr>
      <w:r>
        <w:rPr>
          <w:sz w:val="24"/>
        </w:rPr>
        <w:t xml:space="preserve">По показателю "Стоимость, определенная в соответствии с требованиями к финансовой устойчивости и платежеспособности страховщиков" </w:t>
      </w:r>
      <w:hyperlink w:history="0" w:anchor="P26414" w:tooltip="580">
        <w:r>
          <w:rPr>
            <w:sz w:val="24"/>
            <w:color w:val="0000ff"/>
          </w:rPr>
          <w:t xml:space="preserve">(строка 580)</w:t>
        </w:r>
      </w:hyperlink>
      <w:r>
        <w:rPr>
          <w:sz w:val="24"/>
        </w:rPr>
        <w:t xml:space="preserve"> указывается величина резерва инвестиционных обязательств, сформированного по состоянию на конец отчетного периода в соответствии с </w:t>
      </w:r>
      <w:hyperlink w:history="0" r:id="rId35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5.3.5 пункта 5.3</w:t>
        </w:r>
      </w:hyperlink>
      <w:r>
        <w:rPr>
          <w:sz w:val="24"/>
        </w:rPr>
        <w:t xml:space="preserve"> Положения Банка России N 858-П, за вычетом суммы обязательств, указанных в </w:t>
      </w:r>
      <w:hyperlink w:history="0" r:id="rId35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1.3.2 пункта 1.3</w:t>
        </w:r>
      </w:hyperlink>
      <w:r>
        <w:rPr>
          <w:sz w:val="24"/>
        </w:rPr>
        <w:t xml:space="preserve"> Положения Банка России N 858-П.</w:t>
      </w:r>
    </w:p>
    <w:p>
      <w:pPr>
        <w:pStyle w:val="0"/>
        <w:spacing w:before="240" w:lineRule="auto"/>
        <w:ind w:firstLine="540"/>
        <w:jc w:val="both"/>
      </w:pPr>
      <w:r>
        <w:rPr>
          <w:sz w:val="24"/>
        </w:rPr>
        <w:t xml:space="preserve">Данные </w:t>
      </w:r>
      <w:hyperlink w:history="0" w:anchor="P26412" w:tooltip="Подраздел 3.5.1.">
        <w:r>
          <w:rPr>
            <w:sz w:val="24"/>
            <w:color w:val="0000ff"/>
          </w:rPr>
          <w:t xml:space="preserve">подраздела 3.5.1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"Резерв инвестиционных обязательств" группы аналитических признаков "Вид обязательства".</w:t>
      </w:r>
    </w:p>
    <w:p>
      <w:pPr>
        <w:pStyle w:val="0"/>
        <w:spacing w:before="240" w:lineRule="auto"/>
        <w:ind w:firstLine="540"/>
        <w:jc w:val="both"/>
      </w:pPr>
      <w:r>
        <w:rPr>
          <w:sz w:val="24"/>
        </w:rPr>
        <w:t xml:space="preserve">55.6. По показателям </w:t>
      </w:r>
      <w:hyperlink w:history="0" w:anchor="P26606" w:tooltip="Подраздел 3.6.">
        <w:r>
          <w:rPr>
            <w:sz w:val="24"/>
            <w:color w:val="0000ff"/>
          </w:rPr>
          <w:t xml:space="preserve">подраздела 3.6 раздела 3</w:t>
        </w:r>
      </w:hyperlink>
      <w:r>
        <w:rPr>
          <w:sz w:val="24"/>
        </w:rPr>
        <w:t xml:space="preserve"> отчетности по форме 0420154 отражаются сведения о страховых резервах по страхованию иному, чем страхование жизни.</w:t>
      </w:r>
    </w:p>
    <w:p>
      <w:pPr>
        <w:pStyle w:val="0"/>
        <w:spacing w:before="240" w:lineRule="auto"/>
        <w:ind w:firstLine="540"/>
        <w:jc w:val="both"/>
      </w:pPr>
      <w:r>
        <w:rPr>
          <w:sz w:val="24"/>
        </w:rPr>
        <w:t xml:space="preserve">По показателю "Стоимость, определенная в соответствии с требованиями к финансовой устойчивости и платежеспособности страховщиков" </w:t>
      </w:r>
      <w:hyperlink w:history="0" w:anchor="P26608" w:tooltip="592">
        <w:r>
          <w:rPr>
            <w:sz w:val="24"/>
            <w:color w:val="0000ff"/>
          </w:rPr>
          <w:t xml:space="preserve">(строка 592)</w:t>
        </w:r>
      </w:hyperlink>
      <w:r>
        <w:rPr>
          <w:sz w:val="24"/>
        </w:rPr>
        <w:t xml:space="preserve"> отражается величина страховых резервов по страхованию иному, чем страхование жизни, рассчитанная в соответствии с </w:t>
      </w:r>
      <w:hyperlink w:history="0" r:id="rId35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за вычетом вспомогательной величины ЭНП.</w:t>
      </w:r>
    </w:p>
    <w:p>
      <w:pPr>
        <w:pStyle w:val="0"/>
        <w:spacing w:before="240" w:lineRule="auto"/>
        <w:ind w:firstLine="540"/>
        <w:jc w:val="both"/>
      </w:pPr>
      <w:r>
        <w:rPr>
          <w:sz w:val="24"/>
        </w:rPr>
        <w:t xml:space="preserve">Данные </w:t>
      </w:r>
      <w:hyperlink w:history="0" w:anchor="P26606" w:tooltip="Подраздел 3.6.">
        <w:r>
          <w:rPr>
            <w:sz w:val="24"/>
            <w:color w:val="0000ff"/>
          </w:rPr>
          <w:t xml:space="preserve">подраздела 3.6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"Страховые резервы по страхованию иному, чем страхование жизни" и входящим в него аналитическим признакам (за исключением аналитического признака "Права требования в части уплаты страховых премий (взносов), учтенные в страховых резервах по страхованию иному, чем страхование жизни") группы аналитических признаков "Вид обязательства".</w:t>
      </w:r>
    </w:p>
    <w:p>
      <w:pPr>
        <w:pStyle w:val="0"/>
        <w:spacing w:before="240" w:lineRule="auto"/>
        <w:ind w:firstLine="540"/>
        <w:jc w:val="both"/>
      </w:pPr>
      <w:r>
        <w:rPr>
          <w:sz w:val="24"/>
        </w:rPr>
        <w:t xml:space="preserve">55.7. По показателям </w:t>
      </w:r>
      <w:hyperlink w:history="0" w:anchor="P26680" w:tooltip="Подраздел 3.7.">
        <w:r>
          <w:rPr>
            <w:sz w:val="24"/>
            <w:color w:val="0000ff"/>
          </w:rPr>
          <w:t xml:space="preserve">подраздела 3.7 раздела 3</w:t>
        </w:r>
      </w:hyperlink>
      <w:r>
        <w:rPr>
          <w:sz w:val="24"/>
        </w:rPr>
        <w:t xml:space="preserve"> отчетности по форме 0420154 отражаются сведения об обязательствах по обязательному медицинскому страхованию в размере, не превышающем размер активов, указанных в </w:t>
      </w:r>
      <w:hyperlink w:history="0" w:anchor="P23936" w:tooltip="Подраздел 2.35.">
        <w:r>
          <w:rPr>
            <w:sz w:val="24"/>
            <w:color w:val="0000ff"/>
          </w:rPr>
          <w:t xml:space="preserve">подразделах 2.35</w:t>
        </w:r>
      </w:hyperlink>
      <w:r>
        <w:rPr>
          <w:sz w:val="24"/>
        </w:rPr>
        <w:t xml:space="preserve"> и </w:t>
      </w:r>
      <w:hyperlink w:history="0" w:anchor="P23986" w:tooltip="Подраздел 2.35.1.">
        <w:r>
          <w:rPr>
            <w:sz w:val="24"/>
            <w:color w:val="0000ff"/>
          </w:rPr>
          <w:t xml:space="preserve">2.35.1 раздела 2</w:t>
        </w:r>
      </w:hyperlink>
      <w:r>
        <w:rPr>
          <w:sz w:val="24"/>
        </w:rPr>
        <w:t xml:space="preserve"> отчетности по форме 0420154.</w:t>
      </w:r>
    </w:p>
    <w:p>
      <w:pPr>
        <w:pStyle w:val="0"/>
        <w:spacing w:before="240" w:lineRule="auto"/>
        <w:ind w:firstLine="540"/>
        <w:jc w:val="both"/>
      </w:pPr>
      <w:r>
        <w:rPr>
          <w:sz w:val="24"/>
        </w:rPr>
        <w:t xml:space="preserve">Данные </w:t>
      </w:r>
      <w:hyperlink w:history="0" w:anchor="P26680" w:tooltip="Подраздел 3.7.">
        <w:r>
          <w:rPr>
            <w:sz w:val="24"/>
            <w:color w:val="0000ff"/>
          </w:rPr>
          <w:t xml:space="preserve">подраздела 3.7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"Обязательства по обязательному медицинскому страхованию" группы аналитических признаков "Вид обязательства".</w:t>
      </w:r>
    </w:p>
    <w:p>
      <w:pPr>
        <w:pStyle w:val="0"/>
        <w:spacing w:before="240" w:lineRule="auto"/>
        <w:ind w:firstLine="540"/>
        <w:jc w:val="both"/>
      </w:pPr>
      <w:r>
        <w:rPr>
          <w:sz w:val="24"/>
        </w:rPr>
        <w:t xml:space="preserve">55.8. По показателям </w:t>
      </w:r>
      <w:hyperlink w:history="0" w:anchor="P24924" w:tooltip="Подраздел 2.38.">
        <w:r>
          <w:rPr>
            <w:sz w:val="24"/>
            <w:color w:val="0000ff"/>
          </w:rPr>
          <w:t xml:space="preserve">подраздела 3.8 раздела 3</w:t>
        </w:r>
      </w:hyperlink>
      <w:r>
        <w:rPr>
          <w:sz w:val="24"/>
        </w:rPr>
        <w:t xml:space="preserve"> отчетности по форме 0420154 отражаются сведения об обязательствах инвестиционного фонда поданным его отчетности, если в соответствии с </w:t>
      </w:r>
      <w:hyperlink w:history="0" r:id="rId35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1.4.2 пункта 1.4</w:t>
        </w:r>
      </w:hyperlink>
      <w:r>
        <w:rPr>
          <w:sz w:val="24"/>
        </w:rPr>
        <w:t xml:space="preserve"> Положения Банка России N 858-П в состав активов страховой организации включаются активы, в которые инвестировано имущество указанного инвестиционного фонда.</w:t>
      </w:r>
    </w:p>
    <w:p>
      <w:pPr>
        <w:pStyle w:val="0"/>
        <w:spacing w:before="240" w:lineRule="auto"/>
        <w:ind w:firstLine="540"/>
        <w:jc w:val="both"/>
      </w:pPr>
      <w:r>
        <w:rPr>
          <w:sz w:val="24"/>
        </w:rPr>
        <w:t xml:space="preserve">По группе аналитических признаков "Идентификатор инвестиционного фонда" указывается идентификатор ценной бумаги, через которую осуществляется владение имуществом.</w:t>
      </w:r>
    </w:p>
    <w:p>
      <w:pPr>
        <w:pStyle w:val="0"/>
        <w:spacing w:before="240" w:lineRule="auto"/>
        <w:ind w:firstLine="540"/>
        <w:jc w:val="both"/>
      </w:pPr>
      <w:r>
        <w:rPr>
          <w:sz w:val="24"/>
        </w:rPr>
        <w:t xml:space="preserve">Данные </w:t>
      </w:r>
      <w:hyperlink w:history="0" w:anchor="P24924" w:tooltip="Подраздел 2.38.">
        <w:r>
          <w:rPr>
            <w:sz w:val="24"/>
            <w:color w:val="0000ff"/>
          </w:rPr>
          <w:t xml:space="preserve">подраздела 3.8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"Обязательства инвестиционного фонда, включенные в состав обязательств страховщика" группы аналитических признаков "Вид обязательства".</w:t>
      </w:r>
    </w:p>
    <w:p>
      <w:pPr>
        <w:pStyle w:val="0"/>
        <w:spacing w:before="240" w:lineRule="auto"/>
        <w:ind w:firstLine="540"/>
        <w:jc w:val="both"/>
      </w:pPr>
      <w:r>
        <w:rPr>
          <w:sz w:val="24"/>
        </w:rPr>
        <w:t xml:space="preserve">55.9. По показателям </w:t>
      </w:r>
      <w:hyperlink w:history="0" w:anchor="P24966" w:tooltip="Подраздел 2.39.">
        <w:r>
          <w:rPr>
            <w:sz w:val="24"/>
            <w:color w:val="0000ff"/>
          </w:rPr>
          <w:t xml:space="preserve">подраздела 3.9 раздела 3</w:t>
        </w:r>
      </w:hyperlink>
      <w:r>
        <w:rPr>
          <w:sz w:val="24"/>
        </w:rPr>
        <w:t xml:space="preserve"> отчетности по форме 0420154 отражаются сведения об отложенных налоговых обязательствах.</w:t>
      </w:r>
    </w:p>
    <w:p>
      <w:pPr>
        <w:pStyle w:val="0"/>
        <w:spacing w:before="240" w:lineRule="auto"/>
        <w:ind w:firstLine="540"/>
        <w:jc w:val="both"/>
      </w:pPr>
      <w:r>
        <w:rPr>
          <w:sz w:val="24"/>
        </w:rPr>
        <w:t xml:space="preserve">55.9.1. По показателю "Величина ОНО</w:t>
      </w:r>
      <w:r>
        <w:rPr>
          <w:sz w:val="24"/>
          <w:vertAlign w:val="subscript"/>
        </w:rPr>
        <w:t xml:space="preserve">корр</w:t>
      </w:r>
      <w:r>
        <w:rPr>
          <w:sz w:val="24"/>
        </w:rPr>
        <w:t xml:space="preserve">" </w:t>
      </w:r>
      <w:hyperlink w:history="0" w:anchor="P26842" w:tooltip="607">
        <w:r>
          <w:rPr>
            <w:sz w:val="24"/>
            <w:color w:val="0000ff"/>
          </w:rPr>
          <w:t xml:space="preserve">(строка 607)</w:t>
        </w:r>
      </w:hyperlink>
      <w:r>
        <w:rPr>
          <w:sz w:val="24"/>
        </w:rPr>
        <w:t xml:space="preserve"> указываются:</w:t>
      </w:r>
    </w:p>
    <w:p>
      <w:pPr>
        <w:pStyle w:val="0"/>
        <w:spacing w:before="240" w:lineRule="auto"/>
        <w:ind w:firstLine="540"/>
        <w:jc w:val="both"/>
      </w:pPr>
      <w:r>
        <w:rPr>
          <w:sz w:val="24"/>
        </w:rPr>
        <w:t xml:space="preserve">величина отложенного налогового обязательства по данным бухгалтерского учета (для страховых организаций, осуществляющих страхование иное, чем страхование жизни, и обществ взаимного страхования);</w:t>
      </w:r>
    </w:p>
    <w:p>
      <w:pPr>
        <w:pStyle w:val="0"/>
        <w:spacing w:before="240" w:lineRule="auto"/>
        <w:ind w:firstLine="540"/>
        <w:jc w:val="both"/>
      </w:pPr>
      <w:r>
        <w:rPr>
          <w:sz w:val="24"/>
        </w:rPr>
        <w:t xml:space="preserve">величина отложенного налогового обязательства, уменьшенная на величину отложенного налогового актива по вычитаемым временным разницам, если изменения в активах и обязательствах, повлекшие возникновение этих отложенных налоговых активов и отложенных налоговых обязательств, учитываются при определении налоговой базы по налогу на прибыль (для страховых организаций, осуществляющих страхование жизни).</w:t>
      </w:r>
    </w:p>
    <w:p>
      <w:pPr>
        <w:pStyle w:val="0"/>
        <w:spacing w:before="240" w:lineRule="auto"/>
        <w:ind w:firstLine="540"/>
        <w:jc w:val="both"/>
      </w:pPr>
      <w:r>
        <w:rPr>
          <w:sz w:val="24"/>
        </w:rPr>
        <w:t xml:space="preserve">55.9.2. По показателю "Величина СО</w:t>
      </w:r>
      <w:r>
        <w:rPr>
          <w:sz w:val="24"/>
          <w:vertAlign w:val="subscript"/>
        </w:rPr>
        <w:t xml:space="preserve">рег</w:t>
      </w:r>
      <w:r>
        <w:rPr>
          <w:sz w:val="24"/>
        </w:rPr>
        <w:t xml:space="preserve">" </w:t>
      </w:r>
      <w:hyperlink w:history="0" w:anchor="P26854" w:tooltip="608">
        <w:r>
          <w:rPr>
            <w:sz w:val="24"/>
            <w:color w:val="0000ff"/>
          </w:rPr>
          <w:t xml:space="preserve">(строка 608)</w:t>
        </w:r>
      </w:hyperlink>
      <w:r>
        <w:rPr>
          <w:sz w:val="24"/>
        </w:rPr>
        <w:t xml:space="preserve"> указывается величина обязательств страховщика из договоров страхования, сострахования, входящего перестрахования в размере сформированных в соответствии с </w:t>
      </w:r>
      <w:hyperlink w:history="0" r:id="rId35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страховых резервов, уменьшенная на величину доли перестраховщиков в резерве премий (в резерве убытков, резерве по прямому возмещению убытков) по договорам исходящего перестрахования, которые признаны передающими страховой риск в соответствии с </w:t>
      </w:r>
      <w:hyperlink w:history="0" r:id="rId35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6.3.4 пункта 6.3</w:t>
        </w:r>
      </w:hyperlink>
      <w:r>
        <w:rPr>
          <w:sz w:val="24"/>
        </w:rPr>
        <w:t xml:space="preserve"> Положения Банка России N 858-П.</w:t>
      </w:r>
    </w:p>
    <w:p>
      <w:pPr>
        <w:pStyle w:val="0"/>
        <w:spacing w:before="240" w:lineRule="auto"/>
        <w:ind w:firstLine="540"/>
        <w:jc w:val="both"/>
      </w:pPr>
      <w:r>
        <w:rPr>
          <w:sz w:val="24"/>
        </w:rPr>
        <w:t xml:space="preserve">55.9.3. По показателю "Величина СО</w:t>
      </w:r>
      <w:r>
        <w:rPr>
          <w:sz w:val="24"/>
          <w:vertAlign w:val="subscript"/>
        </w:rPr>
        <w:t xml:space="preserve">отч</w:t>
      </w:r>
      <w:r>
        <w:rPr>
          <w:sz w:val="24"/>
        </w:rPr>
        <w:t xml:space="preserve">" </w:t>
      </w:r>
      <w:hyperlink w:history="0" w:anchor="P26866" w:tooltip="609">
        <w:r>
          <w:rPr>
            <w:sz w:val="24"/>
            <w:color w:val="0000ff"/>
          </w:rPr>
          <w:t xml:space="preserve">(строка 609)</w:t>
        </w:r>
      </w:hyperlink>
      <w:r>
        <w:rPr>
          <w:sz w:val="24"/>
        </w:rPr>
        <w:t xml:space="preserve"> указывается величина обязательств по портфелям договоров страхования и выпущенных (принятых) договоров перестрахования, а также обязательств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357"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уменьшенная на сумму активов по портфелям удерживаемых (переданных) договоров перестрахования, а также активов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358"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отраженных в бухгалтерском балансе.</w:t>
      </w:r>
    </w:p>
    <w:p>
      <w:pPr>
        <w:pStyle w:val="0"/>
        <w:spacing w:before="240" w:lineRule="auto"/>
        <w:ind w:firstLine="540"/>
        <w:jc w:val="both"/>
      </w:pPr>
      <w:r>
        <w:rPr>
          <w:sz w:val="24"/>
        </w:rPr>
        <w:t xml:space="preserve">55.9.4. Данные </w:t>
      </w:r>
      <w:hyperlink w:history="0" w:anchor="P24966" w:tooltip="Подраздел 2.39.">
        <w:r>
          <w:rPr>
            <w:sz w:val="24"/>
            <w:color w:val="0000ff"/>
          </w:rPr>
          <w:t xml:space="preserve">подраздела 3.9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"Отложенные налоговые обязательства" группы аналитических признаков "Вид обязательства".</w:t>
      </w:r>
    </w:p>
    <w:p>
      <w:pPr>
        <w:pStyle w:val="0"/>
        <w:spacing w:before="240" w:lineRule="auto"/>
        <w:ind w:firstLine="540"/>
        <w:jc w:val="both"/>
      </w:pPr>
      <w:r>
        <w:rPr>
          <w:sz w:val="24"/>
        </w:rPr>
        <w:t xml:space="preserve">55.10. По показателям </w:t>
      </w:r>
      <w:hyperlink w:history="0" w:anchor="P26914" w:tooltip="Подраздел 3.10.">
        <w:r>
          <w:rPr>
            <w:sz w:val="24"/>
            <w:color w:val="0000ff"/>
          </w:rPr>
          <w:t xml:space="preserve">подраздела 3.10 раздела 3</w:t>
        </w:r>
      </w:hyperlink>
      <w:r>
        <w:rPr>
          <w:sz w:val="24"/>
        </w:rPr>
        <w:t xml:space="preserve"> отчетности по форме 0420154 отражаются сведения об обязательствах страховщика по договору аренды, признаваемых в соответствии с </w:t>
      </w:r>
      <w:hyperlink w:history="0" r:id="rId359" w:tooltip="Указание Банка России от 30.06.2025 N 7118-У &quot;О порядке отражения на счетах бухгалтерского учета договоров аренды некредитными финансовыми организациями, бюро кредитных историй, кредитными рейтинговыми агентствами&quot; (Зарегистрировано в Минюсте России 11.09.2025 N 83518) {КонсультантПлюс}">
        <w:r>
          <w:rPr>
            <w:sz w:val="24"/>
            <w:color w:val="0000ff"/>
          </w:rPr>
          <w:t xml:space="preserve">Указанием</w:t>
        </w:r>
      </w:hyperlink>
      <w:r>
        <w:rPr>
          <w:sz w:val="24"/>
        </w:rPr>
        <w:t xml:space="preserve"> Банка России N 7118-У.</w:t>
      </w:r>
    </w:p>
    <w:p>
      <w:pPr>
        <w:pStyle w:val="0"/>
        <w:spacing w:before="240" w:lineRule="auto"/>
        <w:ind w:firstLine="540"/>
        <w:jc w:val="both"/>
      </w:pPr>
      <w:r>
        <w:rPr>
          <w:sz w:val="24"/>
        </w:rPr>
        <w:t xml:space="preserve">По группе аналитических признаков "Идентификатор обязательства" указывается номер договора аренды (с указанием по группе аналитических признаков "Идентификатор контрагента" идентификатора контрагента по указанному договору аренды). В случае если номер договора аренды не является уникальным, требуется дополнить его характеристикой, позволяющей выделить один договор аренды из других договоров аренды. Одному и тому же договору аренды должен соответствовать один номер (уникальный идентификатор).</w:t>
      </w:r>
    </w:p>
    <w:p>
      <w:pPr>
        <w:pStyle w:val="0"/>
        <w:spacing w:before="240" w:lineRule="auto"/>
        <w:ind w:firstLine="540"/>
        <w:jc w:val="both"/>
      </w:pPr>
      <w:r>
        <w:rPr>
          <w:sz w:val="24"/>
        </w:rPr>
        <w:t xml:space="preserve">Данные </w:t>
      </w:r>
      <w:hyperlink w:history="0" w:anchor="P26914" w:tooltip="Подраздел 3.10.">
        <w:r>
          <w:rPr>
            <w:sz w:val="24"/>
            <w:color w:val="0000ff"/>
          </w:rPr>
          <w:t xml:space="preserve">подраздела 3.10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"Обязательства по договору аренды" группы аналитических признаков "Вид обязательства".</w:t>
      </w:r>
    </w:p>
    <w:p>
      <w:pPr>
        <w:pStyle w:val="0"/>
        <w:spacing w:before="240" w:lineRule="auto"/>
        <w:ind w:firstLine="540"/>
        <w:jc w:val="both"/>
      </w:pPr>
      <w:r>
        <w:rPr>
          <w:sz w:val="24"/>
        </w:rPr>
        <w:t xml:space="preserve">55.11. По показателям </w:t>
      </w:r>
      <w:hyperlink w:history="0" w:anchor="P25918" w:tooltip="Подраздел 3.1.1.">
        <w:r>
          <w:rPr>
            <w:sz w:val="24"/>
            <w:color w:val="0000ff"/>
          </w:rPr>
          <w:t xml:space="preserve">подраздела 3.11 раздела 3</w:t>
        </w:r>
      </w:hyperlink>
      <w:r>
        <w:rPr>
          <w:sz w:val="24"/>
        </w:rPr>
        <w:t xml:space="preserve"> отчетности по форме 0420154 отражаются сведения об обязательствах страховщика, не отраженных в </w:t>
      </w:r>
      <w:hyperlink w:history="0" w:anchor="P25244" w:tooltip="Подраздел 3.1.">
        <w:r>
          <w:rPr>
            <w:sz w:val="24"/>
            <w:color w:val="0000ff"/>
          </w:rPr>
          <w:t xml:space="preserve">подразделах 3.1</w:t>
        </w:r>
      </w:hyperlink>
      <w:r>
        <w:rPr>
          <w:sz w:val="24"/>
        </w:rPr>
        <w:t xml:space="preserve"> - </w:t>
      </w:r>
      <w:hyperlink w:history="0" w:anchor="P26914" w:tooltip="Подраздел 3.10.">
        <w:r>
          <w:rPr>
            <w:sz w:val="24"/>
            <w:color w:val="0000ff"/>
          </w:rPr>
          <w:t xml:space="preserve">3.10 раздела 3</w:t>
        </w:r>
      </w:hyperlink>
      <w:r>
        <w:rPr>
          <w:sz w:val="24"/>
        </w:rPr>
        <w:t xml:space="preserve"> отчетности по форме 0420154, в том числе сведения об обязательствах по портфелям договоров страхования, выпущенных (принятых) договоров перестрахования и удерживаемых (переданных) договоров перестрахования, учитываемых на счетах бухгалтерского учета в соответствии с требованиями </w:t>
      </w:r>
      <w:hyperlink w:history="0" r:id="rId360"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w:t>
      </w:r>
    </w:p>
    <w:p>
      <w:pPr>
        <w:pStyle w:val="0"/>
        <w:spacing w:before="240" w:lineRule="auto"/>
        <w:ind w:firstLine="540"/>
        <w:jc w:val="both"/>
      </w:pPr>
      <w:r>
        <w:rPr>
          <w:sz w:val="24"/>
        </w:rPr>
        <w:t xml:space="preserve">По группе аналитических признаков "Идентификатор обязательства" указываются вид обязательства "Прочие обязательства" и через символ "_" (нижнее подчеркивание (без пробелов) порядковый номер, позволяющий идентифицировать обязательство (с учетом сведений, предусмотренных </w:t>
      </w:r>
      <w:hyperlink w:history="0" w:anchor="P25918" w:tooltip="Подраздел 3.1.1.">
        <w:r>
          <w:rPr>
            <w:sz w:val="24"/>
            <w:color w:val="0000ff"/>
          </w:rPr>
          <w:t xml:space="preserve">подразделом 3.11 раздела 3</w:t>
        </w:r>
      </w:hyperlink>
      <w:r>
        <w:rPr>
          <w:sz w:val="24"/>
        </w:rPr>
        <w:t xml:space="preserve"> отчетности по форме 0420154).</w:t>
      </w:r>
    </w:p>
    <w:p>
      <w:pPr>
        <w:pStyle w:val="0"/>
        <w:spacing w:before="240" w:lineRule="auto"/>
        <w:ind w:firstLine="540"/>
        <w:jc w:val="both"/>
      </w:pPr>
      <w:r>
        <w:rPr>
          <w:sz w:val="24"/>
        </w:rPr>
        <w:t xml:space="preserve">По аналитическому признаку группы аналитических признаков "Обязательство является выпущенным цифровым финансовым активом" указывается значение "Да", если обязательство является выпущенным цифровым финансовым активом, или значение "Нет", если обязательство не является выпущенным цифровым финансовым активом.</w:t>
      </w:r>
    </w:p>
    <w:p>
      <w:pPr>
        <w:pStyle w:val="0"/>
        <w:spacing w:before="240" w:lineRule="auto"/>
        <w:ind w:firstLine="540"/>
        <w:jc w:val="both"/>
      </w:pPr>
      <w:r>
        <w:rPr>
          <w:sz w:val="24"/>
        </w:rPr>
        <w:t xml:space="preserve">По аналитическому признаку группы аналитических признаков "Обязательство по долевому страхованию жизни" указывается одно из следующих значений:</w:t>
      </w:r>
    </w:p>
    <w:bookmarkStart w:id="29059" w:name="P29059"/>
    <w:bookmarkEnd w:id="29059"/>
    <w:p>
      <w:pPr>
        <w:pStyle w:val="0"/>
        <w:spacing w:before="240" w:lineRule="auto"/>
        <w:ind w:firstLine="540"/>
        <w:jc w:val="both"/>
      </w:pPr>
      <w:r>
        <w:rPr>
          <w:sz w:val="24"/>
        </w:rPr>
        <w:t xml:space="preserve">"По приобретению инвестиционных паев" - в случае если обязательство по долевому страхованию жизни является обязательством по приобретению страховой организацией в соответствии с указанием страхователя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w:t>
      </w:r>
    </w:p>
    <w:p>
      <w:pPr>
        <w:pStyle w:val="0"/>
        <w:spacing w:before="240" w:lineRule="auto"/>
        <w:ind w:firstLine="540"/>
        <w:jc w:val="both"/>
      </w:pPr>
      <w:r>
        <w:rPr>
          <w:sz w:val="24"/>
        </w:rPr>
        <w:t xml:space="preserve">"По выплате денежной компенсации в связи с погашением инвестиционных паев" - в случае если обязательство по долевому страхованию жизни является обязательством по выплате страховой организацией денежной компенсации в связи с погашением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 выплачиваемой в случаях, установленных </w:t>
      </w:r>
      <w:hyperlink w:history="0" r:id="rId361"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абзацами первым</w:t>
        </w:r>
      </w:hyperlink>
      <w:r>
        <w:rPr>
          <w:sz w:val="24"/>
        </w:rPr>
        <w:t xml:space="preserve"> и </w:t>
      </w:r>
      <w:hyperlink w:history="0" r:id="rId36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вторым пункта 6 статьи 11.1</w:t>
        </w:r>
      </w:hyperlink>
      <w:r>
        <w:rPr>
          <w:sz w:val="24"/>
        </w:rPr>
        <w:t xml:space="preserve"> Закона Российской Федерации N 4015-I;</w:t>
      </w:r>
    </w:p>
    <w:p>
      <w:pPr>
        <w:pStyle w:val="0"/>
        <w:spacing w:before="240" w:lineRule="auto"/>
        <w:ind w:firstLine="540"/>
        <w:jc w:val="both"/>
      </w:pPr>
      <w:r>
        <w:rPr>
          <w:sz w:val="24"/>
        </w:rPr>
        <w:t xml:space="preserve">"По оплате приобретенных у страхователя инвестиционных паев закрытых паевых инвестиционных фондов" - в случае если обязательство по долевому страхованию жизни является обязательством по оплате страховой организацией приобретенных у страхователя инвестиционных паев закрытых паевых инвестиционных фондов, предназначенных для квалифицированных инвесторов;</w:t>
      </w:r>
    </w:p>
    <w:bookmarkStart w:id="29062" w:name="P29062"/>
    <w:bookmarkEnd w:id="29062"/>
    <w:p>
      <w:pPr>
        <w:pStyle w:val="0"/>
        <w:spacing w:before="240" w:lineRule="auto"/>
        <w:ind w:firstLine="540"/>
        <w:jc w:val="both"/>
      </w:pPr>
      <w:r>
        <w:rPr>
          <w:sz w:val="24"/>
        </w:rPr>
        <w:t xml:space="preserve">"По выплате гарантируемой суммы" - в случае если обязательство по долевому страхованию жизни является обязательством по выплате страховой организацией страхователю при прекращении договора долевого страхования жизни суммы в размере превышения определенной таким договором доли части страховых премий (взносов) по договорам долевого страхования жизни, направляемых в соответствии с указанием страхователя на приобретение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 над одной из величин, указанных в </w:t>
      </w:r>
      <w:hyperlink w:history="0" r:id="rId36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абзацах третьем</w:t>
        </w:r>
      </w:hyperlink>
      <w:r>
        <w:rPr>
          <w:sz w:val="24"/>
        </w:rPr>
        <w:t xml:space="preserve"> и </w:t>
      </w:r>
      <w:hyperlink w:history="0" r:id="rId36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четвертым подпункта 5.3.5 пункта 5.3</w:t>
        </w:r>
      </w:hyperlink>
      <w:r>
        <w:rPr>
          <w:sz w:val="24"/>
        </w:rPr>
        <w:t xml:space="preserve"> Положения Банка России N 858-П;</w:t>
      </w:r>
    </w:p>
    <w:p>
      <w:pPr>
        <w:pStyle w:val="0"/>
        <w:spacing w:before="240" w:lineRule="auto"/>
        <w:ind w:firstLine="540"/>
        <w:jc w:val="both"/>
      </w:pPr>
      <w:r>
        <w:rPr>
          <w:sz w:val="24"/>
        </w:rPr>
        <w:t xml:space="preserve">"Прочее обязательство" - в случае если обязательство по долевому страхованию жизни не относится к обязательствам, указанным в </w:t>
      </w:r>
      <w:hyperlink w:history="0" w:anchor="P29059" w:tooltip="&quot;По приобретению инвестиционных паев&quot; - в случае если обязательство по долевому страхованию жизни является обязательством по приобретению страховой организацией в соответствии с указанием страхователя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
        <w:r>
          <w:rPr>
            <w:sz w:val="24"/>
            <w:color w:val="0000ff"/>
          </w:rPr>
          <w:t xml:space="preserve">абзацах пятом</w:t>
        </w:r>
      </w:hyperlink>
      <w:r>
        <w:rPr>
          <w:sz w:val="24"/>
        </w:rPr>
        <w:t xml:space="preserve"> - </w:t>
      </w:r>
      <w:hyperlink w:history="0" w:anchor="P29062" w:tooltip="&quot;По выплате гарантируемой суммы&quot; - в случае если обязательство по долевому страхованию жизни является обязательством по выплате страховой организацией страхователю при прекращении договора долевого страхования жизни суммы в размере превышения определенной таким договором доли части страховых премий (взносов) по договорам долевого страхования жизни, направляемых в соответствии с указанием страхователя на приобретение инвестиционных паев открытых паевых инвестиционных фондов или инвестиционных паев закрыты...">
        <w:r>
          <w:rPr>
            <w:sz w:val="24"/>
            <w:color w:val="0000ff"/>
          </w:rPr>
          <w:t xml:space="preserve">восьмом</w:t>
        </w:r>
      </w:hyperlink>
      <w:r>
        <w:rPr>
          <w:sz w:val="24"/>
        </w:rPr>
        <w:t xml:space="preserve"> настоящего подпункта (за исключением сформированных страховой организацией страховых резервов по долевому страхованию жизни);</w:t>
      </w:r>
    </w:p>
    <w:p>
      <w:pPr>
        <w:pStyle w:val="0"/>
        <w:spacing w:before="240" w:lineRule="auto"/>
        <w:ind w:firstLine="540"/>
        <w:jc w:val="both"/>
      </w:pPr>
      <w:r>
        <w:rPr>
          <w:sz w:val="24"/>
        </w:rPr>
        <w:t xml:space="preserve">"Нет" - в случае если обязательство не является обязательством по долевому страхованию жизни.</w:t>
      </w:r>
    </w:p>
    <w:p>
      <w:pPr>
        <w:pStyle w:val="0"/>
        <w:spacing w:before="240" w:lineRule="auto"/>
        <w:ind w:firstLine="540"/>
        <w:jc w:val="both"/>
      </w:pPr>
      <w:r>
        <w:rPr>
          <w:sz w:val="24"/>
        </w:rPr>
        <w:t xml:space="preserve">По обязательствам по портфелям договоров страхования, выпущенных (принятых) договоров перестрахования и удерживаемых (переданных) договоров перестрахования, учитываемых на счетах бухгалтерского учета в соответствии с требованиями </w:t>
      </w:r>
      <w:hyperlink w:history="0" r:id="rId365"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значение показателя "Стоимость, определенная в соответствии с требованиями к финансовой устойчивости и платежеспособности страховщиков" </w:t>
      </w:r>
      <w:hyperlink w:history="0" w:anchor="P27066" w:tooltip="620">
        <w:r>
          <w:rPr>
            <w:sz w:val="24"/>
            <w:color w:val="0000ff"/>
          </w:rPr>
          <w:t xml:space="preserve">(строка 620)</w:t>
        </w:r>
      </w:hyperlink>
      <w:r>
        <w:rPr>
          <w:sz w:val="24"/>
        </w:rPr>
        <w:t xml:space="preserve"> не указывается, по аналитическому признаку группы аналитических признаков "Обязательство, подлежащее суммированию в соответствии с требованиями к финансовой устойчивости и платежеспособности страховщиков" указывается значение "Нет".</w:t>
      </w:r>
    </w:p>
    <w:p>
      <w:pPr>
        <w:pStyle w:val="0"/>
        <w:spacing w:before="240" w:lineRule="auto"/>
        <w:ind w:firstLine="540"/>
        <w:jc w:val="both"/>
      </w:pPr>
      <w:r>
        <w:rPr>
          <w:sz w:val="24"/>
        </w:rPr>
        <w:t xml:space="preserve">Данные </w:t>
      </w:r>
      <w:hyperlink w:history="0" w:anchor="P25918" w:tooltip="Подраздел 3.1.1.">
        <w:r>
          <w:rPr>
            <w:sz w:val="24"/>
            <w:color w:val="0000ff"/>
          </w:rPr>
          <w:t xml:space="preserve">подраздела 3.11 раздела 3</w:t>
        </w:r>
      </w:hyperlink>
      <w:r>
        <w:rPr>
          <w:sz w:val="24"/>
        </w:rPr>
        <w:t xml:space="preserve"> отчетности по форме 0420154 (за исключением обязательств по обязательному медицинскому страхованию, возникающих в соответствии с Федеральным </w:t>
      </w:r>
      <w:hyperlink w:history="0" r:id="rId366"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законом</w:t>
        </w:r>
      </w:hyperlink>
      <w:r>
        <w:rPr>
          <w:sz w:val="24"/>
        </w:rPr>
        <w:t xml:space="preserve"> N 326-ФЗ)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аналитическим признакам "Резервы - оценочные обязательства" и "Прочие обязательства" группы аналитических признаков "Вид обязательства", в части обязательств по обязательному медицинскому страхованию, возникающих в соответствии с Федеральным </w:t>
      </w:r>
      <w:hyperlink w:history="0" r:id="rId367"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законом</w:t>
        </w:r>
      </w:hyperlink>
      <w:r>
        <w:rPr>
          <w:sz w:val="24"/>
        </w:rPr>
        <w:t xml:space="preserve"> N 326-ФЗ, - по аналитическому признаку "Обязательства по обязательному медицинскому страхованию" группы аналитических признаков "Вид обязательства".</w:t>
      </w:r>
    </w:p>
    <w:p>
      <w:pPr>
        <w:pStyle w:val="0"/>
        <w:spacing w:before="240" w:lineRule="auto"/>
        <w:ind w:firstLine="540"/>
        <w:jc w:val="both"/>
      </w:pPr>
      <w:r>
        <w:rPr>
          <w:sz w:val="24"/>
        </w:rPr>
        <w:t xml:space="preserve">55.12. По показателям </w:t>
      </w:r>
      <w:hyperlink w:history="0" w:anchor="P27178" w:tooltip="Подраздел 3.12.">
        <w:r>
          <w:rPr>
            <w:sz w:val="24"/>
            <w:color w:val="0000ff"/>
          </w:rPr>
          <w:t xml:space="preserve">подраздела 3.12 раздела 3</w:t>
        </w:r>
      </w:hyperlink>
      <w:r>
        <w:rPr>
          <w:sz w:val="24"/>
        </w:rPr>
        <w:t xml:space="preserve"> отчетности по форме 0420154 отражаются сведения о выданных поручительствах и независимых гарантиях, аналитический учет которых осуществляется по внебалансовым счетам второго порядка в соответствии с </w:t>
      </w:r>
      <w:hyperlink w:history="0" r:id="rId368"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Положением</w:t>
        </w:r>
      </w:hyperlink>
      <w:r>
        <w:rPr>
          <w:sz w:val="24"/>
        </w:rPr>
        <w:t xml:space="preserve"> Банка России от 1 августа 2022 года N 803-П "О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 &lt;7&gt; (далее - Положение Банка России N 803-П).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&lt;7&gt; Зарегистрировано Минюстом России 20 сентября 2022 года, регистрационный N 70158, с изменениями, внесенными Указаниями Банка России от 10 января 2024 года N 6665-У (зарегистрировано Минюстом России 12 февраля 2024 года, регистрационный N 77223), от 21 мая 2024 года N 6729-У (зарегистрировано Минюстом России 20 июня 2024 года, регистрационный N 78625).</w:t>
      </w:r>
    </w:p>
    <w:p>
      <w:pPr>
        <w:pStyle w:val="0"/>
        <w:ind w:firstLine="540"/>
        <w:jc w:val="both"/>
      </w:pPr>
      <w:r>
        <w:rPr>
          <w:sz w:val="24"/>
        </w:rPr>
      </w:r>
    </w:p>
    <w:p>
      <w:pPr>
        <w:pStyle w:val="0"/>
        <w:ind w:firstLine="540"/>
        <w:jc w:val="both"/>
      </w:pPr>
      <w:r>
        <w:rPr>
          <w:sz w:val="24"/>
        </w:rPr>
        <w:t xml:space="preserve">По группе аналитических признаков "Идентификатор обязательства" указывается номер договора (с указанием по группе аналитических признаков "Идентификатор контрагента" идентификатора контрагента по указанному договору).</w:t>
      </w:r>
    </w:p>
    <w:p>
      <w:pPr>
        <w:pStyle w:val="0"/>
        <w:spacing w:before="240" w:lineRule="auto"/>
        <w:ind w:firstLine="540"/>
        <w:jc w:val="both"/>
      </w:pPr>
      <w:r>
        <w:rPr>
          <w:sz w:val="24"/>
        </w:rPr>
        <w:t xml:space="preserve">По показателю "Балансовая стоимость" </w:t>
      </w:r>
      <w:hyperlink w:history="0" w:anchor="P27038" w:tooltip="619">
        <w:r>
          <w:rPr>
            <w:sz w:val="24"/>
            <w:color w:val="0000ff"/>
          </w:rPr>
          <w:t xml:space="preserve">(строка 619)</w:t>
        </w:r>
      </w:hyperlink>
      <w:r>
        <w:rPr>
          <w:sz w:val="24"/>
        </w:rPr>
        <w:t xml:space="preserve"> указывается стоимость выданных поручительств и независимых гарантий по данным внебалансовых счетов второго порядка в соответствии с </w:t>
      </w:r>
      <w:hyperlink w:history="0" r:id="rId369"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Положением</w:t>
        </w:r>
      </w:hyperlink>
      <w:r>
        <w:rPr>
          <w:sz w:val="24"/>
        </w:rPr>
        <w:t xml:space="preserve"> Банка России N 803-П.</w:t>
      </w:r>
    </w:p>
    <w:p>
      <w:pPr>
        <w:pStyle w:val="0"/>
        <w:spacing w:before="240" w:lineRule="auto"/>
        <w:ind w:firstLine="540"/>
        <w:jc w:val="both"/>
      </w:pPr>
      <w:r>
        <w:rPr>
          <w:sz w:val="24"/>
        </w:rPr>
        <w:t xml:space="preserve">Данные </w:t>
      </w:r>
      <w:hyperlink w:history="0" w:anchor="P27178" w:tooltip="Подраздел 3.12.">
        <w:r>
          <w:rPr>
            <w:sz w:val="24"/>
            <w:color w:val="0000ff"/>
          </w:rPr>
          <w:t xml:space="preserve">подраздела 3.12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"Выданные поручительства и независимые гарантии" группы аналитических признаков "Вид обязательства".</w:t>
      </w:r>
    </w:p>
    <w:p>
      <w:pPr>
        <w:pStyle w:val="0"/>
        <w:spacing w:before="240" w:lineRule="auto"/>
        <w:ind w:firstLine="540"/>
        <w:jc w:val="both"/>
      </w:pPr>
      <w:r>
        <w:rPr>
          <w:sz w:val="24"/>
        </w:rPr>
        <w:t xml:space="preserve">55.13. По показателям </w:t>
      </w:r>
      <w:hyperlink w:history="0" w:anchor="P27280" w:tooltip="Подраздел 3.13.">
        <w:r>
          <w:rPr>
            <w:sz w:val="24"/>
            <w:color w:val="0000ff"/>
          </w:rPr>
          <w:t xml:space="preserve">подраздела 3.13 раздела 3</w:t>
        </w:r>
      </w:hyperlink>
      <w:r>
        <w:rPr>
          <w:sz w:val="24"/>
        </w:rPr>
        <w:t xml:space="preserve"> отчетности по форме 0420154 отражаются сведения об обязательствах, аналитический учет которых осуществляется по внебалансовым счетам второго порядка в соответствии с </w:t>
      </w:r>
      <w:hyperlink w:history="0" r:id="rId370"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Положением</w:t>
        </w:r>
      </w:hyperlink>
      <w:r>
        <w:rPr>
          <w:sz w:val="24"/>
        </w:rPr>
        <w:t xml:space="preserve"> Банка России N 803-П (за исключением выданных поручительств и независимых гарантий).</w:t>
      </w:r>
    </w:p>
    <w:p>
      <w:pPr>
        <w:pStyle w:val="0"/>
        <w:spacing w:before="240" w:lineRule="auto"/>
        <w:ind w:firstLine="540"/>
        <w:jc w:val="both"/>
      </w:pPr>
      <w:r>
        <w:rPr>
          <w:sz w:val="24"/>
        </w:rPr>
        <w:t xml:space="preserve">По показателю "Балансовая стоимость" </w:t>
      </w:r>
      <w:hyperlink w:history="0" w:anchor="P27180" w:tooltip="624">
        <w:r>
          <w:rPr>
            <w:sz w:val="24"/>
            <w:color w:val="0000ff"/>
          </w:rPr>
          <w:t xml:space="preserve">(строка 624)</w:t>
        </w:r>
      </w:hyperlink>
      <w:r>
        <w:rPr>
          <w:sz w:val="24"/>
        </w:rPr>
        <w:t xml:space="preserve"> указывается стоимость обязательств (за исключением выданных поручительств и независимых гарантий) по данным внебалансовых счетов второго порядка в соответствии с </w:t>
      </w:r>
      <w:hyperlink w:history="0" r:id="rId371"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Положением</w:t>
        </w:r>
      </w:hyperlink>
      <w:r>
        <w:rPr>
          <w:sz w:val="24"/>
        </w:rPr>
        <w:t xml:space="preserve"> Банка России N 803-П.</w:t>
      </w:r>
    </w:p>
    <w:p>
      <w:pPr>
        <w:pStyle w:val="0"/>
        <w:spacing w:before="240" w:lineRule="auto"/>
        <w:ind w:firstLine="540"/>
        <w:jc w:val="both"/>
      </w:pPr>
      <w:r>
        <w:rPr>
          <w:sz w:val="24"/>
        </w:rPr>
        <w:t xml:space="preserve">Данные </w:t>
      </w:r>
      <w:hyperlink w:history="0" w:anchor="P27280" w:tooltip="Подраздел 3.13.">
        <w:r>
          <w:rPr>
            <w:sz w:val="24"/>
            <w:color w:val="0000ff"/>
          </w:rPr>
          <w:t xml:space="preserve">подраздела 3.13 раздела 3</w:t>
        </w:r>
      </w:hyperlink>
      <w:r>
        <w:rPr>
          <w:sz w:val="24"/>
        </w:rPr>
        <w:t xml:space="preserve"> отчетности по форме 0420154 отражаются в </w:t>
      </w:r>
      <w:hyperlink w:history="0" w:anchor="P2350" w:tooltip="Раздел 1.">
        <w:r>
          <w:rPr>
            <w:sz w:val="24"/>
            <w:color w:val="0000ff"/>
          </w:rPr>
          <w:t xml:space="preserve">разделе 1</w:t>
        </w:r>
      </w:hyperlink>
      <w:r>
        <w:rPr>
          <w:sz w:val="24"/>
        </w:rPr>
        <w:t xml:space="preserve"> отчетности по форме 0420154 по аналитическому признаку "Прочие внебалансовые обязательства" группы аналитических признаков "Вид обязательства".</w:t>
      </w:r>
    </w:p>
    <w:p>
      <w:pPr>
        <w:pStyle w:val="0"/>
        <w:spacing w:before="240" w:lineRule="auto"/>
        <w:ind w:firstLine="540"/>
        <w:jc w:val="both"/>
      </w:pPr>
      <w:r>
        <w:rPr>
          <w:sz w:val="24"/>
        </w:rPr>
        <w:t xml:space="preserve">55.14. По показателям </w:t>
      </w:r>
      <w:hyperlink w:history="0" w:anchor="P27362" w:tooltip="Подраздел 3.14.">
        <w:r>
          <w:rPr>
            <w:sz w:val="24"/>
            <w:color w:val="0000ff"/>
          </w:rPr>
          <w:t xml:space="preserve">подраздела 3.14 раздела 3</w:t>
        </w:r>
      </w:hyperlink>
      <w:r>
        <w:rPr>
          <w:sz w:val="24"/>
        </w:rPr>
        <w:t xml:space="preserve"> отчетности по форме 0420154 отражаются сведения о дополнительных обязательствах, возникающих в силу закона или заключенного договора, в том числе в силу условий о солидарной или субсидиарной ответственности по заключенному страховой организацией договору сострахования, или по условиям перестраховочного пула или ассоциации, членом которых является страховая организация.</w:t>
      </w:r>
    </w:p>
    <w:p>
      <w:pPr>
        <w:pStyle w:val="0"/>
        <w:spacing w:before="240" w:lineRule="auto"/>
        <w:ind w:firstLine="540"/>
        <w:jc w:val="both"/>
      </w:pPr>
      <w:r>
        <w:rPr>
          <w:sz w:val="24"/>
        </w:rPr>
        <w:t xml:space="preserve">По группе аналитических признаков "Идентификатор обязательства" указывается номер договора, соглашения (с указанием по группе аналитических признаков "Идентификатор контрагента" идентификатора контрагента по указанному договору, соглашению).</w:t>
      </w:r>
    </w:p>
    <w:p>
      <w:pPr>
        <w:pStyle w:val="0"/>
        <w:spacing w:before="240" w:lineRule="auto"/>
        <w:ind w:firstLine="540"/>
        <w:jc w:val="both"/>
      </w:pPr>
      <w:r>
        <w:rPr>
          <w:sz w:val="24"/>
        </w:rPr>
        <w:t xml:space="preserve">По показателю "Вспомогательная величина P</w:t>
      </w:r>
      <w:r>
        <w:rPr>
          <w:sz w:val="24"/>
          <w:vertAlign w:val="subscript"/>
        </w:rPr>
        <w:t xml:space="preserve">m'</w:t>
      </w:r>
      <w:r>
        <w:rPr>
          <w:sz w:val="24"/>
        </w:rPr>
        <w:t xml:space="preserve">(s)" </w:t>
      </w:r>
      <w:hyperlink w:history="0" w:anchor="P27364" w:tooltip="634">
        <w:r>
          <w:rPr>
            <w:sz w:val="24"/>
            <w:color w:val="0000ff"/>
          </w:rPr>
          <w:t xml:space="preserve">(строка 634)</w:t>
        </w:r>
      </w:hyperlink>
      <w:r>
        <w:rPr>
          <w:sz w:val="24"/>
        </w:rPr>
        <w:t xml:space="preserve"> указывается вспомогательная величина P</w:t>
      </w:r>
      <w:r>
        <w:rPr>
          <w:sz w:val="24"/>
          <w:vertAlign w:val="subscript"/>
        </w:rPr>
        <w:t xml:space="preserve">m'</w:t>
      </w:r>
      <w:r>
        <w:rPr>
          <w:sz w:val="24"/>
        </w:rPr>
        <w:t xml:space="preserve">(s), рассчитанная в соответствии с </w:t>
      </w:r>
      <w:hyperlink w:history="0" r:id="rId37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одиннадцатым</w:t>
        </w:r>
      </w:hyperlink>
      <w:r>
        <w:rPr>
          <w:sz w:val="24"/>
        </w:rPr>
        <w:t xml:space="preserve"> - </w:t>
      </w:r>
      <w:hyperlink w:history="0" r:id="rId37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семнадцатым пункта 9</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Данные </w:t>
      </w:r>
      <w:hyperlink w:history="0" w:anchor="P27362" w:tooltip="Подраздел 3.14.">
        <w:r>
          <w:rPr>
            <w:sz w:val="24"/>
            <w:color w:val="0000ff"/>
          </w:rPr>
          <w:t xml:space="preserve">подраздела 3.14 раздела 3</w:t>
        </w:r>
      </w:hyperlink>
      <w:r>
        <w:rPr>
          <w:sz w:val="24"/>
        </w:rPr>
        <w:t xml:space="preserve"> отчетности по форме 0420154 в </w:t>
      </w:r>
      <w:hyperlink w:history="0" w:anchor="P2350" w:tooltip="Раздел 1.">
        <w:r>
          <w:rPr>
            <w:sz w:val="24"/>
            <w:color w:val="0000ff"/>
          </w:rPr>
          <w:t xml:space="preserve">разделе 1</w:t>
        </w:r>
      </w:hyperlink>
      <w:r>
        <w:rPr>
          <w:sz w:val="24"/>
        </w:rPr>
        <w:t xml:space="preserve"> отчетности по форме 0420154 не отражаются.</w:t>
      </w:r>
    </w:p>
    <w:p>
      <w:pPr>
        <w:pStyle w:val="0"/>
        <w:spacing w:before="240" w:lineRule="auto"/>
        <w:ind w:firstLine="540"/>
        <w:jc w:val="both"/>
      </w:pPr>
      <w:r>
        <w:rPr>
          <w:sz w:val="24"/>
        </w:rPr>
        <w:t xml:space="preserve">56. По показателям </w:t>
      </w:r>
      <w:hyperlink w:history="0" w:anchor="P27444" w:tooltip="Раздел 4.">
        <w:r>
          <w:rPr>
            <w:sz w:val="24"/>
            <w:color w:val="0000ff"/>
          </w:rPr>
          <w:t xml:space="preserve">раздела 4</w:t>
        </w:r>
      </w:hyperlink>
      <w:r>
        <w:rPr>
          <w:sz w:val="24"/>
        </w:rPr>
        <w:t xml:space="preserve"> отчетности по форме 0420154 отражаются сведения об определении оценки концентрационного риска в соответствии с </w:t>
      </w:r>
      <w:hyperlink w:history="0" r:id="rId37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w:t>
        </w:r>
      </w:hyperlink>
      <w:r>
        <w:rPr>
          <w:sz w:val="24"/>
        </w:rPr>
        <w:t xml:space="preserve"> приложения 1 к Положению Банка России N 858-П для каждого обязанного лица.</w:t>
      </w:r>
    </w:p>
    <w:p>
      <w:pPr>
        <w:pStyle w:val="0"/>
        <w:spacing w:before="240" w:lineRule="auto"/>
        <w:ind w:firstLine="540"/>
        <w:jc w:val="both"/>
      </w:pPr>
      <w:r>
        <w:rPr>
          <w:sz w:val="24"/>
        </w:rPr>
        <w:t xml:space="preserve">По группе аналитических признаков "Идентификатор обязанного лица" также указывается идентификатор основного общества группы связанных со страховщиком лиц (для группы связанных со страховщиком юридических лиц, учитываемой в соответствии с </w:t>
      </w:r>
      <w:hyperlink w:history="0" r:id="rId37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четвертым пункта 6.4</w:t>
        </w:r>
      </w:hyperlink>
      <w:r>
        <w:rPr>
          <w:sz w:val="24"/>
        </w:rPr>
        <w:t xml:space="preserve"> Положения Банка России N 858-П как одно юридическое лицо), в том числе идентификатор отчитывающегося страховщика (в случае отсутствия у страховщика контрагента, определяемого в соответствии с </w:t>
      </w:r>
      <w:hyperlink w:history="0" r:id="rId37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четвертым пункта 6.4</w:t>
        </w:r>
      </w:hyperlink>
      <w:r>
        <w:rPr>
          <w:sz w:val="24"/>
        </w:rPr>
        <w:t xml:space="preserve"> Положения Банка России N 858-П как основное общество). В случае если стоимость активов для оценки концентрационного риска и влияние концентрационного риска для основного общества группы связанных со страховщиком лиц в соответствии с </w:t>
      </w:r>
      <w:hyperlink w:history="0" r:id="rId37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w:t>
        </w:r>
      </w:hyperlink>
      <w:r>
        <w:rPr>
          <w:sz w:val="24"/>
        </w:rPr>
        <w:t xml:space="preserve"> приложения 1 к Положению Банка России N 858-П не определяются, по показателям </w:t>
      </w:r>
      <w:hyperlink w:history="0" w:anchor="P27444" w:tooltip="Раздел 4.">
        <w:r>
          <w:rPr>
            <w:sz w:val="24"/>
            <w:color w:val="0000ff"/>
          </w:rPr>
          <w:t xml:space="preserve">раздела 4</w:t>
        </w:r>
      </w:hyperlink>
      <w:r>
        <w:rPr>
          <w:sz w:val="24"/>
        </w:rPr>
        <w:t xml:space="preserve"> отчетности по форме 0420154 указывается значение 0 (ноль).</w:t>
      </w:r>
    </w:p>
    <w:p>
      <w:pPr>
        <w:pStyle w:val="0"/>
        <w:spacing w:before="240" w:lineRule="auto"/>
        <w:ind w:firstLine="540"/>
        <w:jc w:val="both"/>
      </w:pPr>
      <w:r>
        <w:rPr>
          <w:sz w:val="24"/>
        </w:rPr>
        <w:t xml:space="preserve">56.1. По показателю "Стоимость активов для оценки концентрационного риска" </w:t>
      </w:r>
      <w:hyperlink w:history="0" w:anchor="P27446" w:tooltip="638">
        <w:r>
          <w:rPr>
            <w:sz w:val="24"/>
            <w:color w:val="0000ff"/>
          </w:rPr>
          <w:t xml:space="preserve">(строка 638)</w:t>
        </w:r>
      </w:hyperlink>
      <w:r>
        <w:rPr>
          <w:sz w:val="24"/>
        </w:rPr>
        <w:t xml:space="preserve"> для каждого обязанного лица указывается стоимость активов для оценки концентрационного риска, рассчитанная в соответствии с </w:t>
      </w:r>
      <w:hyperlink w:history="0" r:id="rId37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3</w:t>
        </w:r>
      </w:hyperlink>
      <w:r>
        <w:rPr>
          <w:sz w:val="24"/>
        </w:rPr>
        <w:t xml:space="preserve"> Положения Банка России N 858-П.</w:t>
      </w:r>
    </w:p>
    <w:p>
      <w:pPr>
        <w:pStyle w:val="0"/>
        <w:spacing w:before="240" w:lineRule="auto"/>
        <w:ind w:firstLine="540"/>
        <w:jc w:val="both"/>
      </w:pPr>
      <w:r>
        <w:rPr>
          <w:sz w:val="24"/>
        </w:rPr>
        <w:t xml:space="preserve">56.2. По показателю "Стоимость прав требования в части уплаты страховых премий (взносов), учтенных в страховых резервах" </w:t>
      </w:r>
      <w:hyperlink w:history="0" w:anchor="P27454" w:tooltip="639">
        <w:r>
          <w:rPr>
            <w:sz w:val="24"/>
            <w:color w:val="0000ff"/>
          </w:rPr>
          <w:t xml:space="preserve">(строка 639)</w:t>
        </w:r>
      </w:hyperlink>
      <w:r>
        <w:rPr>
          <w:sz w:val="24"/>
        </w:rPr>
        <w:t xml:space="preserve"> для каждого обязанного лица указывается стоимость прав требования к нему в части уплаты страховых премий (взносов), учтенных в страховых резервах, рассчитанная в соответствии с </w:t>
      </w:r>
      <w:hyperlink w:history="0" r:id="rId37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третьим пункта 6.4</w:t>
        </w:r>
      </w:hyperlink>
      <w:r>
        <w:rPr>
          <w:sz w:val="24"/>
        </w:rPr>
        <w:t xml:space="preserve"> Положения Банка России N 858-П.</w:t>
      </w:r>
    </w:p>
    <w:p>
      <w:pPr>
        <w:pStyle w:val="0"/>
        <w:spacing w:before="240" w:lineRule="auto"/>
        <w:ind w:firstLine="540"/>
        <w:jc w:val="both"/>
      </w:pPr>
      <w:r>
        <w:rPr>
          <w:sz w:val="24"/>
        </w:rPr>
        <w:t xml:space="preserve">56.3. По показателю "Влияние концентрационного риска" </w:t>
      </w:r>
      <w:hyperlink w:history="0" w:anchor="P27462" w:tooltip="640">
        <w:r>
          <w:rPr>
            <w:sz w:val="24"/>
            <w:color w:val="0000ff"/>
          </w:rPr>
          <w:t xml:space="preserve">(строка 640)</w:t>
        </w:r>
      </w:hyperlink>
      <w:r>
        <w:rPr>
          <w:sz w:val="24"/>
        </w:rPr>
        <w:t xml:space="preserve"> для каждого обязанного лица указывается величина оценки концентрационного риска, определенная в соответствии с </w:t>
      </w:r>
      <w:hyperlink w:history="0" r:id="rId38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56.4. В </w:t>
      </w:r>
      <w:hyperlink w:history="0" w:anchor="P27444" w:tooltip="Раздел 4.">
        <w:r>
          <w:rPr>
            <w:sz w:val="24"/>
            <w:color w:val="0000ff"/>
          </w:rPr>
          <w:t xml:space="preserve">раздел 4</w:t>
        </w:r>
      </w:hyperlink>
      <w:r>
        <w:rPr>
          <w:sz w:val="24"/>
        </w:rPr>
        <w:t xml:space="preserve"> отчетности по форме 0420154 не включаются сведения о следующих обязанных лицах:</w:t>
      </w:r>
    </w:p>
    <w:p>
      <w:pPr>
        <w:pStyle w:val="0"/>
        <w:spacing w:before="240" w:lineRule="auto"/>
        <w:ind w:firstLine="540"/>
        <w:jc w:val="both"/>
      </w:pPr>
      <w:r>
        <w:rPr>
          <w:sz w:val="24"/>
        </w:rPr>
        <w:t xml:space="preserve">физических лицах;</w:t>
      </w:r>
    </w:p>
    <w:bookmarkStart w:id="29088" w:name="P29088"/>
    <w:bookmarkEnd w:id="29088"/>
    <w:p>
      <w:pPr>
        <w:pStyle w:val="0"/>
        <w:spacing w:before="240" w:lineRule="auto"/>
        <w:ind w:firstLine="540"/>
        <w:jc w:val="both"/>
      </w:pPr>
      <w:r>
        <w:rPr>
          <w:sz w:val="24"/>
        </w:rPr>
        <w:t xml:space="preserve">резидентах - юридических лицах, которые в рамках оценки риска 2 распределены во вторую и третью категории контрагентов в соответствии с </w:t>
      </w:r>
      <w:hyperlink w:history="0" r:id="rId38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и </w:t>
      </w:r>
      <w:hyperlink w:history="0" r:id="rId38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шестнадцатым пункта 8</w:t>
        </w:r>
      </w:hyperlink>
      <w:r>
        <w:rPr>
          <w:sz w:val="24"/>
        </w:rPr>
        <w:t xml:space="preserve"> приложения 1 к Положению Банка России N 858-П и являются обязанными лицами только по правам требования по обязательствам страхователей, перестрахователей по уплате страховых премий (взносов);</w:t>
      </w:r>
    </w:p>
    <w:p>
      <w:pPr>
        <w:pStyle w:val="0"/>
        <w:spacing w:before="240" w:lineRule="auto"/>
        <w:ind w:firstLine="540"/>
        <w:jc w:val="both"/>
      </w:pPr>
      <w:r>
        <w:rPr>
          <w:sz w:val="24"/>
        </w:rPr>
        <w:t xml:space="preserve">резидентах - юридических лицах, которые в рамках оценки риска 2 распределены во вторую и третью категории контрагентов в соответствии с </w:t>
      </w:r>
      <w:hyperlink w:history="0" r:id="rId38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и </w:t>
      </w:r>
      <w:hyperlink w:history="0" r:id="rId38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шестнадцатым пункта 8</w:t>
        </w:r>
      </w:hyperlink>
      <w:r>
        <w:rPr>
          <w:sz w:val="24"/>
        </w:rPr>
        <w:t xml:space="preserve"> приложения 1 к Положению Банка России N 858-П и являются обязанными лицами только по правам требования к страховым агентам и страховым брокерам по перечислению страховых премий (взносов);</w:t>
      </w:r>
    </w:p>
    <w:p>
      <w:pPr>
        <w:pStyle w:val="0"/>
        <w:spacing w:before="240" w:lineRule="auto"/>
        <w:ind w:firstLine="540"/>
        <w:jc w:val="both"/>
      </w:pPr>
      <w:r>
        <w:rPr>
          <w:sz w:val="24"/>
        </w:rPr>
        <w:t xml:space="preserve">обязанных лицах, которые являются обязанными лицами только по правам требования по суброгациям и регрессам и актив которых не соответствует требованиям </w:t>
      </w:r>
      <w:hyperlink w:history="0" r:id="rId38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 3.1.12.10 пункта 3.1</w:t>
        </w:r>
      </w:hyperlink>
      <w:r>
        <w:rPr>
          <w:sz w:val="24"/>
        </w:rPr>
        <w:t xml:space="preserve"> Положения Банка России N 858-П;</w:t>
      </w:r>
    </w:p>
    <w:bookmarkStart w:id="29091" w:name="P29091"/>
    <w:bookmarkEnd w:id="29091"/>
    <w:p>
      <w:pPr>
        <w:pStyle w:val="0"/>
        <w:spacing w:before="240" w:lineRule="auto"/>
        <w:ind w:firstLine="540"/>
        <w:jc w:val="both"/>
      </w:pPr>
      <w:r>
        <w:rPr>
          <w:sz w:val="24"/>
        </w:rPr>
        <w:t xml:space="preserve">обязанных лицах, которые являются обязанными лицами только по правам требования по обязательствам страхователей, перестрахователей по уплате страховых премий (взносов), по правам требования к страховым агентам и страховым брокерам по перечислению страховых премий (взносов), по правам требования по суброгациям и регрессам, платежи по активу которых являются неоплаченными и просроченными и отражаются в </w:t>
      </w:r>
      <w:hyperlink w:history="0" w:anchor="P2420" w:tooltip="Раздел 2.">
        <w:r>
          <w:rPr>
            <w:sz w:val="24"/>
            <w:color w:val="0000ff"/>
          </w:rPr>
          <w:t xml:space="preserve">разделе 2</w:t>
        </w:r>
      </w:hyperlink>
      <w:r>
        <w:rPr>
          <w:sz w:val="24"/>
        </w:rPr>
        <w:t xml:space="preserve"> отчетности по форме 0420154 агрегированно;</w:t>
      </w:r>
    </w:p>
    <w:p>
      <w:pPr>
        <w:pStyle w:val="0"/>
        <w:spacing w:before="240" w:lineRule="auto"/>
        <w:ind w:firstLine="540"/>
        <w:jc w:val="both"/>
      </w:pPr>
      <w:r>
        <w:rPr>
          <w:sz w:val="24"/>
        </w:rPr>
        <w:t xml:space="preserve">обязанных лицах, которые являются обязанными лицами только по правам требования, кроме указанных в </w:t>
      </w:r>
      <w:hyperlink w:history="0" w:anchor="P29088" w:tooltip="резидентах - юридических лицах, которые в рамках оценки риска 2 распределены во вторую и третью категории контрагентов в соответствии с абзацами пятнадцатым и шестнадцатым пункта 8 приложения 1 к Положению Банка России N 858-П и являются обязанными лицами только по правам требования по обязательствам страхователей, перестрахователей по уплате страховых премий (взносов);">
        <w:r>
          <w:rPr>
            <w:sz w:val="24"/>
            <w:color w:val="0000ff"/>
          </w:rPr>
          <w:t xml:space="preserve">абзацах третьем</w:t>
        </w:r>
      </w:hyperlink>
      <w:r>
        <w:rPr>
          <w:sz w:val="24"/>
        </w:rPr>
        <w:t xml:space="preserve"> - </w:t>
      </w:r>
      <w:hyperlink w:history="0" w:anchor="P29091" w:tooltip="обязанных лицах, которые являются обязанными лицами только по правам требования по обязательствам страхователей, перестрахователей по уплате страховых премий (взносов), по правам требования к страховым агентам и страховым брокерам по перечислению страховых премий (взносов), по правам требования по суброгациям и регрессам, платежи по активу которых являются неоплаченными и просроченными и отражаются в разделе 2 отчетности по форме 0420154 агрегированно;">
        <w:r>
          <w:rPr>
            <w:sz w:val="24"/>
            <w:color w:val="0000ff"/>
          </w:rPr>
          <w:t xml:space="preserve">шестом</w:t>
        </w:r>
      </w:hyperlink>
      <w:r>
        <w:rPr>
          <w:sz w:val="24"/>
        </w:rPr>
        <w:t xml:space="preserve"> настоящего подпункта, стоимость которых в соответствии с </w:t>
      </w:r>
      <w:hyperlink w:history="0" r:id="rId38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3</w:t>
        </w:r>
      </w:hyperlink>
      <w:r>
        <w:rPr>
          <w:sz w:val="24"/>
        </w:rPr>
        <w:t xml:space="preserve"> Положения Банка России N 858-П равна нулю, стоимость актива которых составляет менее 5 процентов от стоимости активов этого вида и сведения о которых отражаются в </w:t>
      </w:r>
      <w:hyperlink w:history="0" w:anchor="P2420" w:tooltip="Раздел 2.">
        <w:r>
          <w:rPr>
            <w:sz w:val="24"/>
            <w:color w:val="0000ff"/>
          </w:rPr>
          <w:t xml:space="preserve">разделе 2</w:t>
        </w:r>
      </w:hyperlink>
      <w:r>
        <w:rPr>
          <w:sz w:val="24"/>
        </w:rPr>
        <w:t xml:space="preserve"> отчетности по форме 0420154 агрегированно.</w:t>
      </w:r>
    </w:p>
    <w:p>
      <w:pPr>
        <w:pStyle w:val="0"/>
        <w:spacing w:before="240" w:lineRule="auto"/>
        <w:ind w:firstLine="540"/>
        <w:jc w:val="both"/>
      </w:pPr>
      <w:r>
        <w:rPr>
          <w:sz w:val="24"/>
        </w:rPr>
        <w:t xml:space="preserve">57. По показателям </w:t>
      </w:r>
      <w:hyperlink w:history="0" w:anchor="P27470" w:tooltip="Раздел 5.">
        <w:r>
          <w:rPr>
            <w:sz w:val="24"/>
            <w:color w:val="0000ff"/>
          </w:rPr>
          <w:t xml:space="preserve">раздела 5</w:t>
        </w:r>
      </w:hyperlink>
      <w:r>
        <w:rPr>
          <w:sz w:val="24"/>
        </w:rPr>
        <w:t xml:space="preserve"> отчетности по форме 0420154 отражается информация об оценщиках, осуществивших оценку для определения стоимости актива, с которыми контрагентом, указанным по группе аналитических признаков "Идентификатор контрагента по договору на проведение оценки", заключен трудовой договор.</w:t>
      </w:r>
    </w:p>
    <w:p>
      <w:pPr>
        <w:pStyle w:val="0"/>
        <w:spacing w:before="240" w:lineRule="auto"/>
        <w:ind w:firstLine="540"/>
        <w:jc w:val="both"/>
      </w:pPr>
      <w:r>
        <w:rPr>
          <w:sz w:val="24"/>
        </w:rPr>
        <w:t xml:space="preserve">Данные, указанные по группе аналитических признаков "Идентификатор актива", должны соответствовать данным, указанным по группе аналитических признаков "Идентификатор актива" </w:t>
      </w:r>
      <w:hyperlink w:history="0" w:anchor="P4316" w:tooltip="Подраздел 2.4.">
        <w:r>
          <w:rPr>
            <w:sz w:val="24"/>
            <w:color w:val="0000ff"/>
          </w:rPr>
          <w:t xml:space="preserve">подразделов 2.4</w:t>
        </w:r>
      </w:hyperlink>
      <w:r>
        <w:rPr>
          <w:sz w:val="24"/>
        </w:rPr>
        <w:t xml:space="preserve">, </w:t>
      </w:r>
      <w:hyperlink w:history="0" w:anchor="P5722" w:tooltip="Подраздел 2.5.">
        <w:r>
          <w:rPr>
            <w:sz w:val="24"/>
            <w:color w:val="0000ff"/>
          </w:rPr>
          <w:t xml:space="preserve">2.5</w:t>
        </w:r>
      </w:hyperlink>
      <w:r>
        <w:rPr>
          <w:sz w:val="24"/>
        </w:rPr>
        <w:t xml:space="preserve">, </w:t>
      </w:r>
      <w:hyperlink w:history="0" w:anchor="P6382" w:tooltip="Подраздел 2.7.">
        <w:r>
          <w:rPr>
            <w:sz w:val="24"/>
            <w:color w:val="0000ff"/>
          </w:rPr>
          <w:t xml:space="preserve">2.7</w:t>
        </w:r>
      </w:hyperlink>
      <w:r>
        <w:rPr>
          <w:sz w:val="24"/>
        </w:rPr>
        <w:t xml:space="preserve">, </w:t>
      </w:r>
      <w:hyperlink w:history="0" w:anchor="P8214" w:tooltip="Подраздел 2.9.">
        <w:r>
          <w:rPr>
            <w:sz w:val="24"/>
            <w:color w:val="0000ff"/>
          </w:rPr>
          <w:t xml:space="preserve">2.9</w:t>
        </w:r>
      </w:hyperlink>
      <w:r>
        <w:rPr>
          <w:sz w:val="24"/>
        </w:rPr>
        <w:t xml:space="preserve">, </w:t>
      </w:r>
      <w:hyperlink w:history="0" w:anchor="P10932" w:tooltip="Подраздел 2.11.">
        <w:r>
          <w:rPr>
            <w:sz w:val="24"/>
            <w:color w:val="0000ff"/>
          </w:rPr>
          <w:t xml:space="preserve">2.11</w:t>
        </w:r>
      </w:hyperlink>
      <w:r>
        <w:rPr>
          <w:sz w:val="24"/>
        </w:rPr>
        <w:t xml:space="preserve">, </w:t>
      </w:r>
      <w:hyperlink w:history="0" w:anchor="P24438" w:tooltip="Подраздел 2.37.">
        <w:r>
          <w:rPr>
            <w:sz w:val="24"/>
            <w:color w:val="0000ff"/>
          </w:rPr>
          <w:t xml:space="preserve">2.37 раздела 2</w:t>
        </w:r>
      </w:hyperlink>
      <w:r>
        <w:rPr>
          <w:sz w:val="24"/>
        </w:rPr>
        <w:t xml:space="preserve"> отчетности по форме 0420154 по активам, по которым указано значение показателя "Дата определения стоимости актива" (</w:t>
      </w:r>
      <w:hyperlink w:history="0" w:anchor="P5162" w:tooltip="68">
        <w:r>
          <w:rPr>
            <w:sz w:val="24"/>
            <w:color w:val="0000ff"/>
          </w:rPr>
          <w:t xml:space="preserve">строки 68</w:t>
        </w:r>
      </w:hyperlink>
      <w:r>
        <w:rPr>
          <w:sz w:val="24"/>
        </w:rPr>
        <w:t xml:space="preserve">, </w:t>
      </w:r>
      <w:hyperlink w:history="0" w:anchor="P6060" w:tooltip="85">
        <w:r>
          <w:rPr>
            <w:sz w:val="24"/>
            <w:color w:val="0000ff"/>
          </w:rPr>
          <w:t xml:space="preserve">85</w:t>
        </w:r>
      </w:hyperlink>
      <w:r>
        <w:rPr>
          <w:sz w:val="24"/>
        </w:rPr>
        <w:t xml:space="preserve">, </w:t>
      </w:r>
      <w:hyperlink w:history="0" w:anchor="P7060" w:tooltip="105">
        <w:r>
          <w:rPr>
            <w:sz w:val="24"/>
            <w:color w:val="0000ff"/>
          </w:rPr>
          <w:t xml:space="preserve">105</w:t>
        </w:r>
      </w:hyperlink>
      <w:r>
        <w:rPr>
          <w:sz w:val="24"/>
        </w:rPr>
        <w:t xml:space="preserve">, </w:t>
      </w:r>
      <w:hyperlink w:history="0" w:anchor="P9564" w:tooltip="151">
        <w:r>
          <w:rPr>
            <w:sz w:val="24"/>
            <w:color w:val="0000ff"/>
          </w:rPr>
          <w:t xml:space="preserve">151</w:t>
        </w:r>
      </w:hyperlink>
      <w:r>
        <w:rPr>
          <w:sz w:val="24"/>
        </w:rPr>
        <w:t xml:space="preserve">, </w:t>
      </w:r>
      <w:hyperlink w:history="0" w:anchor="P11514" w:tooltip="194">
        <w:r>
          <w:rPr>
            <w:sz w:val="24"/>
            <w:color w:val="0000ff"/>
          </w:rPr>
          <w:t xml:space="preserve">194</w:t>
        </w:r>
      </w:hyperlink>
      <w:r>
        <w:rPr>
          <w:sz w:val="24"/>
        </w:rPr>
        <w:t xml:space="preserve">, </w:t>
      </w:r>
      <w:hyperlink w:history="0" w:anchor="P24150" w:tooltip="505">
        <w:r>
          <w:rPr>
            <w:sz w:val="24"/>
            <w:color w:val="0000ff"/>
          </w:rPr>
          <w:t xml:space="preserve">505</w:t>
        </w:r>
      </w:hyperlink>
      <w:r>
        <w:rPr>
          <w:sz w:val="24"/>
        </w:rPr>
        <w:t xml:space="preserve">, </w:t>
      </w:r>
      <w:hyperlink w:history="0" w:anchor="P24828" w:tooltip="523">
        <w:r>
          <w:rPr>
            <w:sz w:val="24"/>
            <w:color w:val="0000ff"/>
          </w:rPr>
          <w:t xml:space="preserve">523</w:t>
        </w:r>
      </w:hyperlink>
      <w:r>
        <w:rPr>
          <w:sz w:val="24"/>
        </w:rPr>
        <w:t xml:space="preserve">).</w:t>
      </w:r>
    </w:p>
    <w:p>
      <w:pPr>
        <w:pStyle w:val="0"/>
        <w:spacing w:before="240" w:lineRule="auto"/>
        <w:ind w:firstLine="540"/>
        <w:jc w:val="both"/>
      </w:pPr>
      <w:r>
        <w:rPr>
          <w:sz w:val="24"/>
        </w:rPr>
        <w:t xml:space="preserve">По каждому активу, по которому указано значение показателя "Дата определения стоимости актива" (</w:t>
      </w:r>
      <w:hyperlink w:history="0" w:anchor="P5162" w:tooltip="68">
        <w:r>
          <w:rPr>
            <w:sz w:val="24"/>
            <w:color w:val="0000ff"/>
          </w:rPr>
          <w:t xml:space="preserve">строки 68</w:t>
        </w:r>
      </w:hyperlink>
      <w:r>
        <w:rPr>
          <w:sz w:val="24"/>
        </w:rPr>
        <w:t xml:space="preserve">, </w:t>
      </w:r>
      <w:hyperlink w:history="0" w:anchor="P6060" w:tooltip="85">
        <w:r>
          <w:rPr>
            <w:sz w:val="24"/>
            <w:color w:val="0000ff"/>
          </w:rPr>
          <w:t xml:space="preserve">85</w:t>
        </w:r>
      </w:hyperlink>
      <w:r>
        <w:rPr>
          <w:sz w:val="24"/>
        </w:rPr>
        <w:t xml:space="preserve">, </w:t>
      </w:r>
      <w:hyperlink w:history="0" w:anchor="P7060" w:tooltip="105">
        <w:r>
          <w:rPr>
            <w:sz w:val="24"/>
            <w:color w:val="0000ff"/>
          </w:rPr>
          <w:t xml:space="preserve">105</w:t>
        </w:r>
      </w:hyperlink>
      <w:r>
        <w:rPr>
          <w:sz w:val="24"/>
        </w:rPr>
        <w:t xml:space="preserve">, </w:t>
      </w:r>
      <w:hyperlink w:history="0" w:anchor="P9564" w:tooltip="151">
        <w:r>
          <w:rPr>
            <w:sz w:val="24"/>
            <w:color w:val="0000ff"/>
          </w:rPr>
          <w:t xml:space="preserve">151</w:t>
        </w:r>
      </w:hyperlink>
      <w:r>
        <w:rPr>
          <w:sz w:val="24"/>
        </w:rPr>
        <w:t xml:space="preserve">, </w:t>
      </w:r>
      <w:hyperlink w:history="0" w:anchor="P11514" w:tooltip="194">
        <w:r>
          <w:rPr>
            <w:sz w:val="24"/>
            <w:color w:val="0000ff"/>
          </w:rPr>
          <w:t xml:space="preserve">194</w:t>
        </w:r>
      </w:hyperlink>
      <w:r>
        <w:rPr>
          <w:sz w:val="24"/>
        </w:rPr>
        <w:t xml:space="preserve">, </w:t>
      </w:r>
      <w:hyperlink w:history="0" w:anchor="P24150" w:tooltip="505">
        <w:r>
          <w:rPr>
            <w:sz w:val="24"/>
            <w:color w:val="0000ff"/>
          </w:rPr>
          <w:t xml:space="preserve">505</w:t>
        </w:r>
      </w:hyperlink>
      <w:r>
        <w:rPr>
          <w:sz w:val="24"/>
        </w:rPr>
        <w:t xml:space="preserve">, </w:t>
      </w:r>
      <w:hyperlink w:history="0" w:anchor="P24828" w:tooltip="523">
        <w:r>
          <w:rPr>
            <w:sz w:val="24"/>
            <w:color w:val="0000ff"/>
          </w:rPr>
          <w:t xml:space="preserve">523</w:t>
        </w:r>
      </w:hyperlink>
      <w:r>
        <w:rPr>
          <w:sz w:val="24"/>
        </w:rPr>
        <w:t xml:space="preserve">), указывается следующая информация:</w:t>
      </w:r>
    </w:p>
    <w:p>
      <w:pPr>
        <w:pStyle w:val="0"/>
        <w:spacing w:before="240" w:lineRule="auto"/>
        <w:ind w:firstLine="540"/>
        <w:jc w:val="both"/>
      </w:pPr>
      <w:r>
        <w:rPr>
          <w:sz w:val="24"/>
        </w:rPr>
        <w:t xml:space="preserve">по показателю "Полное наименование саморегулируемой организации оценщиков" </w:t>
      </w:r>
      <w:hyperlink w:history="0" w:anchor="P27472" w:tooltip="641">
        <w:r>
          <w:rPr>
            <w:sz w:val="24"/>
            <w:color w:val="0000ff"/>
          </w:rPr>
          <w:t xml:space="preserve">(строка 641)</w:t>
        </w:r>
      </w:hyperlink>
      <w:r>
        <w:rPr>
          <w:sz w:val="24"/>
        </w:rPr>
        <w:t xml:space="preserve"> - полное наименование саморегулируемой организации оценщиков, членом которой является оценщик, осуществляющий оценку для определения стоимости актива;</w:t>
      </w:r>
    </w:p>
    <w:p>
      <w:pPr>
        <w:pStyle w:val="0"/>
        <w:spacing w:before="240" w:lineRule="auto"/>
        <w:ind w:firstLine="540"/>
        <w:jc w:val="both"/>
      </w:pPr>
      <w:r>
        <w:rPr>
          <w:sz w:val="24"/>
        </w:rPr>
        <w:t xml:space="preserve">по показателю "Номер оценщика в реестре членов саморегулируемой организации оценщиков" </w:t>
      </w:r>
      <w:hyperlink w:history="0" w:anchor="P27484" w:tooltip="642">
        <w:r>
          <w:rPr>
            <w:sz w:val="24"/>
            <w:color w:val="0000ff"/>
          </w:rPr>
          <w:t xml:space="preserve">(строка 642)</w:t>
        </w:r>
      </w:hyperlink>
      <w:r>
        <w:rPr>
          <w:sz w:val="24"/>
        </w:rPr>
        <w:t xml:space="preserve"> - регистрационный номер оценщика, осуществляющего оценку для определения стоимости актива, в реестре членов саморегулируемой организации оценщиков, который в соответствии с </w:t>
      </w:r>
      <w:hyperlink w:history="0" r:id="rId387"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абзацем восьмым статьи 22.1</w:t>
        </w:r>
      </w:hyperlink>
      <w:r>
        <w:rPr>
          <w:sz w:val="24"/>
        </w:rPr>
        <w:t xml:space="preserve"> Федерального закона N 135-ФЗ ведет саморегулируемая организация оценщиков, членом которой является оценщик, осуществляющий оценку для определения стоимости актива;</w:t>
      </w:r>
    </w:p>
    <w:p>
      <w:pPr>
        <w:pStyle w:val="0"/>
        <w:spacing w:before="240" w:lineRule="auto"/>
        <w:ind w:firstLine="540"/>
        <w:jc w:val="both"/>
      </w:pPr>
      <w:r>
        <w:rPr>
          <w:sz w:val="24"/>
        </w:rPr>
        <w:t xml:space="preserve">по показателю "Стаж осуществления оценочной деятельности" </w:t>
      </w:r>
      <w:hyperlink w:history="0" w:anchor="P27496" w:tooltip="643">
        <w:r>
          <w:rPr>
            <w:sz w:val="24"/>
            <w:color w:val="0000ff"/>
          </w:rPr>
          <w:t xml:space="preserve">(строка 643)</w:t>
        </w:r>
      </w:hyperlink>
      <w:r>
        <w:rPr>
          <w:sz w:val="24"/>
        </w:rPr>
        <w:t xml:space="preserve"> - стаж осуществления оценочной деятельности оценщиком, осуществляющим оценку для определения стоимости актива (количество полных лет).</w:t>
      </w:r>
    </w:p>
    <w:p>
      <w:pPr>
        <w:pStyle w:val="0"/>
        <w:spacing w:before="240" w:lineRule="auto"/>
        <w:ind w:firstLine="540"/>
        <w:jc w:val="both"/>
      </w:pPr>
      <w:r>
        <w:rPr>
          <w:sz w:val="24"/>
        </w:rPr>
        <w:t xml:space="preserve">58. По показателям </w:t>
      </w:r>
      <w:hyperlink w:history="0" w:anchor="P27522" w:tooltip="Подраздел 6.1.">
        <w:r>
          <w:rPr>
            <w:sz w:val="24"/>
            <w:color w:val="0000ff"/>
          </w:rPr>
          <w:t xml:space="preserve">подразделов 6.1</w:t>
        </w:r>
      </w:hyperlink>
      <w:r>
        <w:rPr>
          <w:sz w:val="24"/>
        </w:rPr>
        <w:t xml:space="preserve"> и </w:t>
      </w:r>
      <w:hyperlink w:history="0" w:anchor="P27556" w:tooltip="Подраздел 6.2.">
        <w:r>
          <w:rPr>
            <w:sz w:val="24"/>
            <w:color w:val="0000ff"/>
          </w:rPr>
          <w:t xml:space="preserve">6.2 раздела 6</w:t>
        </w:r>
      </w:hyperlink>
      <w:r>
        <w:rPr>
          <w:sz w:val="24"/>
        </w:rPr>
        <w:t xml:space="preserve"> отчетности по форме 0420154 указывается информация обо всех кредитных рейтингах, соответствующих уровню, установленному решением Совета директоров Банка России в целях применения </w:t>
      </w:r>
      <w:hyperlink w:history="0" r:id="rId38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Положения</w:t>
        </w:r>
      </w:hyperlink>
      <w:r>
        <w:rPr>
          <w:sz w:val="24"/>
        </w:rPr>
        <w:t xml:space="preserve"> Банка России N 858-П.</w:t>
      </w:r>
    </w:p>
    <w:p>
      <w:pPr>
        <w:pStyle w:val="0"/>
        <w:spacing w:before="240" w:lineRule="auto"/>
        <w:ind w:firstLine="540"/>
        <w:jc w:val="both"/>
      </w:pPr>
      <w:r>
        <w:rPr>
          <w:sz w:val="24"/>
        </w:rPr>
        <w:t xml:space="preserve">По группе аналитических признаков "Идентификатор кредитного рейтингового агентства" указывается сформированный страховщиком самостоятельно в соответствии с </w:t>
      </w:r>
      <w:hyperlink w:history="0" w:anchor="P966" w:tooltip="8.27. При формировании значения идентификатора контрагента, указываемого по группе аналитических признаков &quot;Идентификатор контрагента&quot;, позволяющего выделить одного контрагента из других контрагентов страховщика, страховщик должен указать в зависимости от контрагента характеристики, перечисленные в подпунктах 8.27.1 - 8.27.5 настоящего пункта (с сохранением приведенной последовательности их указания).">
        <w:r>
          <w:rPr>
            <w:sz w:val="24"/>
            <w:color w:val="0000ff"/>
          </w:rPr>
          <w:t xml:space="preserve">подпунктом 8.27 пункта 8</w:t>
        </w:r>
      </w:hyperlink>
      <w:r>
        <w:rPr>
          <w:sz w:val="24"/>
        </w:rPr>
        <w:t xml:space="preserve"> Порядка и сроков составления отчетности по форме 0420150 "Общие сведения о страховщике" идентификатор кредитного рейтингового агентства.</w:t>
      </w:r>
    </w:p>
    <w:p>
      <w:pPr>
        <w:pStyle w:val="0"/>
        <w:spacing w:before="240" w:lineRule="auto"/>
        <w:ind w:firstLine="540"/>
        <w:jc w:val="both"/>
      </w:pPr>
      <w:r>
        <w:rPr>
          <w:sz w:val="24"/>
        </w:rPr>
        <w:t xml:space="preserve">58.1. По показателю "Кредитный рейтинг контрагента" </w:t>
      </w:r>
      <w:hyperlink w:history="0" w:anchor="P27524" w:tooltip="645">
        <w:r>
          <w:rPr>
            <w:sz w:val="24"/>
            <w:color w:val="0000ff"/>
          </w:rPr>
          <w:t xml:space="preserve">(строка 645)</w:t>
        </w:r>
      </w:hyperlink>
      <w:r>
        <w:rPr>
          <w:sz w:val="24"/>
        </w:rPr>
        <w:t xml:space="preserve"> указывается кредитный рейтинг, присвоенный кредитным рейтинговым агентством, указанным по группе аналитических признаков "Идентификатор кредитного рейтингового агентства" (при наличии), на конец отчетного периода:</w:t>
      </w:r>
    </w:p>
    <w:p>
      <w:pPr>
        <w:pStyle w:val="0"/>
        <w:spacing w:before="240" w:lineRule="auto"/>
        <w:ind w:firstLine="540"/>
        <w:jc w:val="both"/>
      </w:pPr>
      <w:r>
        <w:rPr>
          <w:sz w:val="24"/>
        </w:rPr>
        <w:t xml:space="preserve">контрагенту (поручителю (гаранту), обязанному лицу или иному контрагенту, за исключением контрагента по базисному активу по срочной сделке или активу, от которого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указанному в </w:t>
      </w:r>
      <w:hyperlink w:history="0" w:anchor="P2420" w:tooltip="Раздел 2.">
        <w:r>
          <w:rPr>
            <w:sz w:val="24"/>
            <w:color w:val="0000ff"/>
          </w:rPr>
          <w:t xml:space="preserve">разделах 2</w:t>
        </w:r>
      </w:hyperlink>
      <w:r>
        <w:rPr>
          <w:sz w:val="24"/>
        </w:rPr>
        <w:t xml:space="preserve"> - </w:t>
      </w:r>
      <w:hyperlink w:history="0" w:anchor="P27444" w:tooltip="Раздел 4.">
        <w:r>
          <w:rPr>
            <w:sz w:val="24"/>
            <w:color w:val="0000ff"/>
          </w:rPr>
          <w:t xml:space="preserve">4</w:t>
        </w:r>
      </w:hyperlink>
      <w:r>
        <w:rPr>
          <w:sz w:val="24"/>
        </w:rPr>
        <w:t xml:space="preserve"> отчетности по форме 0420154 (с указанием по группе аналитических признаков "Идентификатор контрагента" идентификатора указанного контрагента);</w:t>
      </w:r>
    </w:p>
    <w:p>
      <w:pPr>
        <w:pStyle w:val="0"/>
        <w:spacing w:before="240" w:lineRule="auto"/>
        <w:ind w:firstLine="540"/>
        <w:jc w:val="both"/>
      </w:pPr>
      <w:r>
        <w:rPr>
          <w:sz w:val="24"/>
        </w:rPr>
        <w:t xml:space="preserve">контрагенту по базисному активу по срочной сделке или активу, от которого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указанному в </w:t>
      </w:r>
      <w:hyperlink w:history="0" w:anchor="P10460" w:tooltip="Подраздел 2.9.1.">
        <w:r>
          <w:rPr>
            <w:sz w:val="24"/>
            <w:color w:val="0000ff"/>
          </w:rPr>
          <w:t xml:space="preserve">подразделах 2.9.1</w:t>
        </w:r>
      </w:hyperlink>
      <w:r>
        <w:rPr>
          <w:sz w:val="24"/>
        </w:rPr>
        <w:t xml:space="preserve"> и </w:t>
      </w:r>
      <w:hyperlink w:history="0" w:anchor="P12054" w:tooltip="Подраздел 2.11.1.">
        <w:r>
          <w:rPr>
            <w:sz w:val="24"/>
            <w:color w:val="0000ff"/>
          </w:rPr>
          <w:t xml:space="preserve">2.11.1 раздела 2</w:t>
        </w:r>
      </w:hyperlink>
      <w:r>
        <w:rPr>
          <w:sz w:val="24"/>
        </w:rPr>
        <w:t xml:space="preserve"> или </w:t>
      </w:r>
      <w:hyperlink w:history="0" w:anchor="P27036" w:tooltip="Подраздел 3.11.">
        <w:r>
          <w:rPr>
            <w:sz w:val="24"/>
            <w:color w:val="0000ff"/>
          </w:rPr>
          <w:t xml:space="preserve">подразделе 3.1.1 раздела 3</w:t>
        </w:r>
      </w:hyperlink>
      <w:r>
        <w:rPr>
          <w:sz w:val="24"/>
        </w:rPr>
        <w:t xml:space="preserve"> отчетности по форме 0420154 (с указанием по группе аналитических признаков "Идентификатор контрагента по базисному активу по срочной сделке или активу, от которого зависит поток по облигации" идентификатора указанного контрагента).</w:t>
      </w:r>
    </w:p>
    <w:p>
      <w:pPr>
        <w:pStyle w:val="0"/>
        <w:spacing w:before="240" w:lineRule="auto"/>
        <w:ind w:firstLine="540"/>
        <w:jc w:val="both"/>
      </w:pPr>
      <w:r>
        <w:rPr>
          <w:sz w:val="24"/>
        </w:rPr>
        <w:t xml:space="preserve">Для активов страховщика, на которые распространяются требования </w:t>
      </w:r>
      <w:hyperlink w:history="0" r:id="rId38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 девятого пункта 2.6</w:t>
        </w:r>
      </w:hyperlink>
      <w:r>
        <w:rPr>
          <w:sz w:val="24"/>
        </w:rPr>
        <w:t xml:space="preserve"> Положения Банка России N 858-П, по показателю "Кредитный рейтинг контрагента" </w:t>
      </w:r>
      <w:hyperlink w:history="0" w:anchor="P27524" w:tooltip="645">
        <w:r>
          <w:rPr>
            <w:sz w:val="24"/>
            <w:color w:val="0000ff"/>
          </w:rPr>
          <w:t xml:space="preserve">(строка 645)</w:t>
        </w:r>
      </w:hyperlink>
      <w:r>
        <w:rPr>
          <w:sz w:val="24"/>
        </w:rPr>
        <w:t xml:space="preserve"> указывается кредитный рейтинг Российской Федерации, субъекта Российской Федерации или муниципального образования.</w:t>
      </w:r>
    </w:p>
    <w:p>
      <w:pPr>
        <w:pStyle w:val="0"/>
        <w:spacing w:before="240" w:lineRule="auto"/>
        <w:ind w:firstLine="540"/>
        <w:jc w:val="both"/>
      </w:pPr>
      <w:r>
        <w:rPr>
          <w:sz w:val="24"/>
        </w:rPr>
        <w:t xml:space="preserve">58.2. По показателю "Кредитный рейтинг эмиссии" </w:t>
      </w:r>
      <w:hyperlink w:history="0" w:anchor="P27558" w:tooltip="647">
        <w:r>
          <w:rPr>
            <w:sz w:val="24"/>
            <w:color w:val="0000ff"/>
          </w:rPr>
          <w:t xml:space="preserve">(строка 647)</w:t>
        </w:r>
      </w:hyperlink>
      <w:r>
        <w:rPr>
          <w:sz w:val="24"/>
        </w:rPr>
        <w:t xml:space="preserve"> указывается кредитный рейтинг, присвоенный кредитным рейтинговым агентством, указанным по группе аналитических признаков "Идентификатор кредитного рейтингового агентства" (при наличии), на конец отчетного периода:</w:t>
      </w:r>
    </w:p>
    <w:p>
      <w:pPr>
        <w:pStyle w:val="0"/>
        <w:spacing w:before="240" w:lineRule="auto"/>
        <w:ind w:firstLine="540"/>
        <w:jc w:val="both"/>
      </w:pPr>
      <w:r>
        <w:rPr>
          <w:sz w:val="24"/>
        </w:rPr>
        <w:t xml:space="preserve">выпуску ценных бумаг (с указанием по группе аналитических признаков "Идентификатор актива" идентификатора актива, указанного в </w:t>
      </w:r>
      <w:hyperlink w:history="0" w:anchor="P8214" w:tooltip="Подраздел 2.9.">
        <w:r>
          <w:rPr>
            <w:sz w:val="24"/>
            <w:color w:val="0000ff"/>
          </w:rPr>
          <w:t xml:space="preserve">подразделе 2.9 раздела 2</w:t>
        </w:r>
      </w:hyperlink>
      <w:r>
        <w:rPr>
          <w:sz w:val="24"/>
        </w:rPr>
        <w:t xml:space="preserve"> отчетности по форме 0420154);</w:t>
      </w:r>
    </w:p>
    <w:p>
      <w:pPr>
        <w:pStyle w:val="0"/>
        <w:spacing w:before="240" w:lineRule="auto"/>
        <w:ind w:firstLine="540"/>
        <w:jc w:val="both"/>
      </w:pPr>
      <w:r>
        <w:rPr>
          <w:sz w:val="24"/>
        </w:rPr>
        <w:t xml:space="preserve">базисному активу по срочной сделке, указанной в </w:t>
      </w:r>
      <w:hyperlink w:history="0" r:id="rId39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2.4.3 пункта 2.4</w:t>
        </w:r>
      </w:hyperlink>
      <w:r>
        <w:rPr>
          <w:sz w:val="24"/>
        </w:rPr>
        <w:t xml:space="preserve"> Положения Банка России N 858-П, или активу, от которого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(с указанием по группе аналитических признаков "Идентификатор базисного актива по срочной сделке или актива, от которого зависит поток по облигации" идентификатора базисного актива по срочной сделке или актива, от которого зависит поток по облигации, указанной в </w:t>
      </w:r>
      <w:hyperlink w:history="0" w:anchor="P28684" w:tooltip="51.7. По группе аналитических признаков &quot;Идентификатор контрагента по срочной сделке или активу, от которого зависит поток по облигации&quot; для каждого базисного актива по срочной сделке или актива, от которого зависит поток по облигации, выплаты (часть выплат) по которой установлены в виде формулы с переменными и (или) зависят от изменения стоимости активов и (или) показателей или наступления обстоятельств, указывается идентификатор контрагента по базисному активу по срочной сделке или активу, от которого ...">
        <w:r>
          <w:rPr>
            <w:sz w:val="24"/>
            <w:color w:val="0000ff"/>
          </w:rPr>
          <w:t xml:space="preserve">абзаце первом подпункта 51.7 пункта 51</w:t>
        </w:r>
      </w:hyperlink>
      <w:r>
        <w:rPr>
          <w:sz w:val="24"/>
        </w:rPr>
        <w:t xml:space="preserve"> настоящих Порядка и сроков, указанного в </w:t>
      </w:r>
      <w:hyperlink w:history="0" w:anchor="P10460" w:tooltip="Подраздел 2.9.1.">
        <w:r>
          <w:rPr>
            <w:sz w:val="24"/>
            <w:color w:val="0000ff"/>
          </w:rPr>
          <w:t xml:space="preserve">подразделе 2.9.1</w:t>
        </w:r>
      </w:hyperlink>
      <w:r>
        <w:rPr>
          <w:sz w:val="24"/>
        </w:rPr>
        <w:t xml:space="preserve"> или </w:t>
      </w:r>
      <w:hyperlink w:history="0" w:anchor="P12054" w:tooltip="Подраздел 2.11.1.">
        <w:r>
          <w:rPr>
            <w:sz w:val="24"/>
            <w:color w:val="0000ff"/>
          </w:rPr>
          <w:t xml:space="preserve">2.11.1 раздела 2</w:t>
        </w:r>
      </w:hyperlink>
      <w:r>
        <w:rPr>
          <w:sz w:val="24"/>
        </w:rPr>
        <w:t xml:space="preserve"> или </w:t>
      </w:r>
      <w:hyperlink w:history="0" w:anchor="P27036" w:tooltip="Подраздел 3.11.">
        <w:r>
          <w:rPr>
            <w:sz w:val="24"/>
            <w:color w:val="0000ff"/>
          </w:rPr>
          <w:t xml:space="preserve">подразделе 3.1.1 раздела 3</w:t>
        </w:r>
      </w:hyperlink>
      <w:r>
        <w:rPr>
          <w:sz w:val="24"/>
        </w:rPr>
        <w:t xml:space="preserve"> отчетности по форме 0420154).</w:t>
      </w:r>
    </w:p>
    <w:p>
      <w:pPr>
        <w:pStyle w:val="0"/>
        <w:spacing w:before="240" w:lineRule="auto"/>
        <w:ind w:firstLine="540"/>
        <w:jc w:val="both"/>
      </w:pPr>
      <w:r>
        <w:rPr>
          <w:sz w:val="24"/>
        </w:rPr>
        <w:t xml:space="preserve">59. По показателям </w:t>
      </w:r>
      <w:hyperlink w:history="0" w:anchor="P27590" w:tooltip="Раздел 7.">
        <w:r>
          <w:rPr>
            <w:sz w:val="24"/>
            <w:color w:val="0000ff"/>
          </w:rPr>
          <w:t xml:space="preserve">раздела 7</w:t>
        </w:r>
      </w:hyperlink>
      <w:r>
        <w:rPr>
          <w:sz w:val="24"/>
        </w:rPr>
        <w:t xml:space="preserve"> отчетности по форме 0420154 отражаются сведения о залоге по видам залога: "Залог ценной бумаги", "Залог иных прав требования, кроме залога ценной бумаги", "Залог жилой недвижимости, включая земельный участок, на котором она расположена", "Залог нежилой недвижимости, включая земельный участок, на котором она расположена" и "Иной вид залога".</w:t>
      </w:r>
    </w:p>
    <w:p>
      <w:pPr>
        <w:pStyle w:val="0"/>
        <w:spacing w:before="240" w:lineRule="auto"/>
        <w:ind w:firstLine="540"/>
        <w:jc w:val="both"/>
      </w:pPr>
      <w:r>
        <w:rPr>
          <w:sz w:val="24"/>
        </w:rPr>
        <w:t xml:space="preserve">По группе аналитических признаков "Идентификатор актива" указывается идентификатор актива, по которому имеется залог, отраженного по показателям </w:t>
      </w:r>
      <w:hyperlink w:history="0" w:anchor="P2420" w:tooltip="Раздел 2.">
        <w:r>
          <w:rPr>
            <w:sz w:val="24"/>
            <w:color w:val="0000ff"/>
          </w:rPr>
          <w:t xml:space="preserve">раздела 2</w:t>
        </w:r>
      </w:hyperlink>
      <w:r>
        <w:rPr>
          <w:sz w:val="24"/>
        </w:rPr>
        <w:t xml:space="preserve"> отчетности по форме 0420154.</w:t>
      </w:r>
    </w:p>
    <w:p>
      <w:pPr>
        <w:pStyle w:val="0"/>
        <w:spacing w:before="240" w:lineRule="auto"/>
        <w:ind w:firstLine="540"/>
        <w:jc w:val="both"/>
      </w:pPr>
      <w:r>
        <w:rPr>
          <w:sz w:val="24"/>
        </w:rPr>
        <w:t xml:space="preserve">По группе аналитических признаков "Идентификатор контрагента" указывается идентификатор контрагента по активу, являющемуся предметом залога, отраженному по группе аналитических признаков "Идентификатор актива, являющегося предметом залога".</w:t>
      </w:r>
    </w:p>
    <w:p>
      <w:pPr>
        <w:pStyle w:val="0"/>
        <w:spacing w:before="240" w:lineRule="auto"/>
        <w:ind w:firstLine="540"/>
        <w:jc w:val="both"/>
      </w:pPr>
      <w:r>
        <w:rPr>
          <w:sz w:val="24"/>
        </w:rPr>
        <w:t xml:space="preserve">По группе аналитических признаков "Идентификатор актива, являющегося предметом залога" указывается идентификатор актива, являющегося предметом залога, соответствующий идентификатору актива, указываемому в </w:t>
      </w:r>
      <w:hyperlink w:history="0" w:anchor="P2420" w:tooltip="Раздел 2.">
        <w:r>
          <w:rPr>
            <w:sz w:val="24"/>
            <w:color w:val="0000ff"/>
          </w:rPr>
          <w:t xml:space="preserve">разделе 2</w:t>
        </w:r>
      </w:hyperlink>
      <w:r>
        <w:rPr>
          <w:sz w:val="24"/>
        </w:rPr>
        <w:t xml:space="preserve"> отчетности по форме 0420154 (в зависимости от вида залога).</w:t>
      </w:r>
    </w:p>
    <w:p>
      <w:pPr>
        <w:pStyle w:val="0"/>
        <w:spacing w:before="240" w:lineRule="auto"/>
        <w:ind w:firstLine="540"/>
        <w:jc w:val="both"/>
      </w:pPr>
      <w:r>
        <w:rPr>
          <w:sz w:val="24"/>
        </w:rPr>
        <w:t xml:space="preserve">59.1. По показателю "Стоимость предмета залога" </w:t>
      </w:r>
      <w:hyperlink w:history="0" w:anchor="P27608" w:tooltip="650">
        <w:r>
          <w:rPr>
            <w:sz w:val="24"/>
            <w:color w:val="0000ff"/>
          </w:rPr>
          <w:t xml:space="preserve">(строка 650)</w:t>
        </w:r>
      </w:hyperlink>
      <w:r>
        <w:rPr>
          <w:sz w:val="24"/>
        </w:rPr>
        <w:t xml:space="preserve"> для каждого актива, являющего предметом залога, указывается его стоимость, определенная в соответствии с </w:t>
      </w:r>
      <w:hyperlink w:history="0" r:id="rId39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3</w:t>
        </w:r>
      </w:hyperlink>
      <w:r>
        <w:rPr>
          <w:sz w:val="24"/>
        </w:rPr>
        <w:t xml:space="preserve"> Положения Банка России N 858-П.</w:t>
      </w:r>
    </w:p>
    <w:p>
      <w:pPr>
        <w:pStyle w:val="0"/>
        <w:spacing w:before="240" w:lineRule="auto"/>
        <w:ind w:firstLine="540"/>
        <w:jc w:val="both"/>
      </w:pPr>
      <w:r>
        <w:rPr>
          <w:sz w:val="24"/>
        </w:rPr>
        <w:t xml:space="preserve">59.2. По показателю "Стоимость залога, если по активу предполагается дефолт" </w:t>
      </w:r>
      <w:hyperlink w:history="0" w:anchor="P27624" w:tooltip="651">
        <w:r>
          <w:rPr>
            <w:sz w:val="24"/>
            <w:color w:val="0000ff"/>
          </w:rPr>
          <w:t xml:space="preserve">(строка 651)</w:t>
        </w:r>
      </w:hyperlink>
      <w:r>
        <w:rPr>
          <w:sz w:val="24"/>
        </w:rPr>
        <w:t xml:space="preserve"> для каждого актива, являющего предметом залога, указывается стоимость залога, если по активу предполагается дефолт, определенный в соответствии с </w:t>
      </w:r>
      <w:hyperlink w:history="0" r:id="rId39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9</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60. По показателям </w:t>
      </w:r>
      <w:hyperlink w:history="0" w:anchor="P27640" w:tooltip="Раздел 8.">
        <w:r>
          <w:rPr>
            <w:sz w:val="24"/>
            <w:color w:val="0000ff"/>
          </w:rPr>
          <w:t xml:space="preserve">раздела 8</w:t>
        </w:r>
      </w:hyperlink>
      <w:r>
        <w:rPr>
          <w:sz w:val="24"/>
        </w:rPr>
        <w:t xml:space="preserve"> отчетности по форме 0420154 отражаются сведения о прогнозе денежных потоков по каждому активу после даты окончания отчетного периода до даты исполнения обязательств в полном объеме в соответствии с условиями договора (выпуска) в разрезе предусмотренных договором платежей (по группе аналитических признаков "Идентификатор платежа") в соответствии с </w:t>
      </w:r>
      <w:hyperlink w:history="0" r:id="rId39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6.5.2.1 пункта 6.5</w:t>
        </w:r>
      </w:hyperlink>
      <w:r>
        <w:rPr>
          <w:sz w:val="24"/>
        </w:rPr>
        <w:t xml:space="preserve"> Положения Банка России N 858-П:</w:t>
      </w:r>
    </w:p>
    <w:p>
      <w:pPr>
        <w:pStyle w:val="0"/>
        <w:spacing w:before="240" w:lineRule="auto"/>
        <w:ind w:firstLine="540"/>
        <w:jc w:val="both"/>
      </w:pPr>
      <w:r>
        <w:rPr>
          <w:sz w:val="24"/>
        </w:rPr>
        <w:t xml:space="preserve">по банковскому вкладу (депозиту), данные по которому отражены по показателю "Стоимость, определенная в соответствии с требованиями к финансовой устойчивости и платежеспособности страховщиков" </w:t>
      </w:r>
      <w:hyperlink w:history="0" w:anchor="P3312" w:tooltip="28">
        <w:r>
          <w:rPr>
            <w:sz w:val="24"/>
            <w:color w:val="0000ff"/>
          </w:rPr>
          <w:t xml:space="preserve">(строка 28)</w:t>
        </w:r>
      </w:hyperlink>
      <w:r>
        <w:rPr>
          <w:sz w:val="24"/>
        </w:rPr>
        <w:t xml:space="preserve"> (по аналитическому признаку "Банковские вклады (депозиты)" группы аналитических признаков "Вид актива");</w:t>
      </w:r>
    </w:p>
    <w:p>
      <w:pPr>
        <w:pStyle w:val="0"/>
        <w:spacing w:before="240" w:lineRule="auto"/>
        <w:ind w:firstLine="540"/>
        <w:jc w:val="both"/>
      </w:pPr>
      <w:r>
        <w:rPr>
          <w:sz w:val="24"/>
        </w:rPr>
        <w:t xml:space="preserve">по облигации, данные по выпуску которой отражены по показателю "Стоимость, определенная в соответствии с требованиями к финансовой устойчивости и платежеспособности страховщиков" </w:t>
      </w:r>
      <w:hyperlink w:history="0" w:anchor="P8552" w:tooltip="133">
        <w:r>
          <w:rPr>
            <w:sz w:val="24"/>
            <w:color w:val="0000ff"/>
          </w:rPr>
          <w:t xml:space="preserve">(строка 133)</w:t>
        </w:r>
      </w:hyperlink>
      <w:r>
        <w:rPr>
          <w:sz w:val="24"/>
        </w:rPr>
        <w:t xml:space="preserve"> (по аналитическому признаку "Облигации" группы аналитических признаков "Вид актива");</w:t>
      </w:r>
    </w:p>
    <w:p>
      <w:pPr>
        <w:pStyle w:val="0"/>
        <w:spacing w:before="240" w:lineRule="auto"/>
        <w:ind w:firstLine="540"/>
        <w:jc w:val="both"/>
      </w:pPr>
      <w:r>
        <w:rPr>
          <w:sz w:val="24"/>
        </w:rPr>
        <w:t xml:space="preserve">по займу выданному, кроме прав требования по обязательствам страхователя - физического лица по возврату займа, полученного при осуществлении страхования жизни, данные по которому отражены по показателю "Стоимость, определенная в соответствии с требованиями к финансовой устойчивости и платежеспособности страховщиков" </w:t>
      </w:r>
      <w:hyperlink w:history="0" w:anchor="P12158" w:tooltip="212">
        <w:r>
          <w:rPr>
            <w:sz w:val="24"/>
            <w:color w:val="0000ff"/>
          </w:rPr>
          <w:t xml:space="preserve">(строка 212)</w:t>
        </w:r>
      </w:hyperlink>
      <w:r>
        <w:rPr>
          <w:sz w:val="24"/>
        </w:rPr>
        <w:t xml:space="preserve"> (по аналитическому признаку "Займы выданные, кроме прав требования по обязательствам страхователя - физического лица по возврату займа, полученного при осуществлении страхования жизни" группы аналитических признаков "Вид актива").</w:t>
      </w:r>
    </w:p>
    <w:p>
      <w:pPr>
        <w:pStyle w:val="0"/>
        <w:spacing w:before="240" w:lineRule="auto"/>
        <w:ind w:firstLine="540"/>
        <w:jc w:val="both"/>
      </w:pPr>
      <w:r>
        <w:rPr>
          <w:sz w:val="24"/>
        </w:rPr>
        <w:t xml:space="preserve">Данные, указанные по группам аналитических признаков "Идентификатор актива" и "Вид актива" и по показателю "Код валюты" </w:t>
      </w:r>
      <w:hyperlink w:history="0" w:anchor="P27642" w:tooltip="652">
        <w:r>
          <w:rPr>
            <w:sz w:val="24"/>
            <w:color w:val="0000ff"/>
          </w:rPr>
          <w:t xml:space="preserve">(строка 652)</w:t>
        </w:r>
      </w:hyperlink>
      <w:r>
        <w:rPr>
          <w:sz w:val="24"/>
        </w:rPr>
        <w:t xml:space="preserve">, должны соответствовать данным, указанным по группам аналитических признаков "Идентификатор актива" и "Вид актива" и по показателю "Код валюты" (</w:t>
      </w:r>
      <w:hyperlink w:history="0" w:anchor="P3232" w:tooltip="26">
        <w:r>
          <w:rPr>
            <w:sz w:val="24"/>
            <w:color w:val="0000ff"/>
          </w:rPr>
          <w:t xml:space="preserve">строки 26</w:t>
        </w:r>
      </w:hyperlink>
      <w:r>
        <w:rPr>
          <w:sz w:val="24"/>
        </w:rPr>
        <w:t xml:space="preserve">, </w:t>
      </w:r>
      <w:hyperlink w:history="0" w:anchor="P8384" w:tooltip="130">
        <w:r>
          <w:rPr>
            <w:sz w:val="24"/>
            <w:color w:val="0000ff"/>
          </w:rPr>
          <w:t xml:space="preserve">130</w:t>
        </w:r>
      </w:hyperlink>
      <w:r>
        <w:rPr>
          <w:sz w:val="24"/>
        </w:rPr>
        <w:t xml:space="preserve">, </w:t>
      </w:r>
      <w:hyperlink w:history="0" w:anchor="P12086" w:tooltip="210">
        <w:r>
          <w:rPr>
            <w:sz w:val="24"/>
            <w:color w:val="0000ff"/>
          </w:rPr>
          <w:t xml:space="preserve">210</w:t>
        </w:r>
      </w:hyperlink>
      <w:r>
        <w:rPr>
          <w:sz w:val="24"/>
        </w:rPr>
        <w:t xml:space="preserve">) </w:t>
      </w:r>
      <w:hyperlink w:history="0" w:anchor="P3190" w:tooltip="Подраздел 2.3.">
        <w:r>
          <w:rPr>
            <w:sz w:val="24"/>
            <w:color w:val="0000ff"/>
          </w:rPr>
          <w:t xml:space="preserve">подразделов 2.3</w:t>
        </w:r>
      </w:hyperlink>
      <w:r>
        <w:rPr>
          <w:sz w:val="24"/>
        </w:rPr>
        <w:t xml:space="preserve">, </w:t>
      </w:r>
      <w:hyperlink w:history="0" w:anchor="P8214" w:tooltip="Подраздел 2.9.">
        <w:r>
          <w:rPr>
            <w:sz w:val="24"/>
            <w:color w:val="0000ff"/>
          </w:rPr>
          <w:t xml:space="preserve">2.9</w:t>
        </w:r>
      </w:hyperlink>
      <w:r>
        <w:rPr>
          <w:sz w:val="24"/>
        </w:rPr>
        <w:t xml:space="preserve">, </w:t>
      </w:r>
      <w:hyperlink w:history="0" w:anchor="P12084" w:tooltip="Подраздел 2.12.">
        <w:r>
          <w:rPr>
            <w:sz w:val="24"/>
            <w:color w:val="0000ff"/>
          </w:rPr>
          <w:t xml:space="preserve">2.12 раздела 2</w:t>
        </w:r>
      </w:hyperlink>
      <w:r>
        <w:rPr>
          <w:sz w:val="24"/>
        </w:rPr>
        <w:t xml:space="preserve"> отчетности по форме 0420154 соответственно (в зависимости от вида конкретного актива).</w:t>
      </w:r>
    </w:p>
    <w:p>
      <w:pPr>
        <w:pStyle w:val="0"/>
        <w:spacing w:before="240" w:lineRule="auto"/>
        <w:ind w:firstLine="540"/>
        <w:jc w:val="both"/>
      </w:pPr>
      <w:r>
        <w:rPr>
          <w:sz w:val="24"/>
        </w:rPr>
        <w:t xml:space="preserve">60.1. По показателю "Дата платежа" </w:t>
      </w:r>
      <w:hyperlink w:history="0" w:anchor="P27658" w:tooltip="653">
        <w:r>
          <w:rPr>
            <w:sz w:val="24"/>
            <w:color w:val="0000ff"/>
          </w:rPr>
          <w:t xml:space="preserve">(строка 653)</w:t>
        </w:r>
      </w:hyperlink>
      <w:r>
        <w:rPr>
          <w:sz w:val="24"/>
        </w:rPr>
        <w:t xml:space="preserve"> для каждого актива указывается дата его погашения (возврата) в соответствии с условиями договора (выпуска), при этом она должна быть позже даты окончания отчетного периода.</w:t>
      </w:r>
    </w:p>
    <w:p>
      <w:pPr>
        <w:pStyle w:val="0"/>
        <w:spacing w:before="240" w:lineRule="auto"/>
        <w:ind w:firstLine="540"/>
        <w:jc w:val="both"/>
      </w:pPr>
      <w:r>
        <w:rPr>
          <w:sz w:val="24"/>
        </w:rPr>
        <w:t xml:space="preserve">60.2. По показателю "Сумма платежа" </w:t>
      </w:r>
      <w:hyperlink w:history="0" w:anchor="P27674" w:tooltip="654">
        <w:r>
          <w:rPr>
            <w:sz w:val="24"/>
            <w:color w:val="0000ff"/>
          </w:rPr>
          <w:t xml:space="preserve">(строка 654)</w:t>
        </w:r>
      </w:hyperlink>
      <w:r>
        <w:rPr>
          <w:sz w:val="24"/>
        </w:rPr>
        <w:t xml:space="preserve"> для каждого актива отражается сумма платежа, включая выплаты процентов (купонов), в единицах валюты, указанной по показателю "Код валюты" </w:t>
      </w:r>
      <w:hyperlink w:history="0" w:anchor="P27642" w:tooltip="652">
        <w:r>
          <w:rPr>
            <w:sz w:val="24"/>
            <w:color w:val="0000ff"/>
          </w:rPr>
          <w:t xml:space="preserve">(строка 652)</w:t>
        </w:r>
      </w:hyperlink>
      <w:r>
        <w:rPr>
          <w:sz w:val="24"/>
        </w:rPr>
        <w:t xml:space="preserve">, в указанную по показателю "Дата платежа" </w:t>
      </w:r>
      <w:hyperlink w:history="0" w:anchor="P27658" w:tooltip="653">
        <w:r>
          <w:rPr>
            <w:sz w:val="24"/>
            <w:color w:val="0000ff"/>
          </w:rPr>
          <w:t xml:space="preserve">(строка 653)</w:t>
        </w:r>
      </w:hyperlink>
      <w:r>
        <w:rPr>
          <w:sz w:val="24"/>
        </w:rPr>
        <w:t xml:space="preserve"> дату.</w:t>
      </w:r>
    </w:p>
    <w:p>
      <w:pPr>
        <w:pStyle w:val="0"/>
        <w:spacing w:before="240" w:lineRule="auto"/>
        <w:ind w:firstLine="540"/>
        <w:jc w:val="both"/>
      </w:pPr>
      <w:r>
        <w:rPr>
          <w:sz w:val="24"/>
        </w:rPr>
        <w:t xml:space="preserve">Величина годового купона по облигации без срока погашения по показателю "Сумма платежа" </w:t>
      </w:r>
      <w:hyperlink w:history="0" w:anchor="P27674" w:tooltip="654">
        <w:r>
          <w:rPr>
            <w:sz w:val="24"/>
            <w:color w:val="0000ff"/>
          </w:rPr>
          <w:t xml:space="preserve">(строка 654)</w:t>
        </w:r>
      </w:hyperlink>
      <w:r>
        <w:rPr>
          <w:sz w:val="24"/>
        </w:rPr>
        <w:t xml:space="preserve"> указывается отдельно.</w:t>
      </w:r>
    </w:p>
    <w:p>
      <w:pPr>
        <w:pStyle w:val="0"/>
        <w:spacing w:before="240" w:lineRule="auto"/>
        <w:ind w:firstLine="540"/>
        <w:jc w:val="both"/>
      </w:pPr>
      <w:r>
        <w:rPr>
          <w:sz w:val="24"/>
        </w:rPr>
        <w:t xml:space="preserve">61. По показателям </w:t>
      </w:r>
      <w:hyperlink w:history="0" w:anchor="P27690" w:tooltip="Раздел 9.">
        <w:r>
          <w:rPr>
            <w:sz w:val="24"/>
            <w:color w:val="0000ff"/>
          </w:rPr>
          <w:t xml:space="preserve">раздела 9</w:t>
        </w:r>
      </w:hyperlink>
      <w:r>
        <w:rPr>
          <w:sz w:val="24"/>
        </w:rPr>
        <w:t xml:space="preserve"> отчетности по форме 0420154 отражаются сведения о прогнозе денежных потоков по каждому субординированному займу, данные по которому указаны по показателю "Стоимость, определенная в соответствии с требованиями к финансовой устойчивости и платежеспособности страховщиков" </w:t>
      </w:r>
      <w:hyperlink w:history="0" w:anchor="P26218" w:tooltip="569">
        <w:r>
          <w:rPr>
            <w:sz w:val="24"/>
            <w:color w:val="0000ff"/>
          </w:rPr>
          <w:t xml:space="preserve">(строка 569)</w:t>
        </w:r>
      </w:hyperlink>
      <w:r>
        <w:rPr>
          <w:sz w:val="24"/>
        </w:rPr>
        <w:t xml:space="preserve"> (по аналитическому признаку "Субординированные займы" группы аналитических признаков "Вид обязательства"), после даты окончания отчетного периода в разрезе предусмотренных договором субординированного займа платежей (по группе аналитических признаков "Идентификатор платежа").</w:t>
      </w:r>
    </w:p>
    <w:p>
      <w:pPr>
        <w:pStyle w:val="0"/>
        <w:spacing w:before="240" w:lineRule="auto"/>
        <w:ind w:firstLine="540"/>
        <w:jc w:val="both"/>
      </w:pPr>
      <w:r>
        <w:rPr>
          <w:sz w:val="24"/>
        </w:rPr>
        <w:t xml:space="preserve">Данные, указанные по группам аналитических признаков "Идентификатор обязательства" и "Вид обязательства" и по показателю "Код валюты" </w:t>
      </w:r>
      <w:hyperlink w:history="0" w:anchor="P27692" w:tooltip="655">
        <w:r>
          <w:rPr>
            <w:sz w:val="24"/>
            <w:color w:val="0000ff"/>
          </w:rPr>
          <w:t xml:space="preserve">(строка 655)</w:t>
        </w:r>
      </w:hyperlink>
      <w:r>
        <w:rPr>
          <w:sz w:val="24"/>
        </w:rPr>
        <w:t xml:space="preserve">, должны соответствовать данным, указанным по группам аналитических признаков "Идентификатор обязательства", "Вид обязательства" и "Код валюты" </w:t>
      </w:r>
      <w:hyperlink w:history="0" w:anchor="P26192" w:tooltip="Подраздел 3.4.">
        <w:r>
          <w:rPr>
            <w:sz w:val="24"/>
            <w:color w:val="0000ff"/>
          </w:rPr>
          <w:t xml:space="preserve">подраздела 3.4 раздела 3</w:t>
        </w:r>
      </w:hyperlink>
      <w:r>
        <w:rPr>
          <w:sz w:val="24"/>
        </w:rPr>
        <w:t xml:space="preserve"> отчетности по форме 0420154 соответственно.</w:t>
      </w:r>
    </w:p>
    <w:p>
      <w:pPr>
        <w:pStyle w:val="0"/>
        <w:spacing w:before="240" w:lineRule="auto"/>
        <w:ind w:firstLine="540"/>
        <w:jc w:val="both"/>
      </w:pPr>
      <w:r>
        <w:rPr>
          <w:sz w:val="24"/>
        </w:rPr>
        <w:t xml:space="preserve">61.1. По показателю "Дата платежа" </w:t>
      </w:r>
      <w:hyperlink w:history="0" w:anchor="P27708" w:tooltip="656">
        <w:r>
          <w:rPr>
            <w:sz w:val="24"/>
            <w:color w:val="0000ff"/>
          </w:rPr>
          <w:t xml:space="preserve">(строка 656)</w:t>
        </w:r>
      </w:hyperlink>
      <w:r>
        <w:rPr>
          <w:sz w:val="24"/>
        </w:rPr>
        <w:t xml:space="preserve"> для каждого субординированного займа указывается дата его погашения страховщиком в соответствии с условиями договора субординированного займа, при этом она должна быть позже даты окончания отчетного периода.</w:t>
      </w:r>
    </w:p>
    <w:p>
      <w:pPr>
        <w:pStyle w:val="0"/>
        <w:spacing w:before="240" w:lineRule="auto"/>
        <w:ind w:firstLine="540"/>
        <w:jc w:val="both"/>
      </w:pPr>
      <w:r>
        <w:rPr>
          <w:sz w:val="24"/>
        </w:rPr>
        <w:t xml:space="preserve">61.2. По показателю "Номинальная стоимость" </w:t>
      </w:r>
      <w:hyperlink w:history="0" w:anchor="P27724" w:tooltip="657">
        <w:r>
          <w:rPr>
            <w:sz w:val="24"/>
            <w:color w:val="0000ff"/>
          </w:rPr>
          <w:t xml:space="preserve">(строка 657)</w:t>
        </w:r>
      </w:hyperlink>
      <w:r>
        <w:rPr>
          <w:sz w:val="24"/>
        </w:rPr>
        <w:t xml:space="preserve"> для каждого субординированного займа отражается его номинальная стоимость (сумма) в единицах валюты, указанной по показателю "Код валюты" </w:t>
      </w:r>
      <w:hyperlink w:history="0" w:anchor="P27692" w:tooltip="655">
        <w:r>
          <w:rPr>
            <w:sz w:val="24"/>
            <w:color w:val="0000ff"/>
          </w:rPr>
          <w:t xml:space="preserve">(строка 655)</w:t>
        </w:r>
      </w:hyperlink>
      <w:r>
        <w:rPr>
          <w:sz w:val="24"/>
        </w:rPr>
        <w:t xml:space="preserve">, в указанную по показателю "Дата платежа" </w:t>
      </w:r>
      <w:hyperlink w:history="0" w:anchor="P27708" w:tooltip="656">
        <w:r>
          <w:rPr>
            <w:sz w:val="24"/>
            <w:color w:val="0000ff"/>
          </w:rPr>
          <w:t xml:space="preserve">(строка 656)</w:t>
        </w:r>
      </w:hyperlink>
      <w:r>
        <w:rPr>
          <w:sz w:val="24"/>
        </w:rPr>
        <w:t xml:space="preserve"> дату.</w:t>
      </w:r>
    </w:p>
    <w:p>
      <w:pPr>
        <w:pStyle w:val="0"/>
        <w:spacing w:before="240" w:lineRule="auto"/>
        <w:ind w:firstLine="540"/>
        <w:jc w:val="both"/>
      </w:pPr>
      <w:r>
        <w:rPr>
          <w:sz w:val="24"/>
        </w:rPr>
        <w:t xml:space="preserve">62. По показателям </w:t>
      </w:r>
      <w:hyperlink w:history="0" w:anchor="P27740" w:tooltip="Раздел 10.">
        <w:r>
          <w:rPr>
            <w:sz w:val="24"/>
            <w:color w:val="0000ff"/>
          </w:rPr>
          <w:t xml:space="preserve">раздела 10</w:t>
        </w:r>
      </w:hyperlink>
      <w:r>
        <w:rPr>
          <w:sz w:val="24"/>
        </w:rPr>
        <w:t xml:space="preserve"> отчетности по форме 0420154 отражаются сведения о рассчитанном на конец отчетного периода структурном соотношении совокупной стоимости активов (обязательств) к стоимости активов страховщика в соответствии с </w:t>
      </w:r>
      <w:hyperlink w:history="0" r:id="rId39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2.4</w:t>
        </w:r>
      </w:hyperlink>
      <w:r>
        <w:rPr>
          <w:sz w:val="24"/>
        </w:rPr>
        <w:t xml:space="preserve"> Положения Банка России N 858-П (далее - структурное соотношение).</w:t>
      </w:r>
    </w:p>
    <w:p>
      <w:pPr>
        <w:pStyle w:val="0"/>
        <w:spacing w:before="240" w:lineRule="auto"/>
        <w:ind w:firstLine="540"/>
        <w:jc w:val="both"/>
      </w:pPr>
      <w:r>
        <w:rPr>
          <w:sz w:val="24"/>
        </w:rPr>
        <w:t xml:space="preserve">62.1. По показателю "Стоимость лотов срочных сделок" </w:t>
      </w:r>
      <w:hyperlink w:history="0" w:anchor="P27742" w:tooltip="658">
        <w:r>
          <w:rPr>
            <w:sz w:val="24"/>
            <w:color w:val="0000ff"/>
          </w:rPr>
          <w:t xml:space="preserve">(строка 658)</w:t>
        </w:r>
      </w:hyperlink>
      <w:r>
        <w:rPr>
          <w:sz w:val="24"/>
        </w:rPr>
        <w:t xml:space="preserve"> указывается стоимость лотов производных финансовых инструментов, базисных активов производных финансовых инструментов (базисных активов производных финансовых инструментов, являющихся базисными активами производных финансовых инструментов), указанных в </w:t>
      </w:r>
      <w:hyperlink w:history="0" r:id="rId39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2.4.3 пункта 2.4</w:t>
        </w:r>
      </w:hyperlink>
      <w:r>
        <w:rPr>
          <w:sz w:val="24"/>
        </w:rPr>
        <w:t xml:space="preserve"> Положения Банка России N 858-П.</w:t>
      </w:r>
    </w:p>
    <w:p>
      <w:pPr>
        <w:pStyle w:val="0"/>
        <w:spacing w:before="240" w:lineRule="auto"/>
        <w:ind w:firstLine="540"/>
        <w:jc w:val="both"/>
      </w:pPr>
      <w:r>
        <w:rPr>
          <w:sz w:val="24"/>
        </w:rPr>
        <w:t xml:space="preserve">62.2. По показателю "Стоимость ценных бумаг (денежных средств), полученных по первой части договора репо" </w:t>
      </w:r>
      <w:hyperlink w:history="0" w:anchor="P27746" w:tooltip="659">
        <w:r>
          <w:rPr>
            <w:sz w:val="24"/>
            <w:color w:val="0000ff"/>
          </w:rPr>
          <w:t xml:space="preserve">(строка 659)</w:t>
        </w:r>
      </w:hyperlink>
      <w:r>
        <w:rPr>
          <w:sz w:val="24"/>
        </w:rPr>
        <w:t xml:space="preserve"> указывается стоимость ценных бумаг (денежных средств), полученных страховщиком по первой части договора репо, за исключением договоров репо, по которым страховщик является покупателем по первой части договора репо и которые предусматривают невозможность распоряжения приобретенными ценными бумагами, за исключением их возврата по второй части такого договора репо.</w:t>
      </w:r>
    </w:p>
    <w:p>
      <w:pPr>
        <w:pStyle w:val="0"/>
        <w:spacing w:before="240" w:lineRule="auto"/>
        <w:ind w:firstLine="540"/>
        <w:jc w:val="both"/>
      </w:pPr>
      <w:r>
        <w:rPr>
          <w:sz w:val="24"/>
        </w:rPr>
        <w:t xml:space="preserve">62.3. По показателю "Привлеченные кредиты и займы (за исключением субординированных займов) с учетом процентов" </w:t>
      </w:r>
      <w:hyperlink w:history="0" w:anchor="P27750" w:tooltip="660">
        <w:r>
          <w:rPr>
            <w:sz w:val="24"/>
            <w:color w:val="0000ff"/>
          </w:rPr>
          <w:t xml:space="preserve">(строка 660)</w:t>
        </w:r>
      </w:hyperlink>
      <w:r>
        <w:rPr>
          <w:sz w:val="24"/>
        </w:rPr>
        <w:t xml:space="preserve"> указывается стоимость привлеченных кредитов и займов (в том числе совершенных путем выдачи векселей, выпуска и продажи облигаций, за исключением субординированных займов в части остаточной стоимости субординированного займа, включенной в расчет нормативного соотношения собственных средств (капитала) и принятых обязательств страховой организации), величина которых рассчитана с учетом процентов.</w:t>
      </w:r>
    </w:p>
    <w:p>
      <w:pPr>
        <w:pStyle w:val="0"/>
        <w:spacing w:before="240" w:lineRule="auto"/>
        <w:ind w:firstLine="540"/>
        <w:jc w:val="both"/>
      </w:pPr>
      <w:r>
        <w:rPr>
          <w:sz w:val="24"/>
        </w:rPr>
        <w:t xml:space="preserve">62.4. По показателю "Стоимость выданных поручительств и независимых гарантий" </w:t>
      </w:r>
      <w:hyperlink w:history="0" w:anchor="P27754" w:tooltip="661">
        <w:r>
          <w:rPr>
            <w:sz w:val="24"/>
            <w:color w:val="0000ff"/>
          </w:rPr>
          <w:t xml:space="preserve">(строка 661)</w:t>
        </w:r>
      </w:hyperlink>
      <w:r>
        <w:rPr>
          <w:sz w:val="24"/>
        </w:rPr>
        <w:t xml:space="preserve"> указывается стоимость выданных страховщиком поручительств и независимых гарантий, аналитический учет которых осуществляется по внебалансовым счетам второго порядка в соответствии с </w:t>
      </w:r>
      <w:hyperlink w:history="0" r:id="rId396"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Положением</w:t>
        </w:r>
      </w:hyperlink>
      <w:r>
        <w:rPr>
          <w:sz w:val="24"/>
        </w:rPr>
        <w:t xml:space="preserve"> Банка России N 803-П.</w:t>
      </w:r>
    </w:p>
    <w:p>
      <w:pPr>
        <w:pStyle w:val="0"/>
        <w:spacing w:before="240" w:lineRule="auto"/>
        <w:ind w:firstLine="540"/>
        <w:jc w:val="both"/>
      </w:pPr>
      <w:r>
        <w:rPr>
          <w:sz w:val="24"/>
        </w:rPr>
        <w:t xml:space="preserve">62.5. По показателю "Стоимость выпущенных цифровых финансовых активов" </w:t>
      </w:r>
      <w:hyperlink w:history="0" w:anchor="P27758" w:tooltip="662">
        <w:r>
          <w:rPr>
            <w:sz w:val="24"/>
            <w:color w:val="0000ff"/>
          </w:rPr>
          <w:t xml:space="preserve">(строка 662)</w:t>
        </w:r>
      </w:hyperlink>
      <w:r>
        <w:rPr>
          <w:sz w:val="24"/>
        </w:rPr>
        <w:t xml:space="preserve"> указывается стоимость обязательств страховщика по цифровым финансовым активам, не соответствующим условиям </w:t>
      </w:r>
      <w:hyperlink w:history="0" r:id="rId39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 7.6</w:t>
        </w:r>
      </w:hyperlink>
      <w:r>
        <w:rPr>
          <w:sz w:val="24"/>
        </w:rPr>
        <w:t xml:space="preserve"> Положения Банка России N 858-П, выпуск которых осуществил такой страховщик.</w:t>
      </w:r>
    </w:p>
    <w:p>
      <w:pPr>
        <w:pStyle w:val="0"/>
        <w:spacing w:before="240" w:lineRule="auto"/>
        <w:ind w:firstLine="540"/>
        <w:jc w:val="both"/>
      </w:pPr>
      <w:r>
        <w:rPr>
          <w:sz w:val="24"/>
        </w:rPr>
        <w:t xml:space="preserve">62.6. По показателю "Стоимость активов, определенная в соответствии с требованиями к финансовой устойчивости и платежеспособности страховщиков" </w:t>
      </w:r>
      <w:hyperlink w:history="0" w:anchor="P27762" w:tooltip="663">
        <w:r>
          <w:rPr>
            <w:sz w:val="24"/>
            <w:color w:val="0000ff"/>
          </w:rPr>
          <w:t xml:space="preserve">(строка 663)</w:t>
        </w:r>
      </w:hyperlink>
      <w:r>
        <w:rPr>
          <w:sz w:val="24"/>
        </w:rPr>
        <w:t xml:space="preserve"> указывается стоимость активов страховщика, рассчитанная в соответствии с </w:t>
      </w:r>
      <w:hyperlink w:history="0" r:id="rId39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3</w:t>
        </w:r>
      </w:hyperlink>
      <w:r>
        <w:rPr>
          <w:sz w:val="24"/>
        </w:rPr>
        <w:t xml:space="preserve"> Положения Банка России N 858-П.</w:t>
      </w:r>
    </w:p>
    <w:p>
      <w:pPr>
        <w:pStyle w:val="0"/>
        <w:spacing w:before="240" w:lineRule="auto"/>
        <w:ind w:firstLine="540"/>
        <w:jc w:val="both"/>
      </w:pPr>
      <w:r>
        <w:rPr>
          <w:sz w:val="24"/>
        </w:rPr>
        <w:t xml:space="preserve">62.7. По показателю "Структурное соотношение" </w:t>
      </w:r>
      <w:hyperlink w:history="0" w:anchor="P27766" w:tooltip="664">
        <w:r>
          <w:rPr>
            <w:sz w:val="24"/>
            <w:color w:val="0000ff"/>
          </w:rPr>
          <w:t xml:space="preserve">(строка 664)</w:t>
        </w:r>
      </w:hyperlink>
      <w:r>
        <w:rPr>
          <w:sz w:val="24"/>
        </w:rPr>
        <w:t xml:space="preserve"> указывается значение структурного соотношения, которое определяется как сумма значений показателей "Стоимость лотов срочных сделок" </w:t>
      </w:r>
      <w:hyperlink w:history="0" w:anchor="P27742" w:tooltip="658">
        <w:r>
          <w:rPr>
            <w:sz w:val="24"/>
            <w:color w:val="0000ff"/>
          </w:rPr>
          <w:t xml:space="preserve">(строка 658)</w:t>
        </w:r>
      </w:hyperlink>
      <w:r>
        <w:rPr>
          <w:sz w:val="24"/>
        </w:rPr>
        <w:t xml:space="preserve">, "Стоимость ценных бумаг (денежных средств), полученных по первой части договора репо" </w:t>
      </w:r>
      <w:hyperlink w:history="0" w:anchor="P27746" w:tooltip="659">
        <w:r>
          <w:rPr>
            <w:sz w:val="24"/>
            <w:color w:val="0000ff"/>
          </w:rPr>
          <w:t xml:space="preserve">(строка 659)</w:t>
        </w:r>
      </w:hyperlink>
      <w:r>
        <w:rPr>
          <w:sz w:val="24"/>
        </w:rPr>
        <w:t xml:space="preserve">, "Привлеченные кредиты и займы (за исключением субординированных займов) с учетом процентов" </w:t>
      </w:r>
      <w:hyperlink w:history="0" w:anchor="P27750" w:tooltip="660">
        <w:r>
          <w:rPr>
            <w:sz w:val="24"/>
            <w:color w:val="0000ff"/>
          </w:rPr>
          <w:t xml:space="preserve">(строка 660)</w:t>
        </w:r>
      </w:hyperlink>
      <w:r>
        <w:rPr>
          <w:sz w:val="24"/>
        </w:rPr>
        <w:t xml:space="preserve">, "Стоимость выданных поручительств и независимых гарантий" </w:t>
      </w:r>
      <w:hyperlink w:history="0" w:anchor="P27754" w:tooltip="661">
        <w:r>
          <w:rPr>
            <w:sz w:val="24"/>
            <w:color w:val="0000ff"/>
          </w:rPr>
          <w:t xml:space="preserve">(строка 661)</w:t>
        </w:r>
      </w:hyperlink>
      <w:r>
        <w:rPr>
          <w:sz w:val="24"/>
        </w:rPr>
        <w:t xml:space="preserve"> и "Стоимость выпущенных цифровых финансовых активов" </w:t>
      </w:r>
      <w:hyperlink w:history="0" w:anchor="P27758" w:tooltip="662">
        <w:r>
          <w:rPr>
            <w:sz w:val="24"/>
            <w:color w:val="0000ff"/>
          </w:rPr>
          <w:t xml:space="preserve">(строка 662)</w:t>
        </w:r>
      </w:hyperlink>
      <w:r>
        <w:rPr>
          <w:sz w:val="24"/>
        </w:rPr>
        <w:t xml:space="preserve">, деленная на значение показателя "Стоимость активов, определенная в соответствии с требованиями к финансовой устойчивости и платежеспособности страховщиков" </w:t>
      </w:r>
      <w:hyperlink w:history="0" w:anchor="P27766" w:tooltip="664">
        <w:r>
          <w:rPr>
            <w:sz w:val="24"/>
            <w:color w:val="0000ff"/>
          </w:rPr>
          <w:t xml:space="preserve">(строка 664)</w:t>
        </w:r>
      </w:hyperlink>
      <w:r>
        <w:rPr>
          <w:sz w:val="24"/>
        </w:rPr>
        <w:t xml:space="preserve">.</w:t>
      </w:r>
    </w:p>
    <w:p>
      <w:pPr>
        <w:pStyle w:val="0"/>
        <w:spacing w:before="240" w:lineRule="auto"/>
        <w:ind w:firstLine="540"/>
        <w:jc w:val="both"/>
      </w:pPr>
      <w:r>
        <w:rPr>
          <w:sz w:val="24"/>
        </w:rPr>
        <w:t xml:space="preserve">63. По показателям </w:t>
      </w:r>
      <w:hyperlink w:history="0" w:anchor="P27770" w:tooltip="Раздел 11.">
        <w:r>
          <w:rPr>
            <w:sz w:val="24"/>
            <w:color w:val="0000ff"/>
          </w:rPr>
          <w:t xml:space="preserve">раздела 11</w:t>
        </w:r>
      </w:hyperlink>
      <w:r>
        <w:rPr>
          <w:sz w:val="24"/>
        </w:rPr>
        <w:t xml:space="preserve"> отчетности по форме 0420154 указываются сведения о финансовых активах и обязательствах, отраженных в бухгалтерском балансе, в разрезе валют (рубли, доллары США, евро, юани и прочие валюты) и сроков, оставшихся до погашения активов и обязательств.</w:t>
      </w:r>
    </w:p>
    <w:p>
      <w:pPr>
        <w:pStyle w:val="0"/>
        <w:spacing w:before="240" w:lineRule="auto"/>
        <w:ind w:firstLine="540"/>
        <w:jc w:val="both"/>
      </w:pPr>
      <w:r>
        <w:rPr>
          <w:sz w:val="24"/>
        </w:rPr>
        <w:t xml:space="preserve">63.1. Показатели </w:t>
      </w:r>
      <w:hyperlink w:history="0" w:anchor="P27770" w:tooltip="Раздел 11.">
        <w:r>
          <w:rPr>
            <w:sz w:val="24"/>
            <w:color w:val="0000ff"/>
          </w:rPr>
          <w:t xml:space="preserve">раздела 11</w:t>
        </w:r>
      </w:hyperlink>
      <w:r>
        <w:rPr>
          <w:sz w:val="24"/>
        </w:rPr>
        <w:t xml:space="preserve"> отчетности по форме 0420154 формируются в зависимости от наличия у страховщика лицензии на осуществление добровольного страхования жизни.</w:t>
      </w:r>
    </w:p>
    <w:p>
      <w:pPr>
        <w:pStyle w:val="0"/>
        <w:spacing w:before="240" w:lineRule="auto"/>
        <w:ind w:firstLine="540"/>
        <w:jc w:val="both"/>
      </w:pPr>
      <w:r>
        <w:rPr>
          <w:sz w:val="24"/>
        </w:rPr>
        <w:t xml:space="preserve">Страховые организации не формируют показатели "Активы по портфелям договоров страхования, учитываемых на счетах бухгалтерского учета в соответствии с требованиями </w:t>
      </w:r>
      <w:hyperlink w:history="0" r:id="rId399"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318" w:tooltip="709">
        <w:r>
          <w:rPr>
            <w:sz w:val="24"/>
            <w:color w:val="0000ff"/>
          </w:rPr>
          <w:t xml:space="preserve">(строка 709)</w:t>
        </w:r>
      </w:hyperlink>
      <w:r>
        <w:rPr>
          <w:sz w:val="24"/>
        </w:rPr>
        <w:t xml:space="preserve"> и "Обязательства по портфелям договоров страхования, учитываемых на счетах бухгалтерского учета в соответствии с требованиями </w:t>
      </w:r>
      <w:hyperlink w:history="0" r:id="rId400"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500" w:tooltip="724">
        <w:r>
          <w:rPr>
            <w:sz w:val="24"/>
            <w:color w:val="0000ff"/>
          </w:rPr>
          <w:t xml:space="preserve">(строка 724)</w:t>
        </w:r>
      </w:hyperlink>
      <w:r>
        <w:rPr>
          <w:sz w:val="24"/>
        </w:rPr>
        <w:t xml:space="preserve">.</w:t>
      </w:r>
    </w:p>
    <w:p>
      <w:pPr>
        <w:pStyle w:val="0"/>
        <w:spacing w:before="240" w:lineRule="auto"/>
        <w:ind w:firstLine="540"/>
        <w:jc w:val="both"/>
      </w:pPr>
      <w:r>
        <w:rPr>
          <w:sz w:val="24"/>
        </w:rPr>
        <w:t xml:space="preserve">Общества взаимного страхования не формируют показатели "Дебиторская задолженность по договорам обязательного медицинского страхования" </w:t>
      </w:r>
      <w:hyperlink w:history="0" w:anchor="P28294" w:tooltip="707">
        <w:r>
          <w:rPr>
            <w:sz w:val="24"/>
            <w:color w:val="0000ff"/>
          </w:rPr>
          <w:t xml:space="preserve">(строка 707)</w:t>
        </w:r>
      </w:hyperlink>
      <w:r>
        <w:rPr>
          <w:sz w:val="24"/>
        </w:rPr>
        <w:t xml:space="preserve">, "Активы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401"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306" w:tooltip="708">
        <w:r>
          <w:rPr>
            <w:sz w:val="24"/>
            <w:color w:val="0000ff"/>
          </w:rPr>
          <w:t xml:space="preserve">(строка 708)</w:t>
        </w:r>
      </w:hyperlink>
      <w:r>
        <w:rPr>
          <w:sz w:val="24"/>
        </w:rPr>
        <w:t xml:space="preserve">, "Кредиторская задолженность по договорам обязательного медицинского страхования" </w:t>
      </w:r>
      <w:hyperlink w:history="0" w:anchor="P28464" w:tooltip="721">
        <w:r>
          <w:rPr>
            <w:sz w:val="24"/>
            <w:color w:val="0000ff"/>
          </w:rPr>
          <w:t xml:space="preserve">(строка 721)</w:t>
        </w:r>
      </w:hyperlink>
      <w:r>
        <w:rPr>
          <w:sz w:val="24"/>
        </w:rPr>
        <w:t xml:space="preserve"> и "Обязательства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402"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488" w:tooltip="723">
        <w:r>
          <w:rPr>
            <w:sz w:val="24"/>
            <w:color w:val="0000ff"/>
          </w:rPr>
          <w:t xml:space="preserve">(строка 723)</w:t>
        </w:r>
      </w:hyperlink>
      <w:r>
        <w:rPr>
          <w:sz w:val="24"/>
        </w:rPr>
        <w:t xml:space="preserve">.</w:t>
      </w:r>
    </w:p>
    <w:p>
      <w:pPr>
        <w:pStyle w:val="0"/>
        <w:spacing w:before="240" w:lineRule="auto"/>
        <w:ind w:firstLine="540"/>
        <w:jc w:val="both"/>
      </w:pPr>
      <w:r>
        <w:rPr>
          <w:sz w:val="24"/>
        </w:rPr>
        <w:t xml:space="preserve">63.2. Значения показателей </w:t>
      </w:r>
      <w:hyperlink w:history="0" w:anchor="P27770" w:tooltip="Раздел 11.">
        <w:r>
          <w:rPr>
            <w:sz w:val="24"/>
            <w:color w:val="0000ff"/>
          </w:rPr>
          <w:t xml:space="preserve">раздела 11</w:t>
        </w:r>
      </w:hyperlink>
      <w:r>
        <w:rPr>
          <w:sz w:val="24"/>
        </w:rPr>
        <w:t xml:space="preserve"> отчетности по форме 0420154 должны соответствовать значениям показателей бухгалтерского баланса. При этом значения показателей "Финансовые активы, классифицируемые как оцениваемые по справедливой стоимости через прибыль или убыток по усмотрению страховщика" (</w:t>
      </w:r>
      <w:hyperlink w:history="0" w:anchor="P27812" w:tooltip="668">
        <w:r>
          <w:rPr>
            <w:sz w:val="24"/>
            <w:color w:val="0000ff"/>
          </w:rPr>
          <w:t xml:space="preserve">строки 668</w:t>
        </w:r>
      </w:hyperlink>
      <w:r>
        <w:rPr>
          <w:sz w:val="24"/>
        </w:rPr>
        <w:t xml:space="preserve">, </w:t>
      </w:r>
      <w:hyperlink w:history="0" w:anchor="P28194" w:tooltip="699">
        <w:r>
          <w:rPr>
            <w:sz w:val="24"/>
            <w:color w:val="0000ff"/>
          </w:rPr>
          <w:t xml:space="preserve">699</w:t>
        </w:r>
      </w:hyperlink>
      <w:r>
        <w:rPr>
          <w:sz w:val="24"/>
        </w:rPr>
        <w:t xml:space="preserve">) и "Финансовые обязательства, классифицируемые как оцениваемые по справедливой стоимости через прибыль или убыток по усмотрению страховщика" (</w:t>
      </w:r>
      <w:hyperlink w:history="0" w:anchor="P27998" w:tooltip="683">
        <w:r>
          <w:rPr>
            <w:sz w:val="24"/>
            <w:color w:val="0000ff"/>
          </w:rPr>
          <w:t xml:space="preserve">строки 683</w:t>
        </w:r>
      </w:hyperlink>
      <w:r>
        <w:rPr>
          <w:sz w:val="24"/>
        </w:rPr>
        <w:t xml:space="preserve">, </w:t>
      </w:r>
      <w:hyperlink w:history="0" w:anchor="P28404" w:tooltip="716">
        <w:r>
          <w:rPr>
            <w:sz w:val="24"/>
            <w:color w:val="0000ff"/>
          </w:rPr>
          <w:t xml:space="preserve">716</w:t>
        </w:r>
      </w:hyperlink>
      <w:r>
        <w:rPr>
          <w:sz w:val="24"/>
        </w:rPr>
        <w:t xml:space="preserve">) должны соответствовать значениям показателей "финансовые активы, классифицируемые как оцениваемые по справедливой стоимости через прибыль или убыток по усмотрению страховой организации" и "финансовые обязательства, классифицируемые как оцениваемые по справедливой стоимости через прибыль или убыток по усмотрению страховой организации" бухгалтерского баланса соответственно (для страховой организации), значениям показателей "финансовые активы, классифицируемые как оцениваемые по справедливой стоимости через прибыль или убыток по усмотрению общества взаимного страхования" и "финансовые обязательства, классифицируемые как оцениваемые по справедливой стоимости через прибыль или убыток по усмотрению общества взаимного страхования" бухгалтерского баланса (для общества взаимного страхования) соответственно.</w:t>
      </w:r>
    </w:p>
    <w:p>
      <w:pPr>
        <w:pStyle w:val="0"/>
        <w:spacing w:before="240" w:lineRule="auto"/>
        <w:ind w:firstLine="540"/>
        <w:jc w:val="both"/>
      </w:pPr>
      <w:r>
        <w:rPr>
          <w:sz w:val="24"/>
        </w:rPr>
        <w:t xml:space="preserve">Значение показателя "Финансовые активы, оцениваемые по справедливой стоимости через прибыль или убыток" (</w:t>
      </w:r>
      <w:hyperlink w:history="0" w:anchor="P27788" w:tooltip="666">
        <w:r>
          <w:rPr>
            <w:sz w:val="24"/>
            <w:color w:val="0000ff"/>
          </w:rPr>
          <w:t xml:space="preserve">строки 666</w:t>
        </w:r>
      </w:hyperlink>
      <w:r>
        <w:rPr>
          <w:sz w:val="24"/>
        </w:rPr>
        <w:t xml:space="preserve">, </w:t>
      </w:r>
      <w:hyperlink w:history="0" w:anchor="P28170" w:tooltip="697">
        <w:r>
          <w:rPr>
            <w:sz w:val="24"/>
            <w:color w:val="0000ff"/>
          </w:rPr>
          <w:t xml:space="preserve">697</w:t>
        </w:r>
      </w:hyperlink>
      <w:r>
        <w:rPr>
          <w:sz w:val="24"/>
        </w:rPr>
        <w:t xml:space="preserve">) должно быть равно сумме значений показателей "Финансовые активы, в обязательном порядке классифицируемые как оцениваемые по справедливой стоимости через прибыль или убыток" (</w:t>
      </w:r>
      <w:hyperlink w:history="0" w:anchor="P27800" w:tooltip="667">
        <w:r>
          <w:rPr>
            <w:sz w:val="24"/>
            <w:color w:val="0000ff"/>
          </w:rPr>
          <w:t xml:space="preserve">строки 667</w:t>
        </w:r>
      </w:hyperlink>
      <w:r>
        <w:rPr>
          <w:sz w:val="24"/>
        </w:rPr>
        <w:t xml:space="preserve">, </w:t>
      </w:r>
      <w:hyperlink w:history="0" w:anchor="P28182" w:tooltip="698">
        <w:r>
          <w:rPr>
            <w:sz w:val="24"/>
            <w:color w:val="0000ff"/>
          </w:rPr>
          <w:t xml:space="preserve">698</w:t>
        </w:r>
      </w:hyperlink>
      <w:r>
        <w:rPr>
          <w:sz w:val="24"/>
        </w:rPr>
        <w:t xml:space="preserve">) и "Финансовые активы, классифицируемые как оцениваемые по справедливой стоимости через прибыль или убыток по усмотрению страховщика" (</w:t>
      </w:r>
      <w:hyperlink w:history="0" w:anchor="P27812" w:tooltip="668">
        <w:r>
          <w:rPr>
            <w:sz w:val="24"/>
            <w:color w:val="0000ff"/>
          </w:rPr>
          <w:t xml:space="preserve">строки 668</w:t>
        </w:r>
      </w:hyperlink>
      <w:r>
        <w:rPr>
          <w:sz w:val="24"/>
        </w:rPr>
        <w:t xml:space="preserve">, </w:t>
      </w:r>
      <w:hyperlink w:history="0" w:anchor="P28194" w:tooltip="699">
        <w:r>
          <w:rPr>
            <w:sz w:val="24"/>
            <w:color w:val="0000ff"/>
          </w:rPr>
          <w:t xml:space="preserve">699</w:t>
        </w:r>
      </w:hyperlink>
      <w:r>
        <w:rPr>
          <w:sz w:val="24"/>
        </w:rPr>
        <w:t xml:space="preserve">).</w:t>
      </w:r>
    </w:p>
    <w:p>
      <w:pPr>
        <w:pStyle w:val="0"/>
        <w:spacing w:before="240" w:lineRule="auto"/>
        <w:ind w:firstLine="540"/>
        <w:jc w:val="both"/>
      </w:pPr>
      <w:r>
        <w:rPr>
          <w:sz w:val="24"/>
        </w:rPr>
        <w:t xml:space="preserve">Значение показателя "Финансовые активы, оцениваемые по справедливой стоимости через прочий совокупный доход" (</w:t>
      </w:r>
      <w:hyperlink w:history="0" w:anchor="P27824" w:tooltip="669">
        <w:r>
          <w:rPr>
            <w:sz w:val="24"/>
            <w:color w:val="0000ff"/>
          </w:rPr>
          <w:t xml:space="preserve">строки 669</w:t>
        </w:r>
      </w:hyperlink>
      <w:r>
        <w:rPr>
          <w:sz w:val="24"/>
        </w:rPr>
        <w:t xml:space="preserve">, </w:t>
      </w:r>
      <w:hyperlink w:history="0" w:anchor="P28206" w:tooltip="700">
        <w:r>
          <w:rPr>
            <w:sz w:val="24"/>
            <w:color w:val="0000ff"/>
          </w:rPr>
          <w:t xml:space="preserve">700</w:t>
        </w:r>
      </w:hyperlink>
      <w:r>
        <w:rPr>
          <w:sz w:val="24"/>
        </w:rPr>
        <w:t xml:space="preserve">) должно быть равно сумме значений показателей "Долговые инструменты" (</w:t>
      </w:r>
      <w:hyperlink w:history="0" w:anchor="P27836" w:tooltip="670">
        <w:r>
          <w:rPr>
            <w:sz w:val="24"/>
            <w:color w:val="0000ff"/>
          </w:rPr>
          <w:t xml:space="preserve">строки 670</w:t>
        </w:r>
      </w:hyperlink>
      <w:r>
        <w:rPr>
          <w:sz w:val="24"/>
        </w:rPr>
        <w:t xml:space="preserve">, </w:t>
      </w:r>
      <w:hyperlink w:history="0" w:anchor="P28218" w:tooltip="701">
        <w:r>
          <w:rPr>
            <w:sz w:val="24"/>
            <w:color w:val="0000ff"/>
          </w:rPr>
          <w:t xml:space="preserve">701</w:t>
        </w:r>
      </w:hyperlink>
      <w:r>
        <w:rPr>
          <w:sz w:val="24"/>
        </w:rPr>
        <w:t xml:space="preserve">), "Прочие долговые инструменты" (</w:t>
      </w:r>
      <w:hyperlink w:history="0" w:anchor="P27852" w:tooltip="671">
        <w:r>
          <w:rPr>
            <w:sz w:val="24"/>
            <w:color w:val="0000ff"/>
          </w:rPr>
          <w:t xml:space="preserve">строки 671</w:t>
        </w:r>
      </w:hyperlink>
      <w:r>
        <w:rPr>
          <w:sz w:val="24"/>
        </w:rPr>
        <w:t xml:space="preserve">, </w:t>
      </w:r>
      <w:hyperlink w:history="0" w:anchor="P28234" w:tooltip="702">
        <w:r>
          <w:rPr>
            <w:sz w:val="24"/>
            <w:color w:val="0000ff"/>
          </w:rPr>
          <w:t xml:space="preserve">702</w:t>
        </w:r>
      </w:hyperlink>
      <w:r>
        <w:rPr>
          <w:sz w:val="24"/>
        </w:rPr>
        <w:t xml:space="preserve">) и "Долевые инструменты" (</w:t>
      </w:r>
      <w:hyperlink w:history="0" w:anchor="P27864" w:tooltip="672">
        <w:r>
          <w:rPr>
            <w:sz w:val="24"/>
            <w:color w:val="0000ff"/>
          </w:rPr>
          <w:t xml:space="preserve">строки 672</w:t>
        </w:r>
      </w:hyperlink>
      <w:r>
        <w:rPr>
          <w:sz w:val="24"/>
        </w:rPr>
        <w:t xml:space="preserve">, </w:t>
      </w:r>
      <w:hyperlink w:history="0" w:anchor="P28246" w:tooltip="703">
        <w:r>
          <w:rPr>
            <w:sz w:val="24"/>
            <w:color w:val="0000ff"/>
          </w:rPr>
          <w:t xml:space="preserve">703</w:t>
        </w:r>
      </w:hyperlink>
      <w:r>
        <w:rPr>
          <w:sz w:val="24"/>
        </w:rPr>
        <w:t xml:space="preserve">).</w:t>
      </w:r>
    </w:p>
    <w:p>
      <w:pPr>
        <w:pStyle w:val="0"/>
        <w:spacing w:before="240" w:lineRule="auto"/>
        <w:ind w:firstLine="540"/>
        <w:jc w:val="both"/>
      </w:pPr>
      <w:r>
        <w:rPr>
          <w:sz w:val="24"/>
        </w:rPr>
        <w:t xml:space="preserve">Значение показателя "Долговые инструменты" (</w:t>
      </w:r>
      <w:hyperlink w:history="0" w:anchor="P27836" w:tooltip="670">
        <w:r>
          <w:rPr>
            <w:sz w:val="24"/>
            <w:color w:val="0000ff"/>
          </w:rPr>
          <w:t xml:space="preserve">строки 670</w:t>
        </w:r>
      </w:hyperlink>
      <w:r>
        <w:rPr>
          <w:sz w:val="24"/>
        </w:rPr>
        <w:t xml:space="preserve">, </w:t>
      </w:r>
      <w:hyperlink w:history="0" w:anchor="P28218" w:tooltip="701">
        <w:r>
          <w:rPr>
            <w:sz w:val="24"/>
            <w:color w:val="0000ff"/>
          </w:rPr>
          <w:t xml:space="preserve">701</w:t>
        </w:r>
      </w:hyperlink>
      <w:r>
        <w:rPr>
          <w:sz w:val="24"/>
        </w:rPr>
        <w:t xml:space="preserve">) должно быть равно сумме значений указанного показателя по аналитическим признакам "Долговые ценные бумаги" и "Депозиты в кредитных организациях и банках-нерезидентах" группы аналитических признаков "Тип долговых инструментов".</w:t>
      </w:r>
    </w:p>
    <w:p>
      <w:pPr>
        <w:pStyle w:val="0"/>
        <w:spacing w:before="240" w:lineRule="auto"/>
        <w:ind w:firstLine="540"/>
        <w:jc w:val="both"/>
      </w:pPr>
      <w:r>
        <w:rPr>
          <w:sz w:val="24"/>
        </w:rPr>
        <w:t xml:space="preserve">Значение показателя "Финансовые активы, оцениваемые по амортизированной стоимости" </w:t>
      </w:r>
      <w:hyperlink w:history="0" w:anchor="P27876" w:tooltip="673">
        <w:r>
          <w:rPr>
            <w:sz w:val="24"/>
            <w:color w:val="0000ff"/>
          </w:rPr>
          <w:t xml:space="preserve">(строка 673)</w:t>
        </w:r>
      </w:hyperlink>
      <w:r>
        <w:rPr>
          <w:sz w:val="24"/>
        </w:rPr>
        <w:t xml:space="preserve"> должно быть равно сумме значений показателей "Депозиты и прочие размещенные средства в кредитных организациях и банках-нерезидентах" </w:t>
      </w:r>
      <w:hyperlink w:history="0" w:anchor="P27888" w:tooltip="674">
        <w:r>
          <w:rPr>
            <w:sz w:val="24"/>
            <w:color w:val="0000ff"/>
          </w:rPr>
          <w:t xml:space="preserve">(строка 674)</w:t>
        </w:r>
      </w:hyperlink>
      <w:r>
        <w:rPr>
          <w:sz w:val="24"/>
        </w:rPr>
        <w:t xml:space="preserve"> и "Займы, прочие размещенные средства и прочая дебиторская задолженность" </w:t>
      </w:r>
      <w:hyperlink w:history="0" w:anchor="P27900" w:tooltip="675">
        <w:r>
          <w:rPr>
            <w:sz w:val="24"/>
            <w:color w:val="0000ff"/>
          </w:rPr>
          <w:t xml:space="preserve">(строка 675)</w:t>
        </w:r>
      </w:hyperlink>
      <w:r>
        <w:rPr>
          <w:sz w:val="24"/>
        </w:rPr>
        <w:t xml:space="preserve">.</w:t>
      </w:r>
    </w:p>
    <w:p>
      <w:pPr>
        <w:pStyle w:val="0"/>
        <w:spacing w:before="240" w:lineRule="auto"/>
        <w:ind w:firstLine="540"/>
        <w:jc w:val="both"/>
      </w:pPr>
      <w:r>
        <w:rPr>
          <w:sz w:val="24"/>
        </w:rPr>
        <w:t xml:space="preserve">Значение показателя "Финансовые активы, оцениваемые по амортизированной стоимости" </w:t>
      </w:r>
      <w:hyperlink w:history="0" w:anchor="P28258" w:tooltip="704">
        <w:r>
          <w:rPr>
            <w:sz w:val="24"/>
            <w:color w:val="0000ff"/>
          </w:rPr>
          <w:t xml:space="preserve">(строка 704)</w:t>
        </w:r>
      </w:hyperlink>
      <w:r>
        <w:rPr>
          <w:sz w:val="24"/>
        </w:rPr>
        <w:t xml:space="preserve"> должно быть равно сумме значений показателей "Депозиты и прочие размещенные средства в кредитных организациях и банках-нерезидентах" </w:t>
      </w:r>
      <w:hyperlink w:history="0" w:anchor="P28270" w:tooltip="705">
        <w:r>
          <w:rPr>
            <w:sz w:val="24"/>
            <w:color w:val="0000ff"/>
          </w:rPr>
          <w:t xml:space="preserve">(строка 705)</w:t>
        </w:r>
      </w:hyperlink>
      <w:r>
        <w:rPr>
          <w:sz w:val="24"/>
        </w:rPr>
        <w:t xml:space="preserve">, "Займы, прочие размещенные средства и прочая дебиторская задолженность" </w:t>
      </w:r>
      <w:hyperlink w:history="0" w:anchor="P28282" w:tooltip="706">
        <w:r>
          <w:rPr>
            <w:sz w:val="24"/>
            <w:color w:val="0000ff"/>
          </w:rPr>
          <w:t xml:space="preserve">(строка 706)</w:t>
        </w:r>
      </w:hyperlink>
      <w:r>
        <w:rPr>
          <w:sz w:val="24"/>
        </w:rPr>
        <w:t xml:space="preserve"> и "Дебиторская задолженность по договорам обязательного медицинского страхования" </w:t>
      </w:r>
      <w:hyperlink w:history="0" w:anchor="P28294" w:tooltip="707">
        <w:r>
          <w:rPr>
            <w:sz w:val="24"/>
            <w:color w:val="0000ff"/>
          </w:rPr>
          <w:t xml:space="preserve">(строка 707)</w:t>
        </w:r>
      </w:hyperlink>
      <w:r>
        <w:rPr>
          <w:sz w:val="24"/>
        </w:rPr>
        <w:t xml:space="preserve">.</w:t>
      </w:r>
    </w:p>
    <w:p>
      <w:pPr>
        <w:pStyle w:val="0"/>
        <w:spacing w:before="240" w:lineRule="auto"/>
        <w:ind w:firstLine="540"/>
        <w:jc w:val="both"/>
      </w:pPr>
      <w:r>
        <w:rPr>
          <w:sz w:val="24"/>
        </w:rPr>
        <w:t xml:space="preserve">Для страховой организации значение показателя "Итого финансовых активов" (</w:t>
      </w:r>
      <w:hyperlink w:history="0" w:anchor="P27960" w:tooltip="680">
        <w:r>
          <w:rPr>
            <w:sz w:val="24"/>
            <w:color w:val="0000ff"/>
          </w:rPr>
          <w:t xml:space="preserve">строки 680</w:t>
        </w:r>
      </w:hyperlink>
      <w:r>
        <w:rPr>
          <w:sz w:val="24"/>
        </w:rPr>
        <w:t xml:space="preserve">, </w:t>
      </w:r>
      <w:hyperlink w:history="0" w:anchor="P28366" w:tooltip="713">
        <w:r>
          <w:rPr>
            <w:sz w:val="24"/>
            <w:color w:val="0000ff"/>
          </w:rPr>
          <w:t xml:space="preserve">713</w:t>
        </w:r>
      </w:hyperlink>
      <w:r>
        <w:rPr>
          <w:sz w:val="24"/>
        </w:rPr>
        <w:t xml:space="preserve">) должно быть равно сумме значений показателей "Денежные средства" (</w:t>
      </w:r>
      <w:hyperlink w:history="0" w:anchor="P27776" w:tooltip="665">
        <w:r>
          <w:rPr>
            <w:sz w:val="24"/>
            <w:color w:val="0000ff"/>
          </w:rPr>
          <w:t xml:space="preserve">строки 665</w:t>
        </w:r>
      </w:hyperlink>
      <w:r>
        <w:rPr>
          <w:sz w:val="24"/>
        </w:rPr>
        <w:t xml:space="preserve">, </w:t>
      </w:r>
      <w:hyperlink w:history="0" w:anchor="P28158" w:tooltip="696">
        <w:r>
          <w:rPr>
            <w:sz w:val="24"/>
            <w:color w:val="0000ff"/>
          </w:rPr>
          <w:t xml:space="preserve">696</w:t>
        </w:r>
      </w:hyperlink>
      <w:r>
        <w:rPr>
          <w:sz w:val="24"/>
        </w:rPr>
        <w:t xml:space="preserve">), "Финансовые активы, оцениваемые по справедливой стоимости через прибыль или убыток" (</w:t>
      </w:r>
      <w:hyperlink w:history="0" w:anchor="P27788" w:tooltip="666">
        <w:r>
          <w:rPr>
            <w:sz w:val="24"/>
            <w:color w:val="0000ff"/>
          </w:rPr>
          <w:t xml:space="preserve">строки 666</w:t>
        </w:r>
      </w:hyperlink>
      <w:r>
        <w:rPr>
          <w:sz w:val="24"/>
        </w:rPr>
        <w:t xml:space="preserve">, </w:t>
      </w:r>
      <w:hyperlink w:history="0" w:anchor="P28170" w:tooltip="697">
        <w:r>
          <w:rPr>
            <w:sz w:val="24"/>
            <w:color w:val="0000ff"/>
          </w:rPr>
          <w:t xml:space="preserve">697</w:t>
        </w:r>
      </w:hyperlink>
      <w:r>
        <w:rPr>
          <w:sz w:val="24"/>
        </w:rPr>
        <w:t xml:space="preserve">), "Финансовые активы, оцениваемые по справедливой стоимости через прочий совокупный доход" (</w:t>
      </w:r>
      <w:hyperlink w:history="0" w:anchor="P27824" w:tooltip="669">
        <w:r>
          <w:rPr>
            <w:sz w:val="24"/>
            <w:color w:val="0000ff"/>
          </w:rPr>
          <w:t xml:space="preserve">строки 669</w:t>
        </w:r>
      </w:hyperlink>
      <w:r>
        <w:rPr>
          <w:sz w:val="24"/>
        </w:rPr>
        <w:t xml:space="preserve">, </w:t>
      </w:r>
      <w:hyperlink w:history="0" w:anchor="P28206" w:tooltip="700">
        <w:r>
          <w:rPr>
            <w:sz w:val="24"/>
            <w:color w:val="0000ff"/>
          </w:rPr>
          <w:t xml:space="preserve">700</w:t>
        </w:r>
      </w:hyperlink>
      <w:r>
        <w:rPr>
          <w:sz w:val="24"/>
        </w:rPr>
        <w:t xml:space="preserve">), "Финансовые активы, оцениваемые по амортизированной стоимости" (</w:t>
      </w:r>
      <w:hyperlink w:history="0" w:anchor="P27876" w:tooltip="673">
        <w:r>
          <w:rPr>
            <w:sz w:val="24"/>
            <w:color w:val="0000ff"/>
          </w:rPr>
          <w:t xml:space="preserve">строки 673</w:t>
        </w:r>
      </w:hyperlink>
      <w:r>
        <w:rPr>
          <w:sz w:val="24"/>
        </w:rPr>
        <w:t xml:space="preserve">, </w:t>
      </w:r>
      <w:hyperlink w:history="0" w:anchor="P28258" w:tooltip="704">
        <w:r>
          <w:rPr>
            <w:sz w:val="24"/>
            <w:color w:val="0000ff"/>
          </w:rPr>
          <w:t xml:space="preserve">704</w:t>
        </w:r>
      </w:hyperlink>
      <w:r>
        <w:rPr>
          <w:sz w:val="24"/>
        </w:rPr>
        <w:t xml:space="preserve">), "Активы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403"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7912" w:tooltip="676">
        <w:r>
          <w:rPr>
            <w:sz w:val="24"/>
            <w:color w:val="0000ff"/>
          </w:rPr>
          <w:t xml:space="preserve">строки 676</w:t>
        </w:r>
      </w:hyperlink>
      <w:r>
        <w:rPr>
          <w:sz w:val="24"/>
        </w:rPr>
        <w:t xml:space="preserve">, </w:t>
      </w:r>
      <w:hyperlink w:history="0" w:anchor="P28306" w:tooltip="708">
        <w:r>
          <w:rPr>
            <w:sz w:val="24"/>
            <w:color w:val="0000ff"/>
          </w:rPr>
          <w:t xml:space="preserve">708</w:t>
        </w:r>
      </w:hyperlink>
      <w:r>
        <w:rPr>
          <w:sz w:val="24"/>
        </w:rPr>
        <w:t xml:space="preserve">), "Активы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404"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7924" w:tooltip="677">
        <w:r>
          <w:rPr>
            <w:sz w:val="24"/>
            <w:color w:val="0000ff"/>
          </w:rPr>
          <w:t xml:space="preserve">строки 677</w:t>
        </w:r>
      </w:hyperlink>
      <w:r>
        <w:rPr>
          <w:sz w:val="24"/>
        </w:rPr>
        <w:t xml:space="preserve">, </w:t>
      </w:r>
      <w:hyperlink w:history="0" w:anchor="P28330" w:tooltip="710">
        <w:r>
          <w:rPr>
            <w:sz w:val="24"/>
            <w:color w:val="0000ff"/>
          </w:rPr>
          <w:t xml:space="preserve">710</w:t>
        </w:r>
      </w:hyperlink>
      <w:r>
        <w:rPr>
          <w:sz w:val="24"/>
        </w:rPr>
        <w:t xml:space="preserve">), "Активы (активы выбывающих групп), классифицированные как предназначенные для продажи" (</w:t>
      </w:r>
      <w:hyperlink w:history="0" w:anchor="P27936" w:tooltip="678">
        <w:r>
          <w:rPr>
            <w:sz w:val="24"/>
            <w:color w:val="0000ff"/>
          </w:rPr>
          <w:t xml:space="preserve">строки 678</w:t>
        </w:r>
      </w:hyperlink>
      <w:r>
        <w:rPr>
          <w:sz w:val="24"/>
        </w:rPr>
        <w:t xml:space="preserve">, </w:t>
      </w:r>
      <w:hyperlink w:history="0" w:anchor="P28342" w:tooltip="711">
        <w:r>
          <w:rPr>
            <w:sz w:val="24"/>
            <w:color w:val="0000ff"/>
          </w:rPr>
          <w:t xml:space="preserve">711</w:t>
        </w:r>
      </w:hyperlink>
      <w:r>
        <w:rPr>
          <w:sz w:val="24"/>
        </w:rPr>
        <w:t xml:space="preserve">) и "Прочие финансовые активы" (</w:t>
      </w:r>
      <w:hyperlink w:history="0" w:anchor="P27948" w:tooltip="679">
        <w:r>
          <w:rPr>
            <w:sz w:val="24"/>
            <w:color w:val="0000ff"/>
          </w:rPr>
          <w:t xml:space="preserve">строки 679</w:t>
        </w:r>
      </w:hyperlink>
      <w:r>
        <w:rPr>
          <w:sz w:val="24"/>
        </w:rPr>
        <w:t xml:space="preserve">, </w:t>
      </w:r>
      <w:hyperlink w:history="0" w:anchor="P28354" w:tooltip="712">
        <w:r>
          <w:rPr>
            <w:sz w:val="24"/>
            <w:color w:val="0000ff"/>
          </w:rPr>
          <w:t xml:space="preserve">712</w:t>
        </w:r>
      </w:hyperlink>
      <w:r>
        <w:rPr>
          <w:sz w:val="24"/>
        </w:rPr>
        <w:t xml:space="preserve">).</w:t>
      </w:r>
    </w:p>
    <w:p>
      <w:pPr>
        <w:pStyle w:val="0"/>
        <w:spacing w:before="240" w:lineRule="auto"/>
        <w:ind w:firstLine="540"/>
        <w:jc w:val="both"/>
      </w:pPr>
      <w:r>
        <w:rPr>
          <w:sz w:val="24"/>
        </w:rPr>
        <w:t xml:space="preserve">Для общества взаимного страхования значение показателя "Итого финансовых активов" </w:t>
      </w:r>
      <w:hyperlink w:history="0" w:anchor="P28366" w:tooltip="713">
        <w:r>
          <w:rPr>
            <w:sz w:val="24"/>
            <w:color w:val="0000ff"/>
          </w:rPr>
          <w:t xml:space="preserve">(строка 713)</w:t>
        </w:r>
      </w:hyperlink>
      <w:r>
        <w:rPr>
          <w:sz w:val="24"/>
        </w:rPr>
        <w:t xml:space="preserve"> должно быть равно сумме значений показателей "Денежные средства" </w:t>
      </w:r>
      <w:hyperlink w:history="0" w:anchor="P28158" w:tooltip="696">
        <w:r>
          <w:rPr>
            <w:sz w:val="24"/>
            <w:color w:val="0000ff"/>
          </w:rPr>
          <w:t xml:space="preserve">(строка 696)</w:t>
        </w:r>
      </w:hyperlink>
      <w:r>
        <w:rPr>
          <w:sz w:val="24"/>
        </w:rPr>
        <w:t xml:space="preserve">, "Финансовые активы, оцениваемые по справедливой стоимости через прибыль или убыток" </w:t>
      </w:r>
      <w:hyperlink w:history="0" w:anchor="P28170" w:tooltip="697">
        <w:r>
          <w:rPr>
            <w:sz w:val="24"/>
            <w:color w:val="0000ff"/>
          </w:rPr>
          <w:t xml:space="preserve">(строка 697)</w:t>
        </w:r>
      </w:hyperlink>
      <w:r>
        <w:rPr>
          <w:sz w:val="24"/>
        </w:rPr>
        <w:t xml:space="preserve">, "Финансовые активы, оцениваемые по справедливой стоимости через прочий совокупный доход" </w:t>
      </w:r>
      <w:hyperlink w:history="0" w:anchor="P28206" w:tooltip="700">
        <w:r>
          <w:rPr>
            <w:sz w:val="24"/>
            <w:color w:val="0000ff"/>
          </w:rPr>
          <w:t xml:space="preserve">(строка 700)</w:t>
        </w:r>
      </w:hyperlink>
      <w:r>
        <w:rPr>
          <w:sz w:val="24"/>
        </w:rPr>
        <w:t xml:space="preserve">, "Финансовые активы, оцениваемые по амортизированной стоимости" </w:t>
      </w:r>
      <w:hyperlink w:history="0" w:anchor="P28258" w:tooltip="704">
        <w:r>
          <w:rPr>
            <w:sz w:val="24"/>
            <w:color w:val="0000ff"/>
          </w:rPr>
          <w:t xml:space="preserve">(строка 704)</w:t>
        </w:r>
      </w:hyperlink>
      <w:r>
        <w:rPr>
          <w:sz w:val="24"/>
        </w:rPr>
        <w:t xml:space="preserve">, "Активы по портфелям договоров страхования, учитываемых на счетах бухгалтерского учета в соответствии с требованиями </w:t>
      </w:r>
      <w:hyperlink w:history="0" r:id="rId405"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318" w:tooltip="709">
        <w:r>
          <w:rPr>
            <w:sz w:val="24"/>
            <w:color w:val="0000ff"/>
          </w:rPr>
          <w:t xml:space="preserve">(строка 709)</w:t>
        </w:r>
      </w:hyperlink>
      <w:r>
        <w:rPr>
          <w:sz w:val="24"/>
        </w:rPr>
        <w:t xml:space="preserve">, "Активы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406"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330" w:tooltip="710">
        <w:r>
          <w:rPr>
            <w:sz w:val="24"/>
            <w:color w:val="0000ff"/>
          </w:rPr>
          <w:t xml:space="preserve">(строка 710)</w:t>
        </w:r>
      </w:hyperlink>
      <w:r>
        <w:rPr>
          <w:sz w:val="24"/>
        </w:rPr>
        <w:t xml:space="preserve">, "Активы (активы выбывающих групп), классифицированные как предназначенные для продажи" </w:t>
      </w:r>
      <w:hyperlink w:history="0" w:anchor="P28342" w:tooltip="711">
        <w:r>
          <w:rPr>
            <w:sz w:val="24"/>
            <w:color w:val="0000ff"/>
          </w:rPr>
          <w:t xml:space="preserve">(строка 711)</w:t>
        </w:r>
      </w:hyperlink>
      <w:r>
        <w:rPr>
          <w:sz w:val="24"/>
        </w:rPr>
        <w:t xml:space="preserve"> и "Прочие финансовые активы" </w:t>
      </w:r>
      <w:hyperlink w:history="0" w:anchor="P28354" w:tooltip="712">
        <w:r>
          <w:rPr>
            <w:sz w:val="24"/>
            <w:color w:val="0000ff"/>
          </w:rPr>
          <w:t xml:space="preserve">(строка 712)</w:t>
        </w:r>
      </w:hyperlink>
      <w:r>
        <w:rPr>
          <w:sz w:val="24"/>
        </w:rPr>
        <w:t xml:space="preserve">.</w:t>
      </w:r>
    </w:p>
    <w:p>
      <w:pPr>
        <w:pStyle w:val="0"/>
        <w:spacing w:before="240" w:lineRule="auto"/>
        <w:ind w:firstLine="540"/>
        <w:jc w:val="both"/>
      </w:pPr>
      <w:r>
        <w:rPr>
          <w:sz w:val="24"/>
        </w:rPr>
        <w:t xml:space="preserve">Значение показателя "Финансовые обязательства, оцениваемые по справедливой стоимости через прибыль или убыток" (</w:t>
      </w:r>
      <w:hyperlink w:history="0" w:anchor="P27974" w:tooltip="681">
        <w:r>
          <w:rPr>
            <w:sz w:val="24"/>
            <w:color w:val="0000ff"/>
          </w:rPr>
          <w:t xml:space="preserve">строки 681</w:t>
        </w:r>
      </w:hyperlink>
      <w:r>
        <w:rPr>
          <w:sz w:val="24"/>
        </w:rPr>
        <w:t xml:space="preserve">, </w:t>
      </w:r>
      <w:hyperlink w:history="0" w:anchor="P28380" w:tooltip="714">
        <w:r>
          <w:rPr>
            <w:sz w:val="24"/>
            <w:color w:val="0000ff"/>
          </w:rPr>
          <w:t xml:space="preserve">714</w:t>
        </w:r>
      </w:hyperlink>
      <w:r>
        <w:rPr>
          <w:sz w:val="24"/>
        </w:rPr>
        <w:t xml:space="preserve">) должно быть равно сумме значений показателей "Финансовые обязательства, в обязательном порядке классифицируемые как оцениваемые по справедливой стоимости через прибыль или убыток" (</w:t>
      </w:r>
      <w:hyperlink w:history="0" w:anchor="P27986" w:tooltip="682">
        <w:r>
          <w:rPr>
            <w:sz w:val="24"/>
            <w:color w:val="0000ff"/>
          </w:rPr>
          <w:t xml:space="preserve">строки 682</w:t>
        </w:r>
      </w:hyperlink>
      <w:r>
        <w:rPr>
          <w:sz w:val="24"/>
        </w:rPr>
        <w:t xml:space="preserve">, </w:t>
      </w:r>
      <w:hyperlink w:history="0" w:anchor="P28392" w:tooltip="715">
        <w:r>
          <w:rPr>
            <w:sz w:val="24"/>
            <w:color w:val="0000ff"/>
          </w:rPr>
          <w:t xml:space="preserve">715</w:t>
        </w:r>
      </w:hyperlink>
      <w:r>
        <w:rPr>
          <w:sz w:val="24"/>
        </w:rPr>
        <w:t xml:space="preserve">) и "Финансовые обязательства, классифицируемые как оцениваемые по справедливой стоимости через прибыль или убыток по усмотрению страховщика" (</w:t>
      </w:r>
      <w:hyperlink w:history="0" w:anchor="P27998" w:tooltip="683">
        <w:r>
          <w:rPr>
            <w:sz w:val="24"/>
            <w:color w:val="0000ff"/>
          </w:rPr>
          <w:t xml:space="preserve">строки 683</w:t>
        </w:r>
      </w:hyperlink>
      <w:r>
        <w:rPr>
          <w:sz w:val="24"/>
        </w:rPr>
        <w:t xml:space="preserve">, </w:t>
      </w:r>
      <w:hyperlink w:history="0" w:anchor="P28404" w:tooltip="716">
        <w:r>
          <w:rPr>
            <w:sz w:val="24"/>
            <w:color w:val="0000ff"/>
          </w:rPr>
          <w:t xml:space="preserve">716</w:t>
        </w:r>
      </w:hyperlink>
      <w:r>
        <w:rPr>
          <w:sz w:val="24"/>
        </w:rPr>
        <w:t xml:space="preserve">).</w:t>
      </w:r>
    </w:p>
    <w:p>
      <w:pPr>
        <w:pStyle w:val="0"/>
        <w:spacing w:before="240" w:lineRule="auto"/>
        <w:ind w:firstLine="540"/>
        <w:jc w:val="both"/>
      </w:pPr>
      <w:r>
        <w:rPr>
          <w:sz w:val="24"/>
        </w:rPr>
        <w:t xml:space="preserve">Значение показателя "Финансовые обязательства, оцениваемые по амортизированной стоимости" </w:t>
      </w:r>
      <w:hyperlink w:history="0" w:anchor="P28010" w:tooltip="684">
        <w:r>
          <w:rPr>
            <w:sz w:val="24"/>
            <w:color w:val="0000ff"/>
          </w:rPr>
          <w:t xml:space="preserve">(строка 684)</w:t>
        </w:r>
      </w:hyperlink>
      <w:r>
        <w:rPr>
          <w:sz w:val="24"/>
        </w:rPr>
        <w:t xml:space="preserve"> должно быть равно сумме значений показателей "Обязательства по договорам страхования" </w:t>
      </w:r>
      <w:hyperlink w:history="0" w:anchor="P28022" w:tooltip="685">
        <w:r>
          <w:rPr>
            <w:sz w:val="24"/>
            <w:color w:val="0000ff"/>
          </w:rPr>
          <w:t xml:space="preserve">(строка 685)</w:t>
        </w:r>
      </w:hyperlink>
      <w:r>
        <w:rPr>
          <w:sz w:val="24"/>
        </w:rPr>
        <w:t xml:space="preserve">, "Кредиты, займы и прочие привлеченные средства" </w:t>
      </w:r>
      <w:hyperlink w:history="0" w:anchor="P28034" w:tooltip="686">
        <w:r>
          <w:rPr>
            <w:sz w:val="24"/>
            <w:color w:val="0000ff"/>
          </w:rPr>
          <w:t xml:space="preserve">(строка 686)</w:t>
        </w:r>
      </w:hyperlink>
      <w:r>
        <w:rPr>
          <w:sz w:val="24"/>
        </w:rPr>
        <w:t xml:space="preserve">, "Выпущенные долговые ценные бумаги" </w:t>
      </w:r>
      <w:hyperlink w:history="0" w:anchor="P28046" w:tooltip="687">
        <w:r>
          <w:rPr>
            <w:sz w:val="24"/>
            <w:color w:val="0000ff"/>
          </w:rPr>
          <w:t xml:space="preserve">(строка 687)</w:t>
        </w:r>
      </w:hyperlink>
      <w:r>
        <w:rPr>
          <w:sz w:val="24"/>
        </w:rPr>
        <w:t xml:space="preserve"> и "Прочая кредиторская задолженность" </w:t>
      </w:r>
      <w:hyperlink w:history="0" w:anchor="P28058" w:tooltip="688">
        <w:r>
          <w:rPr>
            <w:sz w:val="24"/>
            <w:color w:val="0000ff"/>
          </w:rPr>
          <w:t xml:space="preserve">(строка 688)</w:t>
        </w:r>
      </w:hyperlink>
      <w:r>
        <w:rPr>
          <w:sz w:val="24"/>
        </w:rPr>
        <w:t xml:space="preserve">.</w:t>
      </w:r>
    </w:p>
    <w:p>
      <w:pPr>
        <w:pStyle w:val="0"/>
        <w:spacing w:before="240" w:lineRule="auto"/>
        <w:ind w:firstLine="540"/>
        <w:jc w:val="both"/>
      </w:pPr>
      <w:r>
        <w:rPr>
          <w:sz w:val="24"/>
        </w:rPr>
        <w:t xml:space="preserve">Значение показателя "Финансовые обязательства, оцениваемые по амортизированной стоимости" </w:t>
      </w:r>
      <w:hyperlink w:history="0" w:anchor="P28416" w:tooltip="717">
        <w:r>
          <w:rPr>
            <w:sz w:val="24"/>
            <w:color w:val="0000ff"/>
          </w:rPr>
          <w:t xml:space="preserve">(строка 717)</w:t>
        </w:r>
      </w:hyperlink>
      <w:r>
        <w:rPr>
          <w:sz w:val="24"/>
        </w:rPr>
        <w:t xml:space="preserve"> должно быть равно сумме значений показателей "Обязательства по договорам страхования" </w:t>
      </w:r>
      <w:hyperlink w:history="0" w:anchor="P28428" w:tooltip="718">
        <w:r>
          <w:rPr>
            <w:sz w:val="24"/>
            <w:color w:val="0000ff"/>
          </w:rPr>
          <w:t xml:space="preserve">(строка 718)</w:t>
        </w:r>
      </w:hyperlink>
      <w:r>
        <w:rPr>
          <w:sz w:val="24"/>
        </w:rPr>
        <w:t xml:space="preserve">, "Кредиты, займы и прочие привлеченные средства" </w:t>
      </w:r>
      <w:hyperlink w:history="0" w:anchor="P28440" w:tooltip="719">
        <w:r>
          <w:rPr>
            <w:sz w:val="24"/>
            <w:color w:val="0000ff"/>
          </w:rPr>
          <w:t xml:space="preserve">(строка 719)</w:t>
        </w:r>
      </w:hyperlink>
      <w:r>
        <w:rPr>
          <w:sz w:val="24"/>
        </w:rPr>
        <w:t xml:space="preserve">, "Выпущенные долговые ценные бумаги" </w:t>
      </w:r>
      <w:hyperlink w:history="0" w:anchor="P28452" w:tooltip="720">
        <w:r>
          <w:rPr>
            <w:sz w:val="24"/>
            <w:color w:val="0000ff"/>
          </w:rPr>
          <w:t xml:space="preserve">(строка 720)</w:t>
        </w:r>
      </w:hyperlink>
      <w:r>
        <w:rPr>
          <w:sz w:val="24"/>
        </w:rPr>
        <w:t xml:space="preserve">, "Кредиторская задолженность по договорам обязательного медицинского страхования" </w:t>
      </w:r>
      <w:hyperlink w:history="0" w:anchor="P28464" w:tooltip="721">
        <w:r>
          <w:rPr>
            <w:sz w:val="24"/>
            <w:color w:val="0000ff"/>
          </w:rPr>
          <w:t xml:space="preserve">(строка 721)</w:t>
        </w:r>
      </w:hyperlink>
      <w:r>
        <w:rPr>
          <w:sz w:val="24"/>
        </w:rPr>
        <w:t xml:space="preserve"> и "Прочая кредиторская задолженность" </w:t>
      </w:r>
      <w:hyperlink w:history="0" w:anchor="P28476" w:tooltip="722">
        <w:r>
          <w:rPr>
            <w:sz w:val="24"/>
            <w:color w:val="0000ff"/>
          </w:rPr>
          <w:t xml:space="preserve">(строка 722)</w:t>
        </w:r>
      </w:hyperlink>
      <w:r>
        <w:rPr>
          <w:sz w:val="24"/>
        </w:rPr>
        <w:t xml:space="preserve">.</w:t>
      </w:r>
    </w:p>
    <w:p>
      <w:pPr>
        <w:pStyle w:val="0"/>
        <w:spacing w:before="240" w:lineRule="auto"/>
        <w:ind w:firstLine="540"/>
        <w:jc w:val="both"/>
      </w:pPr>
      <w:r>
        <w:rPr>
          <w:sz w:val="24"/>
        </w:rPr>
        <w:t xml:space="preserve">Для страховой организации значение показателя "Итого обязательств" (</w:t>
      </w:r>
      <w:hyperlink w:history="0" w:anchor="P28118" w:tooltip="693">
        <w:r>
          <w:rPr>
            <w:sz w:val="24"/>
            <w:color w:val="0000ff"/>
          </w:rPr>
          <w:t xml:space="preserve">строки 693</w:t>
        </w:r>
      </w:hyperlink>
      <w:r>
        <w:rPr>
          <w:sz w:val="24"/>
        </w:rPr>
        <w:t xml:space="preserve">, </w:t>
      </w:r>
      <w:hyperlink w:history="0" w:anchor="P28548" w:tooltip="728">
        <w:r>
          <w:rPr>
            <w:sz w:val="24"/>
            <w:color w:val="0000ff"/>
          </w:rPr>
          <w:t xml:space="preserve">728</w:t>
        </w:r>
      </w:hyperlink>
      <w:r>
        <w:rPr>
          <w:sz w:val="24"/>
        </w:rPr>
        <w:t xml:space="preserve">) должно быть равно сумме значений показателей "Финансовые обязательства, оцениваемые по справедливой стоимости через прибыль или убыток" (</w:t>
      </w:r>
      <w:hyperlink w:history="0" w:anchor="P27974" w:tooltip="681">
        <w:r>
          <w:rPr>
            <w:sz w:val="24"/>
            <w:color w:val="0000ff"/>
          </w:rPr>
          <w:t xml:space="preserve">строки 681</w:t>
        </w:r>
      </w:hyperlink>
      <w:r>
        <w:rPr>
          <w:sz w:val="24"/>
        </w:rPr>
        <w:t xml:space="preserve">, </w:t>
      </w:r>
      <w:hyperlink w:history="0" w:anchor="P28380" w:tooltip="714">
        <w:r>
          <w:rPr>
            <w:sz w:val="24"/>
            <w:color w:val="0000ff"/>
          </w:rPr>
          <w:t xml:space="preserve">714</w:t>
        </w:r>
      </w:hyperlink>
      <w:r>
        <w:rPr>
          <w:sz w:val="24"/>
        </w:rPr>
        <w:t xml:space="preserve">), "Финансовые обязательства, оцениваемые по амортизированной стоимости" (</w:t>
      </w:r>
      <w:hyperlink w:history="0" w:anchor="P28010" w:tooltip="684">
        <w:r>
          <w:rPr>
            <w:sz w:val="24"/>
            <w:color w:val="0000ff"/>
          </w:rPr>
          <w:t xml:space="preserve">строки 684</w:t>
        </w:r>
      </w:hyperlink>
      <w:r>
        <w:rPr>
          <w:sz w:val="24"/>
        </w:rPr>
        <w:t xml:space="preserve">, </w:t>
      </w:r>
      <w:hyperlink w:history="0" w:anchor="P28416" w:tooltip="717">
        <w:r>
          <w:rPr>
            <w:sz w:val="24"/>
            <w:color w:val="0000ff"/>
          </w:rPr>
          <w:t xml:space="preserve">717</w:t>
        </w:r>
      </w:hyperlink>
      <w:r>
        <w:rPr>
          <w:sz w:val="24"/>
        </w:rPr>
        <w:t xml:space="preserve">), "Обязательства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407"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070" w:tooltip="689">
        <w:r>
          <w:rPr>
            <w:sz w:val="24"/>
            <w:color w:val="0000ff"/>
          </w:rPr>
          <w:t xml:space="preserve">строки 689</w:t>
        </w:r>
      </w:hyperlink>
      <w:r>
        <w:rPr>
          <w:sz w:val="24"/>
        </w:rPr>
        <w:t xml:space="preserve">, </w:t>
      </w:r>
      <w:hyperlink w:history="0" w:anchor="P28488" w:tooltip="723">
        <w:r>
          <w:rPr>
            <w:sz w:val="24"/>
            <w:color w:val="0000ff"/>
          </w:rPr>
          <w:t xml:space="preserve">723</w:t>
        </w:r>
      </w:hyperlink>
      <w:r>
        <w:rPr>
          <w:sz w:val="24"/>
        </w:rPr>
        <w:t xml:space="preserve">), "Обязательства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408"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082" w:tooltip="690">
        <w:r>
          <w:rPr>
            <w:sz w:val="24"/>
            <w:color w:val="0000ff"/>
          </w:rPr>
          <w:t xml:space="preserve">строки 690</w:t>
        </w:r>
      </w:hyperlink>
      <w:r>
        <w:rPr>
          <w:sz w:val="24"/>
        </w:rPr>
        <w:t xml:space="preserve">, </w:t>
      </w:r>
      <w:hyperlink w:history="0" w:anchor="P28512" w:tooltip="725">
        <w:r>
          <w:rPr>
            <w:sz w:val="24"/>
            <w:color w:val="0000ff"/>
          </w:rPr>
          <w:t xml:space="preserve">725</w:t>
        </w:r>
      </w:hyperlink>
      <w:r>
        <w:rPr>
          <w:sz w:val="24"/>
        </w:rPr>
        <w:t xml:space="preserve">), "Обязательства выбывающих групп, классифицированных как предназначенные для продажи" (</w:t>
      </w:r>
      <w:hyperlink w:history="0" w:anchor="P28094" w:tooltip="691">
        <w:r>
          <w:rPr>
            <w:sz w:val="24"/>
            <w:color w:val="0000ff"/>
          </w:rPr>
          <w:t xml:space="preserve">строки 691</w:t>
        </w:r>
      </w:hyperlink>
      <w:r>
        <w:rPr>
          <w:sz w:val="24"/>
        </w:rPr>
        <w:t xml:space="preserve">, </w:t>
      </w:r>
      <w:hyperlink w:history="0" w:anchor="P28524" w:tooltip="726">
        <w:r>
          <w:rPr>
            <w:sz w:val="24"/>
            <w:color w:val="0000ff"/>
          </w:rPr>
          <w:t xml:space="preserve">726</w:t>
        </w:r>
      </w:hyperlink>
      <w:r>
        <w:rPr>
          <w:sz w:val="24"/>
        </w:rPr>
        <w:t xml:space="preserve">) и "Прочие обязательства" (</w:t>
      </w:r>
      <w:hyperlink w:history="0" w:anchor="P28106" w:tooltip="692">
        <w:r>
          <w:rPr>
            <w:sz w:val="24"/>
            <w:color w:val="0000ff"/>
          </w:rPr>
          <w:t xml:space="preserve">строки 692</w:t>
        </w:r>
      </w:hyperlink>
      <w:r>
        <w:rPr>
          <w:sz w:val="24"/>
        </w:rPr>
        <w:t xml:space="preserve">, </w:t>
      </w:r>
      <w:hyperlink w:history="0" w:anchor="P28536" w:tooltip="727">
        <w:r>
          <w:rPr>
            <w:sz w:val="24"/>
            <w:color w:val="0000ff"/>
          </w:rPr>
          <w:t xml:space="preserve">727</w:t>
        </w:r>
      </w:hyperlink>
      <w:r>
        <w:rPr>
          <w:sz w:val="24"/>
        </w:rPr>
        <w:t xml:space="preserve">).</w:t>
      </w:r>
    </w:p>
    <w:p>
      <w:pPr>
        <w:pStyle w:val="0"/>
        <w:spacing w:before="240" w:lineRule="auto"/>
        <w:ind w:firstLine="540"/>
        <w:jc w:val="both"/>
      </w:pPr>
      <w:r>
        <w:rPr>
          <w:sz w:val="24"/>
        </w:rPr>
        <w:t xml:space="preserve">Для общества взаимного страхования значение показателя "Итого обязательств" </w:t>
      </w:r>
      <w:hyperlink w:history="0" w:anchor="P28548" w:tooltip="728">
        <w:r>
          <w:rPr>
            <w:sz w:val="24"/>
            <w:color w:val="0000ff"/>
          </w:rPr>
          <w:t xml:space="preserve">(строка 728)</w:t>
        </w:r>
      </w:hyperlink>
      <w:r>
        <w:rPr>
          <w:sz w:val="24"/>
        </w:rPr>
        <w:t xml:space="preserve"> должно быть равно сумме значений показателей "Финансовые обязательства, оцениваемые по справедливой стоимости через прибыль или убыток" </w:t>
      </w:r>
      <w:hyperlink w:history="0" w:anchor="P28380" w:tooltip="714">
        <w:r>
          <w:rPr>
            <w:sz w:val="24"/>
            <w:color w:val="0000ff"/>
          </w:rPr>
          <w:t xml:space="preserve">(строка 714)</w:t>
        </w:r>
      </w:hyperlink>
      <w:r>
        <w:rPr>
          <w:sz w:val="24"/>
        </w:rPr>
        <w:t xml:space="preserve">, "Финансовые обязательства, оцениваемые по амортизированной стоимости" </w:t>
      </w:r>
      <w:hyperlink w:history="0" w:anchor="P28416" w:tooltip="717">
        <w:r>
          <w:rPr>
            <w:sz w:val="24"/>
            <w:color w:val="0000ff"/>
          </w:rPr>
          <w:t xml:space="preserve">(строка 717)</w:t>
        </w:r>
      </w:hyperlink>
      <w:r>
        <w:rPr>
          <w:sz w:val="24"/>
        </w:rPr>
        <w:t xml:space="preserve">, "Обязательства по портфелям договоров страхования, учитываемых на счетах бухгалтерского учета в соответствии с требованиями </w:t>
      </w:r>
      <w:hyperlink w:history="0" r:id="rId409"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500" w:tooltip="724">
        <w:r>
          <w:rPr>
            <w:sz w:val="24"/>
            <w:color w:val="0000ff"/>
          </w:rPr>
          <w:t xml:space="preserve">(строка 724)</w:t>
        </w:r>
      </w:hyperlink>
      <w:r>
        <w:rPr>
          <w:sz w:val="24"/>
        </w:rPr>
        <w:t xml:space="preserve">, "Обязательства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410"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w:t>
      </w:r>
      <w:hyperlink w:history="0" w:anchor="P28512" w:tooltip="725">
        <w:r>
          <w:rPr>
            <w:sz w:val="24"/>
            <w:color w:val="0000ff"/>
          </w:rPr>
          <w:t xml:space="preserve">(строка 725)</w:t>
        </w:r>
      </w:hyperlink>
      <w:r>
        <w:rPr>
          <w:sz w:val="24"/>
        </w:rPr>
        <w:t xml:space="preserve">, "Обязательства выбывающих групп, классифицированных как предназначенные для продажи" </w:t>
      </w:r>
      <w:hyperlink w:history="0" w:anchor="P28524" w:tooltip="726">
        <w:r>
          <w:rPr>
            <w:sz w:val="24"/>
            <w:color w:val="0000ff"/>
          </w:rPr>
          <w:t xml:space="preserve">(строка 726)</w:t>
        </w:r>
      </w:hyperlink>
      <w:r>
        <w:rPr>
          <w:sz w:val="24"/>
        </w:rPr>
        <w:t xml:space="preserve"> и "Прочие обязательства" </w:t>
      </w:r>
      <w:hyperlink w:history="0" w:anchor="P28536" w:tooltip="727">
        <w:r>
          <w:rPr>
            <w:sz w:val="24"/>
            <w:color w:val="0000ff"/>
          </w:rPr>
          <w:t xml:space="preserve">(строка 727)</w:t>
        </w:r>
      </w:hyperlink>
      <w:r>
        <w:rPr>
          <w:sz w:val="24"/>
        </w:rPr>
        <w:t xml:space="preserve">.</w:t>
      </w:r>
    </w:p>
    <w:p>
      <w:pPr>
        <w:pStyle w:val="0"/>
        <w:spacing w:before="240" w:lineRule="auto"/>
        <w:ind w:firstLine="540"/>
        <w:jc w:val="both"/>
      </w:pPr>
      <w:r>
        <w:rPr>
          <w:sz w:val="24"/>
        </w:rPr>
        <w:t xml:space="preserve">63.3. Распределение финансовых активов и обязательств по валютам и срокам, оставшимся до погашения активов и обязательств, должно соответствовать их распределению, используемому при составлении страховщиком </w:t>
      </w:r>
      <w:hyperlink w:history="0" r:id="rId411"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примечания 58</w:t>
        </w:r>
      </w:hyperlink>
      <w:r>
        <w:rPr>
          <w:sz w:val="24"/>
        </w:rPr>
        <w:t xml:space="preserve"> "Управление рисками" к бухгалтерской (финансовой) отчетности, предусмотренного приложением 10 к Положению Банка России N 728-П.</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29159" w:name="P29159"/>
    <w:bookmarkEnd w:id="29159"/>
    <w:p>
      <w:pPr>
        <w:pStyle w:val="0"/>
        <w:jc w:val="center"/>
      </w:pPr>
      <w:r>
        <w:rPr>
          <w:sz w:val="24"/>
        </w:rPr>
        <w:t xml:space="preserve">Отчетность по форме 0420155</w:t>
      </w:r>
    </w:p>
    <w:p>
      <w:pPr>
        <w:pStyle w:val="0"/>
        <w:jc w:val="center"/>
      </w:pPr>
      <w:r>
        <w:rPr>
          <w:sz w:val="24"/>
        </w:rPr>
        <w:t xml:space="preserve">"Отчет о страховых резервах страховщика"</w:t>
      </w:r>
    </w:p>
    <w:p>
      <w:pPr>
        <w:pStyle w:val="0"/>
        <w:ind w:firstLine="540"/>
        <w:jc w:val="both"/>
      </w:pPr>
      <w:r>
        <w:rPr>
          <w:sz w:val="24"/>
        </w:rPr>
      </w:r>
    </w:p>
    <w:p>
      <w:pPr>
        <w:pStyle w:val="0"/>
        <w:jc w:val="right"/>
      </w:pPr>
      <w:r>
        <w:rPr>
          <w:sz w:val="24"/>
        </w:rPr>
        <w:t xml:space="preserve">Код формы по </w:t>
      </w:r>
      <w:hyperlink w:history="0" r:id="rId412"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1729" w:tooltip="&lt;1&gt; Общероссийский классификатор управленческой документации.">
        <w:r>
          <w:rPr>
            <w:sz w:val="24"/>
            <w:color w:val="0000ff"/>
          </w:rPr>
          <w:t xml:space="preserve">&lt;1&gt;</w:t>
        </w:r>
      </w:hyperlink>
      <w:r>
        <w:rPr>
          <w:sz w:val="24"/>
        </w:rPr>
        <w:t xml:space="preserve"> 0420155</w:t>
      </w:r>
    </w:p>
    <w:p>
      <w:pPr>
        <w:pStyle w:val="0"/>
        <w:ind w:firstLine="540"/>
        <w:jc w:val="both"/>
      </w:pPr>
      <w:r>
        <w:rPr>
          <w:sz w:val="24"/>
        </w:rPr>
      </w:r>
    </w:p>
    <w:p>
      <w:pPr>
        <w:pStyle w:val="0"/>
        <w:jc w:val="right"/>
      </w:pPr>
      <w:r>
        <w:rPr>
          <w:sz w:val="24"/>
        </w:rPr>
        <w:t xml:space="preserve">Месячная, 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529"/>
        <w:gridCol w:w="378"/>
        <w:gridCol w:w="1701"/>
        <w:gridCol w:w="315"/>
        <w:gridCol w:w="2293"/>
        <w:gridCol w:w="315"/>
        <w:gridCol w:w="2633"/>
      </w:tblGrid>
      <w:tr>
        <w:tc>
          <w:tcPr>
            <w:tcW w:w="907" w:type="dxa"/>
          </w:tcPr>
          <w:p>
            <w:pPr>
              <w:pStyle w:val="0"/>
              <w:jc w:val="center"/>
            </w:pPr>
            <w:r>
              <w:rPr>
                <w:sz w:val="24"/>
              </w:rPr>
              <w:t xml:space="preserve">Номер строки</w:t>
            </w:r>
          </w:p>
        </w:tc>
        <w:tc>
          <w:tcPr>
            <w:gridSpan w:val="3"/>
            <w:tcW w:w="2608" w:type="dxa"/>
          </w:tcPr>
          <w:p>
            <w:pPr>
              <w:pStyle w:val="0"/>
              <w:jc w:val="center"/>
            </w:pPr>
            <w:r>
              <w:rPr>
                <w:sz w:val="24"/>
              </w:rPr>
              <w:t xml:space="preserve">Наименование показателя</w:t>
            </w:r>
          </w:p>
        </w:tc>
        <w:tc>
          <w:tcPr>
            <w:gridSpan w:val="2"/>
            <w:tcW w:w="2608" w:type="dxa"/>
          </w:tcPr>
          <w:p>
            <w:pPr>
              <w:pStyle w:val="0"/>
              <w:jc w:val="center"/>
            </w:pPr>
            <w:r>
              <w:rPr>
                <w:sz w:val="24"/>
              </w:rPr>
              <w:t xml:space="preserve">Наименование группы аналитических признаков</w:t>
            </w:r>
          </w:p>
        </w:tc>
        <w:tc>
          <w:tcPr>
            <w:gridSpan w:val="2"/>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3"/>
            <w:tcW w:w="2608" w:type="dxa"/>
          </w:tcPr>
          <w:p>
            <w:pPr>
              <w:pStyle w:val="0"/>
              <w:jc w:val="center"/>
            </w:pPr>
            <w:r>
              <w:rPr>
                <w:sz w:val="24"/>
              </w:rPr>
              <w:t xml:space="preserve">2</w:t>
            </w:r>
          </w:p>
        </w:tc>
        <w:tc>
          <w:tcPr>
            <w:gridSpan w:val="2"/>
            <w:tcW w:w="2608" w:type="dxa"/>
          </w:tcPr>
          <w:p>
            <w:pPr>
              <w:pStyle w:val="0"/>
              <w:jc w:val="center"/>
            </w:pPr>
            <w:r>
              <w:rPr>
                <w:sz w:val="24"/>
              </w:rPr>
              <w:t xml:space="preserve">3</w:t>
            </w:r>
          </w:p>
        </w:tc>
        <w:tc>
          <w:tcPr>
            <w:gridSpan w:val="2"/>
            <w:tcW w:w="2948" w:type="dxa"/>
          </w:tcPr>
          <w:p>
            <w:pPr>
              <w:pStyle w:val="0"/>
              <w:jc w:val="center"/>
            </w:pPr>
            <w:r>
              <w:rPr>
                <w:sz w:val="24"/>
              </w:rPr>
              <w:t xml:space="preserve">4</w:t>
            </w:r>
          </w:p>
        </w:tc>
      </w:tr>
      <w:tr>
        <w:tblPrEx>
          <w:tblBorders>
            <w:insideV w:val="nil"/>
          </w:tblBorders>
        </w:tblPrEx>
        <w:tc>
          <w:tcPr>
            <w:gridSpan w:val="2"/>
            <w:tcW w:w="1436" w:type="dxa"/>
            <w:tcBorders>
              <w:left w:val="single" w:sz="4"/>
            </w:tcBorders>
          </w:tcPr>
          <w:bookmarkStart w:id="29174" w:name="P29174"/>
          <w:bookmarkEnd w:id="29174"/>
          <w:p>
            <w:pPr>
              <w:pStyle w:val="0"/>
              <w:outlineLvl w:val="3"/>
            </w:pPr>
            <w:r>
              <w:rPr>
                <w:sz w:val="24"/>
              </w:rPr>
              <w:t xml:space="preserve">Раздел 1.</w:t>
            </w:r>
          </w:p>
        </w:tc>
        <w:tc>
          <w:tcPr>
            <w:gridSpan w:val="6"/>
            <w:tcW w:w="7635" w:type="dxa"/>
            <w:tcBorders>
              <w:right w:val="single" w:sz="4"/>
            </w:tcBorders>
          </w:tcPr>
          <w:p>
            <w:pPr>
              <w:pStyle w:val="0"/>
            </w:pPr>
            <w:r>
              <w:rPr>
                <w:sz w:val="24"/>
              </w:rPr>
              <w:t xml:space="preserve">Страховые резервы и доля перестраховщиков в них</w:t>
            </w:r>
          </w:p>
        </w:tc>
      </w:tr>
      <w:tr>
        <w:tblPrEx>
          <w:tblBorders>
            <w:insideV w:val="nil"/>
          </w:tblBorders>
        </w:tblPrEx>
        <w:tc>
          <w:tcPr>
            <w:gridSpan w:val="3"/>
            <w:tcW w:w="1814" w:type="dxa"/>
            <w:tcBorders>
              <w:left w:val="single" w:sz="4"/>
            </w:tcBorders>
          </w:tcPr>
          <w:bookmarkStart w:id="29176" w:name="P29176"/>
          <w:bookmarkEnd w:id="29176"/>
          <w:p>
            <w:pPr>
              <w:pStyle w:val="0"/>
              <w:outlineLvl w:val="4"/>
            </w:pPr>
            <w:r>
              <w:rPr>
                <w:sz w:val="24"/>
              </w:rPr>
              <w:t xml:space="preserve">Подраздел 1.1.</w:t>
            </w:r>
          </w:p>
        </w:tc>
        <w:tc>
          <w:tcPr>
            <w:gridSpan w:val="5"/>
            <w:tcW w:w="7257" w:type="dxa"/>
            <w:tcBorders>
              <w:right w:val="single" w:sz="4"/>
            </w:tcBorders>
          </w:tcPr>
          <w:p>
            <w:pPr>
              <w:pStyle w:val="0"/>
            </w:pPr>
            <w:r>
              <w:rPr>
                <w:sz w:val="24"/>
              </w:rPr>
              <w:t xml:space="preserve">Страховые резервы, всего</w:t>
            </w:r>
          </w:p>
        </w:tc>
      </w:tr>
      <w:tr>
        <w:tc>
          <w:tcPr>
            <w:tcW w:w="907" w:type="dxa"/>
          </w:tcPr>
          <w:p>
            <w:pPr>
              <w:pStyle w:val="0"/>
            </w:pPr>
            <w:r>
              <w:rPr>
                <w:sz w:val="24"/>
              </w:rPr>
              <w:t xml:space="preserve">1</w:t>
            </w:r>
          </w:p>
        </w:tc>
        <w:tc>
          <w:tcPr>
            <w:gridSpan w:val="3"/>
            <w:tcW w:w="2608" w:type="dxa"/>
          </w:tcPr>
          <w:p>
            <w:pPr>
              <w:pStyle w:val="0"/>
            </w:pPr>
            <w:r>
              <w:rPr>
                <w:sz w:val="24"/>
              </w:rPr>
              <w:t xml:space="preserve">Резерв премий, всего</w:t>
            </w:r>
          </w:p>
        </w:tc>
        <w:tc>
          <w:tcPr>
            <w:gridSpan w:val="2"/>
            <w:tcW w:w="2608" w:type="dxa"/>
          </w:tcPr>
          <w:p>
            <w:pPr>
              <w:pStyle w:val="0"/>
            </w:pPr>
            <w:r>
              <w:rPr>
                <w:sz w:val="24"/>
              </w:rPr>
            </w:r>
          </w:p>
        </w:tc>
        <w:tc>
          <w:tcPr>
            <w:gridSpan w:val="2"/>
            <w:tcW w:w="2948" w:type="dxa"/>
          </w:tcPr>
          <w:p>
            <w:pPr>
              <w:pStyle w:val="0"/>
            </w:pPr>
            <w:r>
              <w:rPr>
                <w:sz w:val="24"/>
              </w:rPr>
              <w:t xml:space="preserve">ins-dic:RezervPremijVsego</w:t>
            </w:r>
          </w:p>
        </w:tc>
      </w:tr>
      <w:tr>
        <w:tc>
          <w:tcPr>
            <w:tcW w:w="907" w:type="dxa"/>
          </w:tcPr>
          <w:p>
            <w:pPr>
              <w:pStyle w:val="0"/>
            </w:pPr>
            <w:r>
              <w:rPr>
                <w:sz w:val="24"/>
              </w:rPr>
              <w:t xml:space="preserve">1.1</w:t>
            </w:r>
          </w:p>
        </w:tc>
        <w:tc>
          <w:tcPr>
            <w:gridSpan w:val="3"/>
            <w:tcW w:w="2608"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gridSpan w:val="2"/>
            <w:tcW w:w="2948" w:type="dxa"/>
          </w:tcPr>
          <w:p>
            <w:pPr>
              <w:pStyle w:val="0"/>
            </w:pPr>
            <w:r>
              <w:rPr>
                <w:sz w:val="24"/>
              </w:rPr>
              <w:t xml:space="preserve">dim-int:StrDogZhNezhAxis</w:t>
            </w:r>
          </w:p>
        </w:tc>
      </w:tr>
      <w:tr>
        <w:tc>
          <w:tcPr>
            <w:tcW w:w="907" w:type="dxa"/>
          </w:tcPr>
          <w:bookmarkStart w:id="29186" w:name="P29186"/>
          <w:bookmarkEnd w:id="29186"/>
          <w:p>
            <w:pPr>
              <w:pStyle w:val="0"/>
            </w:pPr>
            <w:r>
              <w:rPr>
                <w:sz w:val="24"/>
              </w:rPr>
              <w:t xml:space="preserve">2</w:t>
            </w:r>
          </w:p>
        </w:tc>
        <w:tc>
          <w:tcPr>
            <w:gridSpan w:val="3"/>
            <w:tcW w:w="2608" w:type="dxa"/>
          </w:tcPr>
          <w:p>
            <w:pPr>
              <w:pStyle w:val="0"/>
            </w:pPr>
            <w:r>
              <w:rPr>
                <w:sz w:val="24"/>
              </w:rPr>
              <w:t xml:space="preserve">Оценка ожидаемой величины обязательств по резерву премий (ДПП)</w:t>
            </w:r>
          </w:p>
        </w:tc>
        <w:tc>
          <w:tcPr>
            <w:gridSpan w:val="2"/>
            <w:tcW w:w="2608" w:type="dxa"/>
          </w:tcPr>
          <w:p>
            <w:pPr>
              <w:pStyle w:val="0"/>
            </w:pPr>
            <w:r>
              <w:rPr>
                <w:sz w:val="24"/>
              </w:rPr>
            </w:r>
          </w:p>
        </w:tc>
        <w:tc>
          <w:tcPr>
            <w:gridSpan w:val="2"/>
            <w:tcW w:w="2948" w:type="dxa"/>
          </w:tcPr>
          <w:p>
            <w:pPr>
              <w:pStyle w:val="0"/>
            </w:pPr>
            <w:r>
              <w:rPr>
                <w:sz w:val="24"/>
              </w:rPr>
              <w:t xml:space="preserve">ins-dic:RezervPremijOczenkaOzhidVelichinyObyazPoRP_DPP</w:t>
            </w:r>
          </w:p>
        </w:tc>
      </w:tr>
      <w:tr>
        <w:tc>
          <w:tcPr>
            <w:tcW w:w="907" w:type="dxa"/>
          </w:tcPr>
          <w:p>
            <w:pPr>
              <w:pStyle w:val="0"/>
            </w:pPr>
            <w:r>
              <w:rPr>
                <w:sz w:val="24"/>
              </w:rPr>
              <w:t xml:space="preserve">2.1</w:t>
            </w:r>
          </w:p>
        </w:tc>
        <w:tc>
          <w:tcPr>
            <w:gridSpan w:val="3"/>
            <w:tcW w:w="2608"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gridSpan w:val="2"/>
            <w:tcW w:w="2948" w:type="dxa"/>
          </w:tcPr>
          <w:p>
            <w:pPr>
              <w:pStyle w:val="0"/>
            </w:pPr>
            <w:r>
              <w:rPr>
                <w:sz w:val="24"/>
              </w:rPr>
              <w:t xml:space="preserve">dim-int:StrDogZhNezhAxis</w:t>
            </w:r>
          </w:p>
        </w:tc>
      </w:tr>
      <w:tr>
        <w:tc>
          <w:tcPr>
            <w:tcW w:w="907" w:type="dxa"/>
          </w:tcPr>
          <w:p>
            <w:pPr>
              <w:pStyle w:val="0"/>
            </w:pPr>
            <w:r>
              <w:rPr>
                <w:sz w:val="24"/>
              </w:rPr>
              <w:t xml:space="preserve">3</w:t>
            </w:r>
          </w:p>
        </w:tc>
        <w:tc>
          <w:tcPr>
            <w:gridSpan w:val="3"/>
            <w:tcW w:w="2608" w:type="dxa"/>
          </w:tcPr>
          <w:p>
            <w:pPr>
              <w:pStyle w:val="0"/>
            </w:pPr>
            <w:r>
              <w:rPr>
                <w:sz w:val="24"/>
              </w:rPr>
              <w:t xml:space="preserve">Оценка рисковой маржи в резерве премий (РМП)</w:t>
            </w:r>
          </w:p>
        </w:tc>
        <w:tc>
          <w:tcPr>
            <w:gridSpan w:val="2"/>
            <w:tcW w:w="2608" w:type="dxa"/>
          </w:tcPr>
          <w:p>
            <w:pPr>
              <w:pStyle w:val="0"/>
            </w:pPr>
            <w:r>
              <w:rPr>
                <w:sz w:val="24"/>
              </w:rPr>
            </w:r>
          </w:p>
        </w:tc>
        <w:tc>
          <w:tcPr>
            <w:gridSpan w:val="2"/>
            <w:tcW w:w="2948" w:type="dxa"/>
          </w:tcPr>
          <w:p>
            <w:pPr>
              <w:pStyle w:val="0"/>
            </w:pPr>
            <w:r>
              <w:rPr>
                <w:sz w:val="24"/>
              </w:rPr>
              <w:t xml:space="preserve">ins-dic:RezervPremijOczenkaRiskovojMarzhiVRP_RMP</w:t>
            </w:r>
          </w:p>
        </w:tc>
      </w:tr>
      <w:tr>
        <w:tc>
          <w:tcPr>
            <w:tcW w:w="907" w:type="dxa"/>
          </w:tcPr>
          <w:p>
            <w:pPr>
              <w:pStyle w:val="0"/>
            </w:pPr>
            <w:r>
              <w:rPr>
                <w:sz w:val="24"/>
              </w:rPr>
              <w:t xml:space="preserve">3.1</w:t>
            </w:r>
          </w:p>
        </w:tc>
        <w:tc>
          <w:tcPr>
            <w:gridSpan w:val="3"/>
            <w:tcW w:w="2608"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gridSpan w:val="2"/>
            <w:tcW w:w="2948" w:type="dxa"/>
          </w:tcPr>
          <w:p>
            <w:pPr>
              <w:pStyle w:val="0"/>
            </w:pPr>
            <w:r>
              <w:rPr>
                <w:sz w:val="24"/>
              </w:rPr>
              <w:t xml:space="preserve">dim-int:StrDogZhNezhAxis</w:t>
            </w:r>
          </w:p>
        </w:tc>
      </w:tr>
      <w:tr>
        <w:tc>
          <w:tcPr>
            <w:tcW w:w="907" w:type="dxa"/>
          </w:tcPr>
          <w:p>
            <w:pPr>
              <w:pStyle w:val="0"/>
            </w:pPr>
            <w:r>
              <w:rPr>
                <w:sz w:val="24"/>
              </w:rPr>
              <w:t xml:space="preserve">4</w:t>
            </w:r>
          </w:p>
        </w:tc>
        <w:tc>
          <w:tcPr>
            <w:gridSpan w:val="3"/>
            <w:tcW w:w="2608" w:type="dxa"/>
          </w:tcPr>
          <w:p>
            <w:pPr>
              <w:pStyle w:val="0"/>
            </w:pPr>
            <w:r>
              <w:rPr>
                <w:sz w:val="24"/>
              </w:rPr>
              <w:t xml:space="preserve">Доля перестраховщиков в резерве премий</w:t>
            </w:r>
          </w:p>
        </w:tc>
        <w:tc>
          <w:tcPr>
            <w:gridSpan w:val="2"/>
            <w:tcW w:w="2608" w:type="dxa"/>
          </w:tcPr>
          <w:p>
            <w:pPr>
              <w:pStyle w:val="0"/>
            </w:pPr>
            <w:r>
              <w:rPr>
                <w:sz w:val="24"/>
              </w:rPr>
            </w:r>
          </w:p>
        </w:tc>
        <w:tc>
          <w:tcPr>
            <w:gridSpan w:val="2"/>
            <w:tcW w:w="2948" w:type="dxa"/>
          </w:tcPr>
          <w:p>
            <w:pPr>
              <w:pStyle w:val="0"/>
            </w:pPr>
            <w:r>
              <w:rPr>
                <w:sz w:val="24"/>
              </w:rPr>
              <w:t xml:space="preserve">ins-dic:DolyaPerestraxovshhikovVRP</w:t>
            </w:r>
          </w:p>
        </w:tc>
      </w:tr>
      <w:tr>
        <w:tc>
          <w:tcPr>
            <w:tcW w:w="907" w:type="dxa"/>
          </w:tcPr>
          <w:p>
            <w:pPr>
              <w:pStyle w:val="0"/>
            </w:pPr>
            <w:r>
              <w:rPr>
                <w:sz w:val="24"/>
              </w:rPr>
              <w:t xml:space="preserve">4.1</w:t>
            </w:r>
          </w:p>
        </w:tc>
        <w:tc>
          <w:tcPr>
            <w:gridSpan w:val="3"/>
            <w:tcW w:w="2608"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gridSpan w:val="2"/>
            <w:tcW w:w="2948" w:type="dxa"/>
          </w:tcPr>
          <w:p>
            <w:pPr>
              <w:pStyle w:val="0"/>
            </w:pPr>
            <w:r>
              <w:rPr>
                <w:sz w:val="24"/>
              </w:rPr>
              <w:t xml:space="preserve">dim-int:StrDogZhNezhAxis</w:t>
            </w:r>
          </w:p>
        </w:tc>
      </w:tr>
      <w:tr>
        <w:tc>
          <w:tcPr>
            <w:tcW w:w="907" w:type="dxa"/>
          </w:tcPr>
          <w:bookmarkStart w:id="29210" w:name="P29210"/>
          <w:bookmarkEnd w:id="29210"/>
          <w:p>
            <w:pPr>
              <w:pStyle w:val="0"/>
            </w:pPr>
            <w:r>
              <w:rPr>
                <w:sz w:val="24"/>
              </w:rPr>
              <w:t xml:space="preserve">5</w:t>
            </w:r>
          </w:p>
        </w:tc>
        <w:tc>
          <w:tcPr>
            <w:gridSpan w:val="3"/>
            <w:tcW w:w="2608" w:type="dxa"/>
          </w:tcPr>
          <w:p>
            <w:pPr>
              <w:pStyle w:val="0"/>
            </w:pPr>
            <w:r>
              <w:rPr>
                <w:sz w:val="24"/>
              </w:rPr>
              <w:t xml:space="preserve">Сумма СПРП</w:t>
            </w:r>
            <w:r>
              <w:rPr>
                <w:sz w:val="24"/>
                <w:vertAlign w:val="superscript"/>
              </w:rPr>
              <w:t xml:space="preserve">НО</w:t>
            </w:r>
            <w:r>
              <w:rPr>
                <w:sz w:val="24"/>
              </w:rPr>
              <w:t xml:space="preserve"> по договорам исходящего перестрахования</w:t>
            </w:r>
          </w:p>
        </w:tc>
        <w:tc>
          <w:tcPr>
            <w:gridSpan w:val="2"/>
            <w:tcW w:w="2608" w:type="dxa"/>
          </w:tcPr>
          <w:p>
            <w:pPr>
              <w:pStyle w:val="0"/>
            </w:pPr>
            <w:r>
              <w:rPr>
                <w:sz w:val="24"/>
              </w:rPr>
            </w:r>
          </w:p>
        </w:tc>
        <w:tc>
          <w:tcPr>
            <w:gridSpan w:val="2"/>
            <w:tcW w:w="2948" w:type="dxa"/>
          </w:tcPr>
          <w:p>
            <w:pPr>
              <w:pStyle w:val="0"/>
            </w:pPr>
            <w:r>
              <w:rPr>
                <w:sz w:val="24"/>
              </w:rPr>
              <w:t xml:space="preserve">ins-dic:SumSPRPNOPoDogIsxodPerestrax</w:t>
            </w:r>
          </w:p>
        </w:tc>
      </w:tr>
      <w:tr>
        <w:tc>
          <w:tcPr>
            <w:tcW w:w="907" w:type="dxa"/>
          </w:tcPr>
          <w:p>
            <w:pPr>
              <w:pStyle w:val="0"/>
            </w:pPr>
            <w:r>
              <w:rPr>
                <w:sz w:val="24"/>
              </w:rPr>
              <w:t xml:space="preserve">5.1</w:t>
            </w:r>
          </w:p>
        </w:tc>
        <w:tc>
          <w:tcPr>
            <w:gridSpan w:val="3"/>
            <w:tcW w:w="2608"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gridSpan w:val="2"/>
            <w:tcW w:w="2948" w:type="dxa"/>
          </w:tcPr>
          <w:p>
            <w:pPr>
              <w:pStyle w:val="0"/>
            </w:pPr>
            <w:r>
              <w:rPr>
                <w:sz w:val="24"/>
              </w:rPr>
              <w:t xml:space="preserve">dim-int:StrDogZhNezhAxis</w:t>
            </w:r>
          </w:p>
        </w:tc>
      </w:tr>
      <w:tr>
        <w:tc>
          <w:tcPr>
            <w:tcW w:w="907" w:type="dxa"/>
          </w:tcPr>
          <w:p>
            <w:pPr>
              <w:pStyle w:val="0"/>
            </w:pPr>
            <w:r>
              <w:rPr>
                <w:sz w:val="24"/>
              </w:rPr>
              <w:t xml:space="preserve">6</w:t>
            </w:r>
          </w:p>
        </w:tc>
        <w:tc>
          <w:tcPr>
            <w:gridSpan w:val="4"/>
            <w:tcW w:w="2923" w:type="dxa"/>
          </w:tcPr>
          <w:p>
            <w:pPr>
              <w:pStyle w:val="0"/>
            </w:pPr>
            <w:r>
              <w:rPr>
                <w:sz w:val="24"/>
              </w:rPr>
              <w:t xml:space="preserve">Корректировка на риск неплатежа по резерву премий (КРНП)</w:t>
            </w:r>
          </w:p>
        </w:tc>
        <w:tc>
          <w:tcPr>
            <w:gridSpan w:val="2"/>
            <w:tcW w:w="2608" w:type="dxa"/>
          </w:tcPr>
          <w:p>
            <w:pPr>
              <w:pStyle w:val="0"/>
            </w:pPr>
            <w:r>
              <w:rPr>
                <w:sz w:val="24"/>
              </w:rPr>
            </w:r>
          </w:p>
        </w:tc>
        <w:tc>
          <w:tcPr>
            <w:tcW w:w="2633" w:type="dxa"/>
          </w:tcPr>
          <w:p>
            <w:pPr>
              <w:pStyle w:val="0"/>
            </w:pPr>
            <w:r>
              <w:rPr>
                <w:sz w:val="24"/>
              </w:rPr>
              <w:t xml:space="preserve">ins-dic:KorrektirovkaNaRiskNeplatezhaPoRP_KRNP</w:t>
            </w:r>
          </w:p>
        </w:tc>
      </w:tr>
      <w:tr>
        <w:tc>
          <w:tcPr>
            <w:tcW w:w="907" w:type="dxa"/>
          </w:tcPr>
          <w:p>
            <w:pPr>
              <w:pStyle w:val="0"/>
            </w:pPr>
            <w:r>
              <w:rPr>
                <w:sz w:val="24"/>
              </w:rPr>
              <w:t xml:space="preserve">6.1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p>
            <w:pPr>
              <w:pStyle w:val="0"/>
            </w:pPr>
            <w:r>
              <w:rPr>
                <w:sz w:val="24"/>
              </w:rPr>
              <w:t xml:space="preserve">7</w:t>
            </w:r>
          </w:p>
        </w:tc>
        <w:tc>
          <w:tcPr>
            <w:gridSpan w:val="4"/>
            <w:tcW w:w="2923" w:type="dxa"/>
          </w:tcPr>
          <w:p>
            <w:pPr>
              <w:pStyle w:val="0"/>
            </w:pPr>
            <w:r>
              <w:rPr>
                <w:sz w:val="24"/>
              </w:rPr>
              <w:t xml:space="preserve">Резерв убытков, всего</w:t>
            </w:r>
          </w:p>
        </w:tc>
        <w:tc>
          <w:tcPr>
            <w:gridSpan w:val="2"/>
            <w:tcW w:w="2608" w:type="dxa"/>
          </w:tcPr>
          <w:p>
            <w:pPr>
              <w:pStyle w:val="0"/>
            </w:pPr>
            <w:r>
              <w:rPr>
                <w:sz w:val="24"/>
              </w:rPr>
            </w:r>
          </w:p>
        </w:tc>
        <w:tc>
          <w:tcPr>
            <w:tcW w:w="2633" w:type="dxa"/>
          </w:tcPr>
          <w:p>
            <w:pPr>
              <w:pStyle w:val="0"/>
            </w:pPr>
            <w:r>
              <w:rPr>
                <w:sz w:val="24"/>
              </w:rPr>
              <w:t xml:space="preserve">ins-dic:RezervUbytkovVsego</w:t>
            </w:r>
          </w:p>
        </w:tc>
      </w:tr>
      <w:tr>
        <w:tc>
          <w:tcPr>
            <w:tcW w:w="907" w:type="dxa"/>
          </w:tcPr>
          <w:p>
            <w:pPr>
              <w:pStyle w:val="0"/>
            </w:pPr>
            <w:r>
              <w:rPr>
                <w:sz w:val="24"/>
              </w:rPr>
              <w:t xml:space="preserve">7.1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234" w:name="P29234"/>
          <w:bookmarkEnd w:id="29234"/>
          <w:p>
            <w:pPr>
              <w:pStyle w:val="0"/>
            </w:pPr>
            <w:r>
              <w:rPr>
                <w:sz w:val="24"/>
              </w:rPr>
              <w:t xml:space="preserve">8</w:t>
            </w:r>
          </w:p>
        </w:tc>
        <w:tc>
          <w:tcPr>
            <w:gridSpan w:val="4"/>
            <w:tcW w:w="2923" w:type="dxa"/>
          </w:tcPr>
          <w:p>
            <w:pPr>
              <w:pStyle w:val="0"/>
            </w:pPr>
            <w:r>
              <w:rPr>
                <w:sz w:val="24"/>
              </w:rPr>
              <w:t xml:space="preserve">Оценка ожидаемой величины обязательств по резерву убытков (ДПУ)</w:t>
            </w:r>
          </w:p>
        </w:tc>
        <w:tc>
          <w:tcPr>
            <w:gridSpan w:val="2"/>
            <w:tcW w:w="2608" w:type="dxa"/>
          </w:tcPr>
          <w:p>
            <w:pPr>
              <w:pStyle w:val="0"/>
            </w:pPr>
            <w:r>
              <w:rPr>
                <w:sz w:val="24"/>
              </w:rPr>
            </w:r>
          </w:p>
        </w:tc>
        <w:tc>
          <w:tcPr>
            <w:tcW w:w="2633" w:type="dxa"/>
          </w:tcPr>
          <w:p>
            <w:pPr>
              <w:pStyle w:val="0"/>
            </w:pPr>
            <w:r>
              <w:rPr>
                <w:sz w:val="24"/>
              </w:rPr>
              <w:t xml:space="preserve">ins-dic:RezervUbytkovOczenkaOzhidVelichinyObyazPoRU_DPU</w:t>
            </w:r>
          </w:p>
        </w:tc>
      </w:tr>
      <w:tr>
        <w:tc>
          <w:tcPr>
            <w:tcW w:w="907" w:type="dxa"/>
          </w:tcPr>
          <w:p>
            <w:pPr>
              <w:pStyle w:val="0"/>
            </w:pPr>
            <w:r>
              <w:rPr>
                <w:sz w:val="24"/>
              </w:rPr>
              <w:t xml:space="preserve">8.1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p>
            <w:pPr>
              <w:pStyle w:val="0"/>
            </w:pPr>
            <w:r>
              <w:rPr>
                <w:sz w:val="24"/>
              </w:rPr>
              <w:t xml:space="preserve">9</w:t>
            </w:r>
          </w:p>
        </w:tc>
        <w:tc>
          <w:tcPr>
            <w:gridSpan w:val="4"/>
            <w:tcW w:w="2923" w:type="dxa"/>
          </w:tcPr>
          <w:p>
            <w:pPr>
              <w:pStyle w:val="0"/>
            </w:pPr>
            <w:r>
              <w:rPr>
                <w:sz w:val="24"/>
              </w:rPr>
              <w:t xml:space="preserve">Оценка рисковой маржи в резерве убытков (РМУ)</w:t>
            </w:r>
          </w:p>
        </w:tc>
        <w:tc>
          <w:tcPr>
            <w:gridSpan w:val="2"/>
            <w:tcW w:w="2608" w:type="dxa"/>
          </w:tcPr>
          <w:p>
            <w:pPr>
              <w:pStyle w:val="0"/>
            </w:pPr>
            <w:r>
              <w:rPr>
                <w:sz w:val="24"/>
              </w:rPr>
            </w:r>
          </w:p>
        </w:tc>
        <w:tc>
          <w:tcPr>
            <w:tcW w:w="2633" w:type="dxa"/>
          </w:tcPr>
          <w:p>
            <w:pPr>
              <w:pStyle w:val="0"/>
            </w:pPr>
            <w:r>
              <w:rPr>
                <w:sz w:val="24"/>
              </w:rPr>
              <w:t xml:space="preserve">ins-dic:RezervUbytkovOczenkaRiskMarzhiVRU_RMU</w:t>
            </w:r>
          </w:p>
        </w:tc>
      </w:tr>
      <w:tr>
        <w:tc>
          <w:tcPr>
            <w:tcW w:w="907" w:type="dxa"/>
          </w:tcPr>
          <w:p>
            <w:pPr>
              <w:pStyle w:val="0"/>
            </w:pPr>
            <w:r>
              <w:rPr>
                <w:sz w:val="24"/>
              </w:rPr>
              <w:t xml:space="preserve">9.1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p>
            <w:pPr>
              <w:pStyle w:val="0"/>
            </w:pPr>
            <w:r>
              <w:rPr>
                <w:sz w:val="24"/>
              </w:rPr>
              <w:t xml:space="preserve">10</w:t>
            </w:r>
          </w:p>
        </w:tc>
        <w:tc>
          <w:tcPr>
            <w:gridSpan w:val="4"/>
            <w:tcW w:w="2923" w:type="dxa"/>
          </w:tcPr>
          <w:p>
            <w:pPr>
              <w:pStyle w:val="0"/>
            </w:pPr>
            <w:r>
              <w:rPr>
                <w:sz w:val="24"/>
              </w:rPr>
              <w:t xml:space="preserve">Доля перестраховщиков в резерве убытков</w:t>
            </w:r>
          </w:p>
        </w:tc>
        <w:tc>
          <w:tcPr>
            <w:gridSpan w:val="2"/>
            <w:tcW w:w="2608" w:type="dxa"/>
          </w:tcPr>
          <w:p>
            <w:pPr>
              <w:pStyle w:val="0"/>
            </w:pPr>
            <w:r>
              <w:rPr>
                <w:sz w:val="24"/>
              </w:rPr>
            </w:r>
          </w:p>
        </w:tc>
        <w:tc>
          <w:tcPr>
            <w:tcW w:w="2633" w:type="dxa"/>
          </w:tcPr>
          <w:p>
            <w:pPr>
              <w:pStyle w:val="0"/>
            </w:pPr>
            <w:r>
              <w:rPr>
                <w:sz w:val="24"/>
              </w:rPr>
              <w:t xml:space="preserve">ins-dic:DolyaPerestraxVRU</w:t>
            </w:r>
          </w:p>
        </w:tc>
      </w:tr>
      <w:tr>
        <w:tc>
          <w:tcPr>
            <w:tcW w:w="907" w:type="dxa"/>
          </w:tcPr>
          <w:p>
            <w:pPr>
              <w:pStyle w:val="0"/>
            </w:pPr>
            <w:r>
              <w:rPr>
                <w:sz w:val="24"/>
              </w:rPr>
              <w:t xml:space="preserve">10.1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258" w:name="P29258"/>
          <w:bookmarkEnd w:id="29258"/>
          <w:p>
            <w:pPr>
              <w:pStyle w:val="0"/>
            </w:pPr>
            <w:r>
              <w:rPr>
                <w:sz w:val="24"/>
              </w:rPr>
              <w:t xml:space="preserve">11</w:t>
            </w:r>
          </w:p>
        </w:tc>
        <w:tc>
          <w:tcPr>
            <w:gridSpan w:val="4"/>
            <w:tcW w:w="2923" w:type="dxa"/>
          </w:tcPr>
          <w:p>
            <w:pPr>
              <w:pStyle w:val="0"/>
            </w:pPr>
            <w:r>
              <w:rPr>
                <w:sz w:val="24"/>
              </w:rPr>
              <w:t xml:space="preserve">Сумма СПРУ</w:t>
            </w:r>
            <w:r>
              <w:rPr>
                <w:sz w:val="24"/>
                <w:vertAlign w:val="superscript"/>
              </w:rPr>
              <w:t xml:space="preserve">НО</w:t>
            </w:r>
            <w:r>
              <w:rPr>
                <w:sz w:val="24"/>
              </w:rPr>
              <w:t xml:space="preserve"> по договорам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ins-dic:SumSPRUNOPoDogIsxodPerestrax</w:t>
            </w:r>
          </w:p>
        </w:tc>
      </w:tr>
      <w:tr>
        <w:tc>
          <w:tcPr>
            <w:tcW w:w="907" w:type="dxa"/>
          </w:tcPr>
          <w:p>
            <w:pPr>
              <w:pStyle w:val="0"/>
            </w:pPr>
            <w:r>
              <w:rPr>
                <w:sz w:val="24"/>
              </w:rPr>
              <w:t xml:space="preserve">11.1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p>
            <w:pPr>
              <w:pStyle w:val="0"/>
            </w:pPr>
            <w:r>
              <w:rPr>
                <w:sz w:val="24"/>
              </w:rPr>
              <w:t xml:space="preserve">12</w:t>
            </w:r>
          </w:p>
        </w:tc>
        <w:tc>
          <w:tcPr>
            <w:gridSpan w:val="4"/>
            <w:tcW w:w="2923" w:type="dxa"/>
          </w:tcPr>
          <w:p>
            <w:pPr>
              <w:pStyle w:val="0"/>
            </w:pPr>
            <w:r>
              <w:rPr>
                <w:sz w:val="24"/>
              </w:rPr>
              <w:t xml:space="preserve">Корректировка на риск неплатежа по резерву убытков (КРНУ)</w:t>
            </w:r>
          </w:p>
        </w:tc>
        <w:tc>
          <w:tcPr>
            <w:gridSpan w:val="2"/>
            <w:tcW w:w="2608" w:type="dxa"/>
          </w:tcPr>
          <w:p>
            <w:pPr>
              <w:pStyle w:val="0"/>
            </w:pPr>
            <w:r>
              <w:rPr>
                <w:sz w:val="24"/>
              </w:rPr>
            </w:r>
          </w:p>
        </w:tc>
        <w:tc>
          <w:tcPr>
            <w:tcW w:w="2633" w:type="dxa"/>
          </w:tcPr>
          <w:p>
            <w:pPr>
              <w:pStyle w:val="0"/>
            </w:pPr>
            <w:r>
              <w:rPr>
                <w:sz w:val="24"/>
              </w:rPr>
              <w:t xml:space="preserve">ins-dic:KorrektirovkaNaRiskNeplatezhaPoRU_KRNU</w:t>
            </w:r>
          </w:p>
        </w:tc>
      </w:tr>
      <w:tr>
        <w:tc>
          <w:tcPr>
            <w:tcW w:w="907" w:type="dxa"/>
          </w:tcPr>
          <w:p>
            <w:pPr>
              <w:pStyle w:val="0"/>
            </w:pPr>
            <w:r>
              <w:rPr>
                <w:sz w:val="24"/>
              </w:rPr>
              <w:t xml:space="preserve">12.1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274" w:name="P29274"/>
          <w:bookmarkEnd w:id="29274"/>
          <w:p>
            <w:pPr>
              <w:pStyle w:val="0"/>
            </w:pPr>
            <w:r>
              <w:rPr>
                <w:sz w:val="24"/>
              </w:rPr>
              <w:t xml:space="preserve">13</w:t>
            </w:r>
          </w:p>
        </w:tc>
        <w:tc>
          <w:tcPr>
            <w:gridSpan w:val="4"/>
            <w:tcW w:w="2923" w:type="dxa"/>
          </w:tcPr>
          <w:p>
            <w:pPr>
              <w:pStyle w:val="0"/>
            </w:pPr>
            <w:r>
              <w:rPr>
                <w:sz w:val="24"/>
              </w:rPr>
              <w:t xml:space="preserve">Стабилизационный резерв</w:t>
            </w:r>
          </w:p>
        </w:tc>
        <w:tc>
          <w:tcPr>
            <w:gridSpan w:val="2"/>
            <w:tcW w:w="2608" w:type="dxa"/>
          </w:tcPr>
          <w:p>
            <w:pPr>
              <w:pStyle w:val="0"/>
            </w:pPr>
            <w:r>
              <w:rPr>
                <w:sz w:val="24"/>
              </w:rPr>
            </w:r>
          </w:p>
        </w:tc>
        <w:tc>
          <w:tcPr>
            <w:tcW w:w="2633" w:type="dxa"/>
          </w:tcPr>
          <w:p>
            <w:pPr>
              <w:pStyle w:val="0"/>
            </w:pPr>
            <w:r>
              <w:rPr>
                <w:sz w:val="24"/>
              </w:rPr>
              <w:t xml:space="preserve">ins-dic:Nzh_Stab_Rez_Regulyator</w:t>
            </w:r>
          </w:p>
        </w:tc>
      </w:tr>
      <w:tr>
        <w:tc>
          <w:tcPr>
            <w:tcW w:w="907" w:type="dxa"/>
          </w:tcPr>
          <w:p>
            <w:pPr>
              <w:pStyle w:val="0"/>
            </w:pPr>
            <w:r>
              <w:rPr>
                <w:sz w:val="24"/>
              </w:rPr>
              <w:t xml:space="preserve">13.1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282" w:name="P29282"/>
          <w:bookmarkEnd w:id="29282"/>
          <w:p>
            <w:pPr>
              <w:pStyle w:val="0"/>
            </w:pPr>
            <w:r>
              <w:rPr>
                <w:sz w:val="24"/>
              </w:rPr>
              <w:t xml:space="preserve">14</w:t>
            </w:r>
          </w:p>
        </w:tc>
        <w:tc>
          <w:tcPr>
            <w:gridSpan w:val="4"/>
            <w:tcW w:w="2923" w:type="dxa"/>
          </w:tcPr>
          <w:p>
            <w:pPr>
              <w:pStyle w:val="0"/>
            </w:pPr>
            <w:r>
              <w:rPr>
                <w:sz w:val="24"/>
              </w:rPr>
              <w:t xml:space="preserve">Резерв по прямому возмещению убытков (РПВУ)</w:t>
            </w:r>
          </w:p>
        </w:tc>
        <w:tc>
          <w:tcPr>
            <w:gridSpan w:val="2"/>
            <w:tcW w:w="2608" w:type="dxa"/>
          </w:tcPr>
          <w:p>
            <w:pPr>
              <w:pStyle w:val="0"/>
            </w:pPr>
            <w:r>
              <w:rPr>
                <w:sz w:val="24"/>
              </w:rPr>
            </w:r>
          </w:p>
        </w:tc>
        <w:tc>
          <w:tcPr>
            <w:tcW w:w="2633" w:type="dxa"/>
          </w:tcPr>
          <w:p>
            <w:pPr>
              <w:pStyle w:val="0"/>
            </w:pPr>
            <w:r>
              <w:rPr>
                <w:sz w:val="24"/>
              </w:rPr>
              <w:t xml:space="preserve">ins-dic:RezervPoPryamVozmeshhUbytkov_RPVU</w:t>
            </w:r>
          </w:p>
        </w:tc>
      </w:tr>
      <w:tr>
        <w:tc>
          <w:tcPr>
            <w:tcW w:w="907" w:type="dxa"/>
          </w:tcPr>
          <w:p>
            <w:pPr>
              <w:pStyle w:val="0"/>
            </w:pPr>
            <w:r>
              <w:rPr>
                <w:sz w:val="24"/>
              </w:rPr>
              <w:t xml:space="preserve">14.1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290" w:name="P29290"/>
          <w:bookmarkEnd w:id="29290"/>
          <w:p>
            <w:pPr>
              <w:pStyle w:val="0"/>
            </w:pPr>
            <w:r>
              <w:rPr>
                <w:sz w:val="24"/>
              </w:rPr>
              <w:t xml:space="preserve">15</w:t>
            </w:r>
          </w:p>
        </w:tc>
        <w:tc>
          <w:tcPr>
            <w:gridSpan w:val="4"/>
            <w:tcW w:w="2923" w:type="dxa"/>
          </w:tcPr>
          <w:p>
            <w:pPr>
              <w:pStyle w:val="0"/>
            </w:pPr>
            <w:r>
              <w:rPr>
                <w:sz w:val="24"/>
              </w:rPr>
              <w:t xml:space="preserve">Доля перестраховщиков в резерве по прямому возмещению убытков (ДРПВУ)</w:t>
            </w:r>
          </w:p>
        </w:tc>
        <w:tc>
          <w:tcPr>
            <w:gridSpan w:val="2"/>
            <w:tcW w:w="2608" w:type="dxa"/>
          </w:tcPr>
          <w:p>
            <w:pPr>
              <w:pStyle w:val="0"/>
            </w:pPr>
            <w:r>
              <w:rPr>
                <w:sz w:val="24"/>
              </w:rPr>
            </w:r>
          </w:p>
        </w:tc>
        <w:tc>
          <w:tcPr>
            <w:tcW w:w="2633" w:type="dxa"/>
          </w:tcPr>
          <w:p>
            <w:pPr>
              <w:pStyle w:val="0"/>
            </w:pPr>
            <w:r>
              <w:rPr>
                <w:sz w:val="24"/>
              </w:rPr>
              <w:t xml:space="preserve">ins-dic:DolyaPerestraxovshhikovVRPVU</w:t>
            </w:r>
          </w:p>
        </w:tc>
      </w:tr>
      <w:tr>
        <w:tc>
          <w:tcPr>
            <w:tcW w:w="907" w:type="dxa"/>
          </w:tcPr>
          <w:p>
            <w:pPr>
              <w:pStyle w:val="0"/>
            </w:pPr>
            <w:r>
              <w:rPr>
                <w:sz w:val="24"/>
              </w:rPr>
              <w:t xml:space="preserve">15.1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298" w:name="P29298"/>
          <w:bookmarkEnd w:id="29298"/>
          <w:p>
            <w:pPr>
              <w:pStyle w:val="0"/>
            </w:pPr>
            <w:r>
              <w:rPr>
                <w:sz w:val="24"/>
              </w:rPr>
              <w:t xml:space="preserve">16</w:t>
            </w:r>
          </w:p>
        </w:tc>
        <w:tc>
          <w:tcPr>
            <w:gridSpan w:val="4"/>
            <w:tcW w:w="2923" w:type="dxa"/>
          </w:tcPr>
          <w:p>
            <w:pPr>
              <w:pStyle w:val="0"/>
            </w:pPr>
            <w:r>
              <w:rPr>
                <w:sz w:val="24"/>
              </w:rPr>
              <w:t xml:space="preserve">Сумма СПРПВУ</w:t>
            </w:r>
            <w:r>
              <w:rPr>
                <w:sz w:val="24"/>
                <w:vertAlign w:val="superscript"/>
              </w:rPr>
              <w:t xml:space="preserve">НО</w:t>
            </w:r>
            <w:r>
              <w:rPr>
                <w:sz w:val="24"/>
              </w:rPr>
              <w:t xml:space="preserve"> по договорам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ins-dic:SumSPRPVUNOPoDogIsxodPerestraxovaniya</w:t>
            </w:r>
          </w:p>
        </w:tc>
      </w:tr>
      <w:tr>
        <w:tc>
          <w:tcPr>
            <w:tcW w:w="907" w:type="dxa"/>
          </w:tcPr>
          <w:p>
            <w:pPr>
              <w:pStyle w:val="0"/>
            </w:pPr>
            <w:r>
              <w:rPr>
                <w:sz w:val="24"/>
              </w:rPr>
              <w:t xml:space="preserve">16.1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306" w:name="P29306"/>
          <w:bookmarkEnd w:id="29306"/>
          <w:p>
            <w:pPr>
              <w:pStyle w:val="0"/>
            </w:pPr>
            <w:r>
              <w:rPr>
                <w:sz w:val="24"/>
              </w:rPr>
              <w:t xml:space="preserve">17</w:t>
            </w:r>
          </w:p>
        </w:tc>
        <w:tc>
          <w:tcPr>
            <w:gridSpan w:val="4"/>
            <w:tcW w:w="2923" w:type="dxa"/>
          </w:tcPr>
          <w:p>
            <w:pPr>
              <w:pStyle w:val="0"/>
            </w:pPr>
            <w:r>
              <w:rPr>
                <w:sz w:val="24"/>
              </w:rPr>
              <w:t xml:space="preserve">Корректировка на риск неплатежа по резерву по прямому возмещению убытков (КРНПВУ)</w:t>
            </w:r>
          </w:p>
        </w:tc>
        <w:tc>
          <w:tcPr>
            <w:gridSpan w:val="2"/>
            <w:tcW w:w="2608" w:type="dxa"/>
          </w:tcPr>
          <w:p>
            <w:pPr>
              <w:pStyle w:val="0"/>
            </w:pPr>
            <w:r>
              <w:rPr>
                <w:sz w:val="24"/>
              </w:rPr>
            </w:r>
          </w:p>
        </w:tc>
        <w:tc>
          <w:tcPr>
            <w:tcW w:w="2633" w:type="dxa"/>
          </w:tcPr>
          <w:p>
            <w:pPr>
              <w:pStyle w:val="0"/>
            </w:pPr>
            <w:r>
              <w:rPr>
                <w:sz w:val="24"/>
              </w:rPr>
              <w:t xml:space="preserve">ins-dic:KorrektirovkaNaRiskNeplatezhaPoRPVU_KRNPVU</w:t>
            </w:r>
          </w:p>
        </w:tc>
      </w:tr>
      <w:tr>
        <w:tc>
          <w:tcPr>
            <w:tcW w:w="907" w:type="dxa"/>
          </w:tcPr>
          <w:p>
            <w:pPr>
              <w:pStyle w:val="0"/>
            </w:pPr>
            <w:r>
              <w:rPr>
                <w:sz w:val="24"/>
              </w:rPr>
              <w:t xml:space="preserve">17.1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bookmarkStart w:id="29314" w:name="P29314"/>
          <w:bookmarkEnd w:id="29314"/>
          <w:p>
            <w:pPr>
              <w:pStyle w:val="0"/>
            </w:pPr>
            <w:r>
              <w:rPr>
                <w:sz w:val="24"/>
              </w:rPr>
              <w:t xml:space="preserve">18</w:t>
            </w:r>
          </w:p>
        </w:tc>
        <w:tc>
          <w:tcPr>
            <w:gridSpan w:val="4"/>
            <w:tcW w:w="2923" w:type="dxa"/>
          </w:tcPr>
          <w:p>
            <w:pPr>
              <w:pStyle w:val="0"/>
            </w:pPr>
            <w:r>
              <w:rPr>
                <w:sz w:val="24"/>
              </w:rPr>
              <w:t xml:space="preserve">Резерв инвестиционных обязательств</w:t>
            </w:r>
          </w:p>
        </w:tc>
        <w:tc>
          <w:tcPr>
            <w:gridSpan w:val="2"/>
            <w:tcW w:w="2608" w:type="dxa"/>
          </w:tcPr>
          <w:p>
            <w:pPr>
              <w:pStyle w:val="0"/>
            </w:pPr>
            <w:r>
              <w:rPr>
                <w:sz w:val="24"/>
              </w:rPr>
            </w:r>
          </w:p>
        </w:tc>
        <w:tc>
          <w:tcPr>
            <w:tcW w:w="2633" w:type="dxa"/>
          </w:tcPr>
          <w:p>
            <w:pPr>
              <w:pStyle w:val="0"/>
            </w:pPr>
            <w:r>
              <w:rPr>
                <w:sz w:val="24"/>
              </w:rPr>
              <w:t xml:space="preserve">ins-dic:RezervInvestObyaz</w:t>
            </w:r>
          </w:p>
        </w:tc>
      </w:tr>
      <w:tr>
        <w:tc>
          <w:tcPr>
            <w:tcW w:w="907" w:type="dxa"/>
          </w:tcPr>
          <w:p>
            <w:pPr>
              <w:pStyle w:val="0"/>
            </w:pPr>
            <w:r>
              <w:rPr>
                <w:sz w:val="24"/>
              </w:rPr>
              <w:t xml:space="preserve">18.1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p>
            <w:pPr>
              <w:pStyle w:val="0"/>
            </w:pPr>
            <w:r>
              <w:rPr>
                <w:sz w:val="24"/>
              </w:rPr>
              <w:t xml:space="preserve">19</w:t>
            </w:r>
          </w:p>
        </w:tc>
        <w:tc>
          <w:tcPr>
            <w:gridSpan w:val="4"/>
            <w:tcW w:w="2923" w:type="dxa"/>
          </w:tcPr>
          <w:p>
            <w:pPr>
              <w:pStyle w:val="0"/>
            </w:pPr>
            <w:r>
              <w:rPr>
                <w:sz w:val="24"/>
              </w:rPr>
              <w:t xml:space="preserve">Страховые резервы, всего</w:t>
            </w:r>
          </w:p>
        </w:tc>
        <w:tc>
          <w:tcPr>
            <w:gridSpan w:val="2"/>
            <w:tcW w:w="2608" w:type="dxa"/>
          </w:tcPr>
          <w:p>
            <w:pPr>
              <w:pStyle w:val="0"/>
            </w:pPr>
            <w:r>
              <w:rPr>
                <w:sz w:val="24"/>
              </w:rPr>
            </w:r>
          </w:p>
        </w:tc>
        <w:tc>
          <w:tcPr>
            <w:tcW w:w="2633" w:type="dxa"/>
          </w:tcPr>
          <w:p>
            <w:pPr>
              <w:pStyle w:val="0"/>
            </w:pPr>
            <w:r>
              <w:rPr>
                <w:sz w:val="24"/>
              </w:rPr>
              <w:t xml:space="preserve">ins-dic:Straxrez_Rt_Vsego</w:t>
            </w:r>
          </w:p>
        </w:tc>
      </w:tr>
      <w:tr>
        <w:tc>
          <w:tcPr>
            <w:tcW w:w="907" w:type="dxa"/>
          </w:tcPr>
          <w:p>
            <w:pPr>
              <w:pStyle w:val="0"/>
            </w:pPr>
            <w:r>
              <w:rPr>
                <w:sz w:val="24"/>
              </w:rPr>
              <w:t xml:space="preserve">19.1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c>
          <w:tcPr>
            <w:tcW w:w="907" w:type="dxa"/>
          </w:tcPr>
          <w:p>
            <w:pPr>
              <w:pStyle w:val="0"/>
            </w:pPr>
            <w:r>
              <w:rPr>
                <w:sz w:val="24"/>
              </w:rPr>
              <w:t xml:space="preserve">20</w:t>
            </w:r>
          </w:p>
        </w:tc>
        <w:tc>
          <w:tcPr>
            <w:gridSpan w:val="4"/>
            <w:tcW w:w="2923" w:type="dxa"/>
          </w:tcPr>
          <w:p>
            <w:pPr>
              <w:pStyle w:val="0"/>
            </w:pPr>
            <w:r>
              <w:rPr>
                <w:sz w:val="24"/>
              </w:rPr>
              <w:t xml:space="preserve">Доля перестраховщиков в страховых резервах, всего</w:t>
            </w:r>
          </w:p>
        </w:tc>
        <w:tc>
          <w:tcPr>
            <w:gridSpan w:val="2"/>
            <w:tcW w:w="2608" w:type="dxa"/>
          </w:tcPr>
          <w:p>
            <w:pPr>
              <w:pStyle w:val="0"/>
            </w:pPr>
            <w:r>
              <w:rPr>
                <w:sz w:val="24"/>
              </w:rPr>
            </w:r>
          </w:p>
        </w:tc>
        <w:tc>
          <w:tcPr>
            <w:tcW w:w="2633" w:type="dxa"/>
          </w:tcPr>
          <w:p>
            <w:pPr>
              <w:pStyle w:val="0"/>
            </w:pPr>
            <w:r>
              <w:rPr>
                <w:sz w:val="24"/>
              </w:rPr>
              <w:t xml:space="preserve">ins-dic:VelichinaDoliPerestraxovshhikovVStraxRezItogo</w:t>
            </w:r>
          </w:p>
        </w:tc>
      </w:tr>
      <w:tr>
        <w:tc>
          <w:tcPr>
            <w:tcW w:w="907" w:type="dxa"/>
          </w:tcPr>
          <w:p>
            <w:pPr>
              <w:pStyle w:val="0"/>
            </w:pPr>
            <w:r>
              <w:rPr>
                <w:sz w:val="24"/>
              </w:rPr>
              <w:t xml:space="preserve">20.1</w:t>
            </w:r>
          </w:p>
        </w:tc>
        <w:tc>
          <w:tcPr>
            <w:gridSpan w:val="4"/>
            <w:tcW w:w="2923" w:type="dxa"/>
          </w:tcPr>
          <w:p>
            <w:pPr>
              <w:pStyle w:val="0"/>
            </w:pPr>
            <w:r>
              <w:rPr>
                <w:sz w:val="24"/>
              </w:rPr>
            </w:r>
          </w:p>
        </w:tc>
        <w:tc>
          <w:tcPr>
            <w:gridSpan w:val="2"/>
            <w:tcW w:w="2608" w:type="dxa"/>
          </w:tcPr>
          <w:p>
            <w:pPr>
              <w:pStyle w:val="0"/>
            </w:pPr>
            <w:r>
              <w:rPr>
                <w:sz w:val="24"/>
              </w:rPr>
              <w:t xml:space="preserve">Вид договора страхования, перестрахования</w:t>
            </w:r>
          </w:p>
        </w:tc>
        <w:tc>
          <w:tcPr>
            <w:tcW w:w="2633" w:type="dxa"/>
          </w:tcPr>
          <w:p>
            <w:pPr>
              <w:pStyle w:val="0"/>
            </w:pPr>
            <w:r>
              <w:rPr>
                <w:sz w:val="24"/>
              </w:rPr>
              <w:t xml:space="preserve">dim-int:StrDogZhNezhAxis</w:t>
            </w:r>
          </w:p>
        </w:tc>
      </w:tr>
      <w:tr>
        <w:tblPrEx>
          <w:tblBorders>
            <w:insideV w:val="nil"/>
          </w:tblBorders>
        </w:tblPrEx>
        <w:tc>
          <w:tcPr>
            <w:gridSpan w:val="3"/>
            <w:tcW w:w="1814" w:type="dxa"/>
            <w:tcBorders>
              <w:left w:val="single" w:sz="4"/>
            </w:tcBorders>
          </w:tcPr>
          <w:bookmarkStart w:id="29338" w:name="P29338"/>
          <w:bookmarkEnd w:id="29338"/>
          <w:p>
            <w:pPr>
              <w:pStyle w:val="0"/>
              <w:outlineLvl w:val="4"/>
            </w:pPr>
            <w:r>
              <w:rPr>
                <w:sz w:val="24"/>
              </w:rPr>
              <w:t xml:space="preserve">Подраздел 1.2.</w:t>
            </w:r>
          </w:p>
        </w:tc>
        <w:tc>
          <w:tcPr>
            <w:gridSpan w:val="5"/>
            <w:tcW w:w="7257" w:type="dxa"/>
            <w:tcBorders>
              <w:right w:val="single" w:sz="4"/>
            </w:tcBorders>
          </w:tcPr>
          <w:p>
            <w:pPr>
              <w:pStyle w:val="0"/>
            </w:pPr>
            <w:r>
              <w:rPr>
                <w:sz w:val="24"/>
              </w:rPr>
              <w:t xml:space="preserve">Страховые резервы по учетной группе (дополнительной учетной группе)</w:t>
            </w:r>
          </w:p>
        </w:tc>
      </w:tr>
      <w:tr>
        <w:tc>
          <w:tcPr>
            <w:tcW w:w="907" w:type="dxa"/>
          </w:tcPr>
          <w:p>
            <w:pPr>
              <w:pStyle w:val="0"/>
            </w:pPr>
            <w:r>
              <w:rPr>
                <w:sz w:val="24"/>
              </w:rPr>
              <w:t xml:space="preserve">21</w:t>
            </w:r>
          </w:p>
        </w:tc>
        <w:tc>
          <w:tcPr>
            <w:gridSpan w:val="4"/>
            <w:tcW w:w="2923" w:type="dxa"/>
          </w:tcPr>
          <w:p>
            <w:pPr>
              <w:pStyle w:val="0"/>
            </w:pPr>
            <w:r>
              <w:rPr>
                <w:sz w:val="24"/>
              </w:rPr>
              <w:t xml:space="preserve">Резерв премий, всего</w:t>
            </w:r>
          </w:p>
        </w:tc>
        <w:tc>
          <w:tcPr>
            <w:gridSpan w:val="2"/>
            <w:tcW w:w="2608" w:type="dxa"/>
          </w:tcPr>
          <w:p>
            <w:pPr>
              <w:pStyle w:val="0"/>
            </w:pPr>
            <w:r>
              <w:rPr>
                <w:sz w:val="24"/>
              </w:rPr>
            </w:r>
          </w:p>
        </w:tc>
        <w:tc>
          <w:tcPr>
            <w:tcW w:w="2633" w:type="dxa"/>
          </w:tcPr>
          <w:p>
            <w:pPr>
              <w:pStyle w:val="0"/>
            </w:pPr>
            <w:r>
              <w:rPr>
                <w:sz w:val="24"/>
              </w:rPr>
              <w:t xml:space="preserve">ins-dic:RezervPremijVsego</w:t>
            </w:r>
          </w:p>
        </w:tc>
      </w:tr>
      <w:tr>
        <w:tc>
          <w:tcPr>
            <w:tcW w:w="907" w:type="dxa"/>
          </w:tcPr>
          <w:p>
            <w:pPr>
              <w:pStyle w:val="0"/>
            </w:pPr>
            <w:r>
              <w:rPr>
                <w:sz w:val="24"/>
              </w:rPr>
              <w:t xml:space="preserve">21.1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352" w:name="P29352"/>
          <w:bookmarkEnd w:id="29352"/>
          <w:p>
            <w:pPr>
              <w:pStyle w:val="0"/>
            </w:pPr>
            <w:r>
              <w:rPr>
                <w:sz w:val="24"/>
              </w:rPr>
              <w:t xml:space="preserve">22</w:t>
            </w:r>
          </w:p>
        </w:tc>
        <w:tc>
          <w:tcPr>
            <w:gridSpan w:val="4"/>
            <w:tcW w:w="2923" w:type="dxa"/>
          </w:tcPr>
          <w:p>
            <w:pPr>
              <w:pStyle w:val="0"/>
            </w:pPr>
            <w:r>
              <w:rPr>
                <w:sz w:val="24"/>
              </w:rPr>
              <w:t xml:space="preserve">Оценка ожидаемой величины обязательств по резерву премий (ДПП)</w:t>
            </w:r>
          </w:p>
        </w:tc>
        <w:tc>
          <w:tcPr>
            <w:gridSpan w:val="2"/>
            <w:tcW w:w="2608" w:type="dxa"/>
          </w:tcPr>
          <w:p>
            <w:pPr>
              <w:pStyle w:val="0"/>
            </w:pPr>
            <w:r>
              <w:rPr>
                <w:sz w:val="24"/>
              </w:rPr>
            </w:r>
          </w:p>
        </w:tc>
        <w:tc>
          <w:tcPr>
            <w:tcW w:w="2633" w:type="dxa"/>
          </w:tcPr>
          <w:p>
            <w:pPr>
              <w:pStyle w:val="0"/>
            </w:pPr>
            <w:r>
              <w:rPr>
                <w:sz w:val="24"/>
              </w:rPr>
              <w:t xml:space="preserve">ins-dic:RezervPremijOczenkaOzhidVelichinyObyazPoRP_DPP</w:t>
            </w:r>
          </w:p>
        </w:tc>
      </w:tr>
      <w:tr>
        <w:tc>
          <w:tcPr>
            <w:tcW w:w="907" w:type="dxa"/>
          </w:tcPr>
          <w:p>
            <w:pPr>
              <w:pStyle w:val="0"/>
            </w:pPr>
            <w:r>
              <w:rPr>
                <w:sz w:val="24"/>
              </w:rPr>
              <w:t xml:space="preserve">22.1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23</w:t>
            </w:r>
          </w:p>
        </w:tc>
        <w:tc>
          <w:tcPr>
            <w:gridSpan w:val="4"/>
            <w:tcW w:w="2923" w:type="dxa"/>
          </w:tcPr>
          <w:p>
            <w:pPr>
              <w:pStyle w:val="0"/>
            </w:pPr>
            <w:r>
              <w:rPr>
                <w:sz w:val="24"/>
              </w:rPr>
              <w:t xml:space="preserve">Оценка рисковой маржи в резерве премий (РМП)</w:t>
            </w:r>
          </w:p>
        </w:tc>
        <w:tc>
          <w:tcPr>
            <w:gridSpan w:val="2"/>
            <w:tcW w:w="2608" w:type="dxa"/>
          </w:tcPr>
          <w:p>
            <w:pPr>
              <w:pStyle w:val="0"/>
            </w:pPr>
            <w:r>
              <w:rPr>
                <w:sz w:val="24"/>
              </w:rPr>
            </w:r>
          </w:p>
        </w:tc>
        <w:tc>
          <w:tcPr>
            <w:tcW w:w="2633" w:type="dxa"/>
          </w:tcPr>
          <w:p>
            <w:pPr>
              <w:pStyle w:val="0"/>
            </w:pPr>
            <w:r>
              <w:rPr>
                <w:sz w:val="24"/>
              </w:rPr>
              <w:t xml:space="preserve">ins-dic:RezervPremijOczenkaRiskovojMarzhiVRP_RMP</w:t>
            </w:r>
          </w:p>
        </w:tc>
      </w:tr>
      <w:tr>
        <w:tc>
          <w:tcPr>
            <w:tcW w:w="907" w:type="dxa"/>
          </w:tcPr>
          <w:p>
            <w:pPr>
              <w:pStyle w:val="0"/>
            </w:pPr>
            <w:r>
              <w:rPr>
                <w:sz w:val="24"/>
              </w:rPr>
              <w:t xml:space="preserve">23.1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24</w:t>
            </w:r>
          </w:p>
        </w:tc>
        <w:tc>
          <w:tcPr>
            <w:gridSpan w:val="4"/>
            <w:tcW w:w="2923" w:type="dxa"/>
          </w:tcPr>
          <w:p>
            <w:pPr>
              <w:pStyle w:val="0"/>
            </w:pPr>
            <w:r>
              <w:rPr>
                <w:sz w:val="24"/>
              </w:rPr>
              <w:t xml:space="preserve">Доля перестраховщиков в резерве премий</w:t>
            </w:r>
          </w:p>
        </w:tc>
        <w:tc>
          <w:tcPr>
            <w:gridSpan w:val="2"/>
            <w:tcW w:w="2608" w:type="dxa"/>
          </w:tcPr>
          <w:p>
            <w:pPr>
              <w:pStyle w:val="0"/>
            </w:pPr>
            <w:r>
              <w:rPr>
                <w:sz w:val="24"/>
              </w:rPr>
            </w:r>
          </w:p>
        </w:tc>
        <w:tc>
          <w:tcPr>
            <w:tcW w:w="2633" w:type="dxa"/>
          </w:tcPr>
          <w:p>
            <w:pPr>
              <w:pStyle w:val="0"/>
            </w:pPr>
            <w:r>
              <w:rPr>
                <w:sz w:val="24"/>
              </w:rPr>
              <w:t xml:space="preserve">ins-dic:DolyaPerestraxovshhikovVRP</w:t>
            </w:r>
          </w:p>
        </w:tc>
      </w:tr>
      <w:tr>
        <w:tc>
          <w:tcPr>
            <w:tcW w:w="907" w:type="dxa"/>
          </w:tcPr>
          <w:p>
            <w:pPr>
              <w:pStyle w:val="0"/>
            </w:pPr>
            <w:r>
              <w:rPr>
                <w:sz w:val="24"/>
              </w:rPr>
              <w:t xml:space="preserve">24.1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388" w:name="P29388"/>
          <w:bookmarkEnd w:id="29388"/>
          <w:p>
            <w:pPr>
              <w:pStyle w:val="0"/>
            </w:pPr>
            <w:r>
              <w:rPr>
                <w:sz w:val="24"/>
              </w:rPr>
              <w:t xml:space="preserve">25</w:t>
            </w:r>
          </w:p>
        </w:tc>
        <w:tc>
          <w:tcPr>
            <w:gridSpan w:val="4"/>
            <w:tcW w:w="2923" w:type="dxa"/>
          </w:tcPr>
          <w:p>
            <w:pPr>
              <w:pStyle w:val="0"/>
            </w:pPr>
            <w:r>
              <w:rPr>
                <w:sz w:val="24"/>
              </w:rPr>
              <w:t xml:space="preserve">Сумма СПРП</w:t>
            </w:r>
            <w:r>
              <w:rPr>
                <w:sz w:val="24"/>
                <w:vertAlign w:val="superscript"/>
              </w:rPr>
              <w:t xml:space="preserve">НО</w:t>
            </w:r>
            <w:r>
              <w:rPr>
                <w:sz w:val="24"/>
              </w:rPr>
              <w:t xml:space="preserve"> по договорам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ins-dic:SumSPRPNOPoDogIsxodPerestrax</w:t>
            </w:r>
          </w:p>
        </w:tc>
      </w:tr>
      <w:tr>
        <w:tc>
          <w:tcPr>
            <w:tcW w:w="907" w:type="dxa"/>
          </w:tcPr>
          <w:p>
            <w:pPr>
              <w:pStyle w:val="0"/>
            </w:pPr>
            <w:r>
              <w:rPr>
                <w:sz w:val="24"/>
              </w:rPr>
              <w:t xml:space="preserve">25.1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26</w:t>
            </w:r>
          </w:p>
        </w:tc>
        <w:tc>
          <w:tcPr>
            <w:gridSpan w:val="4"/>
            <w:tcW w:w="2923" w:type="dxa"/>
          </w:tcPr>
          <w:p>
            <w:pPr>
              <w:pStyle w:val="0"/>
            </w:pPr>
            <w:r>
              <w:rPr>
                <w:sz w:val="24"/>
              </w:rPr>
              <w:t xml:space="preserve">Корректировка на риск неплатежа по резерву премий (КРНП)</w:t>
            </w:r>
          </w:p>
        </w:tc>
        <w:tc>
          <w:tcPr>
            <w:gridSpan w:val="2"/>
            <w:tcW w:w="2608" w:type="dxa"/>
          </w:tcPr>
          <w:p>
            <w:pPr>
              <w:pStyle w:val="0"/>
            </w:pPr>
            <w:r>
              <w:rPr>
                <w:sz w:val="24"/>
              </w:rPr>
            </w:r>
          </w:p>
        </w:tc>
        <w:tc>
          <w:tcPr>
            <w:tcW w:w="2633" w:type="dxa"/>
          </w:tcPr>
          <w:p>
            <w:pPr>
              <w:pStyle w:val="0"/>
            </w:pPr>
            <w:r>
              <w:rPr>
                <w:sz w:val="24"/>
              </w:rPr>
              <w:t xml:space="preserve">ins-dic:KorrektirovkaNaRiskNeplatezhaPoRP_KRNP</w:t>
            </w:r>
          </w:p>
        </w:tc>
      </w:tr>
      <w:tr>
        <w:tc>
          <w:tcPr>
            <w:tcW w:w="907" w:type="dxa"/>
          </w:tcPr>
          <w:p>
            <w:pPr>
              <w:pStyle w:val="0"/>
            </w:pPr>
            <w:r>
              <w:rPr>
                <w:sz w:val="24"/>
              </w:rPr>
              <w:t xml:space="preserve">26.1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27</w:t>
            </w:r>
          </w:p>
        </w:tc>
        <w:tc>
          <w:tcPr>
            <w:gridSpan w:val="4"/>
            <w:tcW w:w="2923" w:type="dxa"/>
          </w:tcPr>
          <w:p>
            <w:pPr>
              <w:pStyle w:val="0"/>
            </w:pPr>
            <w:r>
              <w:rPr>
                <w:sz w:val="24"/>
              </w:rPr>
              <w:t xml:space="preserve">Резерв убытков, всего</w:t>
            </w:r>
          </w:p>
        </w:tc>
        <w:tc>
          <w:tcPr>
            <w:gridSpan w:val="2"/>
            <w:tcW w:w="2608" w:type="dxa"/>
          </w:tcPr>
          <w:p>
            <w:pPr>
              <w:pStyle w:val="0"/>
            </w:pPr>
            <w:r>
              <w:rPr>
                <w:sz w:val="24"/>
              </w:rPr>
            </w:r>
          </w:p>
        </w:tc>
        <w:tc>
          <w:tcPr>
            <w:tcW w:w="2633" w:type="dxa"/>
          </w:tcPr>
          <w:p>
            <w:pPr>
              <w:pStyle w:val="0"/>
            </w:pPr>
            <w:r>
              <w:rPr>
                <w:sz w:val="24"/>
              </w:rPr>
              <w:t xml:space="preserve">ins-dic:RezervUbytkovVsego</w:t>
            </w:r>
          </w:p>
        </w:tc>
      </w:tr>
      <w:tr>
        <w:tc>
          <w:tcPr>
            <w:tcW w:w="907" w:type="dxa"/>
          </w:tcPr>
          <w:p>
            <w:pPr>
              <w:pStyle w:val="0"/>
            </w:pPr>
            <w:r>
              <w:rPr>
                <w:sz w:val="24"/>
              </w:rPr>
              <w:t xml:space="preserve">27.1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424" w:name="P29424"/>
          <w:bookmarkEnd w:id="29424"/>
          <w:p>
            <w:pPr>
              <w:pStyle w:val="0"/>
            </w:pPr>
            <w:r>
              <w:rPr>
                <w:sz w:val="24"/>
              </w:rPr>
              <w:t xml:space="preserve">28</w:t>
            </w:r>
          </w:p>
        </w:tc>
        <w:tc>
          <w:tcPr>
            <w:gridSpan w:val="4"/>
            <w:tcW w:w="2923" w:type="dxa"/>
          </w:tcPr>
          <w:p>
            <w:pPr>
              <w:pStyle w:val="0"/>
            </w:pPr>
            <w:r>
              <w:rPr>
                <w:sz w:val="24"/>
              </w:rPr>
              <w:t xml:space="preserve">Оценка ожидаемой величины обязательств по резерву убытков (ДПУ)</w:t>
            </w:r>
          </w:p>
        </w:tc>
        <w:tc>
          <w:tcPr>
            <w:gridSpan w:val="2"/>
            <w:tcW w:w="2608" w:type="dxa"/>
          </w:tcPr>
          <w:p>
            <w:pPr>
              <w:pStyle w:val="0"/>
            </w:pPr>
            <w:r>
              <w:rPr>
                <w:sz w:val="24"/>
              </w:rPr>
            </w:r>
          </w:p>
        </w:tc>
        <w:tc>
          <w:tcPr>
            <w:tcW w:w="2633" w:type="dxa"/>
          </w:tcPr>
          <w:p>
            <w:pPr>
              <w:pStyle w:val="0"/>
            </w:pPr>
            <w:r>
              <w:rPr>
                <w:sz w:val="24"/>
              </w:rPr>
              <w:t xml:space="preserve">ins-dic:RezervUbytkovOczenkaOzhidVelichinyObyazPoRU_DPU</w:t>
            </w:r>
          </w:p>
        </w:tc>
      </w:tr>
      <w:tr>
        <w:tc>
          <w:tcPr>
            <w:tcW w:w="907" w:type="dxa"/>
          </w:tcPr>
          <w:p>
            <w:pPr>
              <w:pStyle w:val="0"/>
            </w:pPr>
            <w:r>
              <w:rPr>
                <w:sz w:val="24"/>
              </w:rPr>
              <w:t xml:space="preserve">28.1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29</w:t>
            </w:r>
          </w:p>
        </w:tc>
        <w:tc>
          <w:tcPr>
            <w:gridSpan w:val="4"/>
            <w:tcW w:w="2923" w:type="dxa"/>
          </w:tcPr>
          <w:p>
            <w:pPr>
              <w:pStyle w:val="0"/>
            </w:pPr>
            <w:r>
              <w:rPr>
                <w:sz w:val="24"/>
              </w:rPr>
              <w:t xml:space="preserve">Оценка рисковой маржи в резерве убытков (РМУ)</w:t>
            </w:r>
          </w:p>
        </w:tc>
        <w:tc>
          <w:tcPr>
            <w:gridSpan w:val="2"/>
            <w:tcW w:w="2608" w:type="dxa"/>
          </w:tcPr>
          <w:p>
            <w:pPr>
              <w:pStyle w:val="0"/>
            </w:pPr>
            <w:r>
              <w:rPr>
                <w:sz w:val="24"/>
              </w:rPr>
            </w:r>
          </w:p>
        </w:tc>
        <w:tc>
          <w:tcPr>
            <w:tcW w:w="2633" w:type="dxa"/>
          </w:tcPr>
          <w:p>
            <w:pPr>
              <w:pStyle w:val="0"/>
            </w:pPr>
            <w:r>
              <w:rPr>
                <w:sz w:val="24"/>
              </w:rPr>
              <w:t xml:space="preserve">ins-dic:RezervUbytkovOczenkaRiskMarzhiVRU_RMU</w:t>
            </w:r>
          </w:p>
        </w:tc>
      </w:tr>
      <w:tr>
        <w:tc>
          <w:tcPr>
            <w:tcW w:w="907" w:type="dxa"/>
          </w:tcPr>
          <w:p>
            <w:pPr>
              <w:pStyle w:val="0"/>
            </w:pPr>
            <w:r>
              <w:rPr>
                <w:sz w:val="24"/>
              </w:rPr>
              <w:t xml:space="preserve">29.1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30</w:t>
            </w:r>
          </w:p>
        </w:tc>
        <w:tc>
          <w:tcPr>
            <w:gridSpan w:val="4"/>
            <w:tcW w:w="2923" w:type="dxa"/>
          </w:tcPr>
          <w:p>
            <w:pPr>
              <w:pStyle w:val="0"/>
            </w:pPr>
            <w:r>
              <w:rPr>
                <w:sz w:val="24"/>
              </w:rPr>
              <w:t xml:space="preserve">Доля перестраховщиков в резерве убытков</w:t>
            </w:r>
          </w:p>
        </w:tc>
        <w:tc>
          <w:tcPr>
            <w:gridSpan w:val="2"/>
            <w:tcW w:w="2608" w:type="dxa"/>
          </w:tcPr>
          <w:p>
            <w:pPr>
              <w:pStyle w:val="0"/>
            </w:pPr>
            <w:r>
              <w:rPr>
                <w:sz w:val="24"/>
              </w:rPr>
            </w:r>
          </w:p>
        </w:tc>
        <w:tc>
          <w:tcPr>
            <w:tcW w:w="2633" w:type="dxa"/>
          </w:tcPr>
          <w:p>
            <w:pPr>
              <w:pStyle w:val="0"/>
            </w:pPr>
            <w:r>
              <w:rPr>
                <w:sz w:val="24"/>
              </w:rPr>
              <w:t xml:space="preserve">ins-dic:DolyaPerestraxVRU</w:t>
            </w:r>
          </w:p>
        </w:tc>
      </w:tr>
      <w:tr>
        <w:tc>
          <w:tcPr>
            <w:tcW w:w="907" w:type="dxa"/>
          </w:tcPr>
          <w:p>
            <w:pPr>
              <w:pStyle w:val="0"/>
            </w:pPr>
            <w:r>
              <w:rPr>
                <w:sz w:val="24"/>
              </w:rPr>
              <w:t xml:space="preserve">30.1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460" w:name="P29460"/>
          <w:bookmarkEnd w:id="29460"/>
          <w:p>
            <w:pPr>
              <w:pStyle w:val="0"/>
            </w:pPr>
            <w:r>
              <w:rPr>
                <w:sz w:val="24"/>
              </w:rPr>
              <w:t xml:space="preserve">31</w:t>
            </w:r>
          </w:p>
        </w:tc>
        <w:tc>
          <w:tcPr>
            <w:gridSpan w:val="4"/>
            <w:tcW w:w="2923" w:type="dxa"/>
          </w:tcPr>
          <w:p>
            <w:pPr>
              <w:pStyle w:val="0"/>
            </w:pPr>
            <w:r>
              <w:rPr>
                <w:sz w:val="24"/>
              </w:rPr>
              <w:t xml:space="preserve">Сумма СПРУ</w:t>
            </w:r>
            <w:r>
              <w:rPr>
                <w:sz w:val="24"/>
                <w:vertAlign w:val="superscript"/>
              </w:rPr>
              <w:t xml:space="preserve">НО</w:t>
            </w:r>
            <w:r>
              <w:rPr>
                <w:sz w:val="24"/>
              </w:rPr>
              <w:t xml:space="preserve"> по договорам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ins-dic:SumSPRUNOPoDogIsxodPerestrax</w:t>
            </w:r>
          </w:p>
        </w:tc>
      </w:tr>
      <w:tr>
        <w:tc>
          <w:tcPr>
            <w:tcW w:w="907" w:type="dxa"/>
          </w:tcPr>
          <w:p>
            <w:pPr>
              <w:pStyle w:val="0"/>
            </w:pPr>
            <w:r>
              <w:rPr>
                <w:sz w:val="24"/>
              </w:rPr>
              <w:t xml:space="preserve">31.1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32</w:t>
            </w:r>
          </w:p>
        </w:tc>
        <w:tc>
          <w:tcPr>
            <w:gridSpan w:val="4"/>
            <w:tcW w:w="2923" w:type="dxa"/>
          </w:tcPr>
          <w:p>
            <w:pPr>
              <w:pStyle w:val="0"/>
            </w:pPr>
            <w:r>
              <w:rPr>
                <w:sz w:val="24"/>
              </w:rPr>
              <w:t xml:space="preserve">Корректировка на риск неплатежа по резерву убытков (КРНУ)</w:t>
            </w:r>
          </w:p>
        </w:tc>
        <w:tc>
          <w:tcPr>
            <w:gridSpan w:val="2"/>
            <w:tcW w:w="2608" w:type="dxa"/>
          </w:tcPr>
          <w:p>
            <w:pPr>
              <w:pStyle w:val="0"/>
            </w:pPr>
            <w:r>
              <w:rPr>
                <w:sz w:val="24"/>
              </w:rPr>
            </w:r>
          </w:p>
        </w:tc>
        <w:tc>
          <w:tcPr>
            <w:tcW w:w="2633" w:type="dxa"/>
          </w:tcPr>
          <w:p>
            <w:pPr>
              <w:pStyle w:val="0"/>
            </w:pPr>
            <w:r>
              <w:rPr>
                <w:sz w:val="24"/>
              </w:rPr>
              <w:t xml:space="preserve">ins-dic:KorrektirovkaNaRiskNeplatezhaPoRU_KRNU</w:t>
            </w:r>
          </w:p>
        </w:tc>
      </w:tr>
      <w:tr>
        <w:tc>
          <w:tcPr>
            <w:tcW w:w="907" w:type="dxa"/>
          </w:tcPr>
          <w:p>
            <w:pPr>
              <w:pStyle w:val="0"/>
            </w:pPr>
            <w:r>
              <w:rPr>
                <w:sz w:val="24"/>
              </w:rPr>
              <w:t xml:space="preserve">32.1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484" w:name="P29484"/>
          <w:bookmarkEnd w:id="29484"/>
          <w:p>
            <w:pPr>
              <w:pStyle w:val="0"/>
            </w:pPr>
            <w:r>
              <w:rPr>
                <w:sz w:val="24"/>
              </w:rPr>
              <w:t xml:space="preserve">33</w:t>
            </w:r>
          </w:p>
        </w:tc>
        <w:tc>
          <w:tcPr>
            <w:gridSpan w:val="4"/>
            <w:tcW w:w="2923" w:type="dxa"/>
          </w:tcPr>
          <w:p>
            <w:pPr>
              <w:pStyle w:val="0"/>
            </w:pPr>
            <w:r>
              <w:rPr>
                <w:sz w:val="24"/>
              </w:rPr>
              <w:t xml:space="preserve">Стабилизационный резерв</w:t>
            </w:r>
          </w:p>
        </w:tc>
        <w:tc>
          <w:tcPr>
            <w:gridSpan w:val="2"/>
            <w:tcW w:w="2608" w:type="dxa"/>
          </w:tcPr>
          <w:p>
            <w:pPr>
              <w:pStyle w:val="0"/>
            </w:pPr>
            <w:r>
              <w:rPr>
                <w:sz w:val="24"/>
              </w:rPr>
            </w:r>
          </w:p>
        </w:tc>
        <w:tc>
          <w:tcPr>
            <w:tcW w:w="2633" w:type="dxa"/>
          </w:tcPr>
          <w:p>
            <w:pPr>
              <w:pStyle w:val="0"/>
            </w:pPr>
            <w:r>
              <w:rPr>
                <w:sz w:val="24"/>
              </w:rPr>
              <w:t xml:space="preserve">ins-dic:Nzh_Stab_Rez_Regulyator</w:t>
            </w:r>
          </w:p>
        </w:tc>
      </w:tr>
      <w:tr>
        <w:tc>
          <w:tcPr>
            <w:tcW w:w="907" w:type="dxa"/>
          </w:tcPr>
          <w:p>
            <w:pPr>
              <w:pStyle w:val="0"/>
            </w:pPr>
            <w:r>
              <w:rPr>
                <w:sz w:val="24"/>
              </w:rPr>
              <w:t xml:space="preserve">33.1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29492" w:name="P29492"/>
          <w:bookmarkEnd w:id="29492"/>
          <w:p>
            <w:pPr>
              <w:pStyle w:val="0"/>
            </w:pPr>
            <w:r>
              <w:rPr>
                <w:sz w:val="24"/>
              </w:rPr>
              <w:t xml:space="preserve">34</w:t>
            </w:r>
          </w:p>
        </w:tc>
        <w:tc>
          <w:tcPr>
            <w:gridSpan w:val="4"/>
            <w:tcW w:w="2923" w:type="dxa"/>
          </w:tcPr>
          <w:p>
            <w:pPr>
              <w:pStyle w:val="0"/>
            </w:pPr>
            <w:r>
              <w:rPr>
                <w:sz w:val="24"/>
              </w:rPr>
              <w:t xml:space="preserve">Резерв по прямому возмещению убытков (РПВУ)</w:t>
            </w:r>
          </w:p>
        </w:tc>
        <w:tc>
          <w:tcPr>
            <w:gridSpan w:val="2"/>
            <w:tcW w:w="2608" w:type="dxa"/>
          </w:tcPr>
          <w:p>
            <w:pPr>
              <w:pStyle w:val="0"/>
            </w:pPr>
            <w:r>
              <w:rPr>
                <w:sz w:val="24"/>
              </w:rPr>
            </w:r>
          </w:p>
        </w:tc>
        <w:tc>
          <w:tcPr>
            <w:tcW w:w="2633" w:type="dxa"/>
          </w:tcPr>
          <w:p>
            <w:pPr>
              <w:pStyle w:val="0"/>
            </w:pPr>
            <w:r>
              <w:rPr>
                <w:sz w:val="24"/>
              </w:rPr>
              <w:t xml:space="preserve">ins-dic:RezervPoPryamVozmeshhUbytkov_RPVU</w:t>
            </w:r>
          </w:p>
        </w:tc>
      </w:tr>
      <w:tr>
        <w:tc>
          <w:tcPr>
            <w:tcW w:w="907" w:type="dxa"/>
          </w:tcPr>
          <w:p>
            <w:pPr>
              <w:pStyle w:val="0"/>
            </w:pPr>
            <w:r>
              <w:rPr>
                <w:sz w:val="24"/>
              </w:rPr>
              <w:t xml:space="preserve">34.1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504" w:name="P29504"/>
          <w:bookmarkEnd w:id="29504"/>
          <w:p>
            <w:pPr>
              <w:pStyle w:val="0"/>
            </w:pPr>
            <w:r>
              <w:rPr>
                <w:sz w:val="24"/>
              </w:rPr>
              <w:t xml:space="preserve">35</w:t>
            </w:r>
          </w:p>
        </w:tc>
        <w:tc>
          <w:tcPr>
            <w:gridSpan w:val="4"/>
            <w:tcW w:w="2923" w:type="dxa"/>
          </w:tcPr>
          <w:p>
            <w:pPr>
              <w:pStyle w:val="0"/>
            </w:pPr>
            <w:r>
              <w:rPr>
                <w:sz w:val="24"/>
              </w:rPr>
              <w:t xml:space="preserve">Доля перестраховщиков в резерве по прямому возмещению убытков (ДРПВУ)</w:t>
            </w:r>
          </w:p>
        </w:tc>
        <w:tc>
          <w:tcPr>
            <w:gridSpan w:val="2"/>
            <w:tcW w:w="2608" w:type="dxa"/>
          </w:tcPr>
          <w:p>
            <w:pPr>
              <w:pStyle w:val="0"/>
            </w:pPr>
            <w:r>
              <w:rPr>
                <w:sz w:val="24"/>
              </w:rPr>
            </w:r>
          </w:p>
        </w:tc>
        <w:tc>
          <w:tcPr>
            <w:tcW w:w="2633" w:type="dxa"/>
          </w:tcPr>
          <w:p>
            <w:pPr>
              <w:pStyle w:val="0"/>
            </w:pPr>
            <w:r>
              <w:rPr>
                <w:sz w:val="24"/>
              </w:rPr>
              <w:t xml:space="preserve">ins-dic:DolyaPerestraxovshhikovVRPVU</w:t>
            </w:r>
          </w:p>
        </w:tc>
      </w:tr>
      <w:tr>
        <w:tc>
          <w:tcPr>
            <w:tcW w:w="907" w:type="dxa"/>
          </w:tcPr>
          <w:p>
            <w:pPr>
              <w:pStyle w:val="0"/>
            </w:pPr>
            <w:r>
              <w:rPr>
                <w:sz w:val="24"/>
              </w:rPr>
              <w:t xml:space="preserve">35.1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dim-int:Perechcn_Uchet_Grupp_Axis</w:t>
            </w:r>
          </w:p>
        </w:tc>
      </w:tr>
      <w:tr>
        <w:tc>
          <w:tcPr>
            <w:tcW w:w="907" w:type="dxa"/>
          </w:tcPr>
          <w:p>
            <w:pPr>
              <w:pStyle w:val="0"/>
            </w:pPr>
            <w:r>
              <w:rPr>
                <w:sz w:val="24"/>
              </w:rPr>
              <w:t xml:space="preserve">35.2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516" w:name="P29516"/>
          <w:bookmarkEnd w:id="29516"/>
          <w:p>
            <w:pPr>
              <w:pStyle w:val="0"/>
            </w:pPr>
            <w:r>
              <w:rPr>
                <w:sz w:val="24"/>
              </w:rPr>
              <w:t xml:space="preserve">36</w:t>
            </w:r>
          </w:p>
        </w:tc>
        <w:tc>
          <w:tcPr>
            <w:gridSpan w:val="4"/>
            <w:tcW w:w="2923" w:type="dxa"/>
          </w:tcPr>
          <w:p>
            <w:pPr>
              <w:pStyle w:val="0"/>
            </w:pPr>
            <w:r>
              <w:rPr>
                <w:sz w:val="24"/>
              </w:rPr>
              <w:t xml:space="preserve">Сумма СПРПВУ</w:t>
            </w:r>
            <w:r>
              <w:rPr>
                <w:sz w:val="24"/>
                <w:vertAlign w:val="superscript"/>
              </w:rPr>
              <w:t xml:space="preserve">НО</w:t>
            </w:r>
            <w:r>
              <w:rPr>
                <w:sz w:val="24"/>
              </w:rPr>
              <w:t xml:space="preserve"> по договорам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ins-dic:SumSPRPVUNOPoDogIsxodPerestraxovaniya</w:t>
            </w:r>
          </w:p>
        </w:tc>
      </w:tr>
      <w:tr>
        <w:tc>
          <w:tcPr>
            <w:tcW w:w="907" w:type="dxa"/>
          </w:tcPr>
          <w:p>
            <w:pPr>
              <w:pStyle w:val="0"/>
            </w:pPr>
            <w:r>
              <w:rPr>
                <w:sz w:val="24"/>
              </w:rPr>
              <w:t xml:space="preserve">36.1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528" w:name="P29528"/>
          <w:bookmarkEnd w:id="29528"/>
          <w:p>
            <w:pPr>
              <w:pStyle w:val="0"/>
            </w:pPr>
            <w:r>
              <w:rPr>
                <w:sz w:val="24"/>
              </w:rPr>
              <w:t xml:space="preserve">37</w:t>
            </w:r>
          </w:p>
        </w:tc>
        <w:tc>
          <w:tcPr>
            <w:gridSpan w:val="4"/>
            <w:tcW w:w="2923" w:type="dxa"/>
          </w:tcPr>
          <w:p>
            <w:pPr>
              <w:pStyle w:val="0"/>
            </w:pPr>
            <w:r>
              <w:rPr>
                <w:sz w:val="24"/>
              </w:rPr>
              <w:t xml:space="preserve">Корректировка на риск неплатежа по резерву по прямому возмещению убытков (КРНПВУ)</w:t>
            </w:r>
          </w:p>
        </w:tc>
        <w:tc>
          <w:tcPr>
            <w:gridSpan w:val="2"/>
            <w:tcW w:w="2608" w:type="dxa"/>
          </w:tcPr>
          <w:p>
            <w:pPr>
              <w:pStyle w:val="0"/>
            </w:pPr>
            <w:r>
              <w:rPr>
                <w:sz w:val="24"/>
              </w:rPr>
            </w:r>
          </w:p>
        </w:tc>
        <w:tc>
          <w:tcPr>
            <w:tcW w:w="2633" w:type="dxa"/>
          </w:tcPr>
          <w:p>
            <w:pPr>
              <w:pStyle w:val="0"/>
            </w:pPr>
            <w:r>
              <w:rPr>
                <w:sz w:val="24"/>
              </w:rPr>
              <w:t xml:space="preserve">ins-dic:KorrektirovkaNaRiskNeplatezhaPoRPVU_KRNPVU</w:t>
            </w:r>
          </w:p>
        </w:tc>
      </w:tr>
      <w:tr>
        <w:tc>
          <w:tcPr>
            <w:tcW w:w="907" w:type="dxa"/>
          </w:tcPr>
          <w:p>
            <w:pPr>
              <w:pStyle w:val="0"/>
            </w:pPr>
            <w:r>
              <w:rPr>
                <w:sz w:val="24"/>
              </w:rPr>
              <w:t xml:space="preserve">37.1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540" w:name="P29540"/>
          <w:bookmarkEnd w:id="29540"/>
          <w:p>
            <w:pPr>
              <w:pStyle w:val="0"/>
            </w:pPr>
            <w:r>
              <w:rPr>
                <w:sz w:val="24"/>
              </w:rPr>
              <w:t xml:space="preserve">38</w:t>
            </w:r>
          </w:p>
        </w:tc>
        <w:tc>
          <w:tcPr>
            <w:gridSpan w:val="4"/>
            <w:tcW w:w="2923" w:type="dxa"/>
          </w:tcPr>
          <w:p>
            <w:pPr>
              <w:pStyle w:val="0"/>
            </w:pPr>
            <w:r>
              <w:rPr>
                <w:sz w:val="24"/>
              </w:rPr>
              <w:t xml:space="preserve">Резерв инвестиционных обязательств</w:t>
            </w:r>
          </w:p>
        </w:tc>
        <w:tc>
          <w:tcPr>
            <w:gridSpan w:val="2"/>
            <w:tcW w:w="2608" w:type="dxa"/>
          </w:tcPr>
          <w:p>
            <w:pPr>
              <w:pStyle w:val="0"/>
            </w:pPr>
            <w:r>
              <w:rPr>
                <w:sz w:val="24"/>
              </w:rPr>
            </w:r>
          </w:p>
        </w:tc>
        <w:tc>
          <w:tcPr>
            <w:tcW w:w="2633" w:type="dxa"/>
          </w:tcPr>
          <w:p>
            <w:pPr>
              <w:pStyle w:val="0"/>
            </w:pPr>
            <w:r>
              <w:rPr>
                <w:sz w:val="24"/>
              </w:rPr>
              <w:t xml:space="preserve">ins-dic:RezervInvestObyaz</w:t>
            </w:r>
          </w:p>
        </w:tc>
      </w:tr>
      <w:tr>
        <w:tc>
          <w:tcPr>
            <w:tcW w:w="907" w:type="dxa"/>
          </w:tcPr>
          <w:p>
            <w:pPr>
              <w:pStyle w:val="0"/>
            </w:pPr>
            <w:r>
              <w:rPr>
                <w:sz w:val="24"/>
              </w:rPr>
              <w:t xml:space="preserve">38.1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39</w:t>
            </w:r>
          </w:p>
        </w:tc>
        <w:tc>
          <w:tcPr>
            <w:gridSpan w:val="4"/>
            <w:tcW w:w="2923" w:type="dxa"/>
          </w:tcPr>
          <w:p>
            <w:pPr>
              <w:pStyle w:val="0"/>
            </w:pPr>
            <w:r>
              <w:rPr>
                <w:sz w:val="24"/>
              </w:rPr>
              <w:t xml:space="preserve">Страховые резервы, всего</w:t>
            </w:r>
          </w:p>
        </w:tc>
        <w:tc>
          <w:tcPr>
            <w:gridSpan w:val="2"/>
            <w:tcW w:w="2608" w:type="dxa"/>
          </w:tcPr>
          <w:p>
            <w:pPr>
              <w:pStyle w:val="0"/>
            </w:pPr>
            <w:r>
              <w:rPr>
                <w:sz w:val="24"/>
              </w:rPr>
            </w:r>
          </w:p>
        </w:tc>
        <w:tc>
          <w:tcPr>
            <w:tcW w:w="2633" w:type="dxa"/>
          </w:tcPr>
          <w:p>
            <w:pPr>
              <w:pStyle w:val="0"/>
            </w:pPr>
            <w:r>
              <w:rPr>
                <w:sz w:val="24"/>
              </w:rPr>
              <w:t xml:space="preserve">ins-dic:Straxrez_Rt_Vsego</w:t>
            </w:r>
          </w:p>
        </w:tc>
      </w:tr>
      <w:tr>
        <w:tc>
          <w:tcPr>
            <w:tcW w:w="907" w:type="dxa"/>
          </w:tcPr>
          <w:p>
            <w:pPr>
              <w:pStyle w:val="0"/>
            </w:pPr>
            <w:r>
              <w:rPr>
                <w:sz w:val="24"/>
              </w:rPr>
              <w:t xml:space="preserve">39.1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39.2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40</w:t>
            </w:r>
          </w:p>
        </w:tc>
        <w:tc>
          <w:tcPr>
            <w:gridSpan w:val="4"/>
            <w:tcW w:w="2923" w:type="dxa"/>
          </w:tcPr>
          <w:p>
            <w:pPr>
              <w:pStyle w:val="0"/>
            </w:pPr>
            <w:r>
              <w:rPr>
                <w:sz w:val="24"/>
              </w:rPr>
              <w:t xml:space="preserve">Доля перестраховщиков в страховых резервах, всего</w:t>
            </w:r>
          </w:p>
        </w:tc>
        <w:tc>
          <w:tcPr>
            <w:gridSpan w:val="2"/>
            <w:tcW w:w="2608" w:type="dxa"/>
          </w:tcPr>
          <w:p>
            <w:pPr>
              <w:pStyle w:val="0"/>
            </w:pPr>
            <w:r>
              <w:rPr>
                <w:sz w:val="24"/>
              </w:rPr>
            </w:r>
          </w:p>
        </w:tc>
        <w:tc>
          <w:tcPr>
            <w:tcW w:w="2633" w:type="dxa"/>
          </w:tcPr>
          <w:p>
            <w:pPr>
              <w:pStyle w:val="0"/>
            </w:pPr>
            <w:r>
              <w:rPr>
                <w:sz w:val="24"/>
              </w:rPr>
              <w:t xml:space="preserve">ins-dic:VelichinaDoliPerestraxovshhikovVStraxRezItogo</w:t>
            </w:r>
          </w:p>
        </w:tc>
      </w:tr>
      <w:tr>
        <w:tc>
          <w:tcPr>
            <w:tcW w:w="907" w:type="dxa"/>
          </w:tcPr>
          <w:p>
            <w:pPr>
              <w:pStyle w:val="0"/>
            </w:pPr>
            <w:r>
              <w:rPr>
                <w:sz w:val="24"/>
              </w:rPr>
              <w:t xml:space="preserve">40.1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blPrEx>
          <w:tblBorders>
            <w:insideV w:val="nil"/>
          </w:tblBorders>
        </w:tblPrEx>
        <w:tc>
          <w:tcPr>
            <w:gridSpan w:val="3"/>
            <w:tcW w:w="1814" w:type="dxa"/>
            <w:tcBorders>
              <w:left w:val="single" w:sz="4"/>
            </w:tcBorders>
          </w:tcPr>
          <w:bookmarkStart w:id="29572" w:name="P29572"/>
          <w:bookmarkEnd w:id="29572"/>
          <w:p>
            <w:pPr>
              <w:pStyle w:val="0"/>
              <w:outlineLvl w:val="4"/>
            </w:pPr>
            <w:r>
              <w:rPr>
                <w:sz w:val="24"/>
              </w:rPr>
              <w:t xml:space="preserve">Подраздел 1.3.</w:t>
            </w:r>
          </w:p>
        </w:tc>
        <w:tc>
          <w:tcPr>
            <w:gridSpan w:val="5"/>
            <w:tcW w:w="7257" w:type="dxa"/>
            <w:tcBorders>
              <w:right w:val="single" w:sz="4"/>
            </w:tcBorders>
          </w:tcPr>
          <w:p>
            <w:pPr>
              <w:pStyle w:val="0"/>
            </w:pPr>
            <w:r>
              <w:rPr>
                <w:sz w:val="24"/>
              </w:rPr>
              <w:t xml:space="preserve">Страховые резервы, рассчитанные актуарными методами, согласованными с Банком России, по учетной группе (дополнительной учетной группе)</w:t>
            </w:r>
          </w:p>
        </w:tc>
      </w:tr>
      <w:tr>
        <w:tc>
          <w:tcPr>
            <w:tcW w:w="907" w:type="dxa"/>
          </w:tcPr>
          <w:p>
            <w:pPr>
              <w:pStyle w:val="0"/>
            </w:pPr>
            <w:r>
              <w:rPr>
                <w:sz w:val="24"/>
              </w:rPr>
              <w:t xml:space="preserve">41</w:t>
            </w:r>
          </w:p>
        </w:tc>
        <w:tc>
          <w:tcPr>
            <w:gridSpan w:val="4"/>
            <w:tcW w:w="2923" w:type="dxa"/>
          </w:tcPr>
          <w:p>
            <w:pPr>
              <w:pStyle w:val="0"/>
            </w:pPr>
            <w:r>
              <w:rPr>
                <w:sz w:val="24"/>
              </w:rPr>
              <w:t xml:space="preserve">Резерв премий, всего (актуарный)</w:t>
            </w:r>
          </w:p>
        </w:tc>
        <w:tc>
          <w:tcPr>
            <w:gridSpan w:val="2"/>
            <w:tcW w:w="2608" w:type="dxa"/>
          </w:tcPr>
          <w:p>
            <w:pPr>
              <w:pStyle w:val="0"/>
            </w:pPr>
            <w:r>
              <w:rPr>
                <w:sz w:val="24"/>
              </w:rPr>
            </w:r>
          </w:p>
        </w:tc>
        <w:tc>
          <w:tcPr>
            <w:tcW w:w="2633" w:type="dxa"/>
          </w:tcPr>
          <w:p>
            <w:pPr>
              <w:pStyle w:val="0"/>
            </w:pPr>
            <w:r>
              <w:rPr>
                <w:sz w:val="24"/>
              </w:rPr>
              <w:t xml:space="preserve">ins-dic:RezervPremijVsegoAktuarnyj</w:t>
            </w:r>
          </w:p>
        </w:tc>
      </w:tr>
      <w:tr>
        <w:tc>
          <w:tcPr>
            <w:tcW w:w="907" w:type="dxa"/>
          </w:tcPr>
          <w:p>
            <w:pPr>
              <w:pStyle w:val="0"/>
            </w:pPr>
            <w:r>
              <w:rPr>
                <w:sz w:val="24"/>
              </w:rPr>
              <w:t xml:space="preserve">41.1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dim-int:Perechen_Uchet_Gruppm_Axis</w:t>
            </w:r>
          </w:p>
        </w:tc>
      </w:tr>
      <w:tr>
        <w:tc>
          <w:tcPr>
            <w:tcW w:w="907" w:type="dxa"/>
          </w:tcPr>
          <w:p>
            <w:pPr>
              <w:pStyle w:val="0"/>
            </w:pPr>
            <w:r>
              <w:rPr>
                <w:sz w:val="24"/>
              </w:rPr>
              <w:t xml:space="preserve">41.2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586" w:name="P29586"/>
          <w:bookmarkEnd w:id="29586"/>
          <w:p>
            <w:pPr>
              <w:pStyle w:val="0"/>
            </w:pPr>
            <w:r>
              <w:rPr>
                <w:sz w:val="24"/>
              </w:rPr>
              <w:t xml:space="preserve">42</w:t>
            </w:r>
          </w:p>
        </w:tc>
        <w:tc>
          <w:tcPr>
            <w:gridSpan w:val="4"/>
            <w:tcW w:w="2923" w:type="dxa"/>
          </w:tcPr>
          <w:p>
            <w:pPr>
              <w:pStyle w:val="0"/>
            </w:pPr>
            <w:r>
              <w:rPr>
                <w:sz w:val="24"/>
              </w:rPr>
              <w:t xml:space="preserve">Оценка ожидаемой величины обязательств по резерву премий (ДПП) (актуарная)</w:t>
            </w:r>
          </w:p>
        </w:tc>
        <w:tc>
          <w:tcPr>
            <w:gridSpan w:val="2"/>
            <w:tcW w:w="2608" w:type="dxa"/>
          </w:tcPr>
          <w:p>
            <w:pPr>
              <w:pStyle w:val="0"/>
            </w:pPr>
            <w:r>
              <w:rPr>
                <w:sz w:val="24"/>
              </w:rPr>
            </w:r>
          </w:p>
        </w:tc>
        <w:tc>
          <w:tcPr>
            <w:tcW w:w="2633" w:type="dxa"/>
          </w:tcPr>
          <w:p>
            <w:pPr>
              <w:pStyle w:val="0"/>
            </w:pPr>
            <w:r>
              <w:rPr>
                <w:sz w:val="24"/>
              </w:rPr>
              <w:t xml:space="preserve">ins-dic:RezervPremijOczenkaOzhidVelichinyObyazPoRP_DPPAktuarnaya</w:t>
            </w:r>
          </w:p>
        </w:tc>
      </w:tr>
      <w:tr>
        <w:tc>
          <w:tcPr>
            <w:tcW w:w="907" w:type="dxa"/>
          </w:tcPr>
          <w:p>
            <w:pPr>
              <w:pStyle w:val="0"/>
            </w:pPr>
            <w:r>
              <w:rPr>
                <w:sz w:val="24"/>
              </w:rPr>
              <w:t xml:space="preserve">42.1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43</w:t>
            </w:r>
          </w:p>
        </w:tc>
        <w:tc>
          <w:tcPr>
            <w:gridSpan w:val="4"/>
            <w:tcW w:w="2923" w:type="dxa"/>
          </w:tcPr>
          <w:p>
            <w:pPr>
              <w:pStyle w:val="0"/>
            </w:pPr>
            <w:r>
              <w:rPr>
                <w:sz w:val="24"/>
              </w:rPr>
              <w:t xml:space="preserve">Оценка рисковой маржи в резерве премий (РМП) (актуарная)</w:t>
            </w:r>
          </w:p>
        </w:tc>
        <w:tc>
          <w:tcPr>
            <w:gridSpan w:val="2"/>
            <w:tcW w:w="2608" w:type="dxa"/>
          </w:tcPr>
          <w:p>
            <w:pPr>
              <w:pStyle w:val="0"/>
            </w:pPr>
            <w:r>
              <w:rPr>
                <w:sz w:val="24"/>
              </w:rPr>
            </w:r>
          </w:p>
        </w:tc>
        <w:tc>
          <w:tcPr>
            <w:tcW w:w="2633" w:type="dxa"/>
          </w:tcPr>
          <w:p>
            <w:pPr>
              <w:pStyle w:val="0"/>
            </w:pPr>
            <w:r>
              <w:rPr>
                <w:sz w:val="24"/>
              </w:rPr>
              <w:t xml:space="preserve">ins-dic:RezervPremijOczenkaRiskovojMarzhiVRP_RMPAktuarnaya</w:t>
            </w:r>
          </w:p>
        </w:tc>
      </w:tr>
      <w:tr>
        <w:tc>
          <w:tcPr>
            <w:tcW w:w="907" w:type="dxa"/>
          </w:tcPr>
          <w:p>
            <w:pPr>
              <w:pStyle w:val="0"/>
            </w:pPr>
            <w:r>
              <w:rPr>
                <w:sz w:val="24"/>
              </w:rPr>
              <w:t xml:space="preserve">43.1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44</w:t>
            </w:r>
          </w:p>
        </w:tc>
        <w:tc>
          <w:tcPr>
            <w:gridSpan w:val="4"/>
            <w:tcW w:w="2923" w:type="dxa"/>
          </w:tcPr>
          <w:p>
            <w:pPr>
              <w:pStyle w:val="0"/>
            </w:pPr>
            <w:r>
              <w:rPr>
                <w:sz w:val="24"/>
              </w:rPr>
              <w:t xml:space="preserve">Доля перестраховщиков в резерве премий (актуарная)</w:t>
            </w:r>
          </w:p>
        </w:tc>
        <w:tc>
          <w:tcPr>
            <w:gridSpan w:val="2"/>
            <w:tcW w:w="2608" w:type="dxa"/>
          </w:tcPr>
          <w:p>
            <w:pPr>
              <w:pStyle w:val="0"/>
            </w:pPr>
            <w:r>
              <w:rPr>
                <w:sz w:val="24"/>
              </w:rPr>
            </w:r>
          </w:p>
        </w:tc>
        <w:tc>
          <w:tcPr>
            <w:tcW w:w="2633" w:type="dxa"/>
          </w:tcPr>
          <w:p>
            <w:pPr>
              <w:pStyle w:val="0"/>
            </w:pPr>
            <w:r>
              <w:rPr>
                <w:sz w:val="24"/>
              </w:rPr>
              <w:t xml:space="preserve">ins-dic:DolyaPerestraxovshhikovVRPAktuarnaya</w:t>
            </w:r>
          </w:p>
        </w:tc>
      </w:tr>
      <w:tr>
        <w:tc>
          <w:tcPr>
            <w:tcW w:w="907" w:type="dxa"/>
          </w:tcPr>
          <w:p>
            <w:pPr>
              <w:pStyle w:val="0"/>
            </w:pPr>
            <w:r>
              <w:rPr>
                <w:sz w:val="24"/>
              </w:rPr>
              <w:t xml:space="preserve">44.1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622" w:name="P29622"/>
          <w:bookmarkEnd w:id="29622"/>
          <w:p>
            <w:pPr>
              <w:pStyle w:val="0"/>
            </w:pPr>
            <w:r>
              <w:rPr>
                <w:sz w:val="24"/>
              </w:rPr>
              <w:t xml:space="preserve">45</w:t>
            </w:r>
          </w:p>
        </w:tc>
        <w:tc>
          <w:tcPr>
            <w:gridSpan w:val="4"/>
            <w:tcW w:w="2923" w:type="dxa"/>
          </w:tcPr>
          <w:p>
            <w:pPr>
              <w:pStyle w:val="0"/>
            </w:pPr>
            <w:r>
              <w:rPr>
                <w:sz w:val="24"/>
              </w:rPr>
              <w:t xml:space="preserve">Сумма СПРП</w:t>
            </w:r>
            <w:r>
              <w:rPr>
                <w:sz w:val="24"/>
                <w:vertAlign w:val="superscript"/>
              </w:rPr>
              <w:t xml:space="preserve">НО</w:t>
            </w:r>
            <w:r>
              <w:rPr>
                <w:sz w:val="24"/>
              </w:rPr>
              <w:t xml:space="preserve"> по договорам исходящего перестрахования (актуарная)</w:t>
            </w:r>
          </w:p>
        </w:tc>
        <w:tc>
          <w:tcPr>
            <w:gridSpan w:val="2"/>
            <w:tcW w:w="2608" w:type="dxa"/>
          </w:tcPr>
          <w:p>
            <w:pPr>
              <w:pStyle w:val="0"/>
            </w:pPr>
            <w:r>
              <w:rPr>
                <w:sz w:val="24"/>
              </w:rPr>
            </w:r>
          </w:p>
        </w:tc>
        <w:tc>
          <w:tcPr>
            <w:tcW w:w="2633" w:type="dxa"/>
          </w:tcPr>
          <w:p>
            <w:pPr>
              <w:pStyle w:val="0"/>
            </w:pPr>
            <w:r>
              <w:rPr>
                <w:sz w:val="24"/>
              </w:rPr>
              <w:t xml:space="preserve">ins-dic:SumSPRPNOPoDogIsxodPerestraxAktuarnaya</w:t>
            </w:r>
          </w:p>
        </w:tc>
      </w:tr>
      <w:tr>
        <w:tc>
          <w:tcPr>
            <w:tcW w:w="907" w:type="dxa"/>
          </w:tcPr>
          <w:p>
            <w:pPr>
              <w:pStyle w:val="0"/>
            </w:pPr>
            <w:r>
              <w:rPr>
                <w:sz w:val="24"/>
              </w:rPr>
              <w:t xml:space="preserve">45.1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46</w:t>
            </w:r>
          </w:p>
        </w:tc>
        <w:tc>
          <w:tcPr>
            <w:gridSpan w:val="4"/>
            <w:tcW w:w="2923" w:type="dxa"/>
          </w:tcPr>
          <w:p>
            <w:pPr>
              <w:pStyle w:val="0"/>
            </w:pPr>
            <w:r>
              <w:rPr>
                <w:sz w:val="24"/>
              </w:rPr>
              <w:t xml:space="preserve">Корректировка на риск неплатежа по резерву премий (КРНП) (актуарная)</w:t>
            </w:r>
          </w:p>
        </w:tc>
        <w:tc>
          <w:tcPr>
            <w:gridSpan w:val="2"/>
            <w:tcW w:w="2608" w:type="dxa"/>
          </w:tcPr>
          <w:p>
            <w:pPr>
              <w:pStyle w:val="0"/>
            </w:pPr>
            <w:r>
              <w:rPr>
                <w:sz w:val="24"/>
              </w:rPr>
            </w:r>
          </w:p>
        </w:tc>
        <w:tc>
          <w:tcPr>
            <w:tcW w:w="2633" w:type="dxa"/>
          </w:tcPr>
          <w:p>
            <w:pPr>
              <w:pStyle w:val="0"/>
            </w:pPr>
            <w:r>
              <w:rPr>
                <w:sz w:val="24"/>
              </w:rPr>
              <w:t xml:space="preserve">ins-dic:KorrektirovkaNaRiskNeplatezhaPoRP_KRNPAktuarnaya</w:t>
            </w:r>
          </w:p>
        </w:tc>
      </w:tr>
      <w:tr>
        <w:tc>
          <w:tcPr>
            <w:tcW w:w="907" w:type="dxa"/>
          </w:tcPr>
          <w:p>
            <w:pPr>
              <w:pStyle w:val="0"/>
            </w:pPr>
            <w:r>
              <w:rPr>
                <w:sz w:val="24"/>
              </w:rPr>
              <w:t xml:space="preserve">46.1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47</w:t>
            </w:r>
          </w:p>
        </w:tc>
        <w:tc>
          <w:tcPr>
            <w:gridSpan w:val="4"/>
            <w:tcW w:w="2923" w:type="dxa"/>
          </w:tcPr>
          <w:p>
            <w:pPr>
              <w:pStyle w:val="0"/>
            </w:pPr>
            <w:r>
              <w:rPr>
                <w:sz w:val="24"/>
              </w:rPr>
              <w:t xml:space="preserve">Резерв убытков, всего (актуарный)</w:t>
            </w:r>
          </w:p>
        </w:tc>
        <w:tc>
          <w:tcPr>
            <w:gridSpan w:val="2"/>
            <w:tcW w:w="2608" w:type="dxa"/>
          </w:tcPr>
          <w:p>
            <w:pPr>
              <w:pStyle w:val="0"/>
            </w:pPr>
            <w:r>
              <w:rPr>
                <w:sz w:val="24"/>
              </w:rPr>
            </w:r>
          </w:p>
        </w:tc>
        <w:tc>
          <w:tcPr>
            <w:tcW w:w="2633" w:type="dxa"/>
          </w:tcPr>
          <w:p>
            <w:pPr>
              <w:pStyle w:val="0"/>
            </w:pPr>
            <w:r>
              <w:rPr>
                <w:sz w:val="24"/>
              </w:rPr>
              <w:t xml:space="preserve">ins-dic:RezervUbytkovVsegoAktuarnyj</w:t>
            </w:r>
          </w:p>
        </w:tc>
      </w:tr>
      <w:tr>
        <w:tc>
          <w:tcPr>
            <w:tcW w:w="907" w:type="dxa"/>
          </w:tcPr>
          <w:p>
            <w:pPr>
              <w:pStyle w:val="0"/>
            </w:pPr>
            <w:r>
              <w:rPr>
                <w:sz w:val="24"/>
              </w:rPr>
              <w:t xml:space="preserve">47.1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658" w:name="P29658"/>
          <w:bookmarkEnd w:id="29658"/>
          <w:p>
            <w:pPr>
              <w:pStyle w:val="0"/>
            </w:pPr>
            <w:r>
              <w:rPr>
                <w:sz w:val="24"/>
              </w:rPr>
              <w:t xml:space="preserve">48</w:t>
            </w:r>
          </w:p>
        </w:tc>
        <w:tc>
          <w:tcPr>
            <w:gridSpan w:val="4"/>
            <w:tcW w:w="2923" w:type="dxa"/>
          </w:tcPr>
          <w:p>
            <w:pPr>
              <w:pStyle w:val="0"/>
            </w:pPr>
            <w:r>
              <w:rPr>
                <w:sz w:val="24"/>
              </w:rPr>
              <w:t xml:space="preserve">Оценка ожидаемой величины обязательств по резерву убытков (ДПУ) (актуарная)</w:t>
            </w:r>
          </w:p>
        </w:tc>
        <w:tc>
          <w:tcPr>
            <w:gridSpan w:val="2"/>
            <w:tcW w:w="2608" w:type="dxa"/>
          </w:tcPr>
          <w:p>
            <w:pPr>
              <w:pStyle w:val="0"/>
            </w:pPr>
            <w:r>
              <w:rPr>
                <w:sz w:val="24"/>
              </w:rPr>
            </w:r>
          </w:p>
        </w:tc>
        <w:tc>
          <w:tcPr>
            <w:tcW w:w="2633" w:type="dxa"/>
          </w:tcPr>
          <w:p>
            <w:pPr>
              <w:pStyle w:val="0"/>
            </w:pPr>
            <w:r>
              <w:rPr>
                <w:sz w:val="24"/>
              </w:rPr>
              <w:t xml:space="preserve">ins-dic:RezervUbytkovOczenkaOzhidVelichinyObyazPoRU_DPUAktuarnaya</w:t>
            </w:r>
          </w:p>
        </w:tc>
      </w:tr>
      <w:tr>
        <w:tc>
          <w:tcPr>
            <w:tcW w:w="907" w:type="dxa"/>
          </w:tcPr>
          <w:p>
            <w:pPr>
              <w:pStyle w:val="0"/>
            </w:pPr>
            <w:r>
              <w:rPr>
                <w:sz w:val="24"/>
              </w:rPr>
              <w:t xml:space="preserve">48.1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49</w:t>
            </w:r>
          </w:p>
        </w:tc>
        <w:tc>
          <w:tcPr>
            <w:gridSpan w:val="4"/>
            <w:tcW w:w="2923" w:type="dxa"/>
          </w:tcPr>
          <w:p>
            <w:pPr>
              <w:pStyle w:val="0"/>
            </w:pPr>
            <w:r>
              <w:rPr>
                <w:sz w:val="24"/>
              </w:rPr>
              <w:t xml:space="preserve">Оценка рисковой маржи в резерве убытков (РМУ) (актуарная)</w:t>
            </w:r>
          </w:p>
        </w:tc>
        <w:tc>
          <w:tcPr>
            <w:gridSpan w:val="2"/>
            <w:tcW w:w="2608" w:type="dxa"/>
          </w:tcPr>
          <w:p>
            <w:pPr>
              <w:pStyle w:val="0"/>
            </w:pPr>
            <w:r>
              <w:rPr>
                <w:sz w:val="24"/>
              </w:rPr>
            </w:r>
          </w:p>
        </w:tc>
        <w:tc>
          <w:tcPr>
            <w:tcW w:w="2633" w:type="dxa"/>
          </w:tcPr>
          <w:p>
            <w:pPr>
              <w:pStyle w:val="0"/>
            </w:pPr>
            <w:r>
              <w:rPr>
                <w:sz w:val="24"/>
              </w:rPr>
              <w:t xml:space="preserve">ins-dic:RezervUbytkovOczenkaRiskMarzhiVRU_RMUAktuarnaya</w:t>
            </w:r>
          </w:p>
        </w:tc>
      </w:tr>
      <w:tr>
        <w:tc>
          <w:tcPr>
            <w:tcW w:w="907" w:type="dxa"/>
          </w:tcPr>
          <w:p>
            <w:pPr>
              <w:pStyle w:val="0"/>
            </w:pPr>
            <w:r>
              <w:rPr>
                <w:sz w:val="24"/>
              </w:rPr>
              <w:t xml:space="preserve">49.1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49.2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50</w:t>
            </w:r>
          </w:p>
        </w:tc>
        <w:tc>
          <w:tcPr>
            <w:gridSpan w:val="4"/>
            <w:tcW w:w="2923" w:type="dxa"/>
          </w:tcPr>
          <w:p>
            <w:pPr>
              <w:pStyle w:val="0"/>
            </w:pPr>
            <w:r>
              <w:rPr>
                <w:sz w:val="24"/>
              </w:rPr>
              <w:t xml:space="preserve">Доля перестраховщиков в резерве убытков (актуарная)</w:t>
            </w:r>
          </w:p>
        </w:tc>
        <w:tc>
          <w:tcPr>
            <w:gridSpan w:val="2"/>
            <w:tcW w:w="2608" w:type="dxa"/>
          </w:tcPr>
          <w:p>
            <w:pPr>
              <w:pStyle w:val="0"/>
            </w:pPr>
            <w:r>
              <w:rPr>
                <w:sz w:val="24"/>
              </w:rPr>
            </w:r>
          </w:p>
        </w:tc>
        <w:tc>
          <w:tcPr>
            <w:tcW w:w="2633" w:type="dxa"/>
          </w:tcPr>
          <w:p>
            <w:pPr>
              <w:pStyle w:val="0"/>
            </w:pPr>
            <w:r>
              <w:rPr>
                <w:sz w:val="24"/>
              </w:rPr>
              <w:t xml:space="preserve">ins-dic:DolyaPerestraxVRUAktuarnaya</w:t>
            </w:r>
          </w:p>
        </w:tc>
      </w:tr>
      <w:tr>
        <w:tc>
          <w:tcPr>
            <w:tcW w:w="907" w:type="dxa"/>
          </w:tcPr>
          <w:p>
            <w:pPr>
              <w:pStyle w:val="0"/>
            </w:pPr>
            <w:r>
              <w:rPr>
                <w:sz w:val="24"/>
              </w:rPr>
              <w:t xml:space="preserve">50.1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694" w:name="P29694"/>
          <w:bookmarkEnd w:id="29694"/>
          <w:p>
            <w:pPr>
              <w:pStyle w:val="0"/>
            </w:pPr>
            <w:r>
              <w:rPr>
                <w:sz w:val="24"/>
              </w:rPr>
              <w:t xml:space="preserve">51</w:t>
            </w:r>
          </w:p>
        </w:tc>
        <w:tc>
          <w:tcPr>
            <w:gridSpan w:val="4"/>
            <w:tcW w:w="2923" w:type="dxa"/>
          </w:tcPr>
          <w:p>
            <w:pPr>
              <w:pStyle w:val="0"/>
            </w:pPr>
            <w:r>
              <w:rPr>
                <w:sz w:val="24"/>
              </w:rPr>
              <w:t xml:space="preserve">Сумма СПРУ</w:t>
            </w:r>
            <w:r>
              <w:rPr>
                <w:sz w:val="24"/>
                <w:vertAlign w:val="superscript"/>
              </w:rPr>
              <w:t xml:space="preserve">НО</w:t>
            </w:r>
            <w:r>
              <w:rPr>
                <w:sz w:val="24"/>
              </w:rPr>
              <w:t xml:space="preserve"> по договорам исходящего перестрахования (актуарная)</w:t>
            </w:r>
          </w:p>
        </w:tc>
        <w:tc>
          <w:tcPr>
            <w:gridSpan w:val="2"/>
            <w:tcW w:w="2608" w:type="dxa"/>
          </w:tcPr>
          <w:p>
            <w:pPr>
              <w:pStyle w:val="0"/>
            </w:pPr>
            <w:r>
              <w:rPr>
                <w:sz w:val="24"/>
              </w:rPr>
            </w:r>
          </w:p>
        </w:tc>
        <w:tc>
          <w:tcPr>
            <w:tcW w:w="2633" w:type="dxa"/>
          </w:tcPr>
          <w:p>
            <w:pPr>
              <w:pStyle w:val="0"/>
            </w:pPr>
            <w:r>
              <w:rPr>
                <w:sz w:val="24"/>
              </w:rPr>
              <w:t xml:space="preserve">ins-dic:SumSPRUNOPoDogIsxodPerestraxAktuarnaya</w:t>
            </w:r>
          </w:p>
        </w:tc>
      </w:tr>
      <w:tr>
        <w:tc>
          <w:tcPr>
            <w:tcW w:w="907" w:type="dxa"/>
          </w:tcPr>
          <w:p>
            <w:pPr>
              <w:pStyle w:val="0"/>
            </w:pPr>
            <w:r>
              <w:rPr>
                <w:sz w:val="24"/>
              </w:rPr>
              <w:t xml:space="preserve">51.1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52</w:t>
            </w:r>
          </w:p>
        </w:tc>
        <w:tc>
          <w:tcPr>
            <w:gridSpan w:val="4"/>
            <w:tcW w:w="2923" w:type="dxa"/>
          </w:tcPr>
          <w:p>
            <w:pPr>
              <w:pStyle w:val="0"/>
            </w:pPr>
            <w:r>
              <w:rPr>
                <w:sz w:val="24"/>
              </w:rPr>
              <w:t xml:space="preserve">Корректировка на риск неплатежа по резерву убытков (КРНУ) (актуарная)</w:t>
            </w:r>
          </w:p>
        </w:tc>
        <w:tc>
          <w:tcPr>
            <w:gridSpan w:val="2"/>
            <w:tcW w:w="2608" w:type="dxa"/>
          </w:tcPr>
          <w:p>
            <w:pPr>
              <w:pStyle w:val="0"/>
            </w:pPr>
            <w:r>
              <w:rPr>
                <w:sz w:val="24"/>
              </w:rPr>
            </w:r>
          </w:p>
        </w:tc>
        <w:tc>
          <w:tcPr>
            <w:tcW w:w="2633" w:type="dxa"/>
          </w:tcPr>
          <w:p>
            <w:pPr>
              <w:pStyle w:val="0"/>
            </w:pPr>
            <w:r>
              <w:rPr>
                <w:sz w:val="24"/>
              </w:rPr>
              <w:t xml:space="preserve">ins-dic:KorrektirovkaNaRiskNeplatezhaPoRU_KRNUAktuarnaya</w:t>
            </w:r>
          </w:p>
        </w:tc>
      </w:tr>
      <w:tr>
        <w:tc>
          <w:tcPr>
            <w:tcW w:w="907" w:type="dxa"/>
          </w:tcPr>
          <w:p>
            <w:pPr>
              <w:pStyle w:val="0"/>
            </w:pPr>
            <w:r>
              <w:rPr>
                <w:sz w:val="24"/>
              </w:rPr>
              <w:t xml:space="preserve">52.1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718" w:name="P29718"/>
          <w:bookmarkEnd w:id="29718"/>
          <w:p>
            <w:pPr>
              <w:pStyle w:val="0"/>
            </w:pPr>
            <w:r>
              <w:rPr>
                <w:sz w:val="24"/>
              </w:rPr>
              <w:t xml:space="preserve">53</w:t>
            </w:r>
          </w:p>
        </w:tc>
        <w:tc>
          <w:tcPr>
            <w:gridSpan w:val="4"/>
            <w:tcW w:w="2923" w:type="dxa"/>
          </w:tcPr>
          <w:p>
            <w:pPr>
              <w:pStyle w:val="0"/>
            </w:pPr>
            <w:r>
              <w:rPr>
                <w:sz w:val="24"/>
              </w:rPr>
              <w:t xml:space="preserve">Стабилизационный резерв (актуарный)</w:t>
            </w:r>
          </w:p>
        </w:tc>
        <w:tc>
          <w:tcPr>
            <w:gridSpan w:val="2"/>
            <w:tcW w:w="2608" w:type="dxa"/>
          </w:tcPr>
          <w:p>
            <w:pPr>
              <w:pStyle w:val="0"/>
            </w:pPr>
            <w:r>
              <w:rPr>
                <w:sz w:val="24"/>
              </w:rPr>
            </w:r>
          </w:p>
        </w:tc>
        <w:tc>
          <w:tcPr>
            <w:tcW w:w="2633" w:type="dxa"/>
          </w:tcPr>
          <w:p>
            <w:pPr>
              <w:pStyle w:val="0"/>
            </w:pPr>
            <w:r>
              <w:rPr>
                <w:sz w:val="24"/>
              </w:rPr>
              <w:t xml:space="preserve">ins-dic:Nzh_Stab_Rez_Aktuarnyj</w:t>
            </w:r>
          </w:p>
        </w:tc>
      </w:tr>
      <w:tr>
        <w:tc>
          <w:tcPr>
            <w:tcW w:w="907" w:type="dxa"/>
          </w:tcPr>
          <w:p>
            <w:pPr>
              <w:pStyle w:val="0"/>
            </w:pPr>
            <w:r>
              <w:rPr>
                <w:sz w:val="24"/>
              </w:rPr>
              <w:t xml:space="preserve">53.1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29726" w:name="P29726"/>
          <w:bookmarkEnd w:id="29726"/>
          <w:p>
            <w:pPr>
              <w:pStyle w:val="0"/>
            </w:pPr>
            <w:r>
              <w:rPr>
                <w:sz w:val="24"/>
              </w:rPr>
              <w:t xml:space="preserve">54</w:t>
            </w:r>
          </w:p>
        </w:tc>
        <w:tc>
          <w:tcPr>
            <w:gridSpan w:val="4"/>
            <w:tcW w:w="2923" w:type="dxa"/>
          </w:tcPr>
          <w:p>
            <w:pPr>
              <w:pStyle w:val="0"/>
            </w:pPr>
            <w:r>
              <w:rPr>
                <w:sz w:val="24"/>
              </w:rPr>
              <w:t xml:space="preserve">Резерв по прямому возмещению убытков (РПВУ) (актуарный)</w:t>
            </w:r>
          </w:p>
        </w:tc>
        <w:tc>
          <w:tcPr>
            <w:gridSpan w:val="2"/>
            <w:tcW w:w="2608" w:type="dxa"/>
          </w:tcPr>
          <w:p>
            <w:pPr>
              <w:pStyle w:val="0"/>
            </w:pPr>
            <w:r>
              <w:rPr>
                <w:sz w:val="24"/>
              </w:rPr>
            </w:r>
          </w:p>
        </w:tc>
        <w:tc>
          <w:tcPr>
            <w:tcW w:w="2633" w:type="dxa"/>
          </w:tcPr>
          <w:p>
            <w:pPr>
              <w:pStyle w:val="0"/>
            </w:pPr>
            <w:r>
              <w:rPr>
                <w:sz w:val="24"/>
              </w:rPr>
              <w:t xml:space="preserve">ins-dic:RezervPoPryamVozmeshhUbytkov_RPVLUAktuarnyj</w:t>
            </w:r>
          </w:p>
        </w:tc>
      </w:tr>
      <w:tr>
        <w:tc>
          <w:tcPr>
            <w:tcW w:w="907" w:type="dxa"/>
          </w:tcPr>
          <w:p>
            <w:pPr>
              <w:pStyle w:val="0"/>
            </w:pPr>
            <w:r>
              <w:rPr>
                <w:sz w:val="24"/>
              </w:rPr>
              <w:t xml:space="preserve">54.1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738" w:name="P29738"/>
          <w:bookmarkEnd w:id="29738"/>
          <w:p>
            <w:pPr>
              <w:pStyle w:val="0"/>
            </w:pPr>
            <w:r>
              <w:rPr>
                <w:sz w:val="24"/>
              </w:rPr>
              <w:t xml:space="preserve">55</w:t>
            </w:r>
          </w:p>
        </w:tc>
        <w:tc>
          <w:tcPr>
            <w:gridSpan w:val="4"/>
            <w:tcW w:w="2923" w:type="dxa"/>
          </w:tcPr>
          <w:p>
            <w:pPr>
              <w:pStyle w:val="0"/>
            </w:pPr>
            <w:r>
              <w:rPr>
                <w:sz w:val="24"/>
              </w:rPr>
              <w:t xml:space="preserve">Доля перестраховщиков в резерве по прямому возмещению убытков (ДРПВУ) (актуарная)</w:t>
            </w:r>
          </w:p>
        </w:tc>
        <w:tc>
          <w:tcPr>
            <w:gridSpan w:val="2"/>
            <w:tcW w:w="2608" w:type="dxa"/>
          </w:tcPr>
          <w:p>
            <w:pPr>
              <w:pStyle w:val="0"/>
            </w:pPr>
            <w:r>
              <w:rPr>
                <w:sz w:val="24"/>
              </w:rPr>
            </w:r>
          </w:p>
        </w:tc>
        <w:tc>
          <w:tcPr>
            <w:tcW w:w="2633" w:type="dxa"/>
          </w:tcPr>
          <w:p>
            <w:pPr>
              <w:pStyle w:val="0"/>
            </w:pPr>
            <w:r>
              <w:rPr>
                <w:sz w:val="24"/>
              </w:rPr>
              <w:t xml:space="preserve">ins-dic:DolyaPerestraxovshhikovVRPVUAktuarnaya</w:t>
            </w:r>
          </w:p>
        </w:tc>
      </w:tr>
      <w:tr>
        <w:tc>
          <w:tcPr>
            <w:tcW w:w="907" w:type="dxa"/>
          </w:tcPr>
          <w:p>
            <w:pPr>
              <w:pStyle w:val="0"/>
            </w:pPr>
            <w:r>
              <w:rPr>
                <w:sz w:val="24"/>
              </w:rPr>
              <w:t xml:space="preserve">55.1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750" w:name="P29750"/>
          <w:bookmarkEnd w:id="29750"/>
          <w:p>
            <w:pPr>
              <w:pStyle w:val="0"/>
            </w:pPr>
            <w:r>
              <w:rPr>
                <w:sz w:val="24"/>
              </w:rPr>
              <w:t xml:space="preserve">56</w:t>
            </w:r>
          </w:p>
        </w:tc>
        <w:tc>
          <w:tcPr>
            <w:gridSpan w:val="4"/>
            <w:tcW w:w="2923" w:type="dxa"/>
          </w:tcPr>
          <w:p>
            <w:pPr>
              <w:pStyle w:val="0"/>
            </w:pPr>
            <w:r>
              <w:rPr>
                <w:sz w:val="24"/>
              </w:rPr>
              <w:t xml:space="preserve">Сумма СПРПВУ</w:t>
            </w:r>
            <w:r>
              <w:rPr>
                <w:sz w:val="24"/>
                <w:vertAlign w:val="superscript"/>
              </w:rPr>
              <w:t xml:space="preserve">НО</w:t>
            </w:r>
            <w:r>
              <w:rPr>
                <w:sz w:val="24"/>
              </w:rPr>
              <w:t xml:space="preserve"> по договорам исходящего перестрахования (актуарная)</w:t>
            </w:r>
          </w:p>
        </w:tc>
        <w:tc>
          <w:tcPr>
            <w:gridSpan w:val="2"/>
            <w:tcW w:w="2608" w:type="dxa"/>
          </w:tcPr>
          <w:p>
            <w:pPr>
              <w:pStyle w:val="0"/>
            </w:pPr>
            <w:r>
              <w:rPr>
                <w:sz w:val="24"/>
              </w:rPr>
            </w:r>
          </w:p>
        </w:tc>
        <w:tc>
          <w:tcPr>
            <w:tcW w:w="2633" w:type="dxa"/>
          </w:tcPr>
          <w:p>
            <w:pPr>
              <w:pStyle w:val="0"/>
            </w:pPr>
            <w:r>
              <w:rPr>
                <w:sz w:val="24"/>
              </w:rPr>
              <w:t xml:space="preserve">ins-dic:SumSPRPVUNOPoDogIsxodPerestraxovaniyaAktuarnaya</w:t>
            </w:r>
          </w:p>
        </w:tc>
      </w:tr>
      <w:tr>
        <w:tc>
          <w:tcPr>
            <w:tcW w:w="907" w:type="dxa"/>
          </w:tcPr>
          <w:p>
            <w:pPr>
              <w:pStyle w:val="0"/>
            </w:pPr>
            <w:r>
              <w:rPr>
                <w:sz w:val="24"/>
              </w:rPr>
              <w:t xml:space="preserve">56.1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762" w:name="P29762"/>
          <w:bookmarkEnd w:id="29762"/>
          <w:p>
            <w:pPr>
              <w:pStyle w:val="0"/>
            </w:pPr>
            <w:r>
              <w:rPr>
                <w:sz w:val="24"/>
              </w:rPr>
              <w:t xml:space="preserve">57</w:t>
            </w:r>
          </w:p>
        </w:tc>
        <w:tc>
          <w:tcPr>
            <w:gridSpan w:val="4"/>
            <w:tcW w:w="2923" w:type="dxa"/>
          </w:tcPr>
          <w:p>
            <w:pPr>
              <w:pStyle w:val="0"/>
            </w:pPr>
            <w:r>
              <w:rPr>
                <w:sz w:val="24"/>
              </w:rPr>
              <w:t xml:space="preserve">Корректировка на риск неплатежа по резерву по прямому возмещению убытков (КРНПВУ) (актуарная)</w:t>
            </w:r>
          </w:p>
        </w:tc>
        <w:tc>
          <w:tcPr>
            <w:gridSpan w:val="2"/>
            <w:tcW w:w="2608" w:type="dxa"/>
          </w:tcPr>
          <w:p>
            <w:pPr>
              <w:pStyle w:val="0"/>
            </w:pPr>
            <w:r>
              <w:rPr>
                <w:sz w:val="24"/>
              </w:rPr>
            </w:r>
          </w:p>
        </w:tc>
        <w:tc>
          <w:tcPr>
            <w:tcW w:w="2633" w:type="dxa"/>
          </w:tcPr>
          <w:p>
            <w:pPr>
              <w:pStyle w:val="0"/>
            </w:pPr>
            <w:r>
              <w:rPr>
                <w:sz w:val="24"/>
              </w:rPr>
              <w:t xml:space="preserve">ins-dic:KorrektirovkaNaRiskNeplatezhaPoRPVU_KRNPVUAktuarnaya</w:t>
            </w:r>
          </w:p>
        </w:tc>
      </w:tr>
      <w:tr>
        <w:tc>
          <w:tcPr>
            <w:tcW w:w="907" w:type="dxa"/>
          </w:tcPr>
          <w:p>
            <w:pPr>
              <w:pStyle w:val="0"/>
            </w:pPr>
            <w:r>
              <w:rPr>
                <w:sz w:val="24"/>
              </w:rPr>
              <w:t xml:space="preserve">57.1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774" w:name="P29774"/>
          <w:bookmarkEnd w:id="29774"/>
          <w:p>
            <w:pPr>
              <w:pStyle w:val="0"/>
            </w:pPr>
            <w:r>
              <w:rPr>
                <w:sz w:val="24"/>
              </w:rPr>
              <w:t xml:space="preserve">58</w:t>
            </w:r>
          </w:p>
        </w:tc>
        <w:tc>
          <w:tcPr>
            <w:gridSpan w:val="4"/>
            <w:tcW w:w="2923" w:type="dxa"/>
          </w:tcPr>
          <w:p>
            <w:pPr>
              <w:pStyle w:val="0"/>
            </w:pPr>
            <w:r>
              <w:rPr>
                <w:sz w:val="24"/>
              </w:rPr>
              <w:t xml:space="preserve">Резерв инвестиционных обязательств (актуарный)</w:t>
            </w:r>
          </w:p>
        </w:tc>
        <w:tc>
          <w:tcPr>
            <w:gridSpan w:val="2"/>
            <w:tcW w:w="2608" w:type="dxa"/>
          </w:tcPr>
          <w:p>
            <w:pPr>
              <w:pStyle w:val="0"/>
            </w:pPr>
            <w:r>
              <w:rPr>
                <w:sz w:val="24"/>
              </w:rPr>
            </w:r>
          </w:p>
        </w:tc>
        <w:tc>
          <w:tcPr>
            <w:tcW w:w="2633" w:type="dxa"/>
          </w:tcPr>
          <w:p>
            <w:pPr>
              <w:pStyle w:val="0"/>
            </w:pPr>
            <w:r>
              <w:rPr>
                <w:sz w:val="24"/>
              </w:rPr>
              <w:t xml:space="preserve">ins-dic:RezervInvestObyazAktuarnyj</w:t>
            </w:r>
          </w:p>
        </w:tc>
      </w:tr>
      <w:tr>
        <w:tc>
          <w:tcPr>
            <w:tcW w:w="907" w:type="dxa"/>
          </w:tcPr>
          <w:p>
            <w:pPr>
              <w:pStyle w:val="0"/>
            </w:pPr>
            <w:r>
              <w:rPr>
                <w:sz w:val="24"/>
              </w:rPr>
              <w:t xml:space="preserve">58.1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59</w:t>
            </w:r>
          </w:p>
        </w:tc>
        <w:tc>
          <w:tcPr>
            <w:gridSpan w:val="4"/>
            <w:tcW w:w="2923" w:type="dxa"/>
          </w:tcPr>
          <w:p>
            <w:pPr>
              <w:pStyle w:val="0"/>
            </w:pPr>
            <w:r>
              <w:rPr>
                <w:sz w:val="24"/>
              </w:rPr>
              <w:t xml:space="preserve">Страховые резервы, всего (актуарные)</w:t>
            </w:r>
          </w:p>
        </w:tc>
        <w:tc>
          <w:tcPr>
            <w:gridSpan w:val="2"/>
            <w:tcW w:w="2608" w:type="dxa"/>
          </w:tcPr>
          <w:p>
            <w:pPr>
              <w:pStyle w:val="0"/>
            </w:pPr>
            <w:r>
              <w:rPr>
                <w:sz w:val="24"/>
              </w:rPr>
            </w:r>
          </w:p>
        </w:tc>
        <w:tc>
          <w:tcPr>
            <w:tcW w:w="2633" w:type="dxa"/>
          </w:tcPr>
          <w:p>
            <w:pPr>
              <w:pStyle w:val="0"/>
            </w:pPr>
            <w:r>
              <w:rPr>
                <w:sz w:val="24"/>
              </w:rPr>
              <w:t xml:space="preserve">ins-dic:Straxrez_Aktuarn_Vsego</w:t>
            </w:r>
          </w:p>
        </w:tc>
      </w:tr>
      <w:tr>
        <w:tc>
          <w:tcPr>
            <w:tcW w:w="907" w:type="dxa"/>
          </w:tcPr>
          <w:p>
            <w:pPr>
              <w:pStyle w:val="0"/>
            </w:pPr>
            <w:r>
              <w:rPr>
                <w:sz w:val="24"/>
              </w:rPr>
              <w:t xml:space="preserve">59.1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59.2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60</w:t>
            </w:r>
          </w:p>
        </w:tc>
        <w:tc>
          <w:tcPr>
            <w:gridSpan w:val="4"/>
            <w:tcW w:w="2923" w:type="dxa"/>
          </w:tcPr>
          <w:p>
            <w:pPr>
              <w:pStyle w:val="0"/>
            </w:pPr>
            <w:r>
              <w:rPr>
                <w:sz w:val="24"/>
              </w:rPr>
              <w:t xml:space="preserve">Доля перестраховщиков в страховых резервах, всего (актуарная)</w:t>
            </w:r>
          </w:p>
        </w:tc>
        <w:tc>
          <w:tcPr>
            <w:gridSpan w:val="2"/>
            <w:tcW w:w="2608" w:type="dxa"/>
          </w:tcPr>
          <w:p>
            <w:pPr>
              <w:pStyle w:val="0"/>
            </w:pPr>
            <w:r>
              <w:rPr>
                <w:sz w:val="24"/>
              </w:rPr>
            </w:r>
          </w:p>
        </w:tc>
        <w:tc>
          <w:tcPr>
            <w:tcW w:w="2633" w:type="dxa"/>
          </w:tcPr>
          <w:p>
            <w:pPr>
              <w:pStyle w:val="0"/>
            </w:pPr>
            <w:r>
              <w:rPr>
                <w:sz w:val="24"/>
              </w:rPr>
              <w:t xml:space="preserve">ins-dic:VelichinaDoliPerestraxovshhikovVStraxRezItogoAktuarnaya</w:t>
            </w:r>
          </w:p>
        </w:tc>
      </w:tr>
      <w:tr>
        <w:tc>
          <w:tcPr>
            <w:tcW w:w="907" w:type="dxa"/>
          </w:tcPr>
          <w:p>
            <w:pPr>
              <w:pStyle w:val="0"/>
            </w:pPr>
            <w:r>
              <w:rPr>
                <w:sz w:val="24"/>
              </w:rPr>
              <w:t xml:space="preserve">60.1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29806" w:name="P29806"/>
          <w:bookmarkEnd w:id="29806"/>
          <w:p>
            <w:pPr>
              <w:pStyle w:val="0"/>
            </w:pPr>
            <w:r>
              <w:rPr>
                <w:sz w:val="24"/>
              </w:rPr>
              <w:t xml:space="preserve">61</w:t>
            </w:r>
          </w:p>
        </w:tc>
        <w:tc>
          <w:tcPr>
            <w:gridSpan w:val="4"/>
            <w:tcW w:w="2923" w:type="dxa"/>
          </w:tcPr>
          <w:p>
            <w:pPr>
              <w:pStyle w:val="0"/>
            </w:pPr>
            <w:r>
              <w:rPr>
                <w:sz w:val="24"/>
              </w:rPr>
              <w:t xml:space="preserve">Реквизиты писем Банка России о согласовании методов расчета страховых резервов, отличающихся от методов, предусмотренных требованиями к финансовой устойчивости и платежеспособности страховщиков</w:t>
            </w:r>
          </w:p>
        </w:tc>
        <w:tc>
          <w:tcPr>
            <w:gridSpan w:val="2"/>
            <w:tcW w:w="2608" w:type="dxa"/>
          </w:tcPr>
          <w:p>
            <w:pPr>
              <w:pStyle w:val="0"/>
            </w:pPr>
            <w:r>
              <w:rPr>
                <w:sz w:val="24"/>
              </w:rPr>
            </w:r>
          </w:p>
        </w:tc>
        <w:tc>
          <w:tcPr>
            <w:tcW w:w="2633" w:type="dxa"/>
          </w:tcPr>
          <w:p>
            <w:pPr>
              <w:pStyle w:val="0"/>
            </w:pPr>
            <w:r>
              <w:rPr>
                <w:sz w:val="24"/>
              </w:rPr>
              <w:t xml:space="preserve">ins-dic:RekvizityPisemBROSoglasMetodovRaschetaStraxRezOtlichOt710P</w:t>
            </w:r>
          </w:p>
        </w:tc>
      </w:tr>
      <w:tr>
        <w:tc>
          <w:tcPr>
            <w:tcW w:w="907" w:type="dxa"/>
          </w:tcPr>
          <w:p>
            <w:pPr>
              <w:pStyle w:val="0"/>
            </w:pPr>
            <w:r>
              <w:rPr>
                <w:sz w:val="24"/>
              </w:rPr>
              <w:t xml:space="preserve">61.1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blPrEx>
          <w:tblBorders>
            <w:insideV w:val="nil"/>
          </w:tblBorders>
        </w:tblPrEx>
        <w:tc>
          <w:tcPr>
            <w:gridSpan w:val="2"/>
            <w:tcW w:w="1436" w:type="dxa"/>
            <w:tcBorders>
              <w:left w:val="single" w:sz="4"/>
            </w:tcBorders>
          </w:tcPr>
          <w:bookmarkStart w:id="29818" w:name="P29818"/>
          <w:bookmarkEnd w:id="29818"/>
          <w:p>
            <w:pPr>
              <w:pStyle w:val="0"/>
              <w:outlineLvl w:val="3"/>
            </w:pPr>
            <w:r>
              <w:rPr>
                <w:sz w:val="24"/>
              </w:rPr>
              <w:t xml:space="preserve">Раздел 2.</w:t>
            </w:r>
          </w:p>
        </w:tc>
        <w:tc>
          <w:tcPr>
            <w:gridSpan w:val="6"/>
            <w:tcW w:w="7635" w:type="dxa"/>
            <w:tcBorders>
              <w:right w:val="single" w:sz="4"/>
            </w:tcBorders>
          </w:tcPr>
          <w:p>
            <w:pPr>
              <w:pStyle w:val="0"/>
            </w:pPr>
            <w:r>
              <w:rPr>
                <w:sz w:val="24"/>
              </w:rPr>
              <w:t xml:space="preserve">Сведения для расчета страховых резервов и доли перестраховщиков в них</w:t>
            </w:r>
          </w:p>
        </w:tc>
      </w:tr>
      <w:tr>
        <w:tblPrEx>
          <w:tblBorders>
            <w:insideV w:val="nil"/>
          </w:tblBorders>
        </w:tblPrEx>
        <w:tc>
          <w:tcPr>
            <w:gridSpan w:val="3"/>
            <w:tcW w:w="1814" w:type="dxa"/>
            <w:tcBorders>
              <w:left w:val="single" w:sz="4"/>
            </w:tcBorders>
          </w:tcPr>
          <w:bookmarkStart w:id="29820" w:name="P29820"/>
          <w:bookmarkEnd w:id="29820"/>
          <w:p>
            <w:pPr>
              <w:pStyle w:val="0"/>
              <w:outlineLvl w:val="4"/>
            </w:pPr>
            <w:r>
              <w:rPr>
                <w:sz w:val="24"/>
              </w:rPr>
              <w:t xml:space="preserve">Подраздел 2.1.</w:t>
            </w:r>
          </w:p>
        </w:tc>
        <w:tc>
          <w:tcPr>
            <w:gridSpan w:val="5"/>
            <w:tcW w:w="7257" w:type="dxa"/>
            <w:tcBorders>
              <w:right w:val="single" w:sz="4"/>
            </w:tcBorders>
          </w:tcPr>
          <w:p>
            <w:pPr>
              <w:pStyle w:val="0"/>
            </w:pPr>
            <w:r>
              <w:rPr>
                <w:sz w:val="24"/>
              </w:rPr>
              <w:t xml:space="preserve">Заработанная страховая премия по учетной группе (дополнительной учетной группе)</w:t>
            </w:r>
          </w:p>
        </w:tc>
      </w:tr>
      <w:tr>
        <w:tc>
          <w:tcPr>
            <w:tcW w:w="907" w:type="dxa"/>
          </w:tcPr>
          <w:bookmarkStart w:id="29822" w:name="P29822"/>
          <w:bookmarkEnd w:id="29822"/>
          <w:p>
            <w:pPr>
              <w:pStyle w:val="0"/>
            </w:pPr>
            <w:r>
              <w:rPr>
                <w:sz w:val="24"/>
              </w:rPr>
              <w:t xml:space="preserve">62</w:t>
            </w:r>
          </w:p>
        </w:tc>
        <w:tc>
          <w:tcPr>
            <w:gridSpan w:val="4"/>
            <w:tcW w:w="2923" w:type="dxa"/>
          </w:tcPr>
          <w:p>
            <w:pPr>
              <w:pStyle w:val="0"/>
            </w:pPr>
            <w:r>
              <w:rPr>
                <w:sz w:val="24"/>
              </w:rPr>
              <w:t xml:space="preserve">Сумма заработанной страховой премии - брутто-перестрахование, используемая для расчета страховых резервов</w:t>
            </w:r>
          </w:p>
        </w:tc>
        <w:tc>
          <w:tcPr>
            <w:gridSpan w:val="2"/>
            <w:tcW w:w="2608" w:type="dxa"/>
          </w:tcPr>
          <w:p>
            <w:pPr>
              <w:pStyle w:val="0"/>
            </w:pPr>
            <w:r>
              <w:rPr>
                <w:sz w:val="24"/>
              </w:rPr>
            </w:r>
          </w:p>
        </w:tc>
        <w:tc>
          <w:tcPr>
            <w:tcW w:w="2633" w:type="dxa"/>
          </w:tcPr>
          <w:p>
            <w:pPr>
              <w:pStyle w:val="0"/>
            </w:pPr>
            <w:r>
              <w:rPr>
                <w:sz w:val="24"/>
              </w:rPr>
              <w:t xml:space="preserve">ins-dic:ZarabotannayaStraxovayaPremiya</w:t>
            </w:r>
          </w:p>
        </w:tc>
      </w:tr>
      <w:tr>
        <w:tc>
          <w:tcPr>
            <w:tcW w:w="907" w:type="dxa"/>
          </w:tcPr>
          <w:p>
            <w:pPr>
              <w:pStyle w:val="0"/>
            </w:pPr>
            <w:r>
              <w:rPr>
                <w:sz w:val="24"/>
              </w:rPr>
              <w:t xml:space="preserve">62.1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62.3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w:t>
            </w:r>
          </w:p>
        </w:tc>
        <w:tc>
          <w:tcPr>
            <w:tcW w:w="2633" w:type="dxa"/>
          </w:tcPr>
          <w:p>
            <w:pPr>
              <w:pStyle w:val="0"/>
            </w:pPr>
            <w:r>
              <w:rPr>
                <w:sz w:val="24"/>
              </w:rPr>
              <w:t xml:space="preserve">dim-int:Period_KvartalIGodTaxis</w:t>
            </w:r>
          </w:p>
        </w:tc>
      </w:tr>
      <w:tr>
        <w:tblPrEx>
          <w:tblBorders>
            <w:insideV w:val="nil"/>
          </w:tblBorders>
        </w:tblPrEx>
        <w:tc>
          <w:tcPr>
            <w:gridSpan w:val="3"/>
            <w:tcW w:w="1814" w:type="dxa"/>
            <w:tcBorders>
              <w:left w:val="single" w:sz="4"/>
            </w:tcBorders>
          </w:tcPr>
          <w:bookmarkStart w:id="29838" w:name="P29838"/>
          <w:bookmarkEnd w:id="29838"/>
          <w:p>
            <w:pPr>
              <w:pStyle w:val="0"/>
              <w:outlineLvl w:val="4"/>
            </w:pPr>
            <w:r>
              <w:rPr>
                <w:sz w:val="24"/>
              </w:rPr>
              <w:t xml:space="preserve">Подраздел 2.2.</w:t>
            </w:r>
          </w:p>
        </w:tc>
        <w:tc>
          <w:tcPr>
            <w:gridSpan w:val="5"/>
            <w:tcW w:w="7257" w:type="dxa"/>
            <w:tcBorders>
              <w:right w:val="single" w:sz="4"/>
            </w:tcBorders>
          </w:tcPr>
          <w:p>
            <w:pPr>
              <w:pStyle w:val="0"/>
            </w:pPr>
            <w:r>
              <w:rPr>
                <w:sz w:val="24"/>
              </w:rPr>
              <w:t xml:space="preserve">Вспомогательная величина ЗНУ с разбивкой по кварталам наступления страхового случая и формирования вспомогательной величины ЗНУ по учетной группе (дополнительной учетной группе)</w:t>
            </w:r>
          </w:p>
        </w:tc>
      </w:tr>
      <w:tr>
        <w:tc>
          <w:tcPr>
            <w:tcW w:w="907" w:type="dxa"/>
          </w:tcPr>
          <w:bookmarkStart w:id="29840" w:name="P29840"/>
          <w:bookmarkEnd w:id="29840"/>
          <w:p>
            <w:pPr>
              <w:pStyle w:val="0"/>
            </w:pPr>
            <w:r>
              <w:rPr>
                <w:sz w:val="24"/>
              </w:rPr>
              <w:t xml:space="preserve">63</w:t>
            </w:r>
          </w:p>
        </w:tc>
        <w:tc>
          <w:tcPr>
            <w:gridSpan w:val="4"/>
            <w:tcW w:w="2923" w:type="dxa"/>
          </w:tcPr>
          <w:p>
            <w:pPr>
              <w:pStyle w:val="0"/>
            </w:pPr>
            <w:r>
              <w:rPr>
                <w:sz w:val="24"/>
              </w:rPr>
              <w:t xml:space="preserve">Сумма вспомогательной величины ЗНУ на конец каждого квартала</w:t>
            </w:r>
          </w:p>
        </w:tc>
        <w:tc>
          <w:tcPr>
            <w:gridSpan w:val="2"/>
            <w:tcW w:w="2608" w:type="dxa"/>
          </w:tcPr>
          <w:p>
            <w:pPr>
              <w:pStyle w:val="0"/>
            </w:pPr>
            <w:r>
              <w:rPr>
                <w:sz w:val="24"/>
              </w:rPr>
            </w:r>
          </w:p>
        </w:tc>
        <w:tc>
          <w:tcPr>
            <w:tcW w:w="2633" w:type="dxa"/>
          </w:tcPr>
          <w:p>
            <w:pPr>
              <w:pStyle w:val="0"/>
            </w:pPr>
            <w:r>
              <w:rPr>
                <w:sz w:val="24"/>
              </w:rPr>
              <w:t xml:space="preserve">ins-dic:SummaZNUNaKonKazhdKvart</w:t>
            </w:r>
          </w:p>
        </w:tc>
      </w:tr>
      <w:tr>
        <w:tc>
          <w:tcPr>
            <w:tcW w:w="907" w:type="dxa"/>
          </w:tcPr>
          <w:p>
            <w:pPr>
              <w:pStyle w:val="0"/>
            </w:pPr>
            <w:r>
              <w:rPr>
                <w:sz w:val="24"/>
              </w:rPr>
              <w:t xml:space="preserve">63.1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63.3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29856" w:name="P29856"/>
          <w:bookmarkEnd w:id="29856"/>
          <w:p>
            <w:pPr>
              <w:pStyle w:val="0"/>
              <w:outlineLvl w:val="4"/>
            </w:pPr>
            <w:r>
              <w:rPr>
                <w:sz w:val="24"/>
              </w:rPr>
              <w:t xml:space="preserve">Подраздел 2.3.</w:t>
            </w:r>
          </w:p>
        </w:tc>
        <w:tc>
          <w:tcPr>
            <w:gridSpan w:val="5"/>
            <w:tcW w:w="7257" w:type="dxa"/>
            <w:tcBorders>
              <w:right w:val="single" w:sz="4"/>
            </w:tcBorders>
          </w:tcPr>
          <w:p>
            <w:pPr>
              <w:pStyle w:val="0"/>
            </w:pPr>
            <w:r>
              <w:rPr>
                <w:sz w:val="24"/>
              </w:rPr>
              <w:t xml:space="preserve">Доля перестраховщиков во вспомогательной величине ЗНУ с разбивкой по кварталам наступления страхового случая и формирования вспомогательной величины ЗНУ по учетной группе (дополнительной учетной группе)</w:t>
            </w:r>
          </w:p>
        </w:tc>
      </w:tr>
      <w:tr>
        <w:tc>
          <w:tcPr>
            <w:tcW w:w="907" w:type="dxa"/>
          </w:tcPr>
          <w:bookmarkStart w:id="29858" w:name="P29858"/>
          <w:bookmarkEnd w:id="29858"/>
          <w:p>
            <w:pPr>
              <w:pStyle w:val="0"/>
            </w:pPr>
            <w:r>
              <w:rPr>
                <w:sz w:val="24"/>
              </w:rPr>
              <w:t xml:space="preserve">64</w:t>
            </w:r>
          </w:p>
        </w:tc>
        <w:tc>
          <w:tcPr>
            <w:gridSpan w:val="4"/>
            <w:tcW w:w="2923" w:type="dxa"/>
          </w:tcPr>
          <w:p>
            <w:pPr>
              <w:pStyle w:val="0"/>
            </w:pPr>
            <w:r>
              <w:rPr>
                <w:sz w:val="24"/>
              </w:rPr>
              <w:t xml:space="preserve">Доля перестраховщиков во вспомогательной величине ЗНУ на конец каждого квартала</w:t>
            </w:r>
          </w:p>
        </w:tc>
        <w:tc>
          <w:tcPr>
            <w:gridSpan w:val="2"/>
            <w:tcW w:w="2608" w:type="dxa"/>
          </w:tcPr>
          <w:p>
            <w:pPr>
              <w:pStyle w:val="0"/>
            </w:pPr>
            <w:r>
              <w:rPr>
                <w:sz w:val="24"/>
              </w:rPr>
            </w:r>
          </w:p>
        </w:tc>
        <w:tc>
          <w:tcPr>
            <w:tcW w:w="2633" w:type="dxa"/>
          </w:tcPr>
          <w:p>
            <w:pPr>
              <w:pStyle w:val="0"/>
            </w:pPr>
            <w:r>
              <w:rPr>
                <w:sz w:val="24"/>
              </w:rPr>
              <w:t xml:space="preserve">ins-dic:DolyaPerestraxVZNUNaKonKazhdKv</w:t>
            </w:r>
          </w:p>
        </w:tc>
      </w:tr>
      <w:tr>
        <w:tc>
          <w:tcPr>
            <w:tcW w:w="907" w:type="dxa"/>
          </w:tcPr>
          <w:p>
            <w:pPr>
              <w:pStyle w:val="0"/>
            </w:pPr>
            <w:r>
              <w:rPr>
                <w:sz w:val="24"/>
              </w:rPr>
              <w:t xml:space="preserve">64.1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64.3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29874" w:name="P29874"/>
          <w:bookmarkEnd w:id="29874"/>
          <w:p>
            <w:pPr>
              <w:pStyle w:val="0"/>
              <w:outlineLvl w:val="4"/>
            </w:pPr>
            <w:r>
              <w:rPr>
                <w:sz w:val="24"/>
              </w:rPr>
              <w:t xml:space="preserve">Подраздел 2.4.</w:t>
            </w:r>
          </w:p>
        </w:tc>
        <w:tc>
          <w:tcPr>
            <w:gridSpan w:val="5"/>
            <w:tcW w:w="7257" w:type="dxa"/>
            <w:tcBorders>
              <w:right w:val="single" w:sz="4"/>
            </w:tcBorders>
          </w:tcPr>
          <w:p>
            <w:pPr>
              <w:pStyle w:val="0"/>
            </w:pPr>
            <w:r>
              <w:rPr>
                <w:sz w:val="24"/>
              </w:rPr>
              <w:t xml:space="preserve">Страховые выплаты с разбивкой по кварталам наступления страхового случая и оплаты убытков (нарастающим итогом) по учетной группе (дополнительной учетной группе)</w:t>
            </w:r>
          </w:p>
        </w:tc>
      </w:tr>
      <w:tr>
        <w:tc>
          <w:tcPr>
            <w:tcW w:w="907" w:type="dxa"/>
          </w:tcPr>
          <w:bookmarkStart w:id="29876" w:name="P29876"/>
          <w:bookmarkEnd w:id="29876"/>
          <w:p>
            <w:pPr>
              <w:pStyle w:val="0"/>
            </w:pPr>
            <w:r>
              <w:rPr>
                <w:sz w:val="24"/>
              </w:rPr>
              <w:t xml:space="preserve">65</w:t>
            </w:r>
          </w:p>
        </w:tc>
        <w:tc>
          <w:tcPr>
            <w:gridSpan w:val="4"/>
            <w:tcW w:w="2923" w:type="dxa"/>
          </w:tcPr>
          <w:p>
            <w:pPr>
              <w:pStyle w:val="0"/>
            </w:pPr>
            <w:r>
              <w:rPr>
                <w:sz w:val="24"/>
              </w:rPr>
              <w:t xml:space="preserve">Оплаченные убытки (страховые выплаты) на конец каждого квартала (нарастающим итогом)</w:t>
            </w:r>
          </w:p>
        </w:tc>
        <w:tc>
          <w:tcPr>
            <w:gridSpan w:val="2"/>
            <w:tcW w:w="2608" w:type="dxa"/>
          </w:tcPr>
          <w:p>
            <w:pPr>
              <w:pStyle w:val="0"/>
            </w:pPr>
            <w:r>
              <w:rPr>
                <w:sz w:val="24"/>
              </w:rPr>
            </w:r>
          </w:p>
        </w:tc>
        <w:tc>
          <w:tcPr>
            <w:tcW w:w="2633" w:type="dxa"/>
          </w:tcPr>
          <w:p>
            <w:pPr>
              <w:pStyle w:val="0"/>
            </w:pPr>
            <w:r>
              <w:rPr>
                <w:sz w:val="24"/>
              </w:rPr>
              <w:t xml:space="preserve">ins-dic:OplachUbStraxVyplNaKonKazhdogoKvartalaNarastayushhimItogom</w:t>
            </w:r>
          </w:p>
        </w:tc>
      </w:tr>
      <w:tr>
        <w:tc>
          <w:tcPr>
            <w:tcW w:w="907" w:type="dxa"/>
          </w:tcPr>
          <w:p>
            <w:pPr>
              <w:pStyle w:val="0"/>
            </w:pPr>
            <w:r>
              <w:rPr>
                <w:sz w:val="24"/>
              </w:rPr>
              <w:t xml:space="preserve">65.1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65.3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dim-int:Kvartal_Nastupl_UbytkovTaxis</w:t>
            </w:r>
          </w:p>
        </w:tc>
      </w:tr>
      <w:tr>
        <w:tblPrEx>
          <w:tblBorders>
            <w:insideV w:val="nil"/>
          </w:tblBorders>
        </w:tblPrEx>
        <w:tc>
          <w:tcPr>
            <w:gridSpan w:val="3"/>
            <w:tcW w:w="1814" w:type="dxa"/>
            <w:tcBorders>
              <w:left w:val="single" w:sz="4"/>
            </w:tcBorders>
          </w:tcPr>
          <w:bookmarkStart w:id="29892" w:name="P29892"/>
          <w:bookmarkEnd w:id="29892"/>
          <w:p>
            <w:pPr>
              <w:pStyle w:val="0"/>
              <w:outlineLvl w:val="4"/>
            </w:pPr>
            <w:r>
              <w:rPr>
                <w:sz w:val="24"/>
              </w:rPr>
              <w:t xml:space="preserve">Подраздел 2.5.</w:t>
            </w:r>
          </w:p>
        </w:tc>
        <w:tc>
          <w:tcPr>
            <w:gridSpan w:val="5"/>
            <w:tcW w:w="7257" w:type="dxa"/>
            <w:tcBorders>
              <w:right w:val="single" w:sz="4"/>
            </w:tcBorders>
          </w:tcPr>
          <w:p>
            <w:pPr>
              <w:pStyle w:val="0"/>
            </w:pPr>
            <w:r>
              <w:rPr>
                <w:sz w:val="24"/>
              </w:rPr>
              <w:t xml:space="preserve">Корректировка треугольника развития убытков (исключенные страховые выплаты) с разбивкой по кварталам наступления страхового случая и оплаты убытков (нарастающим итогом) по учетной группе (дополнительной учетной группе)</w:t>
            </w:r>
          </w:p>
        </w:tc>
      </w:tr>
      <w:tr>
        <w:tc>
          <w:tcPr>
            <w:tcW w:w="907" w:type="dxa"/>
          </w:tcPr>
          <w:bookmarkStart w:id="29894" w:name="P29894"/>
          <w:bookmarkEnd w:id="29894"/>
          <w:p>
            <w:pPr>
              <w:pStyle w:val="0"/>
            </w:pPr>
            <w:r>
              <w:rPr>
                <w:sz w:val="24"/>
              </w:rPr>
              <w:t xml:space="preserve">66</w:t>
            </w:r>
          </w:p>
        </w:tc>
        <w:tc>
          <w:tcPr>
            <w:gridSpan w:val="4"/>
            <w:tcW w:w="2923" w:type="dxa"/>
          </w:tcPr>
          <w:p>
            <w:pPr>
              <w:pStyle w:val="0"/>
            </w:pPr>
            <w:r>
              <w:rPr>
                <w:sz w:val="24"/>
              </w:rPr>
              <w:t xml:space="preserve">Величина убытка, исключенного из треугольника развития убытков</w:t>
            </w:r>
          </w:p>
        </w:tc>
        <w:tc>
          <w:tcPr>
            <w:gridSpan w:val="2"/>
            <w:tcW w:w="2608" w:type="dxa"/>
          </w:tcPr>
          <w:p>
            <w:pPr>
              <w:pStyle w:val="0"/>
            </w:pPr>
            <w:r>
              <w:rPr>
                <w:sz w:val="24"/>
              </w:rPr>
            </w:r>
          </w:p>
        </w:tc>
        <w:tc>
          <w:tcPr>
            <w:tcW w:w="2633" w:type="dxa"/>
          </w:tcPr>
          <w:p>
            <w:pPr>
              <w:pStyle w:val="0"/>
            </w:pPr>
            <w:r>
              <w:rPr>
                <w:sz w:val="24"/>
              </w:rPr>
              <w:t xml:space="preserve">ins-dic:Nzh_Vel_Ubytka_Isklyuch_Iz_Treugolnika_Uchetn_Gruppa</w:t>
            </w:r>
          </w:p>
        </w:tc>
      </w:tr>
      <w:tr>
        <w:tc>
          <w:tcPr>
            <w:tcW w:w="907" w:type="dxa"/>
          </w:tcPr>
          <w:p>
            <w:pPr>
              <w:pStyle w:val="0"/>
            </w:pPr>
            <w:r>
              <w:rPr>
                <w:sz w:val="24"/>
              </w:rPr>
              <w:t xml:space="preserve">66.1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66.3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dim-int:Kvartal_Nastupl_UbytkovTaxis</w:t>
            </w:r>
          </w:p>
        </w:tc>
      </w:tr>
      <w:tr>
        <w:tblPrEx>
          <w:tblBorders>
            <w:insideV w:val="nil"/>
          </w:tblBorders>
        </w:tblPrEx>
        <w:tc>
          <w:tcPr>
            <w:gridSpan w:val="3"/>
            <w:tcW w:w="1814" w:type="dxa"/>
            <w:tcBorders>
              <w:left w:val="single" w:sz="4"/>
            </w:tcBorders>
          </w:tcPr>
          <w:bookmarkStart w:id="29910" w:name="P29910"/>
          <w:bookmarkEnd w:id="29910"/>
          <w:p>
            <w:pPr>
              <w:pStyle w:val="0"/>
              <w:outlineLvl w:val="4"/>
            </w:pPr>
            <w:r>
              <w:rPr>
                <w:sz w:val="24"/>
              </w:rPr>
              <w:t xml:space="preserve">Подраздел 2.6.</w:t>
            </w:r>
          </w:p>
        </w:tc>
        <w:tc>
          <w:tcPr>
            <w:gridSpan w:val="5"/>
            <w:tcW w:w="7257" w:type="dxa"/>
            <w:tcBorders>
              <w:right w:val="single" w:sz="4"/>
            </w:tcBorders>
          </w:tcPr>
          <w:p>
            <w:pPr>
              <w:pStyle w:val="0"/>
            </w:pPr>
            <w:r>
              <w:rPr>
                <w:sz w:val="24"/>
              </w:rPr>
              <w:t xml:space="preserve">Количество страховых случаев с разбивкой по кварталам наступления страхового случая и оплаты убытков (нарастающим итогом) по учетной группе (дополнительной учетной группе)</w:t>
            </w:r>
          </w:p>
        </w:tc>
      </w:tr>
      <w:tr>
        <w:tc>
          <w:tcPr>
            <w:tcW w:w="907" w:type="dxa"/>
          </w:tcPr>
          <w:bookmarkStart w:id="29912" w:name="P29912"/>
          <w:bookmarkEnd w:id="29912"/>
          <w:p>
            <w:pPr>
              <w:pStyle w:val="0"/>
            </w:pPr>
            <w:r>
              <w:rPr>
                <w:sz w:val="24"/>
              </w:rPr>
              <w:t xml:space="preserve">67</w:t>
            </w:r>
          </w:p>
        </w:tc>
        <w:tc>
          <w:tcPr>
            <w:gridSpan w:val="4"/>
            <w:tcW w:w="2923" w:type="dxa"/>
          </w:tcPr>
          <w:p>
            <w:pPr>
              <w:pStyle w:val="0"/>
            </w:pPr>
            <w:r>
              <w:rPr>
                <w:sz w:val="24"/>
              </w:rPr>
              <w:t xml:space="preserve">Количество страховых случаев на конец каждого квартала (нарастающим итогом)</w:t>
            </w:r>
          </w:p>
        </w:tc>
        <w:tc>
          <w:tcPr>
            <w:gridSpan w:val="2"/>
            <w:tcW w:w="2608" w:type="dxa"/>
          </w:tcPr>
          <w:p>
            <w:pPr>
              <w:pStyle w:val="0"/>
            </w:pPr>
            <w:r>
              <w:rPr>
                <w:sz w:val="24"/>
              </w:rPr>
            </w:r>
          </w:p>
        </w:tc>
        <w:tc>
          <w:tcPr>
            <w:tcW w:w="2633" w:type="dxa"/>
          </w:tcPr>
          <w:p>
            <w:pPr>
              <w:pStyle w:val="0"/>
            </w:pPr>
            <w:r>
              <w:rPr>
                <w:sz w:val="24"/>
              </w:rPr>
              <w:t xml:space="preserve">ins-dic:KolichestvoStraxSluchaevPoKvartNastuplOplatyUbytkov</w:t>
            </w:r>
          </w:p>
        </w:tc>
      </w:tr>
      <w:tr>
        <w:tc>
          <w:tcPr>
            <w:tcW w:w="907" w:type="dxa"/>
          </w:tcPr>
          <w:p>
            <w:pPr>
              <w:pStyle w:val="0"/>
            </w:pPr>
            <w:r>
              <w:rPr>
                <w:sz w:val="24"/>
              </w:rPr>
              <w:t xml:space="preserve">67.1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67.3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dim-int:Kvartal_Nastupl_UbytkovTaxis</w:t>
            </w:r>
          </w:p>
        </w:tc>
      </w:tr>
      <w:tr>
        <w:tblPrEx>
          <w:tblBorders>
            <w:insideV w:val="nil"/>
          </w:tblBorders>
        </w:tblPrEx>
        <w:tc>
          <w:tcPr>
            <w:gridSpan w:val="3"/>
            <w:tcW w:w="1814" w:type="dxa"/>
            <w:tcBorders>
              <w:left w:val="single" w:sz="4"/>
            </w:tcBorders>
          </w:tcPr>
          <w:bookmarkStart w:id="29928" w:name="P29928"/>
          <w:bookmarkEnd w:id="29928"/>
          <w:p>
            <w:pPr>
              <w:pStyle w:val="0"/>
              <w:outlineLvl w:val="4"/>
            </w:pPr>
            <w:r>
              <w:rPr>
                <w:sz w:val="24"/>
              </w:rPr>
              <w:t xml:space="preserve">Подраздел 2.7.</w:t>
            </w:r>
          </w:p>
        </w:tc>
        <w:tc>
          <w:tcPr>
            <w:gridSpan w:val="5"/>
            <w:tcW w:w="7257" w:type="dxa"/>
            <w:tcBorders>
              <w:right w:val="single" w:sz="4"/>
            </w:tcBorders>
          </w:tcPr>
          <w:p>
            <w:pPr>
              <w:pStyle w:val="0"/>
            </w:pPr>
            <w:r>
              <w:rPr>
                <w:sz w:val="24"/>
              </w:rPr>
              <w:t xml:space="preserve">Доля перестраховщиков в страховых выплатах с разбивкой по кварталам наступления страхового случая и оплаты убытков (нарастающим итогом) по учетной группе (дополнительной учетной группе)</w:t>
            </w:r>
          </w:p>
        </w:tc>
      </w:tr>
      <w:tr>
        <w:tc>
          <w:tcPr>
            <w:tcW w:w="907" w:type="dxa"/>
          </w:tcPr>
          <w:bookmarkStart w:id="29930" w:name="P29930"/>
          <w:bookmarkEnd w:id="29930"/>
          <w:p>
            <w:pPr>
              <w:pStyle w:val="0"/>
            </w:pPr>
            <w:r>
              <w:rPr>
                <w:sz w:val="24"/>
              </w:rPr>
              <w:t xml:space="preserve">68</w:t>
            </w:r>
          </w:p>
        </w:tc>
        <w:tc>
          <w:tcPr>
            <w:gridSpan w:val="4"/>
            <w:tcW w:w="2923" w:type="dxa"/>
          </w:tcPr>
          <w:p>
            <w:pPr>
              <w:pStyle w:val="0"/>
            </w:pPr>
            <w:r>
              <w:rPr>
                <w:sz w:val="24"/>
              </w:rPr>
              <w:t xml:space="preserve">Доля перестраховщиков в оплаченных убытках (страховых выплатах) на конец каждого квартала (нарастающим итогом)</w:t>
            </w:r>
          </w:p>
        </w:tc>
        <w:tc>
          <w:tcPr>
            <w:gridSpan w:val="2"/>
            <w:tcW w:w="2608" w:type="dxa"/>
          </w:tcPr>
          <w:p>
            <w:pPr>
              <w:pStyle w:val="0"/>
            </w:pPr>
            <w:r>
              <w:rPr>
                <w:sz w:val="24"/>
              </w:rPr>
            </w:r>
          </w:p>
        </w:tc>
        <w:tc>
          <w:tcPr>
            <w:tcW w:w="2633" w:type="dxa"/>
          </w:tcPr>
          <w:p>
            <w:pPr>
              <w:pStyle w:val="0"/>
            </w:pPr>
            <w:r>
              <w:rPr>
                <w:sz w:val="24"/>
              </w:rPr>
              <w:t xml:space="preserve">ins-dic:DolyaPerestraxVOplachUbStrVyplNaKonKazhdKvNarastItogom</w:t>
            </w:r>
          </w:p>
        </w:tc>
      </w:tr>
      <w:tr>
        <w:tc>
          <w:tcPr>
            <w:tcW w:w="907" w:type="dxa"/>
          </w:tcPr>
          <w:p>
            <w:pPr>
              <w:pStyle w:val="0"/>
            </w:pPr>
            <w:r>
              <w:rPr>
                <w:sz w:val="24"/>
              </w:rPr>
              <w:t xml:space="preserve">68.1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68.3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dim-int:Kvartal_Nastupl_UbytkovTaxis</w:t>
            </w:r>
          </w:p>
        </w:tc>
      </w:tr>
      <w:tr>
        <w:tblPrEx>
          <w:tblBorders>
            <w:insideV w:val="nil"/>
          </w:tblBorders>
        </w:tblPrEx>
        <w:tc>
          <w:tcPr>
            <w:gridSpan w:val="3"/>
            <w:tcW w:w="1814" w:type="dxa"/>
            <w:tcBorders>
              <w:left w:val="single" w:sz="4"/>
            </w:tcBorders>
          </w:tcPr>
          <w:bookmarkStart w:id="29946" w:name="P29946"/>
          <w:bookmarkEnd w:id="29946"/>
          <w:p>
            <w:pPr>
              <w:pStyle w:val="0"/>
              <w:outlineLvl w:val="4"/>
            </w:pPr>
            <w:r>
              <w:rPr>
                <w:sz w:val="24"/>
              </w:rPr>
              <w:t xml:space="preserve">Подраздел 2.8.</w:t>
            </w:r>
          </w:p>
        </w:tc>
        <w:tc>
          <w:tcPr>
            <w:gridSpan w:val="5"/>
            <w:tcW w:w="7257" w:type="dxa"/>
            <w:tcBorders>
              <w:right w:val="single" w:sz="4"/>
            </w:tcBorders>
          </w:tcPr>
          <w:p>
            <w:pPr>
              <w:pStyle w:val="0"/>
            </w:pPr>
            <w:r>
              <w:rPr>
                <w:sz w:val="24"/>
              </w:rPr>
              <w:t xml:space="preserve">Корректировка треугольника развития доли перестраховщиков в исключенных страховых выплатах с разбивкой по кварталам наступления страхового случая и оплаты убытков (нарастающим итогом) по учетной группе (дополнительной учетной группе)</w:t>
            </w:r>
          </w:p>
        </w:tc>
      </w:tr>
      <w:tr>
        <w:tc>
          <w:tcPr>
            <w:tcW w:w="907" w:type="dxa"/>
          </w:tcPr>
          <w:bookmarkStart w:id="29948" w:name="P29948"/>
          <w:bookmarkEnd w:id="29948"/>
          <w:p>
            <w:pPr>
              <w:pStyle w:val="0"/>
            </w:pPr>
            <w:r>
              <w:rPr>
                <w:sz w:val="24"/>
              </w:rPr>
              <w:t xml:space="preserve">69</w:t>
            </w:r>
          </w:p>
        </w:tc>
        <w:tc>
          <w:tcPr>
            <w:gridSpan w:val="4"/>
            <w:tcW w:w="2923" w:type="dxa"/>
          </w:tcPr>
          <w:p>
            <w:pPr>
              <w:pStyle w:val="0"/>
            </w:pPr>
            <w:r>
              <w:rPr>
                <w:sz w:val="24"/>
              </w:rPr>
              <w:t xml:space="preserve">Величина доли перестраховщиков в убытке, исключенном из треугольника развития убытков</w:t>
            </w:r>
          </w:p>
        </w:tc>
        <w:tc>
          <w:tcPr>
            <w:gridSpan w:val="2"/>
            <w:tcW w:w="2608" w:type="dxa"/>
          </w:tcPr>
          <w:p>
            <w:pPr>
              <w:pStyle w:val="0"/>
            </w:pPr>
            <w:r>
              <w:rPr>
                <w:sz w:val="24"/>
              </w:rPr>
            </w:r>
          </w:p>
        </w:tc>
        <w:tc>
          <w:tcPr>
            <w:tcW w:w="2633" w:type="dxa"/>
          </w:tcPr>
          <w:p>
            <w:pPr>
              <w:pStyle w:val="0"/>
            </w:pPr>
            <w:r>
              <w:rPr>
                <w:sz w:val="24"/>
              </w:rPr>
              <w:t xml:space="preserve">ins-dic:VelDoliPerestrVUbytkeIsklyuchennomIzTreugolnikaRazvitiyaUbytkov</w:t>
            </w:r>
          </w:p>
        </w:tc>
      </w:tr>
      <w:tr>
        <w:tc>
          <w:tcPr>
            <w:tcW w:w="907" w:type="dxa"/>
          </w:tcPr>
          <w:p>
            <w:pPr>
              <w:pStyle w:val="0"/>
            </w:pPr>
            <w:r>
              <w:rPr>
                <w:sz w:val="24"/>
              </w:rPr>
              <w:t xml:space="preserve">69.1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69.2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69.3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dim-int:Kvartal_Nastupl_UbytkovTaxis</w:t>
            </w:r>
          </w:p>
        </w:tc>
      </w:tr>
      <w:tr>
        <w:tblPrEx>
          <w:tblBorders>
            <w:insideV w:val="nil"/>
          </w:tblBorders>
        </w:tblPrEx>
        <w:tc>
          <w:tcPr>
            <w:gridSpan w:val="3"/>
            <w:tcW w:w="1814" w:type="dxa"/>
            <w:tcBorders>
              <w:left w:val="single" w:sz="4"/>
            </w:tcBorders>
          </w:tcPr>
          <w:bookmarkStart w:id="29964" w:name="P29964"/>
          <w:bookmarkEnd w:id="29964"/>
          <w:p>
            <w:pPr>
              <w:pStyle w:val="0"/>
              <w:outlineLvl w:val="4"/>
            </w:pPr>
            <w:r>
              <w:rPr>
                <w:sz w:val="24"/>
              </w:rPr>
              <w:t xml:space="preserve">Подраздел 2.9.</w:t>
            </w:r>
          </w:p>
        </w:tc>
        <w:tc>
          <w:tcPr>
            <w:gridSpan w:val="5"/>
            <w:tcW w:w="7257" w:type="dxa"/>
            <w:tcBorders>
              <w:right w:val="single" w:sz="4"/>
            </w:tcBorders>
          </w:tcPr>
          <w:p>
            <w:pPr>
              <w:pStyle w:val="0"/>
            </w:pPr>
            <w:r>
              <w:rPr>
                <w:sz w:val="24"/>
              </w:rPr>
              <w:t xml:space="preserve">Расчет величины стабилизационного резерва по учетной группе 9</w:t>
            </w:r>
          </w:p>
        </w:tc>
      </w:tr>
      <w:tr>
        <w:tc>
          <w:tcPr>
            <w:tcW w:w="907" w:type="dxa"/>
          </w:tcPr>
          <w:p>
            <w:pPr>
              <w:pStyle w:val="0"/>
            </w:pPr>
            <w:r>
              <w:rPr>
                <w:sz w:val="24"/>
              </w:rPr>
              <w:t xml:space="preserve">70</w:t>
            </w:r>
          </w:p>
        </w:tc>
        <w:tc>
          <w:tcPr>
            <w:gridSpan w:val="4"/>
            <w:tcW w:w="2923" w:type="dxa"/>
          </w:tcPr>
          <w:p>
            <w:pPr>
              <w:pStyle w:val="0"/>
            </w:pPr>
            <w:r>
              <w:rPr>
                <w:sz w:val="24"/>
              </w:rPr>
              <w:t xml:space="preserve">Сумма страховой премии, предусмотренной договором, по договорам страхования, сострахования и входящего перестрахования, признанным в течение отчетного периода (за вычетом возвратов части страховых премий)</w:t>
            </w:r>
          </w:p>
        </w:tc>
        <w:tc>
          <w:tcPr>
            <w:gridSpan w:val="2"/>
            <w:tcW w:w="2608" w:type="dxa"/>
          </w:tcPr>
          <w:p>
            <w:pPr>
              <w:pStyle w:val="0"/>
            </w:pPr>
            <w:r>
              <w:rPr>
                <w:sz w:val="24"/>
              </w:rPr>
            </w:r>
          </w:p>
        </w:tc>
        <w:tc>
          <w:tcPr>
            <w:tcW w:w="2633" w:type="dxa"/>
          </w:tcPr>
          <w:p>
            <w:pPr>
              <w:pStyle w:val="0"/>
            </w:pPr>
            <w:r>
              <w:rPr>
                <w:sz w:val="24"/>
              </w:rPr>
              <w:t xml:space="preserve">ins-dic:SummaStraxovojPremiiPoDogPriznanVUkazPeriode</w:t>
            </w:r>
          </w:p>
        </w:tc>
      </w:tr>
      <w:tr>
        <w:tc>
          <w:tcPr>
            <w:tcW w:w="907" w:type="dxa"/>
          </w:tcPr>
          <w:p>
            <w:pPr>
              <w:pStyle w:val="0"/>
            </w:pPr>
            <w:r>
              <w:rPr>
                <w:sz w:val="24"/>
              </w:rPr>
              <w:t xml:space="preserve">70.1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71</w:t>
            </w:r>
          </w:p>
        </w:tc>
        <w:tc>
          <w:tcPr>
            <w:gridSpan w:val="4"/>
            <w:tcW w:w="2923" w:type="dxa"/>
          </w:tcPr>
          <w:p>
            <w:pPr>
              <w:pStyle w:val="0"/>
            </w:pPr>
            <w:r>
              <w:rPr>
                <w:sz w:val="24"/>
              </w:rPr>
              <w:t xml:space="preserve">Страховые премии за перестрахование договоров страхования, сострахования и входящего перестрахования, признанных в течение отчетного периода</w:t>
            </w:r>
          </w:p>
        </w:tc>
        <w:tc>
          <w:tcPr>
            <w:gridSpan w:val="2"/>
            <w:tcW w:w="2608" w:type="dxa"/>
          </w:tcPr>
          <w:p>
            <w:pPr>
              <w:pStyle w:val="0"/>
            </w:pPr>
            <w:r>
              <w:rPr>
                <w:sz w:val="24"/>
              </w:rPr>
            </w:r>
          </w:p>
        </w:tc>
        <w:tc>
          <w:tcPr>
            <w:tcW w:w="2633" w:type="dxa"/>
          </w:tcPr>
          <w:p>
            <w:pPr>
              <w:pStyle w:val="0"/>
            </w:pPr>
            <w:r>
              <w:rPr>
                <w:sz w:val="24"/>
              </w:rPr>
              <w:t xml:space="preserve">ins-dic:SummaStraxovojPremiiPoDogPerestraxPriznanVUkazPeriode</w:t>
            </w:r>
          </w:p>
        </w:tc>
      </w:tr>
      <w:tr>
        <w:tc>
          <w:tcPr>
            <w:tcW w:w="907" w:type="dxa"/>
          </w:tcPr>
          <w:p>
            <w:pPr>
              <w:pStyle w:val="0"/>
            </w:pPr>
            <w:r>
              <w:rPr>
                <w:sz w:val="24"/>
              </w:rPr>
              <w:t xml:space="preserve">71.1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72</w:t>
            </w:r>
          </w:p>
        </w:tc>
        <w:tc>
          <w:tcPr>
            <w:gridSpan w:val="4"/>
            <w:tcW w:w="2923" w:type="dxa"/>
          </w:tcPr>
          <w:p>
            <w:pPr>
              <w:pStyle w:val="0"/>
            </w:pPr>
            <w:r>
              <w:rPr>
                <w:sz w:val="24"/>
              </w:rPr>
              <w:t xml:space="preserve">Сумма страховой премии, предусмотренной договором, по договорам страхования, сострахования и входящего перестрахования, признанным в течение отчетного периода,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ins-dic:SummaStraxovojPremiiPoDogPriznanVUkazPeriodeNetto</w:t>
            </w:r>
          </w:p>
        </w:tc>
      </w:tr>
      <w:tr>
        <w:tc>
          <w:tcPr>
            <w:tcW w:w="907" w:type="dxa"/>
          </w:tcPr>
          <w:p>
            <w:pPr>
              <w:pStyle w:val="0"/>
            </w:pPr>
            <w:r>
              <w:rPr>
                <w:sz w:val="24"/>
              </w:rPr>
              <w:t xml:space="preserve">72.1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73</w:t>
            </w:r>
          </w:p>
        </w:tc>
        <w:tc>
          <w:tcPr>
            <w:gridSpan w:val="4"/>
            <w:tcW w:w="2923" w:type="dxa"/>
          </w:tcPr>
          <w:p>
            <w:pPr>
              <w:pStyle w:val="0"/>
            </w:pPr>
            <w:r>
              <w:rPr>
                <w:sz w:val="24"/>
              </w:rPr>
              <w:t xml:space="preserve">Фактические поступления по суброгациям и регрессам и от реализации годных остатков</w:t>
            </w:r>
          </w:p>
        </w:tc>
        <w:tc>
          <w:tcPr>
            <w:gridSpan w:val="2"/>
            <w:tcW w:w="2608" w:type="dxa"/>
          </w:tcPr>
          <w:p>
            <w:pPr>
              <w:pStyle w:val="0"/>
            </w:pPr>
            <w:r>
              <w:rPr>
                <w:sz w:val="24"/>
              </w:rPr>
            </w:r>
          </w:p>
        </w:tc>
        <w:tc>
          <w:tcPr>
            <w:tcW w:w="2633" w:type="dxa"/>
          </w:tcPr>
          <w:p>
            <w:pPr>
              <w:pStyle w:val="0"/>
            </w:pPr>
            <w:r>
              <w:rPr>
                <w:sz w:val="24"/>
              </w:rPr>
              <w:t xml:space="preserve">ins-dic:FaktPostuplPoSubrogIRegressamRealizGodnOstatkov</w:t>
            </w:r>
          </w:p>
        </w:tc>
      </w:tr>
      <w:tr>
        <w:tc>
          <w:tcPr>
            <w:tcW w:w="907" w:type="dxa"/>
          </w:tcPr>
          <w:p>
            <w:pPr>
              <w:pStyle w:val="0"/>
            </w:pPr>
            <w:r>
              <w:rPr>
                <w:sz w:val="24"/>
              </w:rPr>
              <w:t xml:space="preserve">73.1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74</w:t>
            </w:r>
          </w:p>
        </w:tc>
        <w:tc>
          <w:tcPr>
            <w:gridSpan w:val="4"/>
            <w:tcW w:w="2923" w:type="dxa"/>
          </w:tcPr>
          <w:p>
            <w:pPr>
              <w:pStyle w:val="0"/>
            </w:pPr>
            <w:r>
              <w:rPr>
                <w:sz w:val="24"/>
              </w:rPr>
              <w:t xml:space="preserve">Доля перестраховщиков в фактических поступлениях по суброгациям и регрессам и от реализации годных остатков</w:t>
            </w:r>
          </w:p>
        </w:tc>
        <w:tc>
          <w:tcPr>
            <w:gridSpan w:val="2"/>
            <w:tcW w:w="2608" w:type="dxa"/>
          </w:tcPr>
          <w:p>
            <w:pPr>
              <w:pStyle w:val="0"/>
            </w:pPr>
            <w:r>
              <w:rPr>
                <w:sz w:val="24"/>
              </w:rPr>
            </w:r>
          </w:p>
        </w:tc>
        <w:tc>
          <w:tcPr>
            <w:tcW w:w="2633" w:type="dxa"/>
          </w:tcPr>
          <w:p>
            <w:pPr>
              <w:pStyle w:val="0"/>
            </w:pPr>
            <w:r>
              <w:rPr>
                <w:sz w:val="24"/>
              </w:rPr>
              <w:t xml:space="preserve">ins-dic:DolyaPerestraxFaktPostuplPoSubrogIRegressamRealizGodnOst</w:t>
            </w:r>
          </w:p>
        </w:tc>
      </w:tr>
      <w:tr>
        <w:tc>
          <w:tcPr>
            <w:tcW w:w="907" w:type="dxa"/>
          </w:tcPr>
          <w:p>
            <w:pPr>
              <w:pStyle w:val="0"/>
            </w:pPr>
            <w:r>
              <w:rPr>
                <w:sz w:val="24"/>
              </w:rPr>
              <w:t xml:space="preserve">74.1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75</w:t>
            </w:r>
          </w:p>
        </w:tc>
        <w:tc>
          <w:tcPr>
            <w:gridSpan w:val="4"/>
            <w:tcW w:w="2923" w:type="dxa"/>
          </w:tcPr>
          <w:p>
            <w:pPr>
              <w:pStyle w:val="0"/>
            </w:pPr>
            <w:r>
              <w:rPr>
                <w:sz w:val="24"/>
              </w:rPr>
              <w:t xml:space="preserve">Фактические поступления по суброгациям и регрессам и от реализации годных остатков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ins-dic:FaktPostuplPoSubrogIRegressamRealizGodnOstNetto</w:t>
            </w:r>
          </w:p>
        </w:tc>
      </w:tr>
      <w:tr>
        <w:tc>
          <w:tcPr>
            <w:tcW w:w="907" w:type="dxa"/>
          </w:tcPr>
          <w:p>
            <w:pPr>
              <w:pStyle w:val="0"/>
            </w:pPr>
            <w:r>
              <w:rPr>
                <w:sz w:val="24"/>
              </w:rPr>
              <w:t xml:space="preserve">75.1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76</w:t>
            </w:r>
          </w:p>
        </w:tc>
        <w:tc>
          <w:tcPr>
            <w:gridSpan w:val="4"/>
            <w:tcW w:w="2923" w:type="dxa"/>
          </w:tcPr>
          <w:p>
            <w:pPr>
              <w:pStyle w:val="0"/>
            </w:pPr>
            <w:r>
              <w:rPr>
                <w:sz w:val="24"/>
              </w:rPr>
              <w:t xml:space="preserve">Уменьшение резерва премий, всего</w:t>
            </w:r>
          </w:p>
        </w:tc>
        <w:tc>
          <w:tcPr>
            <w:gridSpan w:val="2"/>
            <w:tcW w:w="2608" w:type="dxa"/>
          </w:tcPr>
          <w:p>
            <w:pPr>
              <w:pStyle w:val="0"/>
            </w:pPr>
            <w:r>
              <w:rPr>
                <w:sz w:val="24"/>
              </w:rPr>
            </w:r>
          </w:p>
        </w:tc>
        <w:tc>
          <w:tcPr>
            <w:tcW w:w="2633" w:type="dxa"/>
          </w:tcPr>
          <w:p>
            <w:pPr>
              <w:pStyle w:val="0"/>
            </w:pPr>
            <w:r>
              <w:rPr>
                <w:sz w:val="24"/>
              </w:rPr>
              <w:t xml:space="preserve">ins-dic:UmenshenieRezPremijVsego</w:t>
            </w:r>
          </w:p>
        </w:tc>
      </w:tr>
      <w:tr>
        <w:tc>
          <w:tcPr>
            <w:tcW w:w="907" w:type="dxa"/>
          </w:tcPr>
          <w:p>
            <w:pPr>
              <w:pStyle w:val="0"/>
            </w:pPr>
            <w:r>
              <w:rPr>
                <w:sz w:val="24"/>
              </w:rPr>
              <w:t xml:space="preserve">76.1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77</w:t>
            </w:r>
          </w:p>
        </w:tc>
        <w:tc>
          <w:tcPr>
            <w:gridSpan w:val="4"/>
            <w:tcW w:w="2923" w:type="dxa"/>
          </w:tcPr>
          <w:p>
            <w:pPr>
              <w:pStyle w:val="0"/>
            </w:pPr>
            <w:r>
              <w:rPr>
                <w:sz w:val="24"/>
              </w:rPr>
              <w:t xml:space="preserve">Доля перестраховщиков в уменьшении резерва премий, учитываемая при определении нормативного размера маржи платежеспособности</w:t>
            </w:r>
          </w:p>
        </w:tc>
        <w:tc>
          <w:tcPr>
            <w:gridSpan w:val="2"/>
            <w:tcW w:w="2608" w:type="dxa"/>
          </w:tcPr>
          <w:p>
            <w:pPr>
              <w:pStyle w:val="0"/>
            </w:pPr>
            <w:r>
              <w:rPr>
                <w:sz w:val="24"/>
              </w:rPr>
            </w:r>
          </w:p>
        </w:tc>
        <w:tc>
          <w:tcPr>
            <w:tcW w:w="2633" w:type="dxa"/>
          </w:tcPr>
          <w:p>
            <w:pPr>
              <w:pStyle w:val="0"/>
            </w:pPr>
            <w:r>
              <w:rPr>
                <w:sz w:val="24"/>
              </w:rPr>
              <w:t xml:space="preserve">ins-dic:DolyaPerestraxVRezPremijUchitPriOpredNRMP</w:t>
            </w:r>
          </w:p>
        </w:tc>
      </w:tr>
      <w:tr>
        <w:tc>
          <w:tcPr>
            <w:tcW w:w="907" w:type="dxa"/>
          </w:tcPr>
          <w:p>
            <w:pPr>
              <w:pStyle w:val="0"/>
            </w:pPr>
            <w:r>
              <w:rPr>
                <w:sz w:val="24"/>
              </w:rPr>
              <w:t xml:space="preserve">77.1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78</w:t>
            </w:r>
          </w:p>
        </w:tc>
        <w:tc>
          <w:tcPr>
            <w:gridSpan w:val="4"/>
            <w:tcW w:w="2923" w:type="dxa"/>
          </w:tcPr>
          <w:p>
            <w:pPr>
              <w:pStyle w:val="0"/>
            </w:pPr>
            <w:r>
              <w:rPr>
                <w:sz w:val="24"/>
              </w:rPr>
              <w:t xml:space="preserve">Уменьшение резерва премий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ins-dic:UmenshenieRezPremijNetto</w:t>
            </w:r>
          </w:p>
        </w:tc>
      </w:tr>
      <w:tr>
        <w:tc>
          <w:tcPr>
            <w:tcW w:w="907" w:type="dxa"/>
          </w:tcPr>
          <w:p>
            <w:pPr>
              <w:pStyle w:val="0"/>
            </w:pPr>
            <w:r>
              <w:rPr>
                <w:sz w:val="24"/>
              </w:rPr>
              <w:t xml:space="preserve">78.1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79</w:t>
            </w:r>
          </w:p>
        </w:tc>
        <w:tc>
          <w:tcPr>
            <w:gridSpan w:val="4"/>
            <w:tcW w:w="2923" w:type="dxa"/>
          </w:tcPr>
          <w:p>
            <w:pPr>
              <w:pStyle w:val="0"/>
            </w:pPr>
            <w:r>
              <w:rPr>
                <w:sz w:val="24"/>
              </w:rPr>
              <w:t xml:space="preserve">Уменьшение резерва убытков, всего</w:t>
            </w:r>
          </w:p>
        </w:tc>
        <w:tc>
          <w:tcPr>
            <w:gridSpan w:val="2"/>
            <w:tcW w:w="2608" w:type="dxa"/>
          </w:tcPr>
          <w:p>
            <w:pPr>
              <w:pStyle w:val="0"/>
            </w:pPr>
            <w:r>
              <w:rPr>
                <w:sz w:val="24"/>
              </w:rPr>
            </w:r>
          </w:p>
        </w:tc>
        <w:tc>
          <w:tcPr>
            <w:tcW w:w="2633" w:type="dxa"/>
          </w:tcPr>
          <w:p>
            <w:pPr>
              <w:pStyle w:val="0"/>
            </w:pPr>
            <w:r>
              <w:rPr>
                <w:sz w:val="24"/>
              </w:rPr>
              <w:t xml:space="preserve">ins-dic:UmenshenieRezUbytkovVsego</w:t>
            </w:r>
          </w:p>
        </w:tc>
      </w:tr>
      <w:tr>
        <w:tc>
          <w:tcPr>
            <w:tcW w:w="907" w:type="dxa"/>
          </w:tcPr>
          <w:p>
            <w:pPr>
              <w:pStyle w:val="0"/>
            </w:pPr>
            <w:r>
              <w:rPr>
                <w:sz w:val="24"/>
              </w:rPr>
              <w:t xml:space="preserve">79.1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80</w:t>
            </w:r>
          </w:p>
        </w:tc>
        <w:tc>
          <w:tcPr>
            <w:gridSpan w:val="4"/>
            <w:tcW w:w="2923" w:type="dxa"/>
          </w:tcPr>
          <w:p>
            <w:pPr>
              <w:pStyle w:val="0"/>
            </w:pPr>
            <w:r>
              <w:rPr>
                <w:sz w:val="24"/>
              </w:rPr>
              <w:t xml:space="preserve">Доля перестраховщиков в уменьшении резерва убытков, учитываемая при определении нормативного размера маржи платежеспособности</w:t>
            </w:r>
          </w:p>
        </w:tc>
        <w:tc>
          <w:tcPr>
            <w:gridSpan w:val="2"/>
            <w:tcW w:w="2608" w:type="dxa"/>
          </w:tcPr>
          <w:p>
            <w:pPr>
              <w:pStyle w:val="0"/>
            </w:pPr>
            <w:r>
              <w:rPr>
                <w:sz w:val="24"/>
              </w:rPr>
            </w:r>
          </w:p>
        </w:tc>
        <w:tc>
          <w:tcPr>
            <w:tcW w:w="2633" w:type="dxa"/>
          </w:tcPr>
          <w:p>
            <w:pPr>
              <w:pStyle w:val="0"/>
            </w:pPr>
            <w:r>
              <w:rPr>
                <w:sz w:val="24"/>
              </w:rPr>
              <w:t xml:space="preserve">ins-dic:DolyaPerestraxVRezUbytkovUchitPriOpredNRMP</w:t>
            </w:r>
          </w:p>
        </w:tc>
      </w:tr>
      <w:tr>
        <w:tc>
          <w:tcPr>
            <w:tcW w:w="907" w:type="dxa"/>
          </w:tcPr>
          <w:p>
            <w:pPr>
              <w:pStyle w:val="0"/>
            </w:pPr>
            <w:r>
              <w:rPr>
                <w:sz w:val="24"/>
              </w:rPr>
              <w:t xml:space="preserve">80.1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81</w:t>
            </w:r>
          </w:p>
        </w:tc>
        <w:tc>
          <w:tcPr>
            <w:gridSpan w:val="4"/>
            <w:tcW w:w="2923" w:type="dxa"/>
          </w:tcPr>
          <w:p>
            <w:pPr>
              <w:pStyle w:val="0"/>
            </w:pPr>
            <w:r>
              <w:rPr>
                <w:sz w:val="24"/>
              </w:rPr>
              <w:t xml:space="preserve">Уменьшение резерва убытков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ins-dic:UmenshenieRezUbytkovNetto</w:t>
            </w:r>
          </w:p>
        </w:tc>
      </w:tr>
      <w:tr>
        <w:tc>
          <w:tcPr>
            <w:tcW w:w="907" w:type="dxa"/>
          </w:tcPr>
          <w:p>
            <w:pPr>
              <w:pStyle w:val="0"/>
            </w:pPr>
            <w:r>
              <w:rPr>
                <w:sz w:val="24"/>
              </w:rPr>
              <w:t xml:space="preserve">81.1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82</w:t>
            </w:r>
          </w:p>
        </w:tc>
        <w:tc>
          <w:tcPr>
            <w:gridSpan w:val="4"/>
            <w:tcW w:w="2923" w:type="dxa"/>
          </w:tcPr>
          <w:p>
            <w:pPr>
              <w:pStyle w:val="0"/>
            </w:pPr>
            <w:r>
              <w:rPr>
                <w:sz w:val="24"/>
              </w:rPr>
              <w:t xml:space="preserve">Тантьемы, перестраховочные и иные вознаграждения по договорам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ins-dic:Komiss_Tant_InVozn_Po_Dog_Isx_Perestrax</w:t>
            </w:r>
          </w:p>
        </w:tc>
      </w:tr>
      <w:tr>
        <w:tc>
          <w:tcPr>
            <w:tcW w:w="907" w:type="dxa"/>
          </w:tcPr>
          <w:p>
            <w:pPr>
              <w:pStyle w:val="0"/>
            </w:pPr>
            <w:r>
              <w:rPr>
                <w:sz w:val="24"/>
              </w:rPr>
              <w:t xml:space="preserve">82.1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83</w:t>
            </w:r>
          </w:p>
        </w:tc>
        <w:tc>
          <w:tcPr>
            <w:gridSpan w:val="4"/>
            <w:tcW w:w="2923" w:type="dxa"/>
          </w:tcPr>
          <w:p>
            <w:pPr>
              <w:pStyle w:val="0"/>
            </w:pPr>
            <w:r>
              <w:rPr>
                <w:sz w:val="24"/>
              </w:rPr>
              <w:t xml:space="preserve">Увеличение стоимости прав требования по суброгациям и регрессам</w:t>
            </w:r>
          </w:p>
        </w:tc>
        <w:tc>
          <w:tcPr>
            <w:gridSpan w:val="2"/>
            <w:tcW w:w="2608" w:type="dxa"/>
          </w:tcPr>
          <w:p>
            <w:pPr>
              <w:pStyle w:val="0"/>
            </w:pPr>
            <w:r>
              <w:rPr>
                <w:sz w:val="24"/>
              </w:rPr>
            </w:r>
          </w:p>
        </w:tc>
        <w:tc>
          <w:tcPr>
            <w:tcW w:w="2633" w:type="dxa"/>
          </w:tcPr>
          <w:p>
            <w:pPr>
              <w:pStyle w:val="0"/>
            </w:pPr>
            <w:r>
              <w:rPr>
                <w:sz w:val="24"/>
              </w:rPr>
              <w:t xml:space="preserve">ins-dic:UvelStoimPravTrebPoSubrogRegr</w:t>
            </w:r>
          </w:p>
        </w:tc>
      </w:tr>
      <w:tr>
        <w:tc>
          <w:tcPr>
            <w:tcW w:w="907" w:type="dxa"/>
          </w:tcPr>
          <w:p>
            <w:pPr>
              <w:pStyle w:val="0"/>
            </w:pPr>
            <w:r>
              <w:rPr>
                <w:sz w:val="24"/>
              </w:rPr>
              <w:t xml:space="preserve">83.1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0078" w:name="P30078"/>
          <w:bookmarkEnd w:id="30078"/>
          <w:p>
            <w:pPr>
              <w:pStyle w:val="0"/>
            </w:pPr>
            <w:r>
              <w:rPr>
                <w:sz w:val="24"/>
              </w:rPr>
              <w:t xml:space="preserve">84</w:t>
            </w:r>
          </w:p>
        </w:tc>
        <w:tc>
          <w:tcPr>
            <w:gridSpan w:val="4"/>
            <w:tcW w:w="2923" w:type="dxa"/>
          </w:tcPr>
          <w:p>
            <w:pPr>
              <w:pStyle w:val="0"/>
            </w:pPr>
            <w:r>
              <w:rPr>
                <w:sz w:val="24"/>
              </w:rPr>
              <w:t xml:space="preserve">Увеличение стоимости активов в виде полученного страховщиком застрахованного имущества (его годных остатков)</w:t>
            </w:r>
          </w:p>
        </w:tc>
        <w:tc>
          <w:tcPr>
            <w:gridSpan w:val="2"/>
            <w:tcW w:w="2608" w:type="dxa"/>
          </w:tcPr>
          <w:p>
            <w:pPr>
              <w:pStyle w:val="0"/>
            </w:pPr>
            <w:r>
              <w:rPr>
                <w:sz w:val="24"/>
              </w:rPr>
            </w:r>
          </w:p>
        </w:tc>
        <w:tc>
          <w:tcPr>
            <w:tcW w:w="2633" w:type="dxa"/>
          </w:tcPr>
          <w:p>
            <w:pPr>
              <w:pStyle w:val="0"/>
            </w:pPr>
            <w:r>
              <w:rPr>
                <w:sz w:val="24"/>
              </w:rPr>
              <w:t xml:space="preserve">ins-dic:UvelStoimAktivovPoluchZastraxImushOtkazOtPravP5S10FZ4015</w:t>
            </w:r>
          </w:p>
        </w:tc>
      </w:tr>
      <w:tr>
        <w:tc>
          <w:tcPr>
            <w:tcW w:w="907" w:type="dxa"/>
          </w:tcPr>
          <w:p>
            <w:pPr>
              <w:pStyle w:val="0"/>
            </w:pPr>
            <w:r>
              <w:rPr>
                <w:sz w:val="24"/>
              </w:rPr>
              <w:t xml:space="preserve">84.1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85</w:t>
            </w:r>
          </w:p>
        </w:tc>
        <w:tc>
          <w:tcPr>
            <w:gridSpan w:val="4"/>
            <w:tcW w:w="2923" w:type="dxa"/>
          </w:tcPr>
          <w:p>
            <w:pPr>
              <w:pStyle w:val="0"/>
            </w:pPr>
            <w:r>
              <w:rPr>
                <w:sz w:val="24"/>
              </w:rPr>
              <w:t xml:space="preserve">Уменьшение стоимости прав требования по суброгациям и регрессам</w:t>
            </w:r>
          </w:p>
        </w:tc>
        <w:tc>
          <w:tcPr>
            <w:gridSpan w:val="2"/>
            <w:tcW w:w="2608" w:type="dxa"/>
          </w:tcPr>
          <w:p>
            <w:pPr>
              <w:pStyle w:val="0"/>
            </w:pPr>
            <w:r>
              <w:rPr>
                <w:sz w:val="24"/>
              </w:rPr>
            </w:r>
          </w:p>
        </w:tc>
        <w:tc>
          <w:tcPr>
            <w:tcW w:w="2633" w:type="dxa"/>
          </w:tcPr>
          <w:p>
            <w:pPr>
              <w:pStyle w:val="0"/>
            </w:pPr>
            <w:r>
              <w:rPr>
                <w:sz w:val="24"/>
              </w:rPr>
              <w:t xml:space="preserve">ins-dic:UmenshStoimPravTrebPoSubrogRegr</w:t>
            </w:r>
          </w:p>
        </w:tc>
      </w:tr>
      <w:tr>
        <w:tc>
          <w:tcPr>
            <w:tcW w:w="907" w:type="dxa"/>
          </w:tcPr>
          <w:p>
            <w:pPr>
              <w:pStyle w:val="0"/>
            </w:pPr>
            <w:r>
              <w:rPr>
                <w:sz w:val="24"/>
              </w:rPr>
              <w:t xml:space="preserve">85.1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0094" w:name="P30094"/>
          <w:bookmarkEnd w:id="30094"/>
          <w:p>
            <w:pPr>
              <w:pStyle w:val="0"/>
            </w:pPr>
            <w:r>
              <w:rPr>
                <w:sz w:val="24"/>
              </w:rPr>
              <w:t xml:space="preserve">86</w:t>
            </w:r>
          </w:p>
        </w:tc>
        <w:tc>
          <w:tcPr>
            <w:gridSpan w:val="4"/>
            <w:tcW w:w="2923" w:type="dxa"/>
          </w:tcPr>
          <w:p>
            <w:pPr>
              <w:pStyle w:val="0"/>
            </w:pPr>
            <w:r>
              <w:rPr>
                <w:sz w:val="24"/>
              </w:rPr>
              <w:t xml:space="preserve">Уменьшение стоимости активов в виде полученного страховщиком застрахованного имущества (его годных остатков)</w:t>
            </w:r>
          </w:p>
        </w:tc>
        <w:tc>
          <w:tcPr>
            <w:gridSpan w:val="2"/>
            <w:tcW w:w="2608" w:type="dxa"/>
          </w:tcPr>
          <w:p>
            <w:pPr>
              <w:pStyle w:val="0"/>
            </w:pPr>
            <w:r>
              <w:rPr>
                <w:sz w:val="24"/>
              </w:rPr>
            </w:r>
          </w:p>
        </w:tc>
        <w:tc>
          <w:tcPr>
            <w:tcW w:w="2633" w:type="dxa"/>
          </w:tcPr>
          <w:p>
            <w:pPr>
              <w:pStyle w:val="0"/>
            </w:pPr>
            <w:r>
              <w:rPr>
                <w:sz w:val="24"/>
              </w:rPr>
              <w:t xml:space="preserve">ins-dic:UmenshStoimAktivovPoluchZastraxImushOtkazOtPravP5S10FZ4015</w:t>
            </w:r>
          </w:p>
        </w:tc>
      </w:tr>
      <w:tr>
        <w:tc>
          <w:tcPr>
            <w:tcW w:w="907" w:type="dxa"/>
          </w:tcPr>
          <w:p>
            <w:pPr>
              <w:pStyle w:val="0"/>
            </w:pPr>
            <w:r>
              <w:rPr>
                <w:sz w:val="24"/>
              </w:rPr>
              <w:t xml:space="preserve">86.1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0102" w:name="P30102"/>
          <w:bookmarkEnd w:id="30102"/>
          <w:p>
            <w:pPr>
              <w:pStyle w:val="0"/>
            </w:pPr>
            <w:r>
              <w:rPr>
                <w:sz w:val="24"/>
              </w:rPr>
              <w:t xml:space="preserve">87</w:t>
            </w:r>
          </w:p>
        </w:tc>
        <w:tc>
          <w:tcPr>
            <w:gridSpan w:val="4"/>
            <w:tcW w:w="2923" w:type="dxa"/>
          </w:tcPr>
          <w:p>
            <w:pPr>
              <w:pStyle w:val="0"/>
            </w:pPr>
            <w:r>
              <w:rPr>
                <w:sz w:val="24"/>
              </w:rPr>
              <w:t xml:space="preserve">Отчисления от страховых премий в фонды компенсационных выплат</w:t>
            </w:r>
          </w:p>
        </w:tc>
        <w:tc>
          <w:tcPr>
            <w:gridSpan w:val="2"/>
            <w:tcW w:w="2608" w:type="dxa"/>
          </w:tcPr>
          <w:p>
            <w:pPr>
              <w:pStyle w:val="0"/>
            </w:pPr>
            <w:r>
              <w:rPr>
                <w:sz w:val="24"/>
              </w:rPr>
            </w:r>
          </w:p>
        </w:tc>
        <w:tc>
          <w:tcPr>
            <w:tcW w:w="2633" w:type="dxa"/>
          </w:tcPr>
          <w:p>
            <w:pPr>
              <w:pStyle w:val="0"/>
            </w:pPr>
            <w:r>
              <w:rPr>
                <w:sz w:val="24"/>
              </w:rPr>
              <w:t xml:space="preserve">ins-dic:Nzh_Otchisleniya_Kompensacz_Fondy_Uchetn_Gruppa_Vsego</w:t>
            </w:r>
          </w:p>
        </w:tc>
      </w:tr>
      <w:tr>
        <w:tc>
          <w:tcPr>
            <w:tcW w:w="907" w:type="dxa"/>
          </w:tcPr>
          <w:p>
            <w:pPr>
              <w:pStyle w:val="0"/>
            </w:pPr>
            <w:r>
              <w:rPr>
                <w:sz w:val="24"/>
              </w:rPr>
              <w:t xml:space="preserve">87.1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88</w:t>
            </w:r>
          </w:p>
        </w:tc>
        <w:tc>
          <w:tcPr>
            <w:gridSpan w:val="4"/>
            <w:tcW w:w="2923" w:type="dxa"/>
          </w:tcPr>
          <w:p>
            <w:pPr>
              <w:pStyle w:val="0"/>
            </w:pPr>
            <w:r>
              <w:rPr>
                <w:sz w:val="24"/>
              </w:rPr>
              <w:t xml:space="preserve">Увеличение резерва премий, всего</w:t>
            </w:r>
          </w:p>
        </w:tc>
        <w:tc>
          <w:tcPr>
            <w:gridSpan w:val="2"/>
            <w:tcW w:w="2608" w:type="dxa"/>
          </w:tcPr>
          <w:p>
            <w:pPr>
              <w:pStyle w:val="0"/>
            </w:pPr>
            <w:r>
              <w:rPr>
                <w:sz w:val="24"/>
              </w:rPr>
            </w:r>
          </w:p>
        </w:tc>
        <w:tc>
          <w:tcPr>
            <w:tcW w:w="2633" w:type="dxa"/>
          </w:tcPr>
          <w:p>
            <w:pPr>
              <w:pStyle w:val="0"/>
            </w:pPr>
            <w:r>
              <w:rPr>
                <w:sz w:val="24"/>
              </w:rPr>
              <w:t xml:space="preserve">ins-dic:UvelRezervaPremijVsego</w:t>
            </w:r>
          </w:p>
        </w:tc>
      </w:tr>
      <w:tr>
        <w:tc>
          <w:tcPr>
            <w:tcW w:w="907" w:type="dxa"/>
          </w:tcPr>
          <w:p>
            <w:pPr>
              <w:pStyle w:val="0"/>
            </w:pPr>
            <w:r>
              <w:rPr>
                <w:sz w:val="24"/>
              </w:rPr>
              <w:t xml:space="preserve">88.1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89</w:t>
            </w:r>
          </w:p>
        </w:tc>
        <w:tc>
          <w:tcPr>
            <w:gridSpan w:val="4"/>
            <w:tcW w:w="2923" w:type="dxa"/>
          </w:tcPr>
          <w:p>
            <w:pPr>
              <w:pStyle w:val="0"/>
            </w:pPr>
            <w:r>
              <w:rPr>
                <w:sz w:val="24"/>
              </w:rPr>
              <w:t xml:space="preserve">Доля перестраховщиков в увеличении резерва премий, учитываемая при определении нормативного размера маржи платежеспособности</w:t>
            </w:r>
          </w:p>
        </w:tc>
        <w:tc>
          <w:tcPr>
            <w:gridSpan w:val="2"/>
            <w:tcW w:w="2608" w:type="dxa"/>
          </w:tcPr>
          <w:p>
            <w:pPr>
              <w:pStyle w:val="0"/>
            </w:pPr>
            <w:r>
              <w:rPr>
                <w:sz w:val="24"/>
              </w:rPr>
            </w:r>
          </w:p>
        </w:tc>
        <w:tc>
          <w:tcPr>
            <w:tcW w:w="2633" w:type="dxa"/>
          </w:tcPr>
          <w:p>
            <w:pPr>
              <w:pStyle w:val="0"/>
            </w:pPr>
            <w:r>
              <w:rPr>
                <w:sz w:val="24"/>
              </w:rPr>
              <w:t xml:space="preserve">ins-dic:DolyaPerestraxVUvelRezervaPremijVsego</w:t>
            </w:r>
          </w:p>
        </w:tc>
      </w:tr>
      <w:tr>
        <w:tc>
          <w:tcPr>
            <w:tcW w:w="907" w:type="dxa"/>
          </w:tcPr>
          <w:p>
            <w:pPr>
              <w:pStyle w:val="0"/>
            </w:pPr>
            <w:r>
              <w:rPr>
                <w:sz w:val="24"/>
              </w:rPr>
              <w:t xml:space="preserve">89.1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90</w:t>
            </w:r>
          </w:p>
        </w:tc>
        <w:tc>
          <w:tcPr>
            <w:gridSpan w:val="4"/>
            <w:tcW w:w="2923" w:type="dxa"/>
          </w:tcPr>
          <w:p>
            <w:pPr>
              <w:pStyle w:val="0"/>
            </w:pPr>
            <w:r>
              <w:rPr>
                <w:sz w:val="24"/>
              </w:rPr>
              <w:t xml:space="preserve">Увеличение резерва премий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ins-dic:UvelichRezervaPremijNetto</w:t>
            </w:r>
          </w:p>
        </w:tc>
      </w:tr>
      <w:tr>
        <w:tc>
          <w:tcPr>
            <w:tcW w:w="907" w:type="dxa"/>
          </w:tcPr>
          <w:p>
            <w:pPr>
              <w:pStyle w:val="0"/>
            </w:pPr>
            <w:r>
              <w:rPr>
                <w:sz w:val="24"/>
              </w:rPr>
              <w:t xml:space="preserve">90.1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91</w:t>
            </w:r>
          </w:p>
        </w:tc>
        <w:tc>
          <w:tcPr>
            <w:gridSpan w:val="4"/>
            <w:tcW w:w="2923" w:type="dxa"/>
          </w:tcPr>
          <w:p>
            <w:pPr>
              <w:pStyle w:val="0"/>
            </w:pPr>
            <w:r>
              <w:rPr>
                <w:sz w:val="24"/>
              </w:rPr>
              <w:t xml:space="preserve">Увеличение резерва убытков, всего</w:t>
            </w:r>
          </w:p>
        </w:tc>
        <w:tc>
          <w:tcPr>
            <w:gridSpan w:val="2"/>
            <w:tcW w:w="2608" w:type="dxa"/>
          </w:tcPr>
          <w:p>
            <w:pPr>
              <w:pStyle w:val="0"/>
            </w:pPr>
            <w:r>
              <w:rPr>
                <w:sz w:val="24"/>
              </w:rPr>
            </w:r>
          </w:p>
        </w:tc>
        <w:tc>
          <w:tcPr>
            <w:tcW w:w="2633" w:type="dxa"/>
          </w:tcPr>
          <w:p>
            <w:pPr>
              <w:pStyle w:val="0"/>
            </w:pPr>
            <w:r>
              <w:rPr>
                <w:sz w:val="24"/>
              </w:rPr>
              <w:t xml:space="preserve">ins-dic:UvelichRezUbytkovVsego</w:t>
            </w:r>
          </w:p>
        </w:tc>
      </w:tr>
      <w:tr>
        <w:tc>
          <w:tcPr>
            <w:tcW w:w="907" w:type="dxa"/>
          </w:tcPr>
          <w:p>
            <w:pPr>
              <w:pStyle w:val="0"/>
            </w:pPr>
            <w:r>
              <w:rPr>
                <w:sz w:val="24"/>
              </w:rPr>
              <w:t xml:space="preserve">91.1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92</w:t>
            </w:r>
          </w:p>
        </w:tc>
        <w:tc>
          <w:tcPr>
            <w:gridSpan w:val="4"/>
            <w:tcW w:w="2923" w:type="dxa"/>
          </w:tcPr>
          <w:p>
            <w:pPr>
              <w:pStyle w:val="0"/>
            </w:pPr>
            <w:r>
              <w:rPr>
                <w:sz w:val="24"/>
              </w:rPr>
              <w:t xml:space="preserve">Доля перестраховщиков в увеличении резерва убытков, учитываемая при определении нормативного размера маржи платежеспособности</w:t>
            </w:r>
          </w:p>
        </w:tc>
        <w:tc>
          <w:tcPr>
            <w:gridSpan w:val="2"/>
            <w:tcW w:w="2608" w:type="dxa"/>
          </w:tcPr>
          <w:p>
            <w:pPr>
              <w:pStyle w:val="0"/>
            </w:pPr>
            <w:r>
              <w:rPr>
                <w:sz w:val="24"/>
              </w:rPr>
            </w:r>
          </w:p>
        </w:tc>
        <w:tc>
          <w:tcPr>
            <w:tcW w:w="2633" w:type="dxa"/>
          </w:tcPr>
          <w:p>
            <w:pPr>
              <w:pStyle w:val="0"/>
            </w:pPr>
            <w:r>
              <w:rPr>
                <w:sz w:val="24"/>
              </w:rPr>
              <w:t xml:space="preserve">ins-dic:DolyaPerestraxVRezervUbytkovPriOpredNRMP</w:t>
            </w:r>
          </w:p>
        </w:tc>
      </w:tr>
      <w:tr>
        <w:tc>
          <w:tcPr>
            <w:tcW w:w="907" w:type="dxa"/>
          </w:tcPr>
          <w:p>
            <w:pPr>
              <w:pStyle w:val="0"/>
            </w:pPr>
            <w:r>
              <w:rPr>
                <w:sz w:val="24"/>
              </w:rPr>
              <w:t xml:space="preserve">92.1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93</w:t>
            </w:r>
          </w:p>
        </w:tc>
        <w:tc>
          <w:tcPr>
            <w:gridSpan w:val="4"/>
            <w:tcW w:w="2923" w:type="dxa"/>
          </w:tcPr>
          <w:p>
            <w:pPr>
              <w:pStyle w:val="0"/>
            </w:pPr>
            <w:r>
              <w:rPr>
                <w:sz w:val="24"/>
              </w:rPr>
              <w:t xml:space="preserve">Увеличение резерва убытков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ins-dic:UvelichRezUbytkovNetto</w:t>
            </w:r>
          </w:p>
        </w:tc>
      </w:tr>
      <w:tr>
        <w:tc>
          <w:tcPr>
            <w:tcW w:w="907" w:type="dxa"/>
          </w:tcPr>
          <w:p>
            <w:pPr>
              <w:pStyle w:val="0"/>
            </w:pPr>
            <w:r>
              <w:rPr>
                <w:sz w:val="24"/>
              </w:rPr>
              <w:t xml:space="preserve">93.1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0158" w:name="P30158"/>
          <w:bookmarkEnd w:id="30158"/>
          <w:p>
            <w:pPr>
              <w:pStyle w:val="0"/>
            </w:pPr>
            <w:r>
              <w:rPr>
                <w:sz w:val="24"/>
              </w:rPr>
              <w:t xml:space="preserve">94</w:t>
            </w:r>
          </w:p>
        </w:tc>
        <w:tc>
          <w:tcPr>
            <w:gridSpan w:val="4"/>
            <w:tcW w:w="2923" w:type="dxa"/>
          </w:tcPr>
          <w:p>
            <w:pPr>
              <w:pStyle w:val="0"/>
            </w:pPr>
            <w:r>
              <w:rPr>
                <w:sz w:val="24"/>
              </w:rPr>
              <w:t xml:space="preserve">Произведенные страховые выплаты, всего</w:t>
            </w:r>
          </w:p>
        </w:tc>
        <w:tc>
          <w:tcPr>
            <w:gridSpan w:val="2"/>
            <w:tcW w:w="2608" w:type="dxa"/>
          </w:tcPr>
          <w:p>
            <w:pPr>
              <w:pStyle w:val="0"/>
            </w:pPr>
            <w:r>
              <w:rPr>
                <w:sz w:val="24"/>
              </w:rPr>
            </w:r>
          </w:p>
        </w:tc>
        <w:tc>
          <w:tcPr>
            <w:tcW w:w="2633" w:type="dxa"/>
          </w:tcPr>
          <w:p>
            <w:pPr>
              <w:pStyle w:val="0"/>
            </w:pPr>
            <w:r>
              <w:rPr>
                <w:sz w:val="24"/>
              </w:rPr>
              <w:t xml:space="preserve">ins-dic:Nzh_Sp_Uchetn_Gruppa_Vsego</w:t>
            </w:r>
          </w:p>
        </w:tc>
      </w:tr>
      <w:tr>
        <w:tc>
          <w:tcPr>
            <w:tcW w:w="907" w:type="dxa"/>
          </w:tcPr>
          <w:p>
            <w:pPr>
              <w:pStyle w:val="0"/>
            </w:pPr>
            <w:r>
              <w:rPr>
                <w:sz w:val="24"/>
              </w:rPr>
              <w:t xml:space="preserve">94.1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0166" w:name="P30166"/>
          <w:bookmarkEnd w:id="30166"/>
          <w:p>
            <w:pPr>
              <w:pStyle w:val="0"/>
            </w:pPr>
            <w:r>
              <w:rPr>
                <w:sz w:val="24"/>
              </w:rPr>
              <w:t xml:space="preserve">95</w:t>
            </w:r>
          </w:p>
        </w:tc>
        <w:tc>
          <w:tcPr>
            <w:gridSpan w:val="4"/>
            <w:tcW w:w="2923" w:type="dxa"/>
          </w:tcPr>
          <w:p>
            <w:pPr>
              <w:pStyle w:val="0"/>
            </w:pPr>
            <w:r>
              <w:rPr>
                <w:sz w:val="24"/>
              </w:rPr>
              <w:t xml:space="preserve">Страховые выплаты по договорам исходящего перестрахования, заключенным в отношении обязательств по произведенным страховым выплатам</w:t>
            </w:r>
          </w:p>
        </w:tc>
        <w:tc>
          <w:tcPr>
            <w:gridSpan w:val="2"/>
            <w:tcW w:w="2608" w:type="dxa"/>
          </w:tcPr>
          <w:p>
            <w:pPr>
              <w:pStyle w:val="0"/>
            </w:pPr>
            <w:r>
              <w:rPr>
                <w:sz w:val="24"/>
              </w:rPr>
            </w:r>
          </w:p>
        </w:tc>
        <w:tc>
          <w:tcPr>
            <w:tcW w:w="2633" w:type="dxa"/>
          </w:tcPr>
          <w:p>
            <w:pPr>
              <w:pStyle w:val="0"/>
            </w:pPr>
            <w:r>
              <w:rPr>
                <w:sz w:val="24"/>
              </w:rPr>
              <w:t xml:space="preserve">ins-dic:Nzh_Dolya_Perestrax_Sp_Uchetn_Gruppa</w:t>
            </w:r>
          </w:p>
        </w:tc>
      </w:tr>
      <w:tr>
        <w:tc>
          <w:tcPr>
            <w:tcW w:w="907" w:type="dxa"/>
          </w:tcPr>
          <w:p>
            <w:pPr>
              <w:pStyle w:val="0"/>
            </w:pPr>
            <w:r>
              <w:rPr>
                <w:sz w:val="24"/>
              </w:rPr>
              <w:t xml:space="preserve">95.1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96</w:t>
            </w:r>
          </w:p>
        </w:tc>
        <w:tc>
          <w:tcPr>
            <w:gridSpan w:val="4"/>
            <w:tcW w:w="2923" w:type="dxa"/>
          </w:tcPr>
          <w:p>
            <w:pPr>
              <w:pStyle w:val="0"/>
            </w:pPr>
            <w:r>
              <w:rPr>
                <w:sz w:val="24"/>
              </w:rPr>
              <w:t xml:space="preserve">Страховые выплаты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ins-dic:Nzh_Sv_Uchetn_Gruppa_Netto</w:t>
            </w:r>
          </w:p>
        </w:tc>
      </w:tr>
      <w:tr>
        <w:tc>
          <w:tcPr>
            <w:tcW w:w="907" w:type="dxa"/>
          </w:tcPr>
          <w:p>
            <w:pPr>
              <w:pStyle w:val="0"/>
            </w:pPr>
            <w:r>
              <w:rPr>
                <w:sz w:val="24"/>
              </w:rPr>
              <w:t xml:space="preserve">96.1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97</w:t>
            </w:r>
          </w:p>
        </w:tc>
        <w:tc>
          <w:tcPr>
            <w:gridSpan w:val="4"/>
            <w:tcW w:w="2923" w:type="dxa"/>
          </w:tcPr>
          <w:p>
            <w:pPr>
              <w:pStyle w:val="0"/>
            </w:pPr>
            <w:r>
              <w:rPr>
                <w:sz w:val="24"/>
              </w:rPr>
              <w:t xml:space="preserve">Расходы на заключение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ins-dic:RasxNaZaklDogStraxSostraxDogPrinyVPerestrax</w:t>
            </w:r>
          </w:p>
        </w:tc>
      </w:tr>
      <w:tr>
        <w:tc>
          <w:tcPr>
            <w:tcW w:w="907" w:type="dxa"/>
          </w:tcPr>
          <w:p>
            <w:pPr>
              <w:pStyle w:val="0"/>
            </w:pPr>
            <w:r>
              <w:rPr>
                <w:sz w:val="24"/>
              </w:rPr>
              <w:t xml:space="preserve">97.1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98</w:t>
            </w:r>
          </w:p>
        </w:tc>
        <w:tc>
          <w:tcPr>
            <w:gridSpan w:val="4"/>
            <w:tcW w:w="2923" w:type="dxa"/>
          </w:tcPr>
          <w:p>
            <w:pPr>
              <w:pStyle w:val="0"/>
            </w:pPr>
            <w:r>
              <w:rPr>
                <w:sz w:val="24"/>
              </w:rPr>
              <w:t xml:space="preserve">Доля перестраховщиков в расходах на заключение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ins-dic:DolyaPerestrVRasxNaZaklDogStraxSostraxDogPrinyVPerestrax</w:t>
            </w:r>
          </w:p>
        </w:tc>
      </w:tr>
      <w:tr>
        <w:tc>
          <w:tcPr>
            <w:tcW w:w="907" w:type="dxa"/>
          </w:tcPr>
          <w:p>
            <w:pPr>
              <w:pStyle w:val="0"/>
            </w:pPr>
            <w:r>
              <w:rPr>
                <w:sz w:val="24"/>
              </w:rPr>
              <w:t xml:space="preserve">98.1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99</w:t>
            </w:r>
          </w:p>
        </w:tc>
        <w:tc>
          <w:tcPr>
            <w:gridSpan w:val="4"/>
            <w:tcW w:w="2923" w:type="dxa"/>
          </w:tcPr>
          <w:p>
            <w:pPr>
              <w:pStyle w:val="0"/>
            </w:pPr>
            <w:r>
              <w:rPr>
                <w:sz w:val="24"/>
              </w:rPr>
              <w:t xml:space="preserve">Расходы на заключение договоров страхования, сострахования и входящего перестрахования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ins-dic:RasxNaZaklDogStraxSostraxDogPrinyVPerestraxNetto</w:t>
            </w:r>
          </w:p>
        </w:tc>
      </w:tr>
      <w:tr>
        <w:tc>
          <w:tcPr>
            <w:tcW w:w="907" w:type="dxa"/>
          </w:tcPr>
          <w:p>
            <w:pPr>
              <w:pStyle w:val="0"/>
            </w:pPr>
            <w:r>
              <w:rPr>
                <w:sz w:val="24"/>
              </w:rPr>
              <w:t xml:space="preserve">99.1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100</w:t>
            </w:r>
          </w:p>
        </w:tc>
        <w:tc>
          <w:tcPr>
            <w:gridSpan w:val="4"/>
            <w:tcW w:w="2923" w:type="dxa"/>
          </w:tcPr>
          <w:p>
            <w:pPr>
              <w:pStyle w:val="0"/>
            </w:pPr>
            <w:r>
              <w:rPr>
                <w:sz w:val="24"/>
              </w:rPr>
              <w:t xml:space="preserve">Расходы на сопровождение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ins-dic:RasxNaSoprovozhDogStraxSostraxDogPrinVPerestrax</w:t>
            </w:r>
          </w:p>
        </w:tc>
      </w:tr>
      <w:tr>
        <w:tc>
          <w:tcPr>
            <w:tcW w:w="907" w:type="dxa"/>
          </w:tcPr>
          <w:p>
            <w:pPr>
              <w:pStyle w:val="0"/>
            </w:pPr>
            <w:r>
              <w:rPr>
                <w:sz w:val="24"/>
              </w:rPr>
              <w:t xml:space="preserve">100.1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101</w:t>
            </w:r>
          </w:p>
        </w:tc>
        <w:tc>
          <w:tcPr>
            <w:gridSpan w:val="4"/>
            <w:tcW w:w="2923" w:type="dxa"/>
          </w:tcPr>
          <w:p>
            <w:pPr>
              <w:pStyle w:val="0"/>
            </w:pPr>
            <w:r>
              <w:rPr>
                <w:sz w:val="24"/>
              </w:rPr>
              <w:t xml:space="preserve">Доля перестраховщиков в расходах на сопровождение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ins-dic:DolyaPerestraxVRasxNaSoprovozhDogStraxSostraxDogPrinVPerestrax</w:t>
            </w:r>
          </w:p>
        </w:tc>
      </w:tr>
      <w:tr>
        <w:tc>
          <w:tcPr>
            <w:tcW w:w="907" w:type="dxa"/>
          </w:tcPr>
          <w:p>
            <w:pPr>
              <w:pStyle w:val="0"/>
            </w:pPr>
            <w:r>
              <w:rPr>
                <w:sz w:val="24"/>
              </w:rPr>
              <w:t xml:space="preserve">101.1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102</w:t>
            </w:r>
          </w:p>
        </w:tc>
        <w:tc>
          <w:tcPr>
            <w:gridSpan w:val="4"/>
            <w:tcW w:w="2923" w:type="dxa"/>
          </w:tcPr>
          <w:p>
            <w:pPr>
              <w:pStyle w:val="0"/>
            </w:pPr>
            <w:r>
              <w:rPr>
                <w:sz w:val="24"/>
              </w:rPr>
              <w:t xml:space="preserve">Расходы на сопровождение договоров страхования, сострахования и входящего перестрахования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ins-dic:RasxNaSoprovozhDogStraxSostraxDogPrinVPerestraxNetto</w:t>
            </w:r>
          </w:p>
        </w:tc>
      </w:tr>
      <w:tr>
        <w:tc>
          <w:tcPr>
            <w:tcW w:w="907" w:type="dxa"/>
          </w:tcPr>
          <w:p>
            <w:pPr>
              <w:pStyle w:val="0"/>
            </w:pPr>
            <w:r>
              <w:rPr>
                <w:sz w:val="24"/>
              </w:rPr>
              <w:t xml:space="preserve">102.1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103</w:t>
            </w:r>
          </w:p>
        </w:tc>
        <w:tc>
          <w:tcPr>
            <w:gridSpan w:val="4"/>
            <w:tcW w:w="2923" w:type="dxa"/>
          </w:tcPr>
          <w:p>
            <w:pPr>
              <w:pStyle w:val="0"/>
            </w:pPr>
            <w:r>
              <w:rPr>
                <w:sz w:val="24"/>
              </w:rPr>
              <w:t xml:space="preserve">Расходы на исполнение обязательств по страховым случаям</w:t>
            </w:r>
          </w:p>
        </w:tc>
        <w:tc>
          <w:tcPr>
            <w:gridSpan w:val="2"/>
            <w:tcW w:w="2608" w:type="dxa"/>
          </w:tcPr>
          <w:p>
            <w:pPr>
              <w:pStyle w:val="0"/>
            </w:pPr>
            <w:r>
              <w:rPr>
                <w:sz w:val="24"/>
              </w:rPr>
            </w:r>
          </w:p>
        </w:tc>
        <w:tc>
          <w:tcPr>
            <w:tcW w:w="2633" w:type="dxa"/>
          </w:tcPr>
          <w:p>
            <w:pPr>
              <w:pStyle w:val="0"/>
            </w:pPr>
            <w:r>
              <w:rPr>
                <w:sz w:val="24"/>
              </w:rPr>
              <w:t xml:space="preserve">ins-dic:RasxNaIspObyazPoStraxSluch</w:t>
            </w:r>
          </w:p>
        </w:tc>
      </w:tr>
      <w:tr>
        <w:tc>
          <w:tcPr>
            <w:tcW w:w="907" w:type="dxa"/>
          </w:tcPr>
          <w:p>
            <w:pPr>
              <w:pStyle w:val="0"/>
            </w:pPr>
            <w:r>
              <w:rPr>
                <w:sz w:val="24"/>
              </w:rPr>
              <w:t xml:space="preserve">103.1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104</w:t>
            </w:r>
          </w:p>
        </w:tc>
        <w:tc>
          <w:tcPr>
            <w:gridSpan w:val="4"/>
            <w:tcW w:w="2923" w:type="dxa"/>
          </w:tcPr>
          <w:p>
            <w:pPr>
              <w:pStyle w:val="0"/>
            </w:pPr>
            <w:r>
              <w:rPr>
                <w:sz w:val="24"/>
              </w:rPr>
              <w:t xml:space="preserve">Доля перестраховщиков в расходах на исполнение обязательств по страховым случаям</w:t>
            </w:r>
          </w:p>
        </w:tc>
        <w:tc>
          <w:tcPr>
            <w:gridSpan w:val="2"/>
            <w:tcW w:w="2608" w:type="dxa"/>
          </w:tcPr>
          <w:p>
            <w:pPr>
              <w:pStyle w:val="0"/>
            </w:pPr>
            <w:r>
              <w:rPr>
                <w:sz w:val="24"/>
              </w:rPr>
            </w:r>
          </w:p>
        </w:tc>
        <w:tc>
          <w:tcPr>
            <w:tcW w:w="2633" w:type="dxa"/>
          </w:tcPr>
          <w:p>
            <w:pPr>
              <w:pStyle w:val="0"/>
            </w:pPr>
            <w:r>
              <w:rPr>
                <w:sz w:val="24"/>
              </w:rPr>
              <w:t xml:space="preserve">ins-dic:DolyaPerestrVRasxNaIspObyazPoStraxSluch</w:t>
            </w:r>
          </w:p>
        </w:tc>
      </w:tr>
      <w:tr>
        <w:tc>
          <w:tcPr>
            <w:tcW w:w="907" w:type="dxa"/>
          </w:tcPr>
          <w:p>
            <w:pPr>
              <w:pStyle w:val="0"/>
            </w:pPr>
            <w:r>
              <w:rPr>
                <w:sz w:val="24"/>
              </w:rPr>
              <w:t xml:space="preserve">104.1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105</w:t>
            </w:r>
          </w:p>
        </w:tc>
        <w:tc>
          <w:tcPr>
            <w:gridSpan w:val="4"/>
            <w:tcW w:w="2923" w:type="dxa"/>
          </w:tcPr>
          <w:p>
            <w:pPr>
              <w:pStyle w:val="0"/>
            </w:pPr>
            <w:r>
              <w:rPr>
                <w:sz w:val="24"/>
              </w:rPr>
              <w:t xml:space="preserve">Расходы на исполнение обязательств по страховым случаям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ins-dic:RasxNaIspObyazPoStraxSluchNetto</w:t>
            </w:r>
          </w:p>
        </w:tc>
      </w:tr>
      <w:tr>
        <w:tc>
          <w:tcPr>
            <w:tcW w:w="907" w:type="dxa"/>
          </w:tcPr>
          <w:p>
            <w:pPr>
              <w:pStyle w:val="0"/>
            </w:pPr>
            <w:r>
              <w:rPr>
                <w:sz w:val="24"/>
              </w:rPr>
              <w:t xml:space="preserve">105.1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106</w:t>
            </w:r>
          </w:p>
        </w:tc>
        <w:tc>
          <w:tcPr>
            <w:gridSpan w:val="4"/>
            <w:tcW w:w="2923" w:type="dxa"/>
          </w:tcPr>
          <w:p>
            <w:pPr>
              <w:pStyle w:val="0"/>
            </w:pPr>
            <w:r>
              <w:rPr>
                <w:sz w:val="24"/>
              </w:rPr>
              <w:t xml:space="preserve">Тантьемы, перестраховочные и иные вознаграждения по договорам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ins-dic:Komiss_Tant_InVozn_Po_Dog_Prin_Perestrax</w:t>
            </w:r>
          </w:p>
        </w:tc>
      </w:tr>
      <w:tr>
        <w:tc>
          <w:tcPr>
            <w:tcW w:w="907" w:type="dxa"/>
          </w:tcPr>
          <w:p>
            <w:pPr>
              <w:pStyle w:val="0"/>
            </w:pPr>
            <w:r>
              <w:rPr>
                <w:sz w:val="24"/>
              </w:rPr>
              <w:t xml:space="preserve">106.1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107</w:t>
            </w:r>
          </w:p>
        </w:tc>
        <w:tc>
          <w:tcPr>
            <w:gridSpan w:val="4"/>
            <w:tcW w:w="2923" w:type="dxa"/>
          </w:tcPr>
          <w:p>
            <w:pPr>
              <w:pStyle w:val="0"/>
            </w:pPr>
            <w:r>
              <w:rPr>
                <w:sz w:val="24"/>
              </w:rPr>
              <w:t xml:space="preserve">Стоимость активов, принимаемых в составе страхового портфеля (при принятии страхового портфеля в отчетном периоде)</w:t>
            </w:r>
          </w:p>
        </w:tc>
        <w:tc>
          <w:tcPr>
            <w:gridSpan w:val="2"/>
            <w:tcW w:w="2608" w:type="dxa"/>
          </w:tcPr>
          <w:p>
            <w:pPr>
              <w:pStyle w:val="0"/>
            </w:pPr>
            <w:r>
              <w:rPr>
                <w:sz w:val="24"/>
              </w:rPr>
            </w:r>
          </w:p>
        </w:tc>
        <w:tc>
          <w:tcPr>
            <w:tcW w:w="2633" w:type="dxa"/>
          </w:tcPr>
          <w:p>
            <w:pPr>
              <w:pStyle w:val="0"/>
            </w:pPr>
            <w:r>
              <w:rPr>
                <w:sz w:val="24"/>
              </w:rPr>
              <w:t xml:space="preserve">ins-dic:StoimostAktivovPrinimVSostStraxPortfelya</w:t>
            </w:r>
          </w:p>
        </w:tc>
      </w:tr>
      <w:tr>
        <w:tc>
          <w:tcPr>
            <w:tcW w:w="907" w:type="dxa"/>
          </w:tcPr>
          <w:p>
            <w:pPr>
              <w:pStyle w:val="0"/>
            </w:pPr>
            <w:r>
              <w:rPr>
                <w:sz w:val="24"/>
              </w:rPr>
              <w:t xml:space="preserve">107.1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108</w:t>
            </w:r>
          </w:p>
        </w:tc>
        <w:tc>
          <w:tcPr>
            <w:gridSpan w:val="4"/>
            <w:tcW w:w="2923" w:type="dxa"/>
          </w:tcPr>
          <w:p>
            <w:pPr>
              <w:pStyle w:val="0"/>
            </w:pPr>
            <w:r>
              <w:rPr>
                <w:sz w:val="24"/>
              </w:rPr>
              <w:t xml:space="preserve">Стоимость активов, передаваемых в составе страхового портфеля (при передаче страхового портфеля в отчетном периоде)</w:t>
            </w:r>
          </w:p>
        </w:tc>
        <w:tc>
          <w:tcPr>
            <w:gridSpan w:val="2"/>
            <w:tcW w:w="2608" w:type="dxa"/>
          </w:tcPr>
          <w:p>
            <w:pPr>
              <w:pStyle w:val="0"/>
            </w:pPr>
            <w:r>
              <w:rPr>
                <w:sz w:val="24"/>
              </w:rPr>
            </w:r>
          </w:p>
        </w:tc>
        <w:tc>
          <w:tcPr>
            <w:tcW w:w="2633" w:type="dxa"/>
          </w:tcPr>
          <w:p>
            <w:pPr>
              <w:pStyle w:val="0"/>
            </w:pPr>
            <w:r>
              <w:rPr>
                <w:sz w:val="24"/>
              </w:rPr>
              <w:t xml:space="preserve">ins-dic:StoimostAktivovPeredavaemyxVSostStraxPortfelya</w:t>
            </w:r>
          </w:p>
        </w:tc>
      </w:tr>
      <w:tr>
        <w:tc>
          <w:tcPr>
            <w:tcW w:w="907" w:type="dxa"/>
          </w:tcPr>
          <w:p>
            <w:pPr>
              <w:pStyle w:val="0"/>
            </w:pPr>
            <w:r>
              <w:rPr>
                <w:sz w:val="24"/>
              </w:rPr>
              <w:t xml:space="preserve">108.1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109</w:t>
            </w:r>
          </w:p>
        </w:tc>
        <w:tc>
          <w:tcPr>
            <w:gridSpan w:val="4"/>
            <w:tcW w:w="2923" w:type="dxa"/>
          </w:tcPr>
          <w:p>
            <w:pPr>
              <w:pStyle w:val="0"/>
            </w:pPr>
            <w:r>
              <w:rPr>
                <w:sz w:val="24"/>
              </w:rPr>
              <w:t xml:space="preserve">Итого доходов</w:t>
            </w:r>
          </w:p>
        </w:tc>
        <w:tc>
          <w:tcPr>
            <w:gridSpan w:val="2"/>
            <w:tcW w:w="2608" w:type="dxa"/>
          </w:tcPr>
          <w:p>
            <w:pPr>
              <w:pStyle w:val="0"/>
            </w:pPr>
            <w:r>
              <w:rPr>
                <w:sz w:val="24"/>
              </w:rPr>
            </w:r>
          </w:p>
        </w:tc>
        <w:tc>
          <w:tcPr>
            <w:tcW w:w="2633" w:type="dxa"/>
          </w:tcPr>
          <w:p>
            <w:pPr>
              <w:pStyle w:val="0"/>
            </w:pPr>
            <w:r>
              <w:rPr>
                <w:sz w:val="24"/>
              </w:rPr>
              <w:t xml:space="preserve">ins-dic:VelichinaDoxodovPoUGItogo</w:t>
            </w:r>
          </w:p>
        </w:tc>
      </w:tr>
      <w:tr>
        <w:tc>
          <w:tcPr>
            <w:tcW w:w="907" w:type="dxa"/>
          </w:tcPr>
          <w:p>
            <w:pPr>
              <w:pStyle w:val="0"/>
            </w:pPr>
            <w:r>
              <w:rPr>
                <w:sz w:val="24"/>
              </w:rPr>
              <w:t xml:space="preserve">109.1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110</w:t>
            </w:r>
          </w:p>
        </w:tc>
        <w:tc>
          <w:tcPr>
            <w:gridSpan w:val="4"/>
            <w:tcW w:w="2923" w:type="dxa"/>
          </w:tcPr>
          <w:p>
            <w:pPr>
              <w:pStyle w:val="0"/>
            </w:pPr>
            <w:r>
              <w:rPr>
                <w:sz w:val="24"/>
              </w:rPr>
              <w:t xml:space="preserve">Итого расходов</w:t>
            </w:r>
          </w:p>
        </w:tc>
        <w:tc>
          <w:tcPr>
            <w:gridSpan w:val="2"/>
            <w:tcW w:w="2608" w:type="dxa"/>
          </w:tcPr>
          <w:p>
            <w:pPr>
              <w:pStyle w:val="0"/>
            </w:pPr>
            <w:r>
              <w:rPr>
                <w:sz w:val="24"/>
              </w:rPr>
            </w:r>
          </w:p>
        </w:tc>
        <w:tc>
          <w:tcPr>
            <w:tcW w:w="2633" w:type="dxa"/>
          </w:tcPr>
          <w:p>
            <w:pPr>
              <w:pStyle w:val="0"/>
            </w:pPr>
            <w:r>
              <w:rPr>
                <w:sz w:val="24"/>
              </w:rPr>
              <w:t xml:space="preserve">ins-dic:VelichinaRasxodovPoUGItogo</w:t>
            </w:r>
          </w:p>
        </w:tc>
      </w:tr>
      <w:tr>
        <w:tc>
          <w:tcPr>
            <w:tcW w:w="907" w:type="dxa"/>
          </w:tcPr>
          <w:p>
            <w:pPr>
              <w:pStyle w:val="0"/>
            </w:pPr>
            <w:r>
              <w:rPr>
                <w:sz w:val="24"/>
              </w:rPr>
              <w:t xml:space="preserve">110.1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111</w:t>
            </w:r>
          </w:p>
        </w:tc>
        <w:tc>
          <w:tcPr>
            <w:gridSpan w:val="4"/>
            <w:tcW w:w="2923" w:type="dxa"/>
          </w:tcPr>
          <w:p>
            <w:pPr>
              <w:pStyle w:val="0"/>
            </w:pPr>
            <w:r>
              <w:rPr>
                <w:sz w:val="24"/>
              </w:rPr>
              <w:t xml:space="preserve">Предельная величина стабилизационного резерва</w:t>
            </w:r>
          </w:p>
        </w:tc>
        <w:tc>
          <w:tcPr>
            <w:gridSpan w:val="2"/>
            <w:tcW w:w="2608" w:type="dxa"/>
          </w:tcPr>
          <w:p>
            <w:pPr>
              <w:pStyle w:val="0"/>
            </w:pPr>
            <w:r>
              <w:rPr>
                <w:sz w:val="24"/>
              </w:rPr>
            </w:r>
          </w:p>
        </w:tc>
        <w:tc>
          <w:tcPr>
            <w:tcW w:w="2633" w:type="dxa"/>
          </w:tcPr>
          <w:p>
            <w:pPr>
              <w:pStyle w:val="0"/>
            </w:pPr>
            <w:r>
              <w:rPr>
                <w:sz w:val="24"/>
              </w:rPr>
              <w:t xml:space="preserve">ins-dic:Nzh_Predel_Stab_Rez_Uchetn_Gruppa</w:t>
            </w:r>
          </w:p>
        </w:tc>
      </w:tr>
      <w:tr>
        <w:tc>
          <w:tcPr>
            <w:tcW w:w="907" w:type="dxa"/>
          </w:tcPr>
          <w:p>
            <w:pPr>
              <w:pStyle w:val="0"/>
            </w:pPr>
            <w:r>
              <w:rPr>
                <w:sz w:val="24"/>
              </w:rPr>
              <w:t xml:space="preserve">111.1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0302" w:name="P30302"/>
          <w:bookmarkEnd w:id="30302"/>
          <w:p>
            <w:pPr>
              <w:pStyle w:val="0"/>
            </w:pPr>
            <w:r>
              <w:rPr>
                <w:sz w:val="24"/>
              </w:rPr>
              <w:t xml:space="preserve">112</w:t>
            </w:r>
          </w:p>
        </w:tc>
        <w:tc>
          <w:tcPr>
            <w:gridSpan w:val="4"/>
            <w:tcW w:w="2923" w:type="dxa"/>
          </w:tcPr>
          <w:p>
            <w:pPr>
              <w:pStyle w:val="0"/>
            </w:pPr>
            <w:r>
              <w:rPr>
                <w:sz w:val="24"/>
              </w:rPr>
              <w:t xml:space="preserve">Стабилизационный резерв</w:t>
            </w:r>
          </w:p>
        </w:tc>
        <w:tc>
          <w:tcPr>
            <w:gridSpan w:val="2"/>
            <w:tcW w:w="2608" w:type="dxa"/>
          </w:tcPr>
          <w:p>
            <w:pPr>
              <w:pStyle w:val="0"/>
            </w:pPr>
            <w:r>
              <w:rPr>
                <w:sz w:val="24"/>
              </w:rPr>
            </w:r>
          </w:p>
        </w:tc>
        <w:tc>
          <w:tcPr>
            <w:tcW w:w="2633" w:type="dxa"/>
          </w:tcPr>
          <w:p>
            <w:pPr>
              <w:pStyle w:val="0"/>
            </w:pPr>
            <w:r>
              <w:rPr>
                <w:sz w:val="24"/>
              </w:rPr>
              <w:t xml:space="preserve">ins-dic:Nzh_Stab_Rez_Regulyator</w:t>
            </w:r>
          </w:p>
        </w:tc>
      </w:tr>
      <w:tr>
        <w:tc>
          <w:tcPr>
            <w:tcW w:w="907" w:type="dxa"/>
          </w:tcPr>
          <w:p>
            <w:pPr>
              <w:pStyle w:val="0"/>
            </w:pPr>
            <w:r>
              <w:rPr>
                <w:sz w:val="24"/>
              </w:rPr>
              <w:t xml:space="preserve">112.1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blPrEx>
          <w:tblBorders>
            <w:insideV w:val="nil"/>
          </w:tblBorders>
        </w:tblPrEx>
        <w:tc>
          <w:tcPr>
            <w:gridSpan w:val="3"/>
            <w:tcW w:w="1814" w:type="dxa"/>
            <w:tcBorders>
              <w:left w:val="single" w:sz="4"/>
            </w:tcBorders>
          </w:tcPr>
          <w:bookmarkStart w:id="30310" w:name="P30310"/>
          <w:bookmarkEnd w:id="30310"/>
          <w:p>
            <w:pPr>
              <w:pStyle w:val="0"/>
              <w:outlineLvl w:val="4"/>
            </w:pPr>
            <w:r>
              <w:rPr>
                <w:sz w:val="24"/>
              </w:rPr>
              <w:t xml:space="preserve">Подраздел 2.10.</w:t>
            </w:r>
          </w:p>
        </w:tc>
        <w:tc>
          <w:tcPr>
            <w:gridSpan w:val="5"/>
            <w:tcW w:w="7257" w:type="dxa"/>
            <w:tcBorders>
              <w:right w:val="single" w:sz="4"/>
            </w:tcBorders>
          </w:tcPr>
          <w:p>
            <w:pPr>
              <w:pStyle w:val="0"/>
            </w:pPr>
            <w:r>
              <w:rPr>
                <w:sz w:val="24"/>
              </w:rPr>
              <w:t xml:space="preserve">Вспомогательная величина СтР по учетным группам 5, 8, 11, 15</w:t>
            </w:r>
          </w:p>
        </w:tc>
      </w:tr>
      <w:tr>
        <w:tc>
          <w:tcPr>
            <w:tcW w:w="907" w:type="dxa"/>
          </w:tcPr>
          <w:bookmarkStart w:id="30312" w:name="P30312"/>
          <w:bookmarkEnd w:id="30312"/>
          <w:p>
            <w:pPr>
              <w:pStyle w:val="0"/>
            </w:pPr>
            <w:r>
              <w:rPr>
                <w:sz w:val="24"/>
              </w:rPr>
              <w:t xml:space="preserve">113</w:t>
            </w:r>
          </w:p>
        </w:tc>
        <w:tc>
          <w:tcPr>
            <w:gridSpan w:val="4"/>
            <w:tcW w:w="2923" w:type="dxa"/>
          </w:tcPr>
          <w:p>
            <w:pPr>
              <w:pStyle w:val="0"/>
            </w:pPr>
            <w:r>
              <w:rPr>
                <w:sz w:val="24"/>
              </w:rPr>
              <w:t xml:space="preserve">Вспомогательная величина СтР</w:t>
            </w:r>
          </w:p>
        </w:tc>
        <w:tc>
          <w:tcPr>
            <w:gridSpan w:val="2"/>
            <w:tcW w:w="2608" w:type="dxa"/>
          </w:tcPr>
          <w:p>
            <w:pPr>
              <w:pStyle w:val="0"/>
            </w:pPr>
            <w:r>
              <w:rPr>
                <w:sz w:val="24"/>
              </w:rPr>
            </w:r>
          </w:p>
        </w:tc>
        <w:tc>
          <w:tcPr>
            <w:tcW w:w="2633" w:type="dxa"/>
          </w:tcPr>
          <w:p>
            <w:pPr>
              <w:pStyle w:val="0"/>
            </w:pPr>
            <w:r>
              <w:rPr>
                <w:sz w:val="24"/>
              </w:rPr>
              <w:t xml:space="preserve">ins-dic:StR</w:t>
            </w:r>
          </w:p>
        </w:tc>
      </w:tr>
      <w:tr>
        <w:tc>
          <w:tcPr>
            <w:tcW w:w="907" w:type="dxa"/>
          </w:tcPr>
          <w:p>
            <w:pPr>
              <w:pStyle w:val="0"/>
            </w:pPr>
            <w:r>
              <w:rPr>
                <w:sz w:val="24"/>
              </w:rPr>
              <w:t xml:space="preserve">113.1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0320" w:name="P30320"/>
          <w:bookmarkEnd w:id="30320"/>
          <w:p>
            <w:pPr>
              <w:pStyle w:val="0"/>
            </w:pPr>
            <w:r>
              <w:rPr>
                <w:sz w:val="24"/>
              </w:rPr>
              <w:t xml:space="preserve">114</w:t>
            </w:r>
          </w:p>
        </w:tc>
        <w:tc>
          <w:tcPr>
            <w:gridSpan w:val="4"/>
            <w:tcW w:w="2923" w:type="dxa"/>
          </w:tcPr>
          <w:p>
            <w:pPr>
              <w:pStyle w:val="0"/>
            </w:pPr>
            <w:r>
              <w:rPr>
                <w:sz w:val="24"/>
              </w:rPr>
              <w:t xml:space="preserve">Величина страховой выплаты, учитываемой для целей расчета вспомогательной величины СтР, за вычетом доли перестраховщиков в ней</w:t>
            </w:r>
          </w:p>
        </w:tc>
        <w:tc>
          <w:tcPr>
            <w:gridSpan w:val="2"/>
            <w:tcW w:w="2608" w:type="dxa"/>
          </w:tcPr>
          <w:p>
            <w:pPr>
              <w:pStyle w:val="0"/>
            </w:pPr>
            <w:r>
              <w:rPr>
                <w:sz w:val="24"/>
              </w:rPr>
            </w:r>
          </w:p>
        </w:tc>
        <w:tc>
          <w:tcPr>
            <w:tcW w:w="2633" w:type="dxa"/>
          </w:tcPr>
          <w:p>
            <w:pPr>
              <w:pStyle w:val="0"/>
            </w:pPr>
            <w:r>
              <w:rPr>
                <w:sz w:val="24"/>
              </w:rPr>
              <w:t xml:space="preserve">ins-dic:VelStraxVyplUchDIRaschStRZaVychDoliPerestr</w:t>
            </w:r>
          </w:p>
        </w:tc>
      </w:tr>
      <w:tr>
        <w:tc>
          <w:tcPr>
            <w:tcW w:w="907" w:type="dxa"/>
          </w:tcPr>
          <w:p>
            <w:pPr>
              <w:pStyle w:val="0"/>
            </w:pPr>
            <w:r>
              <w:rPr>
                <w:sz w:val="24"/>
              </w:rPr>
              <w:t xml:space="preserve">114.1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114.2</w:t>
            </w:r>
          </w:p>
        </w:tc>
        <w:tc>
          <w:tcPr>
            <w:gridSpan w:val="4"/>
            <w:tcW w:w="2923" w:type="dxa"/>
          </w:tcPr>
          <w:p>
            <w:pPr>
              <w:pStyle w:val="0"/>
            </w:pPr>
            <w:r>
              <w:rPr>
                <w:sz w:val="24"/>
              </w:rPr>
            </w:r>
          </w:p>
        </w:tc>
        <w:tc>
          <w:tcPr>
            <w:gridSpan w:val="2"/>
            <w:tcW w:w="2608" w:type="dxa"/>
          </w:tcPr>
          <w:p>
            <w:pPr>
              <w:pStyle w:val="0"/>
            </w:pPr>
            <w:r>
              <w:rPr>
                <w:sz w:val="24"/>
              </w:rPr>
              <w:t xml:space="preserve">Величина страховой выплаты, учитываемой для целей расчета вспомогательной величины СтР, за вычетом доли перестраховщиков в ней</w:t>
            </w:r>
          </w:p>
        </w:tc>
        <w:tc>
          <w:tcPr>
            <w:tcW w:w="2633" w:type="dxa"/>
          </w:tcPr>
          <w:p>
            <w:pPr>
              <w:pStyle w:val="0"/>
            </w:pPr>
            <w:r>
              <w:rPr>
                <w:sz w:val="24"/>
              </w:rPr>
              <w:t xml:space="preserve">dim-int:VelStraxVyplUchDlRaschStRZaVychDoliPerTaxis</w:t>
            </w:r>
          </w:p>
        </w:tc>
      </w:tr>
      <w:tr>
        <w:tblPrEx>
          <w:tblBorders>
            <w:insideV w:val="nil"/>
          </w:tblBorders>
        </w:tblPrEx>
        <w:tc>
          <w:tcPr>
            <w:gridSpan w:val="3"/>
            <w:tcW w:w="1814" w:type="dxa"/>
            <w:tcBorders>
              <w:left w:val="single" w:sz="4"/>
            </w:tcBorders>
          </w:tcPr>
          <w:bookmarkStart w:id="30332" w:name="P30332"/>
          <w:bookmarkEnd w:id="30332"/>
          <w:p>
            <w:pPr>
              <w:pStyle w:val="0"/>
              <w:outlineLvl w:val="4"/>
            </w:pPr>
            <w:r>
              <w:rPr>
                <w:sz w:val="24"/>
              </w:rPr>
              <w:t xml:space="preserve">Подраздел 2.11.</w:t>
            </w:r>
          </w:p>
        </w:tc>
        <w:tc>
          <w:tcPr>
            <w:gridSpan w:val="5"/>
            <w:tcW w:w="7257" w:type="dxa"/>
            <w:tcBorders>
              <w:right w:val="single" w:sz="4"/>
            </w:tcBorders>
          </w:tcPr>
          <w:p>
            <w:pPr>
              <w:pStyle w:val="0"/>
            </w:pPr>
            <w:r>
              <w:rPr>
                <w:sz w:val="24"/>
              </w:rPr>
              <w:t xml:space="preserve">Вспомогательная величина СтР по учетным группам, кроме учетных групп 5, 8, 11, 15</w:t>
            </w:r>
          </w:p>
        </w:tc>
      </w:tr>
      <w:tr>
        <w:tc>
          <w:tcPr>
            <w:tcW w:w="907" w:type="dxa"/>
          </w:tcPr>
          <w:bookmarkStart w:id="30334" w:name="P30334"/>
          <w:bookmarkEnd w:id="30334"/>
          <w:p>
            <w:pPr>
              <w:pStyle w:val="0"/>
            </w:pPr>
            <w:r>
              <w:rPr>
                <w:sz w:val="24"/>
              </w:rPr>
              <w:t xml:space="preserve">115</w:t>
            </w:r>
          </w:p>
        </w:tc>
        <w:tc>
          <w:tcPr>
            <w:gridSpan w:val="4"/>
            <w:tcW w:w="2923" w:type="dxa"/>
          </w:tcPr>
          <w:p>
            <w:pPr>
              <w:pStyle w:val="0"/>
            </w:pPr>
            <w:r>
              <w:rPr>
                <w:sz w:val="24"/>
              </w:rPr>
              <w:t xml:space="preserve">Вспомогательная величина СтР</w:t>
            </w:r>
          </w:p>
        </w:tc>
        <w:tc>
          <w:tcPr>
            <w:gridSpan w:val="2"/>
            <w:tcW w:w="2608" w:type="dxa"/>
          </w:tcPr>
          <w:p>
            <w:pPr>
              <w:pStyle w:val="0"/>
            </w:pPr>
            <w:r>
              <w:rPr>
                <w:sz w:val="24"/>
              </w:rPr>
            </w:r>
          </w:p>
        </w:tc>
        <w:tc>
          <w:tcPr>
            <w:tcW w:w="2633" w:type="dxa"/>
          </w:tcPr>
          <w:p>
            <w:pPr>
              <w:pStyle w:val="0"/>
            </w:pPr>
            <w:r>
              <w:rPr>
                <w:sz w:val="24"/>
              </w:rPr>
              <w:t xml:space="preserve">ins-dic:StR</w:t>
            </w:r>
          </w:p>
        </w:tc>
      </w:tr>
      <w:tr>
        <w:tc>
          <w:tcPr>
            <w:tcW w:w="907" w:type="dxa"/>
          </w:tcPr>
          <w:p>
            <w:pPr>
              <w:pStyle w:val="0"/>
            </w:pPr>
            <w:r>
              <w:rPr>
                <w:sz w:val="24"/>
              </w:rPr>
              <w:t xml:space="preserve">115.1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blPrEx>
          <w:tblBorders>
            <w:insideV w:val="nil"/>
          </w:tblBorders>
        </w:tblPrEx>
        <w:tc>
          <w:tcPr>
            <w:gridSpan w:val="3"/>
            <w:tcW w:w="1814" w:type="dxa"/>
            <w:tcBorders>
              <w:left w:val="single" w:sz="4"/>
            </w:tcBorders>
          </w:tcPr>
          <w:bookmarkStart w:id="30342" w:name="P30342"/>
          <w:bookmarkEnd w:id="30342"/>
          <w:p>
            <w:pPr>
              <w:pStyle w:val="0"/>
              <w:outlineLvl w:val="4"/>
            </w:pPr>
            <w:r>
              <w:rPr>
                <w:sz w:val="24"/>
              </w:rPr>
              <w:t xml:space="preserve">Подраздел 2.12.</w:t>
            </w:r>
          </w:p>
        </w:tc>
        <w:tc>
          <w:tcPr>
            <w:gridSpan w:val="5"/>
            <w:tcW w:w="7257" w:type="dxa"/>
            <w:tcBorders>
              <w:right w:val="single" w:sz="4"/>
            </w:tcBorders>
          </w:tcPr>
          <w:p>
            <w:pPr>
              <w:pStyle w:val="0"/>
            </w:pPr>
            <w:r>
              <w:rPr>
                <w:sz w:val="24"/>
              </w:rPr>
              <w:t xml:space="preserve">Поступления по суброгациям, регрессам и от реализации годных остатков с разбивкой по кварталам наступления страхового случая и поступления (нарастающим итогом) по учетной группе (дополнительной учетной группе)</w:t>
            </w:r>
          </w:p>
        </w:tc>
      </w:tr>
      <w:tr>
        <w:tc>
          <w:tcPr>
            <w:tcW w:w="907" w:type="dxa"/>
          </w:tcPr>
          <w:bookmarkStart w:id="30344" w:name="P30344"/>
          <w:bookmarkEnd w:id="30344"/>
          <w:p>
            <w:pPr>
              <w:pStyle w:val="0"/>
            </w:pPr>
            <w:r>
              <w:rPr>
                <w:sz w:val="24"/>
              </w:rPr>
              <w:t xml:space="preserve">116</w:t>
            </w:r>
          </w:p>
        </w:tc>
        <w:tc>
          <w:tcPr>
            <w:gridSpan w:val="4"/>
            <w:tcW w:w="2923" w:type="dxa"/>
          </w:tcPr>
          <w:p>
            <w:pPr>
              <w:pStyle w:val="0"/>
            </w:pPr>
            <w:r>
              <w:rPr>
                <w:sz w:val="24"/>
              </w:rPr>
              <w:t xml:space="preserve">Суммы, полученные по суброгационным и регрессным требованиям, а также от реализации годных остатков, на конец каждого квартала (нарастающим итогом)</w:t>
            </w:r>
          </w:p>
        </w:tc>
        <w:tc>
          <w:tcPr>
            <w:gridSpan w:val="2"/>
            <w:tcW w:w="2608" w:type="dxa"/>
          </w:tcPr>
          <w:p>
            <w:pPr>
              <w:pStyle w:val="0"/>
            </w:pPr>
            <w:r>
              <w:rPr>
                <w:sz w:val="24"/>
              </w:rPr>
            </w:r>
          </w:p>
        </w:tc>
        <w:tc>
          <w:tcPr>
            <w:tcW w:w="2633" w:type="dxa"/>
          </w:tcPr>
          <w:p>
            <w:pPr>
              <w:pStyle w:val="0"/>
            </w:pPr>
            <w:r>
              <w:rPr>
                <w:sz w:val="24"/>
              </w:rPr>
              <w:t xml:space="preserve">ins-dic:SumPoluchPoSubroRegrTrebGodnOstNaKoneczKazhdKvNarastItogom</w:t>
            </w:r>
          </w:p>
        </w:tc>
      </w:tr>
      <w:tr>
        <w:tc>
          <w:tcPr>
            <w:tcW w:w="907" w:type="dxa"/>
          </w:tcPr>
          <w:p>
            <w:pPr>
              <w:pStyle w:val="0"/>
            </w:pPr>
            <w:r>
              <w:rPr>
                <w:sz w:val="24"/>
              </w:rPr>
              <w:t xml:space="preserve">116.1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116.2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116.3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0360" w:name="P30360"/>
          <w:bookmarkEnd w:id="30360"/>
          <w:p>
            <w:pPr>
              <w:pStyle w:val="0"/>
              <w:outlineLvl w:val="4"/>
            </w:pPr>
            <w:r>
              <w:rPr>
                <w:sz w:val="24"/>
              </w:rPr>
              <w:t xml:space="preserve">Подраздел 2.13.</w:t>
            </w:r>
          </w:p>
        </w:tc>
        <w:tc>
          <w:tcPr>
            <w:gridSpan w:val="5"/>
            <w:tcW w:w="7257" w:type="dxa"/>
            <w:tcBorders>
              <w:right w:val="single" w:sz="4"/>
            </w:tcBorders>
          </w:tcPr>
          <w:p>
            <w:pPr>
              <w:pStyle w:val="0"/>
            </w:pPr>
            <w:r>
              <w:rPr>
                <w:sz w:val="24"/>
              </w:rPr>
              <w:t xml:space="preserve">Совокупный размер прав требования по суброгациям и регрессам по страховым случаям, относящимся к i-му кварталу наступления убытков, по учетной группе (дополнительной учетной группе)</w:t>
            </w:r>
          </w:p>
        </w:tc>
      </w:tr>
      <w:tr>
        <w:tc>
          <w:tcPr>
            <w:tcW w:w="907" w:type="dxa"/>
          </w:tcPr>
          <w:p>
            <w:pPr>
              <w:pStyle w:val="0"/>
            </w:pPr>
            <w:r>
              <w:rPr>
                <w:sz w:val="24"/>
              </w:rPr>
              <w:t xml:space="preserve">117</w:t>
            </w:r>
          </w:p>
        </w:tc>
        <w:tc>
          <w:tcPr>
            <w:gridSpan w:val="4"/>
            <w:tcW w:w="2923" w:type="dxa"/>
          </w:tcPr>
          <w:p>
            <w:pPr>
              <w:pStyle w:val="0"/>
            </w:pPr>
            <w:r>
              <w:rPr>
                <w:sz w:val="24"/>
              </w:rPr>
              <w:t xml:space="preserve">Совокупный размер прав требования по суброгациям и регрессам по страховым случаям, относящимся к i-му кварталу наступления убытков (ПТ)</w:t>
            </w:r>
          </w:p>
        </w:tc>
        <w:tc>
          <w:tcPr>
            <w:gridSpan w:val="2"/>
            <w:tcW w:w="2608" w:type="dxa"/>
          </w:tcPr>
          <w:p>
            <w:pPr>
              <w:pStyle w:val="0"/>
            </w:pPr>
            <w:r>
              <w:rPr>
                <w:sz w:val="24"/>
              </w:rPr>
            </w:r>
          </w:p>
        </w:tc>
        <w:tc>
          <w:tcPr>
            <w:tcW w:w="2633" w:type="dxa"/>
          </w:tcPr>
          <w:p>
            <w:pPr>
              <w:pStyle w:val="0"/>
            </w:pPr>
            <w:r>
              <w:rPr>
                <w:sz w:val="24"/>
              </w:rPr>
              <w:t xml:space="preserve">ins-dic:VelichinaStraxVyplaty2UchitDlyaStRZaVychDoliPerestrax</w:t>
            </w:r>
          </w:p>
        </w:tc>
      </w:tr>
      <w:tr>
        <w:tc>
          <w:tcPr>
            <w:tcW w:w="907" w:type="dxa"/>
          </w:tcPr>
          <w:p>
            <w:pPr>
              <w:pStyle w:val="0"/>
            </w:pPr>
            <w:r>
              <w:rPr>
                <w:sz w:val="24"/>
              </w:rPr>
              <w:t xml:space="preserve">117.1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117.2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117.3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0378" w:name="P30378"/>
          <w:bookmarkEnd w:id="30378"/>
          <w:p>
            <w:pPr>
              <w:pStyle w:val="0"/>
              <w:outlineLvl w:val="4"/>
            </w:pPr>
            <w:r>
              <w:rPr>
                <w:sz w:val="24"/>
              </w:rPr>
              <w:t xml:space="preserve">Подраздел 2.14.</w:t>
            </w:r>
          </w:p>
        </w:tc>
        <w:tc>
          <w:tcPr>
            <w:gridSpan w:val="5"/>
            <w:tcW w:w="7257" w:type="dxa"/>
            <w:tcBorders>
              <w:right w:val="single" w:sz="4"/>
            </w:tcBorders>
          </w:tcPr>
          <w:p>
            <w:pPr>
              <w:pStyle w:val="0"/>
            </w:pPr>
            <w:r>
              <w:rPr>
                <w:sz w:val="24"/>
              </w:rPr>
              <w:t xml:space="preserve">Входящие денежные потоки при оценке ожидаемой величины обязательств по резерву премий (ДПП) до дисконтирования по учетной группе (дополнительной учетной группе)</w:t>
            </w:r>
          </w:p>
        </w:tc>
      </w:tr>
      <w:tr>
        <w:tc>
          <w:tcPr>
            <w:tcW w:w="907" w:type="dxa"/>
          </w:tcPr>
          <w:p>
            <w:pPr>
              <w:pStyle w:val="0"/>
            </w:pPr>
            <w:r>
              <w:rPr>
                <w:sz w:val="24"/>
              </w:rPr>
              <w:t xml:space="preserve">118</w:t>
            </w:r>
          </w:p>
        </w:tc>
        <w:tc>
          <w:tcPr>
            <w:gridSpan w:val="4"/>
            <w:tcW w:w="2923" w:type="dxa"/>
          </w:tcPr>
          <w:p>
            <w:pPr>
              <w:pStyle w:val="0"/>
            </w:pPr>
            <w:r>
              <w:rPr>
                <w:sz w:val="24"/>
              </w:rPr>
              <w:t xml:space="preserve">Входящие денежные потоки при оценке ожидаемой величины обязательств по резерву премий (ДПП) до дисконтирования</w:t>
            </w:r>
          </w:p>
        </w:tc>
        <w:tc>
          <w:tcPr>
            <w:gridSpan w:val="2"/>
            <w:tcW w:w="2608" w:type="dxa"/>
          </w:tcPr>
          <w:p>
            <w:pPr>
              <w:pStyle w:val="0"/>
            </w:pPr>
            <w:r>
              <w:rPr>
                <w:sz w:val="24"/>
              </w:rPr>
            </w:r>
          </w:p>
        </w:tc>
        <w:tc>
          <w:tcPr>
            <w:tcW w:w="2633" w:type="dxa"/>
          </w:tcPr>
          <w:p>
            <w:pPr>
              <w:pStyle w:val="0"/>
            </w:pPr>
            <w:r>
              <w:rPr>
                <w:sz w:val="24"/>
              </w:rPr>
              <w:t xml:space="preserve">ins-dic:VxodDenPotokiPriOczenkeDPPDoDiskontirovaniya</w:t>
            </w:r>
          </w:p>
        </w:tc>
      </w:tr>
      <w:tr>
        <w:tc>
          <w:tcPr>
            <w:tcW w:w="907" w:type="dxa"/>
          </w:tcPr>
          <w:p>
            <w:pPr>
              <w:pStyle w:val="0"/>
            </w:pPr>
            <w:r>
              <w:rPr>
                <w:sz w:val="24"/>
              </w:rPr>
              <w:t xml:space="preserve">118.1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118.2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118.3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действия страхового покрытия</w:t>
            </w:r>
          </w:p>
        </w:tc>
        <w:tc>
          <w:tcPr>
            <w:tcW w:w="2633" w:type="dxa"/>
          </w:tcPr>
          <w:p>
            <w:pPr>
              <w:pStyle w:val="0"/>
            </w:pPr>
            <w:r>
              <w:rPr>
                <w:sz w:val="24"/>
              </w:rPr>
              <w:t xml:space="preserve">dim-int:PeriodKvartalIGodDejstviyaStraxPokrytiyaTaxis</w:t>
            </w:r>
          </w:p>
        </w:tc>
      </w:tr>
      <w:tr>
        <w:tc>
          <w:tcPr>
            <w:tcW w:w="907" w:type="dxa"/>
          </w:tcPr>
          <w:p>
            <w:pPr>
              <w:pStyle w:val="0"/>
            </w:pPr>
            <w:r>
              <w:rPr>
                <w:sz w:val="24"/>
              </w:rPr>
              <w:t xml:space="preserve">118.4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400" w:name="P30400"/>
          <w:bookmarkEnd w:id="30400"/>
          <w:p>
            <w:pPr>
              <w:pStyle w:val="0"/>
              <w:outlineLvl w:val="4"/>
            </w:pPr>
            <w:r>
              <w:rPr>
                <w:sz w:val="24"/>
              </w:rPr>
              <w:t xml:space="preserve">Подраздел 2.15.</w:t>
            </w:r>
          </w:p>
        </w:tc>
        <w:tc>
          <w:tcPr>
            <w:gridSpan w:val="5"/>
            <w:tcW w:w="7257" w:type="dxa"/>
            <w:tcBorders>
              <w:right w:val="single" w:sz="4"/>
            </w:tcBorders>
          </w:tcPr>
          <w:p>
            <w:pPr>
              <w:pStyle w:val="0"/>
            </w:pPr>
            <w:r>
              <w:rPr>
                <w:sz w:val="24"/>
              </w:rPr>
              <w:t xml:space="preserve">Исходящие денежные потоки при оценке ожидаемой величины обязательств по резерву премий (ДПП) до дисконтирования по учетной группе (дополнительной учетной группе)</w:t>
            </w:r>
          </w:p>
        </w:tc>
      </w:tr>
      <w:tr>
        <w:tc>
          <w:tcPr>
            <w:tcW w:w="907" w:type="dxa"/>
          </w:tcPr>
          <w:p>
            <w:pPr>
              <w:pStyle w:val="0"/>
            </w:pPr>
            <w:r>
              <w:rPr>
                <w:sz w:val="24"/>
              </w:rPr>
              <w:t xml:space="preserve">119</w:t>
            </w:r>
          </w:p>
        </w:tc>
        <w:tc>
          <w:tcPr>
            <w:gridSpan w:val="4"/>
            <w:tcW w:w="2923" w:type="dxa"/>
          </w:tcPr>
          <w:p>
            <w:pPr>
              <w:pStyle w:val="0"/>
            </w:pPr>
            <w:r>
              <w:rPr>
                <w:sz w:val="24"/>
              </w:rPr>
              <w:t xml:space="preserve">Исходящие денежные потоки при оценке ожидаемой величины обязательств по резерву премий (ДПП) до дисконтирования</w:t>
            </w:r>
          </w:p>
        </w:tc>
        <w:tc>
          <w:tcPr>
            <w:gridSpan w:val="2"/>
            <w:tcW w:w="2608" w:type="dxa"/>
          </w:tcPr>
          <w:p>
            <w:pPr>
              <w:pStyle w:val="0"/>
            </w:pPr>
            <w:r>
              <w:rPr>
                <w:sz w:val="24"/>
              </w:rPr>
            </w:r>
          </w:p>
        </w:tc>
        <w:tc>
          <w:tcPr>
            <w:tcW w:w="2633" w:type="dxa"/>
          </w:tcPr>
          <w:p>
            <w:pPr>
              <w:pStyle w:val="0"/>
            </w:pPr>
            <w:r>
              <w:rPr>
                <w:sz w:val="24"/>
              </w:rPr>
              <w:t xml:space="preserve">ins-dic:IsxodDenPotokiPriOczenkeDPPDoDiskontirovaniya</w:t>
            </w:r>
          </w:p>
        </w:tc>
      </w:tr>
      <w:tr>
        <w:tc>
          <w:tcPr>
            <w:tcW w:w="907" w:type="dxa"/>
          </w:tcPr>
          <w:p>
            <w:pPr>
              <w:pStyle w:val="0"/>
            </w:pPr>
            <w:r>
              <w:rPr>
                <w:sz w:val="24"/>
              </w:rPr>
              <w:t xml:space="preserve">119.1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119.2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119.3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действия страхового покрытия</w:t>
            </w:r>
          </w:p>
        </w:tc>
        <w:tc>
          <w:tcPr>
            <w:tcW w:w="2633" w:type="dxa"/>
          </w:tcPr>
          <w:p>
            <w:pPr>
              <w:pStyle w:val="0"/>
            </w:pPr>
            <w:r>
              <w:rPr>
                <w:sz w:val="24"/>
              </w:rPr>
              <w:t xml:space="preserve">dim-int:PeriodKvartalIGodDejstviyaStraxPokrytiyaTaxis</w:t>
            </w:r>
          </w:p>
        </w:tc>
      </w:tr>
      <w:tr>
        <w:tc>
          <w:tcPr>
            <w:tcW w:w="907" w:type="dxa"/>
          </w:tcPr>
          <w:p>
            <w:pPr>
              <w:pStyle w:val="0"/>
            </w:pPr>
            <w:r>
              <w:rPr>
                <w:sz w:val="24"/>
              </w:rPr>
              <w:t xml:space="preserve">119.4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422" w:name="P30422"/>
          <w:bookmarkEnd w:id="30422"/>
          <w:p>
            <w:pPr>
              <w:pStyle w:val="0"/>
              <w:outlineLvl w:val="4"/>
            </w:pPr>
            <w:r>
              <w:rPr>
                <w:sz w:val="24"/>
              </w:rPr>
              <w:t xml:space="preserve">Подраздел 2.16.</w:t>
            </w:r>
          </w:p>
        </w:tc>
        <w:tc>
          <w:tcPr>
            <w:gridSpan w:val="5"/>
            <w:tcW w:w="7257" w:type="dxa"/>
            <w:tcBorders>
              <w:right w:val="single" w:sz="4"/>
            </w:tcBorders>
          </w:tcPr>
          <w:p>
            <w:pPr>
              <w:pStyle w:val="0"/>
            </w:pPr>
            <w:r>
              <w:rPr>
                <w:sz w:val="24"/>
              </w:rPr>
              <w:t xml:space="preserve">Входящие денежные потоки при оценке доли перестраховщиков в резерве премий до дисконтирования по учетной группе (дополнительной учетной группе)</w:t>
            </w:r>
          </w:p>
        </w:tc>
      </w:tr>
      <w:tr>
        <w:tc>
          <w:tcPr>
            <w:tcW w:w="907" w:type="dxa"/>
          </w:tcPr>
          <w:p>
            <w:pPr>
              <w:pStyle w:val="0"/>
            </w:pPr>
            <w:r>
              <w:rPr>
                <w:sz w:val="24"/>
              </w:rPr>
              <w:t xml:space="preserve">120</w:t>
            </w:r>
          </w:p>
        </w:tc>
        <w:tc>
          <w:tcPr>
            <w:gridSpan w:val="4"/>
            <w:tcW w:w="2923" w:type="dxa"/>
          </w:tcPr>
          <w:p>
            <w:pPr>
              <w:pStyle w:val="0"/>
            </w:pPr>
            <w:r>
              <w:rPr>
                <w:sz w:val="24"/>
              </w:rPr>
              <w:t xml:space="preserve">Входящие денежные потоки при оценке доли перестраховщиков в резерве премий до дисконтирования</w:t>
            </w:r>
          </w:p>
        </w:tc>
        <w:tc>
          <w:tcPr>
            <w:gridSpan w:val="2"/>
            <w:tcW w:w="2608" w:type="dxa"/>
          </w:tcPr>
          <w:p>
            <w:pPr>
              <w:pStyle w:val="0"/>
            </w:pPr>
            <w:r>
              <w:rPr>
                <w:sz w:val="24"/>
              </w:rPr>
            </w:r>
          </w:p>
        </w:tc>
        <w:tc>
          <w:tcPr>
            <w:tcW w:w="2633" w:type="dxa"/>
          </w:tcPr>
          <w:p>
            <w:pPr>
              <w:pStyle w:val="0"/>
            </w:pPr>
            <w:r>
              <w:rPr>
                <w:sz w:val="24"/>
              </w:rPr>
              <w:t xml:space="preserve">ins-dic:VxodDenPotokiPriOczenkeDoliPerestrVRezPremijDoDiskont</w:t>
            </w:r>
          </w:p>
        </w:tc>
      </w:tr>
      <w:tr>
        <w:tc>
          <w:tcPr>
            <w:tcW w:w="907" w:type="dxa"/>
          </w:tcPr>
          <w:p>
            <w:pPr>
              <w:pStyle w:val="0"/>
            </w:pPr>
            <w:r>
              <w:rPr>
                <w:sz w:val="24"/>
              </w:rPr>
              <w:t xml:space="preserve">120.1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120.3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действия страхового покрытия</w:t>
            </w:r>
          </w:p>
        </w:tc>
        <w:tc>
          <w:tcPr>
            <w:tcW w:w="2633" w:type="dxa"/>
          </w:tcPr>
          <w:p>
            <w:pPr>
              <w:pStyle w:val="0"/>
            </w:pPr>
            <w:r>
              <w:rPr>
                <w:sz w:val="24"/>
              </w:rPr>
              <w:t xml:space="preserve">dim-int:PeriodKvartalIGodDejstviyaStraxPokrytiyaTaxis</w:t>
            </w:r>
          </w:p>
        </w:tc>
      </w:tr>
      <w:tr>
        <w:tc>
          <w:tcPr>
            <w:tcW w:w="907" w:type="dxa"/>
          </w:tcPr>
          <w:p>
            <w:pPr>
              <w:pStyle w:val="0"/>
            </w:pPr>
            <w:r>
              <w:rPr>
                <w:sz w:val="24"/>
              </w:rPr>
              <w:t xml:space="preserve">120.4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444" w:name="P30444"/>
          <w:bookmarkEnd w:id="30444"/>
          <w:p>
            <w:pPr>
              <w:pStyle w:val="0"/>
              <w:outlineLvl w:val="4"/>
            </w:pPr>
            <w:r>
              <w:rPr>
                <w:sz w:val="24"/>
              </w:rPr>
              <w:t xml:space="preserve">Подраздел 2.17.</w:t>
            </w:r>
          </w:p>
        </w:tc>
        <w:tc>
          <w:tcPr>
            <w:gridSpan w:val="5"/>
            <w:tcW w:w="7257" w:type="dxa"/>
            <w:tcBorders>
              <w:right w:val="single" w:sz="4"/>
            </w:tcBorders>
          </w:tcPr>
          <w:p>
            <w:pPr>
              <w:pStyle w:val="0"/>
            </w:pPr>
            <w:r>
              <w:rPr>
                <w:sz w:val="24"/>
              </w:rPr>
              <w:t xml:space="preserve">Исходящие денежные потоки при оценке доли перестраховщиков в резерве премий до дисконтирования по учетной группе (дополнительной учетной группе)</w:t>
            </w:r>
          </w:p>
        </w:tc>
      </w:tr>
      <w:tr>
        <w:tc>
          <w:tcPr>
            <w:tcW w:w="907" w:type="dxa"/>
          </w:tcPr>
          <w:p>
            <w:pPr>
              <w:pStyle w:val="0"/>
            </w:pPr>
            <w:r>
              <w:rPr>
                <w:sz w:val="24"/>
              </w:rPr>
              <w:t xml:space="preserve">121</w:t>
            </w:r>
          </w:p>
        </w:tc>
        <w:tc>
          <w:tcPr>
            <w:gridSpan w:val="4"/>
            <w:tcW w:w="2923" w:type="dxa"/>
          </w:tcPr>
          <w:p>
            <w:pPr>
              <w:pStyle w:val="0"/>
            </w:pPr>
            <w:r>
              <w:rPr>
                <w:sz w:val="24"/>
              </w:rPr>
              <w:t xml:space="preserve">Исходящие денежные потоки при оценке доли перестраховщиков в резерве премий до дисконтирования</w:t>
            </w:r>
          </w:p>
        </w:tc>
        <w:tc>
          <w:tcPr>
            <w:gridSpan w:val="2"/>
            <w:tcW w:w="2608" w:type="dxa"/>
          </w:tcPr>
          <w:p>
            <w:pPr>
              <w:pStyle w:val="0"/>
            </w:pPr>
            <w:r>
              <w:rPr>
                <w:sz w:val="24"/>
              </w:rPr>
            </w:r>
          </w:p>
        </w:tc>
        <w:tc>
          <w:tcPr>
            <w:tcW w:w="2633" w:type="dxa"/>
          </w:tcPr>
          <w:p>
            <w:pPr>
              <w:pStyle w:val="0"/>
            </w:pPr>
            <w:r>
              <w:rPr>
                <w:sz w:val="24"/>
              </w:rPr>
              <w:t xml:space="preserve">ins-dic:IsxodDenPotokiPriOczenkeDoliPerestraxVRezPremijDoDiskont</w:t>
            </w:r>
          </w:p>
        </w:tc>
      </w:tr>
      <w:tr>
        <w:tc>
          <w:tcPr>
            <w:tcW w:w="907" w:type="dxa"/>
          </w:tcPr>
          <w:p>
            <w:pPr>
              <w:pStyle w:val="0"/>
            </w:pPr>
            <w:r>
              <w:rPr>
                <w:sz w:val="24"/>
              </w:rPr>
              <w:t xml:space="preserve">121.1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121.3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действия страхового покрытия</w:t>
            </w:r>
          </w:p>
        </w:tc>
        <w:tc>
          <w:tcPr>
            <w:tcW w:w="2633" w:type="dxa"/>
          </w:tcPr>
          <w:p>
            <w:pPr>
              <w:pStyle w:val="0"/>
            </w:pPr>
            <w:r>
              <w:rPr>
                <w:sz w:val="24"/>
              </w:rPr>
              <w:t xml:space="preserve">dim-int:PeriodKvartalIGodDejstviyaStraxPokrytiyaTaxis</w:t>
            </w:r>
          </w:p>
        </w:tc>
      </w:tr>
      <w:tr>
        <w:tc>
          <w:tcPr>
            <w:tcW w:w="907" w:type="dxa"/>
          </w:tcPr>
          <w:p>
            <w:pPr>
              <w:pStyle w:val="0"/>
            </w:pPr>
            <w:r>
              <w:rPr>
                <w:sz w:val="24"/>
              </w:rPr>
              <w:t xml:space="preserve">121.4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466" w:name="P30466"/>
          <w:bookmarkEnd w:id="30466"/>
          <w:p>
            <w:pPr>
              <w:pStyle w:val="0"/>
              <w:outlineLvl w:val="4"/>
            </w:pPr>
            <w:r>
              <w:rPr>
                <w:sz w:val="24"/>
              </w:rPr>
              <w:t xml:space="preserve">Подраздел 2.18.</w:t>
            </w:r>
          </w:p>
        </w:tc>
        <w:tc>
          <w:tcPr>
            <w:gridSpan w:val="5"/>
            <w:tcW w:w="7257" w:type="dxa"/>
            <w:tcBorders>
              <w:right w:val="single" w:sz="4"/>
            </w:tcBorders>
          </w:tcPr>
          <w:p>
            <w:pPr>
              <w:pStyle w:val="0"/>
            </w:pPr>
            <w:r>
              <w:rPr>
                <w:sz w:val="24"/>
              </w:rPr>
              <w:t xml:space="preserve">Входящие денежные потоки при оценке ожидаемой величины обязательств по резерву убытков (ДПУ) до дисконтирования по учетной группе (дополнительной учетной группе)</w:t>
            </w:r>
          </w:p>
        </w:tc>
      </w:tr>
      <w:tr>
        <w:tc>
          <w:tcPr>
            <w:tcW w:w="907" w:type="dxa"/>
          </w:tcPr>
          <w:bookmarkStart w:id="30468" w:name="P30468"/>
          <w:bookmarkEnd w:id="30468"/>
          <w:p>
            <w:pPr>
              <w:pStyle w:val="0"/>
            </w:pPr>
            <w:r>
              <w:rPr>
                <w:sz w:val="24"/>
              </w:rPr>
              <w:t xml:space="preserve">122</w:t>
            </w:r>
          </w:p>
        </w:tc>
        <w:tc>
          <w:tcPr>
            <w:gridSpan w:val="4"/>
            <w:tcW w:w="2923" w:type="dxa"/>
          </w:tcPr>
          <w:p>
            <w:pPr>
              <w:pStyle w:val="0"/>
            </w:pPr>
            <w:r>
              <w:rPr>
                <w:sz w:val="24"/>
              </w:rPr>
              <w:t xml:space="preserve">Входящие денежные потоки при оценке ожидаемой величины обязательств по резерву убытков (ДПУ) до дисконтирования</w:t>
            </w:r>
          </w:p>
        </w:tc>
        <w:tc>
          <w:tcPr>
            <w:gridSpan w:val="2"/>
            <w:tcW w:w="2608" w:type="dxa"/>
          </w:tcPr>
          <w:p>
            <w:pPr>
              <w:pStyle w:val="0"/>
            </w:pPr>
            <w:r>
              <w:rPr>
                <w:sz w:val="24"/>
              </w:rPr>
            </w:r>
          </w:p>
        </w:tc>
        <w:tc>
          <w:tcPr>
            <w:tcW w:w="2633" w:type="dxa"/>
          </w:tcPr>
          <w:p>
            <w:pPr>
              <w:pStyle w:val="0"/>
            </w:pPr>
            <w:r>
              <w:rPr>
                <w:sz w:val="24"/>
              </w:rPr>
              <w:t xml:space="preserve">ins-dic:VxodDenPotokiPriOczenkeDPUDoDiskont</w:t>
            </w:r>
          </w:p>
        </w:tc>
      </w:tr>
      <w:tr>
        <w:tc>
          <w:tcPr>
            <w:tcW w:w="907" w:type="dxa"/>
          </w:tcPr>
          <w:p>
            <w:pPr>
              <w:pStyle w:val="0"/>
            </w:pPr>
            <w:r>
              <w:rPr>
                <w:sz w:val="24"/>
              </w:rPr>
              <w:t xml:space="preserve">122.1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122.3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c>
          <w:tcPr>
            <w:tcW w:w="907" w:type="dxa"/>
          </w:tcPr>
          <w:p>
            <w:pPr>
              <w:pStyle w:val="0"/>
            </w:pPr>
            <w:r>
              <w:rPr>
                <w:sz w:val="24"/>
              </w:rPr>
              <w:t xml:space="preserve">122.4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488" w:name="P30488"/>
          <w:bookmarkEnd w:id="30488"/>
          <w:p>
            <w:pPr>
              <w:pStyle w:val="0"/>
              <w:outlineLvl w:val="4"/>
            </w:pPr>
            <w:r>
              <w:rPr>
                <w:sz w:val="24"/>
              </w:rPr>
              <w:t xml:space="preserve">Подраздел 2.19.</w:t>
            </w:r>
          </w:p>
        </w:tc>
        <w:tc>
          <w:tcPr>
            <w:gridSpan w:val="5"/>
            <w:tcW w:w="7257" w:type="dxa"/>
            <w:tcBorders>
              <w:right w:val="single" w:sz="4"/>
            </w:tcBorders>
          </w:tcPr>
          <w:p>
            <w:pPr>
              <w:pStyle w:val="0"/>
            </w:pPr>
            <w:r>
              <w:rPr>
                <w:sz w:val="24"/>
              </w:rPr>
              <w:t xml:space="preserve">Исходящие денежные потоки при оценке ожидаемой величины обязательств по резерву убытков (ДПУ) до дисконтирования по учетной группе (дополнительной учетной группе)</w:t>
            </w:r>
          </w:p>
        </w:tc>
      </w:tr>
      <w:tr>
        <w:tc>
          <w:tcPr>
            <w:tcW w:w="907" w:type="dxa"/>
          </w:tcPr>
          <w:bookmarkStart w:id="30490" w:name="P30490"/>
          <w:bookmarkEnd w:id="30490"/>
          <w:p>
            <w:pPr>
              <w:pStyle w:val="0"/>
            </w:pPr>
            <w:r>
              <w:rPr>
                <w:sz w:val="24"/>
              </w:rPr>
              <w:t xml:space="preserve">123</w:t>
            </w:r>
          </w:p>
        </w:tc>
        <w:tc>
          <w:tcPr>
            <w:gridSpan w:val="4"/>
            <w:tcW w:w="2923" w:type="dxa"/>
          </w:tcPr>
          <w:p>
            <w:pPr>
              <w:pStyle w:val="0"/>
            </w:pPr>
            <w:r>
              <w:rPr>
                <w:sz w:val="24"/>
              </w:rPr>
              <w:t xml:space="preserve">Исходящие денежные потоки при оценке ожидаемой величины обязательств по резерву убытков (ДПУ) до дисконтирования</w:t>
            </w:r>
          </w:p>
        </w:tc>
        <w:tc>
          <w:tcPr>
            <w:gridSpan w:val="2"/>
            <w:tcW w:w="2608" w:type="dxa"/>
          </w:tcPr>
          <w:p>
            <w:pPr>
              <w:pStyle w:val="0"/>
            </w:pPr>
            <w:r>
              <w:rPr>
                <w:sz w:val="24"/>
              </w:rPr>
            </w:r>
          </w:p>
        </w:tc>
        <w:tc>
          <w:tcPr>
            <w:tcW w:w="2633" w:type="dxa"/>
          </w:tcPr>
          <w:p>
            <w:pPr>
              <w:pStyle w:val="0"/>
            </w:pPr>
            <w:r>
              <w:rPr>
                <w:sz w:val="24"/>
              </w:rPr>
              <w:t xml:space="preserve">ins-dic:IsxodDenPotokiPriOczenkeDPUDoDiskont</w:t>
            </w:r>
          </w:p>
        </w:tc>
      </w:tr>
      <w:tr>
        <w:tc>
          <w:tcPr>
            <w:tcW w:w="907" w:type="dxa"/>
          </w:tcPr>
          <w:p>
            <w:pPr>
              <w:pStyle w:val="0"/>
            </w:pPr>
            <w:r>
              <w:rPr>
                <w:sz w:val="24"/>
              </w:rPr>
              <w:t xml:space="preserve">123.1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123.3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c>
          <w:tcPr>
            <w:tcW w:w="907" w:type="dxa"/>
          </w:tcPr>
          <w:p>
            <w:pPr>
              <w:pStyle w:val="0"/>
            </w:pPr>
            <w:r>
              <w:rPr>
                <w:sz w:val="24"/>
              </w:rPr>
              <w:t xml:space="preserve">123.4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510" w:name="P30510"/>
          <w:bookmarkEnd w:id="30510"/>
          <w:p>
            <w:pPr>
              <w:pStyle w:val="0"/>
              <w:outlineLvl w:val="4"/>
            </w:pPr>
            <w:r>
              <w:rPr>
                <w:sz w:val="24"/>
              </w:rPr>
              <w:t xml:space="preserve">Подраздел 2.20.</w:t>
            </w:r>
          </w:p>
        </w:tc>
        <w:tc>
          <w:tcPr>
            <w:gridSpan w:val="5"/>
            <w:tcW w:w="7257" w:type="dxa"/>
            <w:tcBorders>
              <w:right w:val="single" w:sz="4"/>
            </w:tcBorders>
          </w:tcPr>
          <w:p>
            <w:pPr>
              <w:pStyle w:val="0"/>
            </w:pPr>
            <w:r>
              <w:rPr>
                <w:sz w:val="24"/>
              </w:rPr>
              <w:t xml:space="preserve">Входящие денежные потоки при оценке доли перестраховщиков в резерве убытков до дисконтирования по учетной группе (дополнительной учетной группе)</w:t>
            </w:r>
          </w:p>
        </w:tc>
      </w:tr>
      <w:tr>
        <w:tc>
          <w:tcPr>
            <w:tcW w:w="907" w:type="dxa"/>
          </w:tcPr>
          <w:bookmarkStart w:id="30512" w:name="P30512"/>
          <w:bookmarkEnd w:id="30512"/>
          <w:p>
            <w:pPr>
              <w:pStyle w:val="0"/>
            </w:pPr>
            <w:r>
              <w:rPr>
                <w:sz w:val="24"/>
              </w:rPr>
              <w:t xml:space="preserve">124</w:t>
            </w:r>
          </w:p>
        </w:tc>
        <w:tc>
          <w:tcPr>
            <w:gridSpan w:val="4"/>
            <w:tcW w:w="2923" w:type="dxa"/>
          </w:tcPr>
          <w:p>
            <w:pPr>
              <w:pStyle w:val="0"/>
            </w:pPr>
            <w:r>
              <w:rPr>
                <w:sz w:val="24"/>
              </w:rPr>
              <w:t xml:space="preserve">Входящие денежные потоки при оценке доли перестраховщиков в резерве убытков до дисконтирования</w:t>
            </w:r>
          </w:p>
        </w:tc>
        <w:tc>
          <w:tcPr>
            <w:gridSpan w:val="2"/>
            <w:tcW w:w="2608" w:type="dxa"/>
          </w:tcPr>
          <w:p>
            <w:pPr>
              <w:pStyle w:val="0"/>
            </w:pPr>
            <w:r>
              <w:rPr>
                <w:sz w:val="24"/>
              </w:rPr>
            </w:r>
          </w:p>
        </w:tc>
        <w:tc>
          <w:tcPr>
            <w:tcW w:w="2633" w:type="dxa"/>
          </w:tcPr>
          <w:p>
            <w:pPr>
              <w:pStyle w:val="0"/>
            </w:pPr>
            <w:r>
              <w:rPr>
                <w:sz w:val="24"/>
              </w:rPr>
              <w:t xml:space="preserve">ins-dic:VxodDenPotokiPriOczenkeDoliPerestraxVRezUbytkovDoDiskont</w:t>
            </w:r>
          </w:p>
        </w:tc>
      </w:tr>
      <w:tr>
        <w:tc>
          <w:tcPr>
            <w:tcW w:w="907" w:type="dxa"/>
          </w:tcPr>
          <w:p>
            <w:pPr>
              <w:pStyle w:val="0"/>
            </w:pPr>
            <w:r>
              <w:rPr>
                <w:sz w:val="24"/>
              </w:rPr>
              <w:t xml:space="preserve">124.1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124.3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c>
          <w:tcPr>
            <w:tcW w:w="907" w:type="dxa"/>
          </w:tcPr>
          <w:p>
            <w:pPr>
              <w:pStyle w:val="0"/>
            </w:pPr>
            <w:r>
              <w:rPr>
                <w:sz w:val="24"/>
              </w:rPr>
              <w:t xml:space="preserve">124.4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532" w:name="P30532"/>
          <w:bookmarkEnd w:id="30532"/>
          <w:p>
            <w:pPr>
              <w:pStyle w:val="0"/>
              <w:outlineLvl w:val="4"/>
            </w:pPr>
            <w:r>
              <w:rPr>
                <w:sz w:val="24"/>
              </w:rPr>
              <w:t xml:space="preserve">Подраздел 2.21.</w:t>
            </w:r>
          </w:p>
        </w:tc>
        <w:tc>
          <w:tcPr>
            <w:gridSpan w:val="5"/>
            <w:tcW w:w="7257" w:type="dxa"/>
            <w:tcBorders>
              <w:right w:val="single" w:sz="4"/>
            </w:tcBorders>
          </w:tcPr>
          <w:p>
            <w:pPr>
              <w:pStyle w:val="0"/>
            </w:pPr>
            <w:r>
              <w:rPr>
                <w:sz w:val="24"/>
              </w:rPr>
              <w:t xml:space="preserve">Исходящие денежные потоки при оценке доли перестраховщиков в резерве убытков до дисконтирования по учетной группе (дополнительной учетной группе)</w:t>
            </w:r>
          </w:p>
        </w:tc>
      </w:tr>
      <w:tr>
        <w:tc>
          <w:tcPr>
            <w:tcW w:w="907" w:type="dxa"/>
          </w:tcPr>
          <w:bookmarkStart w:id="30534" w:name="P30534"/>
          <w:bookmarkEnd w:id="30534"/>
          <w:p>
            <w:pPr>
              <w:pStyle w:val="0"/>
            </w:pPr>
            <w:r>
              <w:rPr>
                <w:sz w:val="24"/>
              </w:rPr>
              <w:t xml:space="preserve">125</w:t>
            </w:r>
          </w:p>
        </w:tc>
        <w:tc>
          <w:tcPr>
            <w:gridSpan w:val="4"/>
            <w:tcW w:w="2923" w:type="dxa"/>
          </w:tcPr>
          <w:p>
            <w:pPr>
              <w:pStyle w:val="0"/>
            </w:pPr>
            <w:r>
              <w:rPr>
                <w:sz w:val="24"/>
              </w:rPr>
              <w:t xml:space="preserve">Исходящие денежные потоки при оценке доли перестраховщиков в резерве убытков до дисконтирования</w:t>
            </w:r>
          </w:p>
        </w:tc>
        <w:tc>
          <w:tcPr>
            <w:gridSpan w:val="2"/>
            <w:tcW w:w="2608" w:type="dxa"/>
          </w:tcPr>
          <w:p>
            <w:pPr>
              <w:pStyle w:val="0"/>
            </w:pPr>
            <w:r>
              <w:rPr>
                <w:sz w:val="24"/>
              </w:rPr>
            </w:r>
          </w:p>
        </w:tc>
        <w:tc>
          <w:tcPr>
            <w:tcW w:w="2633" w:type="dxa"/>
          </w:tcPr>
          <w:p>
            <w:pPr>
              <w:pStyle w:val="0"/>
            </w:pPr>
            <w:r>
              <w:rPr>
                <w:sz w:val="24"/>
              </w:rPr>
              <w:t xml:space="preserve">ins-dic:IsxodDenPotokiPriOczenkeDoliPerestraxVRezUbytkovDoDiskont</w:t>
            </w:r>
          </w:p>
        </w:tc>
      </w:tr>
      <w:tr>
        <w:tc>
          <w:tcPr>
            <w:tcW w:w="907" w:type="dxa"/>
          </w:tcPr>
          <w:p>
            <w:pPr>
              <w:pStyle w:val="0"/>
            </w:pPr>
            <w:r>
              <w:rPr>
                <w:sz w:val="24"/>
              </w:rPr>
              <w:t xml:space="preserve">125.1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125.3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c>
          <w:tcPr>
            <w:tcW w:w="907" w:type="dxa"/>
          </w:tcPr>
          <w:p>
            <w:pPr>
              <w:pStyle w:val="0"/>
            </w:pPr>
            <w:r>
              <w:rPr>
                <w:sz w:val="24"/>
              </w:rPr>
              <w:t xml:space="preserve">125.4</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погашения денежных потоков</w:t>
            </w:r>
          </w:p>
        </w:tc>
        <w:tc>
          <w:tcPr>
            <w:tcW w:w="2633" w:type="dxa"/>
          </w:tcPr>
          <w:p>
            <w:pPr>
              <w:pStyle w:val="0"/>
            </w:pPr>
            <w:r>
              <w:rPr>
                <w:sz w:val="24"/>
              </w:rPr>
              <w:t xml:space="preserve">dim-int:PeriodKvartalIGodPogasheniyaDenPotokovTaxis</w:t>
            </w:r>
          </w:p>
        </w:tc>
      </w:tr>
      <w:tr>
        <w:tblPrEx>
          <w:tblBorders>
            <w:insideV w:val="nil"/>
          </w:tblBorders>
        </w:tblPrEx>
        <w:tc>
          <w:tcPr>
            <w:gridSpan w:val="3"/>
            <w:tcW w:w="1814" w:type="dxa"/>
            <w:tcBorders>
              <w:left w:val="single" w:sz="4"/>
            </w:tcBorders>
          </w:tcPr>
          <w:bookmarkStart w:id="30554" w:name="P30554"/>
          <w:bookmarkEnd w:id="30554"/>
          <w:p>
            <w:pPr>
              <w:pStyle w:val="0"/>
              <w:outlineLvl w:val="4"/>
            </w:pPr>
            <w:r>
              <w:rPr>
                <w:sz w:val="24"/>
              </w:rPr>
              <w:t xml:space="preserve">Подраздел 2.22.</w:t>
            </w:r>
          </w:p>
        </w:tc>
        <w:tc>
          <w:tcPr>
            <w:gridSpan w:val="5"/>
            <w:tcW w:w="7257" w:type="dxa"/>
            <w:tcBorders>
              <w:right w:val="single" w:sz="4"/>
            </w:tcBorders>
          </w:tcPr>
          <w:p>
            <w:pPr>
              <w:pStyle w:val="0"/>
            </w:pPr>
            <w:r>
              <w:rPr>
                <w:sz w:val="24"/>
              </w:rPr>
              <w:t xml:space="preserve">Раскрытие дополнительных показателей по учетной группе (дополнительной учетной группе)</w:t>
            </w:r>
          </w:p>
        </w:tc>
      </w:tr>
      <w:tr>
        <w:tc>
          <w:tcPr>
            <w:tcW w:w="907" w:type="dxa"/>
          </w:tcPr>
          <w:bookmarkStart w:id="30556" w:name="P30556"/>
          <w:bookmarkEnd w:id="30556"/>
          <w:p>
            <w:pPr>
              <w:pStyle w:val="0"/>
            </w:pPr>
            <w:r>
              <w:rPr>
                <w:sz w:val="24"/>
              </w:rPr>
              <w:t xml:space="preserve">126</w:t>
            </w:r>
          </w:p>
        </w:tc>
        <w:tc>
          <w:tcPr>
            <w:gridSpan w:val="4"/>
            <w:tcW w:w="2923" w:type="dxa"/>
          </w:tcPr>
          <w:p>
            <w:pPr>
              <w:pStyle w:val="0"/>
            </w:pPr>
            <w:r>
              <w:rPr>
                <w:sz w:val="24"/>
              </w:rPr>
              <w:t xml:space="preserve">Вспомогательная величина РМ</w:t>
            </w:r>
          </w:p>
        </w:tc>
        <w:tc>
          <w:tcPr>
            <w:gridSpan w:val="2"/>
            <w:tcW w:w="2608" w:type="dxa"/>
          </w:tcPr>
          <w:p>
            <w:pPr>
              <w:pStyle w:val="0"/>
            </w:pPr>
            <w:r>
              <w:rPr>
                <w:sz w:val="24"/>
              </w:rPr>
            </w:r>
          </w:p>
        </w:tc>
        <w:tc>
          <w:tcPr>
            <w:tcW w:w="2633" w:type="dxa"/>
          </w:tcPr>
          <w:p>
            <w:pPr>
              <w:pStyle w:val="0"/>
            </w:pPr>
            <w:r>
              <w:rPr>
                <w:sz w:val="24"/>
              </w:rPr>
              <w:t xml:space="preserve">ins-dic:PM</w:t>
            </w:r>
          </w:p>
        </w:tc>
      </w:tr>
      <w:tr>
        <w:tc>
          <w:tcPr>
            <w:tcW w:w="907" w:type="dxa"/>
          </w:tcPr>
          <w:p>
            <w:pPr>
              <w:pStyle w:val="0"/>
            </w:pPr>
            <w:r>
              <w:rPr>
                <w:sz w:val="24"/>
              </w:rPr>
              <w:t xml:space="preserve">126.1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dim-int:PerechenDopVchGruppTaxis</w:t>
            </w:r>
          </w:p>
        </w:tc>
      </w:tr>
      <w:tr>
        <w:tc>
          <w:tcPr>
            <w:tcW w:w="907" w:type="dxa"/>
          </w:tcPr>
          <w:bookmarkStart w:id="30568" w:name="P30568"/>
          <w:bookmarkEnd w:id="30568"/>
          <w:p>
            <w:pPr>
              <w:pStyle w:val="0"/>
            </w:pPr>
            <w:r>
              <w:rPr>
                <w:sz w:val="24"/>
              </w:rPr>
              <w:t xml:space="preserve">127</w:t>
            </w:r>
          </w:p>
        </w:tc>
        <w:tc>
          <w:tcPr>
            <w:gridSpan w:val="4"/>
            <w:tcW w:w="2923" w:type="dxa"/>
          </w:tcPr>
          <w:p>
            <w:pPr>
              <w:pStyle w:val="0"/>
            </w:pPr>
            <w:r>
              <w:rPr>
                <w:sz w:val="24"/>
              </w:rPr>
              <w:t xml:space="preserve">Наилучшая оценка приведенной стоимости денежных потоков по исполнению обязательств, учитываемых в расчете величины резерва убытков (ДПУ</w:t>
            </w:r>
            <w:r>
              <w:rPr>
                <w:sz w:val="24"/>
                <w:vertAlign w:val="superscript"/>
              </w:rPr>
              <w:t xml:space="preserve">НО</w:t>
            </w:r>
            <w:r>
              <w:rPr>
                <w:sz w:val="24"/>
              </w:rPr>
              <w:t xml:space="preserve">)</w:t>
            </w:r>
          </w:p>
        </w:tc>
        <w:tc>
          <w:tcPr>
            <w:gridSpan w:val="2"/>
            <w:tcW w:w="2608" w:type="dxa"/>
          </w:tcPr>
          <w:p>
            <w:pPr>
              <w:pStyle w:val="0"/>
            </w:pPr>
            <w:r>
              <w:rPr>
                <w:sz w:val="24"/>
              </w:rPr>
            </w:r>
          </w:p>
        </w:tc>
        <w:tc>
          <w:tcPr>
            <w:tcW w:w="2633" w:type="dxa"/>
          </w:tcPr>
          <w:p>
            <w:pPr>
              <w:pStyle w:val="0"/>
            </w:pPr>
            <w:r>
              <w:rPr>
                <w:sz w:val="24"/>
              </w:rPr>
              <w:t xml:space="preserve">ins-dic:DPUNO</w:t>
            </w:r>
          </w:p>
        </w:tc>
      </w:tr>
      <w:tr>
        <w:tc>
          <w:tcPr>
            <w:tcW w:w="907" w:type="dxa"/>
          </w:tcPr>
          <w:p>
            <w:pPr>
              <w:pStyle w:val="0"/>
            </w:pPr>
            <w:r>
              <w:rPr>
                <w:sz w:val="24"/>
              </w:rPr>
              <w:t xml:space="preserve">127.1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580" w:name="P30580"/>
          <w:bookmarkEnd w:id="30580"/>
          <w:p>
            <w:pPr>
              <w:pStyle w:val="0"/>
            </w:pPr>
            <w:r>
              <w:rPr>
                <w:sz w:val="24"/>
              </w:rPr>
              <w:t xml:space="preserve">128</w:t>
            </w:r>
          </w:p>
        </w:tc>
        <w:tc>
          <w:tcPr>
            <w:gridSpan w:val="4"/>
            <w:tcW w:w="2923" w:type="dxa"/>
          </w:tcPr>
          <w:p>
            <w:pPr>
              <w:pStyle w:val="0"/>
            </w:pPr>
            <w:r>
              <w:rPr>
                <w:sz w:val="24"/>
              </w:rPr>
              <w:t xml:space="preserve">Наилучшая оценка приведенной стоимости денежных потоков по расходам на исполнение обязательств по страховым случаям (ДПРУУ</w:t>
            </w:r>
            <w:r>
              <w:rPr>
                <w:sz w:val="24"/>
                <w:vertAlign w:val="superscript"/>
              </w:rPr>
              <w:t xml:space="preserve">НО</w:t>
            </w:r>
            <w:r>
              <w:rPr>
                <w:sz w:val="24"/>
              </w:rPr>
              <w:t xml:space="preserve">)</w:t>
            </w:r>
          </w:p>
        </w:tc>
        <w:tc>
          <w:tcPr>
            <w:gridSpan w:val="2"/>
            <w:tcW w:w="2608" w:type="dxa"/>
          </w:tcPr>
          <w:p>
            <w:pPr>
              <w:pStyle w:val="0"/>
            </w:pPr>
            <w:r>
              <w:rPr>
                <w:sz w:val="24"/>
              </w:rPr>
            </w:r>
          </w:p>
        </w:tc>
        <w:tc>
          <w:tcPr>
            <w:tcW w:w="2633" w:type="dxa"/>
          </w:tcPr>
          <w:p>
            <w:pPr>
              <w:pStyle w:val="0"/>
            </w:pPr>
            <w:r>
              <w:rPr>
                <w:sz w:val="24"/>
              </w:rPr>
              <w:t xml:space="preserve">ins-dic:DPRUUNO</w:t>
            </w:r>
          </w:p>
        </w:tc>
      </w:tr>
      <w:tr>
        <w:tc>
          <w:tcPr>
            <w:tcW w:w="907" w:type="dxa"/>
          </w:tcPr>
          <w:p>
            <w:pPr>
              <w:pStyle w:val="0"/>
            </w:pPr>
            <w:r>
              <w:rPr>
                <w:sz w:val="24"/>
              </w:rPr>
              <w:t xml:space="preserve">128.1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592" w:name="P30592"/>
          <w:bookmarkEnd w:id="30592"/>
          <w:p>
            <w:pPr>
              <w:pStyle w:val="0"/>
            </w:pPr>
            <w:r>
              <w:rPr>
                <w:sz w:val="24"/>
              </w:rPr>
              <w:t xml:space="preserve">129</w:t>
            </w:r>
          </w:p>
        </w:tc>
        <w:tc>
          <w:tcPr>
            <w:gridSpan w:val="4"/>
            <w:tcW w:w="2923" w:type="dxa"/>
          </w:tcPr>
          <w:p>
            <w:pPr>
              <w:pStyle w:val="0"/>
            </w:pPr>
            <w:r>
              <w:rPr>
                <w:sz w:val="24"/>
              </w:rPr>
              <w:t xml:space="preserve">Вспомогательная величина ДПУ</w:t>
            </w:r>
            <w:r>
              <w:rPr>
                <w:sz w:val="24"/>
                <w:vertAlign w:val="superscript"/>
              </w:rPr>
              <w:t xml:space="preserve">Ф</w:t>
            </w:r>
          </w:p>
        </w:tc>
        <w:tc>
          <w:tcPr>
            <w:gridSpan w:val="2"/>
            <w:tcW w:w="2608" w:type="dxa"/>
          </w:tcPr>
          <w:p>
            <w:pPr>
              <w:pStyle w:val="0"/>
            </w:pPr>
            <w:r>
              <w:rPr>
                <w:sz w:val="24"/>
              </w:rPr>
            </w:r>
          </w:p>
        </w:tc>
        <w:tc>
          <w:tcPr>
            <w:tcW w:w="2633" w:type="dxa"/>
          </w:tcPr>
          <w:p>
            <w:pPr>
              <w:pStyle w:val="0"/>
            </w:pPr>
            <w:r>
              <w:rPr>
                <w:sz w:val="24"/>
              </w:rPr>
              <w:t xml:space="preserve">ins-dic:DPUF</w:t>
            </w:r>
          </w:p>
        </w:tc>
      </w:tr>
      <w:tr>
        <w:tc>
          <w:tcPr>
            <w:tcW w:w="907" w:type="dxa"/>
          </w:tcPr>
          <w:p>
            <w:pPr>
              <w:pStyle w:val="0"/>
            </w:pPr>
            <w:r>
              <w:rPr>
                <w:sz w:val="24"/>
              </w:rPr>
              <w:t xml:space="preserve">129.1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129.2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604" w:name="P30604"/>
          <w:bookmarkEnd w:id="30604"/>
          <w:p>
            <w:pPr>
              <w:pStyle w:val="0"/>
            </w:pPr>
            <w:r>
              <w:rPr>
                <w:sz w:val="24"/>
              </w:rPr>
              <w:t xml:space="preserve">130</w:t>
            </w:r>
          </w:p>
        </w:tc>
        <w:tc>
          <w:tcPr>
            <w:gridSpan w:val="4"/>
            <w:tcW w:w="2923" w:type="dxa"/>
          </w:tcPr>
          <w:p>
            <w:pPr>
              <w:pStyle w:val="0"/>
            </w:pPr>
            <w:r>
              <w:rPr>
                <w:sz w:val="24"/>
              </w:rPr>
              <w:t xml:space="preserve">Вспомогательная величина ОРС</w:t>
            </w:r>
            <w:r>
              <w:rPr>
                <w:sz w:val="24"/>
                <w:vertAlign w:val="superscript"/>
              </w:rPr>
              <w:t xml:space="preserve">Ф</w:t>
            </w:r>
          </w:p>
        </w:tc>
        <w:tc>
          <w:tcPr>
            <w:gridSpan w:val="2"/>
            <w:tcW w:w="2608" w:type="dxa"/>
          </w:tcPr>
          <w:p>
            <w:pPr>
              <w:pStyle w:val="0"/>
            </w:pPr>
            <w:r>
              <w:rPr>
                <w:sz w:val="24"/>
              </w:rPr>
            </w:r>
          </w:p>
        </w:tc>
        <w:tc>
          <w:tcPr>
            <w:tcW w:w="2633" w:type="dxa"/>
          </w:tcPr>
          <w:p>
            <w:pPr>
              <w:pStyle w:val="0"/>
            </w:pPr>
            <w:r>
              <w:rPr>
                <w:sz w:val="24"/>
              </w:rPr>
              <w:t xml:space="preserve">ins-dic:ORSF</w:t>
            </w:r>
          </w:p>
        </w:tc>
      </w:tr>
      <w:tr>
        <w:tc>
          <w:tcPr>
            <w:tcW w:w="907" w:type="dxa"/>
          </w:tcPr>
          <w:p>
            <w:pPr>
              <w:pStyle w:val="0"/>
            </w:pPr>
            <w:r>
              <w:rPr>
                <w:sz w:val="24"/>
              </w:rPr>
              <w:t xml:space="preserve">130.1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616" w:name="P30616"/>
          <w:bookmarkEnd w:id="30616"/>
          <w:p>
            <w:pPr>
              <w:pStyle w:val="0"/>
            </w:pPr>
            <w:r>
              <w:rPr>
                <w:sz w:val="24"/>
              </w:rPr>
              <w:t xml:space="preserve">131</w:t>
            </w:r>
          </w:p>
        </w:tc>
        <w:tc>
          <w:tcPr>
            <w:gridSpan w:val="4"/>
            <w:tcW w:w="2923" w:type="dxa"/>
          </w:tcPr>
          <w:p>
            <w:pPr>
              <w:pStyle w:val="0"/>
            </w:pPr>
            <w:r>
              <w:rPr>
                <w:sz w:val="24"/>
              </w:rPr>
              <w:t xml:space="preserve">Наилучшая оценка приведенной стоимости денежных потоков по страховым выплатам, учитываемых в расчете величины резерва убытков (ДПУВ</w:t>
            </w:r>
            <w:r>
              <w:rPr>
                <w:sz w:val="24"/>
                <w:vertAlign w:val="superscript"/>
              </w:rPr>
              <w:t xml:space="preserve">НО</w:t>
            </w:r>
            <w:r>
              <w:rPr>
                <w:sz w:val="24"/>
              </w:rPr>
              <w:t xml:space="preserve">)</w:t>
            </w:r>
          </w:p>
        </w:tc>
        <w:tc>
          <w:tcPr>
            <w:gridSpan w:val="2"/>
            <w:tcW w:w="2608" w:type="dxa"/>
          </w:tcPr>
          <w:p>
            <w:pPr>
              <w:pStyle w:val="0"/>
            </w:pPr>
            <w:r>
              <w:rPr>
                <w:sz w:val="24"/>
              </w:rPr>
            </w:r>
          </w:p>
        </w:tc>
        <w:tc>
          <w:tcPr>
            <w:tcW w:w="2633" w:type="dxa"/>
          </w:tcPr>
          <w:p>
            <w:pPr>
              <w:pStyle w:val="0"/>
            </w:pPr>
            <w:r>
              <w:rPr>
                <w:sz w:val="24"/>
              </w:rPr>
              <w:t xml:space="preserve">ins-dic:NailOczPrivStoimDPPoStrVyplUchRaschVelRezUbDPUVNO</w:t>
            </w:r>
          </w:p>
        </w:tc>
      </w:tr>
      <w:tr>
        <w:tc>
          <w:tcPr>
            <w:tcW w:w="907" w:type="dxa"/>
          </w:tcPr>
          <w:p>
            <w:pPr>
              <w:pStyle w:val="0"/>
            </w:pPr>
            <w:r>
              <w:rPr>
                <w:sz w:val="24"/>
              </w:rPr>
              <w:t xml:space="preserve">131.1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132</w:t>
            </w:r>
          </w:p>
        </w:tc>
        <w:tc>
          <w:tcPr>
            <w:gridSpan w:val="4"/>
            <w:tcW w:w="2923" w:type="dxa"/>
          </w:tcPr>
          <w:p>
            <w:pPr>
              <w:pStyle w:val="0"/>
            </w:pPr>
            <w:r>
              <w:rPr>
                <w:sz w:val="24"/>
              </w:rPr>
              <w:t xml:space="preserve">Депо премий</w:t>
            </w:r>
          </w:p>
        </w:tc>
        <w:tc>
          <w:tcPr>
            <w:gridSpan w:val="2"/>
            <w:tcW w:w="2608" w:type="dxa"/>
          </w:tcPr>
          <w:p>
            <w:pPr>
              <w:pStyle w:val="0"/>
            </w:pPr>
            <w:r>
              <w:rPr>
                <w:sz w:val="24"/>
              </w:rPr>
            </w:r>
          </w:p>
        </w:tc>
        <w:tc>
          <w:tcPr>
            <w:tcW w:w="2633" w:type="dxa"/>
          </w:tcPr>
          <w:p>
            <w:pPr>
              <w:pStyle w:val="0"/>
            </w:pPr>
            <w:r>
              <w:rPr>
                <w:sz w:val="24"/>
              </w:rPr>
              <w:t xml:space="preserve">ins-dic:SummaDepoPremij</w:t>
            </w:r>
          </w:p>
        </w:tc>
      </w:tr>
      <w:tr>
        <w:tc>
          <w:tcPr>
            <w:tcW w:w="907" w:type="dxa"/>
          </w:tcPr>
          <w:p>
            <w:pPr>
              <w:pStyle w:val="0"/>
            </w:pPr>
            <w:r>
              <w:rPr>
                <w:sz w:val="24"/>
              </w:rPr>
              <w:t xml:space="preserve">132.1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133</w:t>
            </w:r>
          </w:p>
        </w:tc>
        <w:tc>
          <w:tcPr>
            <w:gridSpan w:val="4"/>
            <w:tcW w:w="2923" w:type="dxa"/>
          </w:tcPr>
          <w:p>
            <w:pPr>
              <w:pStyle w:val="0"/>
            </w:pPr>
            <w:r>
              <w:rPr>
                <w:sz w:val="24"/>
              </w:rPr>
              <w:t xml:space="preserve">Депо убытков</w:t>
            </w:r>
          </w:p>
        </w:tc>
        <w:tc>
          <w:tcPr>
            <w:gridSpan w:val="2"/>
            <w:tcW w:w="2608" w:type="dxa"/>
          </w:tcPr>
          <w:p>
            <w:pPr>
              <w:pStyle w:val="0"/>
            </w:pPr>
            <w:r>
              <w:rPr>
                <w:sz w:val="24"/>
              </w:rPr>
            </w:r>
          </w:p>
        </w:tc>
        <w:tc>
          <w:tcPr>
            <w:tcW w:w="2633" w:type="dxa"/>
          </w:tcPr>
          <w:p>
            <w:pPr>
              <w:pStyle w:val="0"/>
            </w:pPr>
            <w:r>
              <w:rPr>
                <w:sz w:val="24"/>
              </w:rPr>
              <w:t xml:space="preserve">ins-dic:SummaDepoUbytkov</w:t>
            </w:r>
          </w:p>
        </w:tc>
      </w:tr>
      <w:tr>
        <w:tc>
          <w:tcPr>
            <w:tcW w:w="907" w:type="dxa"/>
          </w:tcPr>
          <w:p>
            <w:pPr>
              <w:pStyle w:val="0"/>
            </w:pPr>
            <w:r>
              <w:rPr>
                <w:sz w:val="24"/>
              </w:rPr>
              <w:t xml:space="preserve">133.1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652" w:name="P30652"/>
          <w:bookmarkEnd w:id="30652"/>
          <w:p>
            <w:pPr>
              <w:pStyle w:val="0"/>
            </w:pPr>
            <w:r>
              <w:rPr>
                <w:sz w:val="24"/>
              </w:rPr>
              <w:t xml:space="preserve">134</w:t>
            </w:r>
          </w:p>
        </w:tc>
        <w:tc>
          <w:tcPr>
            <w:gridSpan w:val="4"/>
            <w:tcW w:w="2923" w:type="dxa"/>
          </w:tcPr>
          <w:p>
            <w:pPr>
              <w:pStyle w:val="0"/>
            </w:pPr>
            <w:r>
              <w:rPr>
                <w:sz w:val="24"/>
              </w:rPr>
              <w:t xml:space="preserve">Количество кварталов для расчета вспомогательной величины ДПУ</w:t>
            </w:r>
            <w:r>
              <w:rPr>
                <w:sz w:val="24"/>
                <w:vertAlign w:val="superscript"/>
              </w:rPr>
              <w:t xml:space="preserve">Ф</w:t>
            </w:r>
            <w:r>
              <w:rPr>
                <w:sz w:val="24"/>
              </w:rPr>
              <w:t xml:space="preserve"> (величина N)</w:t>
            </w:r>
          </w:p>
        </w:tc>
        <w:tc>
          <w:tcPr>
            <w:gridSpan w:val="2"/>
            <w:tcW w:w="2608" w:type="dxa"/>
          </w:tcPr>
          <w:p>
            <w:pPr>
              <w:pStyle w:val="0"/>
            </w:pPr>
            <w:r>
              <w:rPr>
                <w:sz w:val="24"/>
              </w:rPr>
            </w:r>
          </w:p>
        </w:tc>
        <w:tc>
          <w:tcPr>
            <w:tcW w:w="2633" w:type="dxa"/>
          </w:tcPr>
          <w:p>
            <w:pPr>
              <w:pStyle w:val="0"/>
            </w:pPr>
            <w:r>
              <w:rPr>
                <w:sz w:val="24"/>
              </w:rPr>
              <w:t xml:space="preserve">ins-dic:KolichestvoKvartalovDlyaRaschetaVelichinyDPUFVelichinaN</w:t>
            </w:r>
          </w:p>
        </w:tc>
      </w:tr>
      <w:tr>
        <w:tc>
          <w:tcPr>
            <w:tcW w:w="907" w:type="dxa"/>
          </w:tcPr>
          <w:p>
            <w:pPr>
              <w:pStyle w:val="0"/>
            </w:pPr>
            <w:r>
              <w:rPr>
                <w:sz w:val="24"/>
              </w:rPr>
              <w:t xml:space="preserve">134.1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664" w:name="P30664"/>
          <w:bookmarkEnd w:id="30664"/>
          <w:p>
            <w:pPr>
              <w:pStyle w:val="0"/>
            </w:pPr>
            <w:r>
              <w:rPr>
                <w:sz w:val="24"/>
              </w:rPr>
              <w:t xml:space="preserve">135</w:t>
            </w:r>
          </w:p>
        </w:tc>
        <w:tc>
          <w:tcPr>
            <w:gridSpan w:val="4"/>
            <w:tcW w:w="2923" w:type="dxa"/>
          </w:tcPr>
          <w:p>
            <w:pPr>
              <w:pStyle w:val="0"/>
            </w:pPr>
            <w:r>
              <w:rPr>
                <w:sz w:val="24"/>
              </w:rPr>
              <w:t xml:space="preserve">Количество кварталов для расчета вспомогательной величины ОРС</w:t>
            </w:r>
            <w:r>
              <w:rPr>
                <w:sz w:val="24"/>
                <w:vertAlign w:val="superscript"/>
              </w:rPr>
              <w:t xml:space="preserve">Ф</w:t>
            </w:r>
            <w:r>
              <w:rPr>
                <w:sz w:val="24"/>
              </w:rPr>
              <w:t xml:space="preserve"> (величина M)</w:t>
            </w:r>
          </w:p>
        </w:tc>
        <w:tc>
          <w:tcPr>
            <w:gridSpan w:val="2"/>
            <w:tcW w:w="2608" w:type="dxa"/>
          </w:tcPr>
          <w:p>
            <w:pPr>
              <w:pStyle w:val="0"/>
            </w:pPr>
            <w:r>
              <w:rPr>
                <w:sz w:val="24"/>
              </w:rPr>
            </w:r>
          </w:p>
        </w:tc>
        <w:tc>
          <w:tcPr>
            <w:tcW w:w="2633" w:type="dxa"/>
          </w:tcPr>
          <w:p>
            <w:pPr>
              <w:pStyle w:val="0"/>
            </w:pPr>
            <w:r>
              <w:rPr>
                <w:sz w:val="24"/>
              </w:rPr>
              <w:t xml:space="preserve">ins-dic:KolichestvoKvartalovDlyaRaschetaVelichinyORSFVelichinaM</w:t>
            </w:r>
          </w:p>
        </w:tc>
      </w:tr>
      <w:tr>
        <w:tc>
          <w:tcPr>
            <w:tcW w:w="907" w:type="dxa"/>
          </w:tcPr>
          <w:p>
            <w:pPr>
              <w:pStyle w:val="0"/>
            </w:pPr>
            <w:r>
              <w:rPr>
                <w:sz w:val="24"/>
              </w:rPr>
              <w:t xml:space="preserve">135.1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136</w:t>
            </w:r>
          </w:p>
        </w:tc>
        <w:tc>
          <w:tcPr>
            <w:gridSpan w:val="4"/>
            <w:tcW w:w="2923" w:type="dxa"/>
          </w:tcPr>
          <w:p>
            <w:pPr>
              <w:pStyle w:val="0"/>
            </w:pPr>
            <w:r>
              <w:rPr>
                <w:sz w:val="24"/>
              </w:rPr>
              <w:t xml:space="preserve">Не разнесенные по убыткам списания по инкассо по договорам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ins-dic:SummyNeraznesennyxInkasso</w:t>
            </w:r>
          </w:p>
        </w:tc>
      </w:tr>
      <w:tr>
        <w:tc>
          <w:tcPr>
            <w:tcW w:w="907" w:type="dxa"/>
          </w:tcPr>
          <w:p>
            <w:pPr>
              <w:pStyle w:val="0"/>
            </w:pPr>
            <w:r>
              <w:rPr>
                <w:sz w:val="24"/>
              </w:rPr>
              <w:t xml:space="preserve">136.1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688" w:name="P30688"/>
          <w:bookmarkEnd w:id="30688"/>
          <w:p>
            <w:pPr>
              <w:pStyle w:val="0"/>
            </w:pPr>
            <w:r>
              <w:rPr>
                <w:sz w:val="24"/>
              </w:rPr>
              <w:t xml:space="preserve">137</w:t>
            </w:r>
          </w:p>
        </w:tc>
        <w:tc>
          <w:tcPr>
            <w:gridSpan w:val="4"/>
            <w:tcW w:w="2923" w:type="dxa"/>
          </w:tcPr>
          <w:p>
            <w:pPr>
              <w:pStyle w:val="0"/>
            </w:pPr>
            <w:r>
              <w:rPr>
                <w:sz w:val="24"/>
              </w:rPr>
              <w:t xml:space="preserve">Денежные потоки по страховым премиям по заключенным до отчетной даты включительно договорам страхования, сострахования и входящего перестрахования, о которых на отчетную дату страховщик не имеет достоверных данных в связи с более поздним получением первичных учетных документов</w:t>
            </w:r>
          </w:p>
        </w:tc>
        <w:tc>
          <w:tcPr>
            <w:gridSpan w:val="2"/>
            <w:tcW w:w="2608" w:type="dxa"/>
          </w:tcPr>
          <w:p>
            <w:pPr>
              <w:pStyle w:val="0"/>
            </w:pPr>
            <w:r>
              <w:rPr>
                <w:sz w:val="24"/>
              </w:rPr>
            </w:r>
          </w:p>
        </w:tc>
        <w:tc>
          <w:tcPr>
            <w:tcW w:w="2633" w:type="dxa"/>
          </w:tcPr>
          <w:p>
            <w:pPr>
              <w:pStyle w:val="0"/>
            </w:pPr>
            <w:r>
              <w:rPr>
                <w:sz w:val="24"/>
              </w:rPr>
              <w:t xml:space="preserve">ins-dic:DenPotPoStrPrPoZaklDoOtchDatVklDogStrSostIVxPrstNetDan</w:t>
            </w:r>
          </w:p>
        </w:tc>
      </w:tr>
      <w:tr>
        <w:tc>
          <w:tcPr>
            <w:tcW w:w="907" w:type="dxa"/>
          </w:tcPr>
          <w:p>
            <w:pPr>
              <w:pStyle w:val="0"/>
            </w:pPr>
            <w:r>
              <w:rPr>
                <w:sz w:val="24"/>
              </w:rPr>
              <w:t xml:space="preserve">137.1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700" w:name="P30700"/>
          <w:bookmarkEnd w:id="30700"/>
          <w:p>
            <w:pPr>
              <w:pStyle w:val="0"/>
            </w:pPr>
            <w:r>
              <w:rPr>
                <w:sz w:val="24"/>
              </w:rPr>
              <w:t xml:space="preserve">138</w:t>
            </w:r>
          </w:p>
        </w:tc>
        <w:tc>
          <w:tcPr>
            <w:gridSpan w:val="4"/>
            <w:tcW w:w="2923" w:type="dxa"/>
          </w:tcPr>
          <w:p>
            <w:pPr>
              <w:pStyle w:val="0"/>
            </w:pPr>
            <w:r>
              <w:rPr>
                <w:sz w:val="24"/>
              </w:rPr>
              <w:t xml:space="preserve">Оценочная величина денежных потоков по аквизиционным расходам, соответствующих денежным потокам по заключенным до отчетной даты включительно договорам страхования, сострахования и входящего перестрахования, о которых на отчетную дату страховщик не имеет достоверных данных в связи с более поздним получением первичных учетных документов</w:t>
            </w:r>
          </w:p>
        </w:tc>
        <w:tc>
          <w:tcPr>
            <w:gridSpan w:val="2"/>
            <w:tcW w:w="2608" w:type="dxa"/>
          </w:tcPr>
          <w:p>
            <w:pPr>
              <w:pStyle w:val="0"/>
            </w:pPr>
            <w:r>
              <w:rPr>
                <w:sz w:val="24"/>
              </w:rPr>
            </w:r>
          </w:p>
        </w:tc>
        <w:tc>
          <w:tcPr>
            <w:tcW w:w="2633" w:type="dxa"/>
          </w:tcPr>
          <w:p>
            <w:pPr>
              <w:pStyle w:val="0"/>
            </w:pPr>
            <w:r>
              <w:rPr>
                <w:sz w:val="24"/>
              </w:rPr>
              <w:t xml:space="preserve">ins-dic:OczenVelDPPoAkvizRasxSootvDPPoZaklDoRaschDatyDogStraxNetDostDan</w:t>
            </w:r>
          </w:p>
        </w:tc>
      </w:tr>
      <w:tr>
        <w:tc>
          <w:tcPr>
            <w:tcW w:w="907" w:type="dxa"/>
          </w:tcPr>
          <w:p>
            <w:pPr>
              <w:pStyle w:val="0"/>
            </w:pPr>
            <w:r>
              <w:rPr>
                <w:sz w:val="24"/>
              </w:rPr>
              <w:t xml:space="preserve">138.1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712" w:name="P30712"/>
          <w:bookmarkEnd w:id="30712"/>
          <w:p>
            <w:pPr>
              <w:pStyle w:val="0"/>
            </w:pPr>
            <w:r>
              <w:rPr>
                <w:sz w:val="24"/>
              </w:rPr>
              <w:t xml:space="preserve">139</w:t>
            </w:r>
          </w:p>
        </w:tc>
        <w:tc>
          <w:tcPr>
            <w:gridSpan w:val="4"/>
            <w:tcW w:w="2923" w:type="dxa"/>
          </w:tcPr>
          <w:p>
            <w:pPr>
              <w:pStyle w:val="0"/>
            </w:pPr>
            <w:r>
              <w:rPr>
                <w:sz w:val="24"/>
              </w:rPr>
              <w:t xml:space="preserve">Прочие денежные потоки по заключенным до отчетной даты включительно договорам страхования, сострахования и входящего перестрахования, о которых на отчетную дату страховщик не имеет достоверных данных в связи с более поздним получением первичных учетных документов</w:t>
            </w:r>
          </w:p>
        </w:tc>
        <w:tc>
          <w:tcPr>
            <w:gridSpan w:val="2"/>
            <w:tcW w:w="2608" w:type="dxa"/>
          </w:tcPr>
          <w:p>
            <w:pPr>
              <w:pStyle w:val="0"/>
            </w:pPr>
            <w:r>
              <w:rPr>
                <w:sz w:val="24"/>
              </w:rPr>
            </w:r>
          </w:p>
        </w:tc>
        <w:tc>
          <w:tcPr>
            <w:tcW w:w="2633" w:type="dxa"/>
          </w:tcPr>
          <w:p>
            <w:pPr>
              <w:pStyle w:val="0"/>
            </w:pPr>
            <w:r>
              <w:rPr>
                <w:sz w:val="24"/>
              </w:rPr>
              <w:t xml:space="preserve">ins-dic:PrDPPoZaklDoOtchDVklDogNaOtchDNetDostDanPozdPolPervUchDok</w:t>
            </w:r>
          </w:p>
        </w:tc>
      </w:tr>
      <w:tr>
        <w:tc>
          <w:tcPr>
            <w:tcW w:w="907" w:type="dxa"/>
          </w:tcPr>
          <w:p>
            <w:pPr>
              <w:pStyle w:val="0"/>
            </w:pPr>
            <w:r>
              <w:rPr>
                <w:sz w:val="24"/>
              </w:rPr>
              <w:t xml:space="preserve">139.1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139.2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724" w:name="P30724"/>
          <w:bookmarkEnd w:id="30724"/>
          <w:p>
            <w:pPr>
              <w:pStyle w:val="0"/>
            </w:pPr>
            <w:r>
              <w:rPr>
                <w:sz w:val="24"/>
              </w:rPr>
              <w:t xml:space="preserve">140</w:t>
            </w:r>
          </w:p>
        </w:tc>
        <w:tc>
          <w:tcPr>
            <w:gridSpan w:val="4"/>
            <w:tcW w:w="2923" w:type="dxa"/>
          </w:tcPr>
          <w:p>
            <w:pPr>
              <w:pStyle w:val="0"/>
            </w:pPr>
            <w:r>
              <w:rPr>
                <w:sz w:val="24"/>
              </w:rPr>
              <w:t xml:space="preserve">Основная валюта</w:t>
            </w:r>
          </w:p>
        </w:tc>
        <w:tc>
          <w:tcPr>
            <w:gridSpan w:val="2"/>
            <w:tcW w:w="2608" w:type="dxa"/>
          </w:tcPr>
          <w:p>
            <w:pPr>
              <w:pStyle w:val="0"/>
            </w:pPr>
            <w:r>
              <w:rPr>
                <w:sz w:val="24"/>
              </w:rPr>
            </w:r>
          </w:p>
        </w:tc>
        <w:tc>
          <w:tcPr>
            <w:tcW w:w="2633" w:type="dxa"/>
          </w:tcPr>
          <w:p>
            <w:pPr>
              <w:pStyle w:val="0"/>
            </w:pPr>
            <w:r>
              <w:rPr>
                <w:sz w:val="24"/>
              </w:rPr>
              <w:t xml:space="preserve">nfo-dic:Kod_valEnumerator</w:t>
            </w:r>
          </w:p>
        </w:tc>
      </w:tr>
      <w:tr>
        <w:tc>
          <w:tcPr>
            <w:tcW w:w="907" w:type="dxa"/>
          </w:tcPr>
          <w:p>
            <w:pPr>
              <w:pStyle w:val="0"/>
            </w:pPr>
            <w:r>
              <w:rPr>
                <w:sz w:val="24"/>
              </w:rPr>
              <w:t xml:space="preserve">140.1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blPrEx>
          <w:tblBorders>
            <w:insideV w:val="nil"/>
          </w:tblBorders>
        </w:tblPrEx>
        <w:tc>
          <w:tcPr>
            <w:gridSpan w:val="3"/>
            <w:tcW w:w="1814" w:type="dxa"/>
            <w:tcBorders>
              <w:left w:val="single" w:sz="4"/>
            </w:tcBorders>
          </w:tcPr>
          <w:bookmarkStart w:id="30736" w:name="P30736"/>
          <w:bookmarkEnd w:id="30736"/>
          <w:p>
            <w:pPr>
              <w:pStyle w:val="0"/>
              <w:outlineLvl w:val="4"/>
            </w:pPr>
            <w:r>
              <w:rPr>
                <w:sz w:val="24"/>
              </w:rPr>
              <w:t xml:space="preserve">Подраздел 2.23.</w:t>
            </w:r>
          </w:p>
        </w:tc>
        <w:tc>
          <w:tcPr>
            <w:gridSpan w:val="5"/>
            <w:tcW w:w="7257" w:type="dxa"/>
            <w:tcBorders>
              <w:right w:val="single" w:sz="4"/>
            </w:tcBorders>
          </w:tcPr>
          <w:p>
            <w:pPr>
              <w:pStyle w:val="0"/>
            </w:pPr>
            <w:r>
              <w:rPr>
                <w:sz w:val="24"/>
              </w:rPr>
              <w:t xml:space="preserve">Прогноз денежных потоков при расчете вспомогательной величины РМ по учетной группе (дополнительной учетной группе)</w:t>
            </w:r>
          </w:p>
        </w:tc>
      </w:tr>
      <w:tr>
        <w:tc>
          <w:tcPr>
            <w:tcW w:w="907" w:type="dxa"/>
          </w:tcPr>
          <w:bookmarkStart w:id="30738" w:name="P30738"/>
          <w:bookmarkEnd w:id="30738"/>
          <w:p>
            <w:pPr>
              <w:pStyle w:val="0"/>
            </w:pPr>
            <w:r>
              <w:rPr>
                <w:sz w:val="24"/>
              </w:rPr>
              <w:t xml:space="preserve">141</w:t>
            </w:r>
          </w:p>
        </w:tc>
        <w:tc>
          <w:tcPr>
            <w:gridSpan w:val="4"/>
            <w:tcW w:w="2923" w:type="dxa"/>
          </w:tcPr>
          <w:p>
            <w:pPr>
              <w:pStyle w:val="0"/>
            </w:pPr>
            <w:r>
              <w:rPr>
                <w:sz w:val="24"/>
              </w:rPr>
              <w:t xml:space="preserve">Вспомогательная величина СУ</w:t>
            </w:r>
          </w:p>
        </w:tc>
        <w:tc>
          <w:tcPr>
            <w:gridSpan w:val="2"/>
            <w:tcW w:w="2608" w:type="dxa"/>
          </w:tcPr>
          <w:p>
            <w:pPr>
              <w:pStyle w:val="0"/>
            </w:pPr>
            <w:r>
              <w:rPr>
                <w:sz w:val="24"/>
              </w:rPr>
            </w:r>
          </w:p>
        </w:tc>
        <w:tc>
          <w:tcPr>
            <w:tcW w:w="2633" w:type="dxa"/>
          </w:tcPr>
          <w:p>
            <w:pPr>
              <w:pStyle w:val="0"/>
            </w:pPr>
            <w:r>
              <w:rPr>
                <w:sz w:val="24"/>
              </w:rPr>
              <w:t xml:space="preserve">ins-dic:VelichinaSU</w:t>
            </w:r>
          </w:p>
        </w:tc>
      </w:tr>
      <w:tr>
        <w:tc>
          <w:tcPr>
            <w:tcW w:w="907" w:type="dxa"/>
          </w:tcPr>
          <w:p>
            <w:pPr>
              <w:pStyle w:val="0"/>
            </w:pPr>
            <w:r>
              <w:rPr>
                <w:sz w:val="24"/>
              </w:rPr>
              <w:t xml:space="preserve">141.1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141.3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blPrEx>
          <w:tblBorders>
            <w:insideV w:val="nil"/>
          </w:tblBorders>
        </w:tblPrEx>
        <w:tc>
          <w:tcPr>
            <w:gridSpan w:val="3"/>
            <w:tcW w:w="1814" w:type="dxa"/>
            <w:tcBorders>
              <w:left w:val="single" w:sz="4"/>
            </w:tcBorders>
          </w:tcPr>
          <w:bookmarkStart w:id="30754" w:name="P30754"/>
          <w:bookmarkEnd w:id="30754"/>
          <w:p>
            <w:pPr>
              <w:pStyle w:val="0"/>
              <w:outlineLvl w:val="4"/>
            </w:pPr>
            <w:r>
              <w:rPr>
                <w:sz w:val="24"/>
              </w:rPr>
              <w:t xml:space="preserve">Подраздел 2.24.</w:t>
            </w:r>
          </w:p>
        </w:tc>
        <w:tc>
          <w:tcPr>
            <w:gridSpan w:val="5"/>
            <w:tcW w:w="7257" w:type="dxa"/>
            <w:tcBorders>
              <w:right w:val="single" w:sz="4"/>
            </w:tcBorders>
          </w:tcPr>
          <w:p>
            <w:pPr>
              <w:pStyle w:val="0"/>
            </w:pPr>
            <w:r>
              <w:rPr>
                <w:sz w:val="24"/>
              </w:rPr>
              <w:t xml:space="preserve">Количество договоров страхования, сострахования и входящего перестрахования, досрочно прекративших свое действие, с разбивкой по кварталам прекращения их действия и признания (нарастающим итогом) по учетной группе (дополнительной учетной группе)</w:t>
            </w:r>
          </w:p>
        </w:tc>
      </w:tr>
      <w:tr>
        <w:tc>
          <w:tcPr>
            <w:tcW w:w="907" w:type="dxa"/>
          </w:tcPr>
          <w:bookmarkStart w:id="30756" w:name="P30756"/>
          <w:bookmarkEnd w:id="30756"/>
          <w:p>
            <w:pPr>
              <w:pStyle w:val="0"/>
            </w:pPr>
            <w:r>
              <w:rPr>
                <w:sz w:val="24"/>
              </w:rPr>
              <w:t xml:space="preserve">142</w:t>
            </w:r>
          </w:p>
        </w:tc>
        <w:tc>
          <w:tcPr>
            <w:gridSpan w:val="4"/>
            <w:tcW w:w="2923" w:type="dxa"/>
          </w:tcPr>
          <w:p>
            <w:pPr>
              <w:pStyle w:val="0"/>
            </w:pPr>
            <w:r>
              <w:rPr>
                <w:sz w:val="24"/>
              </w:rPr>
              <w:t xml:space="preserve">Количество договоров страхования, сострахования и входящего перестрахования, досрочно прекративших свое действие</w:t>
            </w:r>
          </w:p>
        </w:tc>
        <w:tc>
          <w:tcPr>
            <w:gridSpan w:val="2"/>
            <w:tcW w:w="2608" w:type="dxa"/>
          </w:tcPr>
          <w:p>
            <w:pPr>
              <w:pStyle w:val="0"/>
            </w:pPr>
            <w:r>
              <w:rPr>
                <w:sz w:val="24"/>
              </w:rPr>
            </w:r>
          </w:p>
        </w:tc>
        <w:tc>
          <w:tcPr>
            <w:tcW w:w="2633" w:type="dxa"/>
          </w:tcPr>
          <w:p>
            <w:pPr>
              <w:pStyle w:val="0"/>
            </w:pPr>
            <w:r>
              <w:rPr>
                <w:sz w:val="24"/>
              </w:rPr>
              <w:t xml:space="preserve">ins-dic:KolichDogDosrPrekratSvoeDejstviePoKvartPrekrashhDejstvIPrizn</w:t>
            </w:r>
          </w:p>
        </w:tc>
      </w:tr>
      <w:tr>
        <w:tc>
          <w:tcPr>
            <w:tcW w:w="907" w:type="dxa"/>
          </w:tcPr>
          <w:p>
            <w:pPr>
              <w:pStyle w:val="0"/>
            </w:pPr>
            <w:r>
              <w:rPr>
                <w:sz w:val="24"/>
              </w:rPr>
              <w:t xml:space="preserve">142.1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142.3</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признания договора</w:t>
            </w:r>
          </w:p>
        </w:tc>
        <w:tc>
          <w:tcPr>
            <w:tcW w:w="2633" w:type="dxa"/>
          </w:tcPr>
          <w:p>
            <w:pPr>
              <w:pStyle w:val="0"/>
            </w:pPr>
            <w:r>
              <w:rPr>
                <w:sz w:val="24"/>
              </w:rPr>
              <w:t xml:space="preserve">dim-int:PeriodKvartalIGodPriznaniyaDogStraxTaxis</w:t>
            </w:r>
          </w:p>
        </w:tc>
      </w:tr>
      <w:tr>
        <w:tblPrEx>
          <w:tblBorders>
            <w:insideV w:val="nil"/>
          </w:tblBorders>
        </w:tblPrEx>
        <w:tc>
          <w:tcPr>
            <w:gridSpan w:val="3"/>
            <w:tcW w:w="1814" w:type="dxa"/>
            <w:tcBorders>
              <w:left w:val="single" w:sz="4"/>
            </w:tcBorders>
          </w:tcPr>
          <w:bookmarkStart w:id="30772" w:name="P30772"/>
          <w:bookmarkEnd w:id="30772"/>
          <w:p>
            <w:pPr>
              <w:pStyle w:val="0"/>
              <w:outlineLvl w:val="4"/>
            </w:pPr>
            <w:r>
              <w:rPr>
                <w:sz w:val="24"/>
              </w:rPr>
              <w:t xml:space="preserve">Подраздел 2.25.</w:t>
            </w:r>
          </w:p>
        </w:tc>
        <w:tc>
          <w:tcPr>
            <w:gridSpan w:val="5"/>
            <w:tcW w:w="7257" w:type="dxa"/>
            <w:tcBorders>
              <w:right w:val="single" w:sz="4"/>
            </w:tcBorders>
          </w:tcPr>
          <w:p>
            <w:pPr>
              <w:pStyle w:val="0"/>
            </w:pPr>
            <w:r>
              <w:rPr>
                <w:sz w:val="24"/>
              </w:rPr>
              <w:t xml:space="preserve">Премия, комиссия, выплаты по расторжениям, выплаты по страховым случаям, прочие расходы и доходы по учетной группе (дополнительной учетной группе)</w:t>
            </w:r>
          </w:p>
        </w:tc>
      </w:tr>
      <w:tr>
        <w:tc>
          <w:tcPr>
            <w:tcW w:w="907" w:type="dxa"/>
          </w:tcPr>
          <w:bookmarkStart w:id="30774" w:name="P30774"/>
          <w:bookmarkEnd w:id="30774"/>
          <w:p>
            <w:pPr>
              <w:pStyle w:val="0"/>
            </w:pPr>
            <w:r>
              <w:rPr>
                <w:sz w:val="24"/>
              </w:rPr>
              <w:t xml:space="preserve">143</w:t>
            </w:r>
          </w:p>
        </w:tc>
        <w:tc>
          <w:tcPr>
            <w:gridSpan w:val="4"/>
            <w:tcW w:w="2923" w:type="dxa"/>
          </w:tcPr>
          <w:p>
            <w:pPr>
              <w:pStyle w:val="0"/>
            </w:pPr>
            <w:r>
              <w:rPr>
                <w:sz w:val="24"/>
              </w:rPr>
              <w:t xml:space="preserve">Сумма страховой премии, предусмотренной договором страхования за предоставление страхового покрытия до верхней границы соответствующего договора, по договорам страхования, сострахования и входящего перестрахования, признанным в течение отчетного периода (за вычетом возвратов части страховых премий)</w:t>
            </w:r>
          </w:p>
        </w:tc>
        <w:tc>
          <w:tcPr>
            <w:gridSpan w:val="2"/>
            <w:tcW w:w="2608" w:type="dxa"/>
          </w:tcPr>
          <w:p>
            <w:pPr>
              <w:pStyle w:val="0"/>
            </w:pPr>
            <w:r>
              <w:rPr>
                <w:sz w:val="24"/>
              </w:rPr>
            </w:r>
          </w:p>
        </w:tc>
        <w:tc>
          <w:tcPr>
            <w:tcW w:w="2633" w:type="dxa"/>
          </w:tcPr>
          <w:p>
            <w:pPr>
              <w:pStyle w:val="0"/>
            </w:pPr>
            <w:r>
              <w:rPr>
                <w:sz w:val="24"/>
              </w:rPr>
              <w:t xml:space="preserve">ins-dic:SumStPrDogPredStPokrDoVerxGrDogStrVxPrstrPrizVTechUkPer</w:t>
            </w:r>
          </w:p>
        </w:tc>
      </w:tr>
      <w:tr>
        <w:tc>
          <w:tcPr>
            <w:tcW w:w="907" w:type="dxa"/>
          </w:tcPr>
          <w:p>
            <w:pPr>
              <w:pStyle w:val="0"/>
            </w:pPr>
            <w:r>
              <w:rPr>
                <w:sz w:val="24"/>
              </w:rPr>
              <w:t xml:space="preserve">143.1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786" w:name="P30786"/>
          <w:bookmarkEnd w:id="30786"/>
          <w:p>
            <w:pPr>
              <w:pStyle w:val="0"/>
            </w:pPr>
            <w:r>
              <w:rPr>
                <w:sz w:val="24"/>
              </w:rPr>
              <w:t xml:space="preserve">144</w:t>
            </w:r>
          </w:p>
        </w:tc>
        <w:tc>
          <w:tcPr>
            <w:gridSpan w:val="4"/>
            <w:tcW w:w="2923" w:type="dxa"/>
          </w:tcPr>
          <w:p>
            <w:pPr>
              <w:pStyle w:val="0"/>
            </w:pPr>
            <w:r>
              <w:rPr>
                <w:sz w:val="24"/>
              </w:rPr>
              <w:t xml:space="preserve">Сумма страховой премии за перестрахование договоров страхования, сострахования и входящего перестрахования, признанных в течение отчетного периода</w:t>
            </w:r>
          </w:p>
        </w:tc>
        <w:tc>
          <w:tcPr>
            <w:gridSpan w:val="2"/>
            <w:tcW w:w="2608" w:type="dxa"/>
          </w:tcPr>
          <w:p>
            <w:pPr>
              <w:pStyle w:val="0"/>
            </w:pPr>
            <w:r>
              <w:rPr>
                <w:sz w:val="24"/>
              </w:rPr>
            </w:r>
          </w:p>
        </w:tc>
        <w:tc>
          <w:tcPr>
            <w:tcW w:w="2633" w:type="dxa"/>
          </w:tcPr>
          <w:p>
            <w:pPr>
              <w:pStyle w:val="0"/>
            </w:pPr>
            <w:r>
              <w:rPr>
                <w:sz w:val="24"/>
              </w:rPr>
              <w:t xml:space="preserve">ins-dic:SumStraxPremZaPerOsnoDogStraxIVxodPerxPrizVTechUkPer</w:t>
            </w:r>
          </w:p>
        </w:tc>
      </w:tr>
      <w:tr>
        <w:tc>
          <w:tcPr>
            <w:tcW w:w="907" w:type="dxa"/>
          </w:tcPr>
          <w:p>
            <w:pPr>
              <w:pStyle w:val="0"/>
            </w:pPr>
            <w:r>
              <w:rPr>
                <w:sz w:val="24"/>
              </w:rPr>
              <w:t xml:space="preserve">144.1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145</w:t>
            </w:r>
          </w:p>
        </w:tc>
        <w:tc>
          <w:tcPr>
            <w:gridSpan w:val="4"/>
            <w:tcW w:w="2923" w:type="dxa"/>
          </w:tcPr>
          <w:p>
            <w:pPr>
              <w:pStyle w:val="0"/>
            </w:pPr>
            <w:r>
              <w:rPr>
                <w:sz w:val="24"/>
              </w:rPr>
              <w:t xml:space="preserve">Сумма прямых расходов на заключение договоров страхования, сострахования и входящего перестрахования, соответствующих страховым премиям, предусмотренным договорами страхования за предоставление страхового покрытия до верхней границы соответствующих договоров, по договорам страхования, сострахования и входящего перестрахования, признанным в течение отчетного периода</w:t>
            </w:r>
          </w:p>
        </w:tc>
        <w:tc>
          <w:tcPr>
            <w:gridSpan w:val="2"/>
            <w:tcW w:w="2608" w:type="dxa"/>
          </w:tcPr>
          <w:p>
            <w:pPr>
              <w:pStyle w:val="0"/>
            </w:pPr>
            <w:r>
              <w:rPr>
                <w:sz w:val="24"/>
              </w:rPr>
            </w:r>
          </w:p>
        </w:tc>
        <w:tc>
          <w:tcPr>
            <w:tcW w:w="2633" w:type="dxa"/>
          </w:tcPr>
          <w:p>
            <w:pPr>
              <w:pStyle w:val="0"/>
            </w:pPr>
            <w:r>
              <w:rPr>
                <w:sz w:val="24"/>
              </w:rPr>
              <w:t xml:space="preserve">ins-dic:SumPrRasxNaZaklDogSootPremPoDogZaPredStrPokrDoVerxGranPrizVTechUkPer</w:t>
            </w:r>
          </w:p>
        </w:tc>
      </w:tr>
      <w:tr>
        <w:tc>
          <w:tcPr>
            <w:tcW w:w="907" w:type="dxa"/>
          </w:tcPr>
          <w:p>
            <w:pPr>
              <w:pStyle w:val="0"/>
            </w:pPr>
            <w:r>
              <w:rPr>
                <w:sz w:val="24"/>
              </w:rPr>
              <w:t xml:space="preserve">145.1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146</w:t>
            </w:r>
          </w:p>
        </w:tc>
        <w:tc>
          <w:tcPr>
            <w:gridSpan w:val="4"/>
            <w:tcW w:w="2923" w:type="dxa"/>
          </w:tcPr>
          <w:p>
            <w:pPr>
              <w:pStyle w:val="0"/>
            </w:pPr>
            <w:r>
              <w:rPr>
                <w:sz w:val="24"/>
              </w:rPr>
              <w:t xml:space="preserve">Сумма перестраховочного вознаграждения по договорам исходящего перестрахования, соответствующего страховым премиям за перестрахование договоров страхования, сострахования и входящего перестрахования, признанных в течение отчетного периода</w:t>
            </w:r>
          </w:p>
        </w:tc>
        <w:tc>
          <w:tcPr>
            <w:gridSpan w:val="2"/>
            <w:tcW w:w="2608" w:type="dxa"/>
          </w:tcPr>
          <w:p>
            <w:pPr>
              <w:pStyle w:val="0"/>
            </w:pPr>
            <w:r>
              <w:rPr>
                <w:sz w:val="24"/>
              </w:rPr>
            </w:r>
          </w:p>
        </w:tc>
        <w:tc>
          <w:tcPr>
            <w:tcW w:w="2633" w:type="dxa"/>
          </w:tcPr>
          <w:p>
            <w:pPr>
              <w:pStyle w:val="0"/>
            </w:pPr>
            <w:r>
              <w:rPr>
                <w:sz w:val="24"/>
              </w:rPr>
              <w:t xml:space="preserve">ins-dic:SumPerVozPoDogIsPerSootPrePerOsnDogStrVPerPrizVTechUkPer</w:t>
            </w:r>
          </w:p>
        </w:tc>
      </w:tr>
      <w:tr>
        <w:tc>
          <w:tcPr>
            <w:tcW w:w="907" w:type="dxa"/>
          </w:tcPr>
          <w:p>
            <w:pPr>
              <w:pStyle w:val="0"/>
            </w:pPr>
            <w:r>
              <w:rPr>
                <w:sz w:val="24"/>
              </w:rPr>
              <w:t xml:space="preserve">146.1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147</w:t>
            </w:r>
          </w:p>
        </w:tc>
        <w:tc>
          <w:tcPr>
            <w:gridSpan w:val="4"/>
            <w:tcW w:w="2923" w:type="dxa"/>
          </w:tcPr>
          <w:p>
            <w:pPr>
              <w:pStyle w:val="0"/>
            </w:pPr>
            <w:r>
              <w:rPr>
                <w:sz w:val="24"/>
              </w:rPr>
              <w:t xml:space="preserve">Сумма произведенных выплат в связи с досрочным прекращением договоров страхования, сострахования и входящего перестрахования (кроме выкупных сумм, негарантированных и дополнительных выплат)</w:t>
            </w:r>
          </w:p>
        </w:tc>
        <w:tc>
          <w:tcPr>
            <w:gridSpan w:val="2"/>
            <w:tcW w:w="2608" w:type="dxa"/>
          </w:tcPr>
          <w:p>
            <w:pPr>
              <w:pStyle w:val="0"/>
            </w:pPr>
            <w:r>
              <w:rPr>
                <w:sz w:val="24"/>
              </w:rPr>
            </w:r>
          </w:p>
        </w:tc>
        <w:tc>
          <w:tcPr>
            <w:tcW w:w="2633" w:type="dxa"/>
          </w:tcPr>
          <w:p>
            <w:pPr>
              <w:pStyle w:val="0"/>
            </w:pPr>
            <w:r>
              <w:rPr>
                <w:sz w:val="24"/>
              </w:rPr>
              <w:t xml:space="preserve">ins-dic:SumPrVypSDosrPrekDogStrSosIVxPrstKrVykSumNegarIDopVypl</w:t>
            </w:r>
          </w:p>
        </w:tc>
      </w:tr>
      <w:tr>
        <w:tc>
          <w:tcPr>
            <w:tcW w:w="907" w:type="dxa"/>
          </w:tcPr>
          <w:p>
            <w:pPr>
              <w:pStyle w:val="0"/>
            </w:pPr>
            <w:r>
              <w:rPr>
                <w:sz w:val="24"/>
              </w:rPr>
              <w:t xml:space="preserve">147.1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148</w:t>
            </w:r>
          </w:p>
        </w:tc>
        <w:tc>
          <w:tcPr>
            <w:gridSpan w:val="4"/>
            <w:tcW w:w="2923" w:type="dxa"/>
          </w:tcPr>
          <w:p>
            <w:pPr>
              <w:pStyle w:val="0"/>
            </w:pPr>
            <w:r>
              <w:rPr>
                <w:sz w:val="24"/>
              </w:rPr>
              <w:t xml:space="preserve">Сумма выкупных сумм в связи с досрочным прекращением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ins-dic:SumVykupSumDosrPrekrDogStraxSostrVxodPerestr</w:t>
            </w:r>
          </w:p>
        </w:tc>
      </w:tr>
      <w:tr>
        <w:tc>
          <w:tcPr>
            <w:tcW w:w="907" w:type="dxa"/>
          </w:tcPr>
          <w:p>
            <w:pPr>
              <w:pStyle w:val="0"/>
            </w:pPr>
            <w:r>
              <w:rPr>
                <w:sz w:val="24"/>
              </w:rPr>
              <w:t xml:space="preserve">148.1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149</w:t>
            </w:r>
          </w:p>
        </w:tc>
        <w:tc>
          <w:tcPr>
            <w:gridSpan w:val="4"/>
            <w:tcW w:w="2923" w:type="dxa"/>
          </w:tcPr>
          <w:p>
            <w:pPr>
              <w:pStyle w:val="0"/>
            </w:pPr>
            <w:r>
              <w:rPr>
                <w:sz w:val="24"/>
              </w:rPr>
              <w:t xml:space="preserve">Полученные выплаты в связи с досрочным прекращением договоров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ins-dic:SummaProizvedVyplatVSvyaziSDosrochPrekrashhDogIsxodPerestrax</w:t>
            </w:r>
          </w:p>
        </w:tc>
      </w:tr>
      <w:tr>
        <w:tc>
          <w:tcPr>
            <w:tcW w:w="907" w:type="dxa"/>
          </w:tcPr>
          <w:p>
            <w:pPr>
              <w:pStyle w:val="0"/>
            </w:pPr>
            <w:r>
              <w:rPr>
                <w:sz w:val="24"/>
              </w:rPr>
              <w:t xml:space="preserve">149.1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149.2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858" w:name="P30858"/>
          <w:bookmarkEnd w:id="30858"/>
          <w:p>
            <w:pPr>
              <w:pStyle w:val="0"/>
            </w:pPr>
            <w:r>
              <w:rPr>
                <w:sz w:val="24"/>
              </w:rPr>
              <w:t xml:space="preserve">150</w:t>
            </w:r>
          </w:p>
        </w:tc>
        <w:tc>
          <w:tcPr>
            <w:gridSpan w:val="4"/>
            <w:tcW w:w="2923" w:type="dxa"/>
          </w:tcPr>
          <w:p>
            <w:pPr>
              <w:pStyle w:val="0"/>
            </w:pPr>
            <w:r>
              <w:rPr>
                <w:sz w:val="24"/>
              </w:rPr>
              <w:t xml:space="preserve">Произведенные страховые выплаты по договорам страхования, сострахования и входящего перестрахования, за исключением величины не разнесенных по убыткам списаний по инкассо</w:t>
            </w:r>
          </w:p>
        </w:tc>
        <w:tc>
          <w:tcPr>
            <w:gridSpan w:val="2"/>
            <w:tcW w:w="2608" w:type="dxa"/>
          </w:tcPr>
          <w:p>
            <w:pPr>
              <w:pStyle w:val="0"/>
            </w:pPr>
            <w:r>
              <w:rPr>
                <w:sz w:val="24"/>
              </w:rPr>
            </w:r>
          </w:p>
        </w:tc>
        <w:tc>
          <w:tcPr>
            <w:tcW w:w="2633" w:type="dxa"/>
          </w:tcPr>
          <w:p>
            <w:pPr>
              <w:pStyle w:val="0"/>
            </w:pPr>
            <w:r>
              <w:rPr>
                <w:sz w:val="24"/>
              </w:rPr>
              <w:t xml:space="preserve">ins-dic:SumProizvedenStraxVyplatZaIsklVelNeRaznesPoUbytSpisanijPoInkasso</w:t>
            </w:r>
          </w:p>
        </w:tc>
      </w:tr>
      <w:tr>
        <w:tc>
          <w:tcPr>
            <w:tcW w:w="907" w:type="dxa"/>
          </w:tcPr>
          <w:p>
            <w:pPr>
              <w:pStyle w:val="0"/>
            </w:pPr>
            <w:r>
              <w:rPr>
                <w:sz w:val="24"/>
              </w:rPr>
              <w:t xml:space="preserve">150.1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870" w:name="P30870"/>
          <w:bookmarkEnd w:id="30870"/>
          <w:p>
            <w:pPr>
              <w:pStyle w:val="0"/>
            </w:pPr>
            <w:r>
              <w:rPr>
                <w:sz w:val="24"/>
              </w:rPr>
              <w:t xml:space="preserve">151</w:t>
            </w:r>
          </w:p>
        </w:tc>
        <w:tc>
          <w:tcPr>
            <w:gridSpan w:val="4"/>
            <w:tcW w:w="2923" w:type="dxa"/>
          </w:tcPr>
          <w:p>
            <w:pPr>
              <w:pStyle w:val="0"/>
            </w:pPr>
            <w:r>
              <w:rPr>
                <w:sz w:val="24"/>
              </w:rPr>
              <w:t xml:space="preserve">Произведенные страховые выплаты по соглашению о прямом возмещении убытков, за исключением величины не разнесенных по убыткам списаний по инкассо</w:t>
            </w:r>
          </w:p>
        </w:tc>
        <w:tc>
          <w:tcPr>
            <w:gridSpan w:val="2"/>
            <w:tcW w:w="2608" w:type="dxa"/>
          </w:tcPr>
          <w:p>
            <w:pPr>
              <w:pStyle w:val="0"/>
            </w:pPr>
            <w:r>
              <w:rPr>
                <w:sz w:val="24"/>
              </w:rPr>
            </w:r>
          </w:p>
        </w:tc>
        <w:tc>
          <w:tcPr>
            <w:tcW w:w="2633" w:type="dxa"/>
          </w:tcPr>
          <w:p>
            <w:pPr>
              <w:pStyle w:val="0"/>
            </w:pPr>
            <w:r>
              <w:rPr>
                <w:sz w:val="24"/>
              </w:rPr>
              <w:t xml:space="preserve">ins-dic:SumProizvStraxVyplPoPVUZaIsklVelNeRaznesenPoUbytSpisanPoInkasso</w:t>
            </w:r>
          </w:p>
        </w:tc>
      </w:tr>
      <w:tr>
        <w:tc>
          <w:tcPr>
            <w:tcW w:w="907" w:type="dxa"/>
          </w:tcPr>
          <w:p>
            <w:pPr>
              <w:pStyle w:val="0"/>
            </w:pPr>
            <w:r>
              <w:rPr>
                <w:sz w:val="24"/>
              </w:rPr>
              <w:t xml:space="preserve">151.1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882" w:name="P30882"/>
          <w:bookmarkEnd w:id="30882"/>
          <w:p>
            <w:pPr>
              <w:pStyle w:val="0"/>
            </w:pPr>
            <w:r>
              <w:rPr>
                <w:sz w:val="24"/>
              </w:rPr>
              <w:t xml:space="preserve">152</w:t>
            </w:r>
          </w:p>
        </w:tc>
        <w:tc>
          <w:tcPr>
            <w:gridSpan w:val="4"/>
            <w:tcW w:w="2923" w:type="dxa"/>
          </w:tcPr>
          <w:p>
            <w:pPr>
              <w:pStyle w:val="0"/>
            </w:pPr>
            <w:r>
              <w:rPr>
                <w:sz w:val="24"/>
              </w:rPr>
              <w:t xml:space="preserve">Полученные возмещения доли перестраховщиков в страховых выплатах и права требования страховщика по возмещению указанной доли перестраховщиков</w:t>
            </w:r>
          </w:p>
        </w:tc>
        <w:tc>
          <w:tcPr>
            <w:gridSpan w:val="2"/>
            <w:tcW w:w="2608" w:type="dxa"/>
          </w:tcPr>
          <w:p>
            <w:pPr>
              <w:pStyle w:val="0"/>
            </w:pPr>
            <w:r>
              <w:rPr>
                <w:sz w:val="24"/>
              </w:rPr>
            </w:r>
          </w:p>
        </w:tc>
        <w:tc>
          <w:tcPr>
            <w:tcW w:w="2633" w:type="dxa"/>
          </w:tcPr>
          <w:p>
            <w:pPr>
              <w:pStyle w:val="0"/>
            </w:pPr>
            <w:r>
              <w:rPr>
                <w:sz w:val="24"/>
              </w:rPr>
              <w:t xml:space="preserve">ins-dic:SumPrVozmDPIPravTrebStrPoVozmDPVStrVyplZaIsklNeRaznPoUbSpisInk</w:t>
            </w:r>
          </w:p>
        </w:tc>
      </w:tr>
      <w:tr>
        <w:tc>
          <w:tcPr>
            <w:tcW w:w="907" w:type="dxa"/>
          </w:tcPr>
          <w:p>
            <w:pPr>
              <w:pStyle w:val="0"/>
            </w:pPr>
            <w:r>
              <w:rPr>
                <w:sz w:val="24"/>
              </w:rPr>
              <w:t xml:space="preserve">152.1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dim-int:Perechcn_Uchet_Grupp_Axis</w:t>
            </w:r>
          </w:p>
        </w:tc>
      </w:tr>
      <w:tr>
        <w:tc>
          <w:tcPr>
            <w:tcW w:w="907" w:type="dxa"/>
          </w:tcPr>
          <w:p>
            <w:pPr>
              <w:pStyle w:val="0"/>
            </w:pPr>
            <w:r>
              <w:rPr>
                <w:sz w:val="24"/>
              </w:rPr>
              <w:t xml:space="preserve">152.2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153</w:t>
            </w:r>
          </w:p>
        </w:tc>
        <w:tc>
          <w:tcPr>
            <w:gridSpan w:val="4"/>
            <w:tcW w:w="2923" w:type="dxa"/>
          </w:tcPr>
          <w:p>
            <w:pPr>
              <w:pStyle w:val="0"/>
            </w:pPr>
            <w:r>
              <w:rPr>
                <w:sz w:val="24"/>
              </w:rPr>
              <w:t xml:space="preserve">Поступления денежных средств по суброгациям и регрессам по договорам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ins-dic:PostupleniyaDenSredstvPoSubrogacziyamIRegressam</w:t>
            </w:r>
          </w:p>
        </w:tc>
      </w:tr>
      <w:tr>
        <w:tc>
          <w:tcPr>
            <w:tcW w:w="907" w:type="dxa"/>
          </w:tcPr>
          <w:p>
            <w:pPr>
              <w:pStyle w:val="0"/>
            </w:pPr>
            <w:r>
              <w:rPr>
                <w:sz w:val="24"/>
              </w:rPr>
              <w:t xml:space="preserve">153.1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154</w:t>
            </w:r>
          </w:p>
        </w:tc>
        <w:tc>
          <w:tcPr>
            <w:gridSpan w:val="4"/>
            <w:tcW w:w="2923" w:type="dxa"/>
          </w:tcPr>
          <w:p>
            <w:pPr>
              <w:pStyle w:val="0"/>
            </w:pPr>
            <w:r>
              <w:rPr>
                <w:sz w:val="24"/>
              </w:rPr>
              <w:t xml:space="preserve">Произведенные возмещения доли перестраховщиков в поступлениях денежных средств по суброгациям и регрессам и обязательства страховщика по возмещению указанной доли перестраховщиков</w:t>
            </w:r>
          </w:p>
        </w:tc>
        <w:tc>
          <w:tcPr>
            <w:gridSpan w:val="2"/>
            <w:tcW w:w="2608" w:type="dxa"/>
          </w:tcPr>
          <w:p>
            <w:pPr>
              <w:pStyle w:val="0"/>
            </w:pPr>
            <w:r>
              <w:rPr>
                <w:sz w:val="24"/>
              </w:rPr>
            </w:r>
          </w:p>
        </w:tc>
        <w:tc>
          <w:tcPr>
            <w:tcW w:w="2633" w:type="dxa"/>
          </w:tcPr>
          <w:p>
            <w:pPr>
              <w:pStyle w:val="0"/>
            </w:pPr>
            <w:r>
              <w:rPr>
                <w:sz w:val="24"/>
              </w:rPr>
              <w:t xml:space="preserve">ins-dic:SumProizvVozmDPIObyazStraxPoVozmeshDPVPostuplPoSubrIRegres</w:t>
            </w:r>
          </w:p>
        </w:tc>
      </w:tr>
      <w:tr>
        <w:tc>
          <w:tcPr>
            <w:tcW w:w="907" w:type="dxa"/>
          </w:tcPr>
          <w:p>
            <w:pPr>
              <w:pStyle w:val="0"/>
            </w:pPr>
            <w:r>
              <w:rPr>
                <w:sz w:val="24"/>
              </w:rPr>
              <w:t xml:space="preserve">154.1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155</w:t>
            </w:r>
          </w:p>
        </w:tc>
        <w:tc>
          <w:tcPr>
            <w:gridSpan w:val="4"/>
            <w:tcW w:w="2923" w:type="dxa"/>
          </w:tcPr>
          <w:p>
            <w:pPr>
              <w:pStyle w:val="0"/>
            </w:pPr>
            <w:r>
              <w:rPr>
                <w:sz w:val="24"/>
              </w:rPr>
              <w:t xml:space="preserve">Поступления от реализации годных остатков по договорам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ins-dic:DoxodyOtRealizacziiZastraxImushOtPravOtkaz</w:t>
            </w:r>
          </w:p>
        </w:tc>
      </w:tr>
      <w:tr>
        <w:tc>
          <w:tcPr>
            <w:tcW w:w="907" w:type="dxa"/>
          </w:tcPr>
          <w:p>
            <w:pPr>
              <w:pStyle w:val="0"/>
            </w:pPr>
            <w:r>
              <w:rPr>
                <w:sz w:val="24"/>
              </w:rPr>
              <w:t xml:space="preserve">155.1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156</w:t>
            </w:r>
          </w:p>
        </w:tc>
        <w:tc>
          <w:tcPr>
            <w:gridSpan w:val="4"/>
            <w:tcW w:w="2923" w:type="dxa"/>
          </w:tcPr>
          <w:p>
            <w:pPr>
              <w:pStyle w:val="0"/>
            </w:pPr>
            <w:r>
              <w:rPr>
                <w:sz w:val="24"/>
              </w:rPr>
              <w:t xml:space="preserve">Произведенные возмещения доли перестраховщиков в поступлениях от реализации годных остатков и обязательства страховщика по возмещению указанной доли перестраховщиков</w:t>
            </w:r>
          </w:p>
        </w:tc>
        <w:tc>
          <w:tcPr>
            <w:gridSpan w:val="2"/>
            <w:tcW w:w="2608" w:type="dxa"/>
          </w:tcPr>
          <w:p>
            <w:pPr>
              <w:pStyle w:val="0"/>
            </w:pPr>
            <w:r>
              <w:rPr>
                <w:sz w:val="24"/>
              </w:rPr>
            </w:r>
          </w:p>
        </w:tc>
        <w:tc>
          <w:tcPr>
            <w:tcW w:w="2633" w:type="dxa"/>
          </w:tcPr>
          <w:p>
            <w:pPr>
              <w:pStyle w:val="0"/>
            </w:pPr>
            <w:r>
              <w:rPr>
                <w:sz w:val="24"/>
              </w:rPr>
              <w:t xml:space="preserve">ins-dic:SumProizvVozmDPVDoxIObyazSoglDoxOtRealizZastraxImushOtPravOtkaz</w:t>
            </w:r>
          </w:p>
        </w:tc>
      </w:tr>
      <w:tr>
        <w:tc>
          <w:tcPr>
            <w:tcW w:w="907" w:type="dxa"/>
          </w:tcPr>
          <w:p>
            <w:pPr>
              <w:pStyle w:val="0"/>
            </w:pPr>
            <w:r>
              <w:rPr>
                <w:sz w:val="24"/>
              </w:rPr>
              <w:t xml:space="preserve">156.1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942" w:name="P30942"/>
          <w:bookmarkEnd w:id="30942"/>
          <w:p>
            <w:pPr>
              <w:pStyle w:val="0"/>
            </w:pPr>
            <w:r>
              <w:rPr>
                <w:sz w:val="24"/>
              </w:rPr>
              <w:t xml:space="preserve">157</w:t>
            </w:r>
          </w:p>
        </w:tc>
        <w:tc>
          <w:tcPr>
            <w:gridSpan w:val="4"/>
            <w:tcW w:w="2923" w:type="dxa"/>
          </w:tcPr>
          <w:p>
            <w:pPr>
              <w:pStyle w:val="0"/>
            </w:pPr>
            <w:r>
              <w:rPr>
                <w:sz w:val="24"/>
              </w:rPr>
              <w:t xml:space="preserve">Прямые расходы на исполнение обязательств по страховым случаям по договорам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ins-dic:PryamyeRasxodyNaUregUbytkov</w:t>
            </w:r>
          </w:p>
        </w:tc>
      </w:tr>
      <w:tr>
        <w:tc>
          <w:tcPr>
            <w:tcW w:w="907" w:type="dxa"/>
          </w:tcPr>
          <w:p>
            <w:pPr>
              <w:pStyle w:val="0"/>
            </w:pPr>
            <w:r>
              <w:rPr>
                <w:sz w:val="24"/>
              </w:rPr>
              <w:t xml:space="preserve">157.1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158</w:t>
            </w:r>
          </w:p>
        </w:tc>
        <w:tc>
          <w:tcPr>
            <w:gridSpan w:val="4"/>
            <w:tcW w:w="2923" w:type="dxa"/>
          </w:tcPr>
          <w:p>
            <w:pPr>
              <w:pStyle w:val="0"/>
            </w:pPr>
            <w:r>
              <w:rPr>
                <w:sz w:val="24"/>
              </w:rPr>
              <w:t xml:space="preserve">Полученные возмещения доли перестраховщиков в прямых расходах на исполнение обязательств по страховым случаям и права требования страховщика по возмещению указанной доли перестраховщиков</w:t>
            </w:r>
          </w:p>
        </w:tc>
        <w:tc>
          <w:tcPr>
            <w:gridSpan w:val="2"/>
            <w:tcW w:w="2608" w:type="dxa"/>
          </w:tcPr>
          <w:p>
            <w:pPr>
              <w:pStyle w:val="0"/>
            </w:pPr>
            <w:r>
              <w:rPr>
                <w:sz w:val="24"/>
              </w:rPr>
            </w:r>
          </w:p>
        </w:tc>
        <w:tc>
          <w:tcPr>
            <w:tcW w:w="2633" w:type="dxa"/>
          </w:tcPr>
          <w:p>
            <w:pPr>
              <w:pStyle w:val="0"/>
            </w:pPr>
            <w:r>
              <w:rPr>
                <w:sz w:val="24"/>
              </w:rPr>
              <w:t xml:space="preserve">ins-dic:SumProizvVozmPoDPIPravTrebVPrRasxUregUbytkov</w:t>
            </w:r>
          </w:p>
        </w:tc>
      </w:tr>
      <w:tr>
        <w:tc>
          <w:tcPr>
            <w:tcW w:w="907" w:type="dxa"/>
          </w:tcPr>
          <w:p>
            <w:pPr>
              <w:pStyle w:val="0"/>
            </w:pPr>
            <w:r>
              <w:rPr>
                <w:sz w:val="24"/>
              </w:rPr>
              <w:t xml:space="preserve">158.1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966" w:name="P30966"/>
          <w:bookmarkEnd w:id="30966"/>
          <w:p>
            <w:pPr>
              <w:pStyle w:val="0"/>
            </w:pPr>
            <w:r>
              <w:rPr>
                <w:sz w:val="24"/>
              </w:rPr>
              <w:t xml:space="preserve">159</w:t>
            </w:r>
          </w:p>
        </w:tc>
        <w:tc>
          <w:tcPr>
            <w:gridSpan w:val="4"/>
            <w:tcW w:w="2923" w:type="dxa"/>
          </w:tcPr>
          <w:p>
            <w:pPr>
              <w:pStyle w:val="0"/>
            </w:pPr>
            <w:r>
              <w:rPr>
                <w:sz w:val="24"/>
              </w:rPr>
              <w:t xml:space="preserve">Косвенные расходы на исполнение обязательств по страховым случаям по договорам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ins-dic:KosvenRasxodyNaUregUbytkov</w:t>
            </w:r>
          </w:p>
        </w:tc>
      </w:tr>
      <w:tr>
        <w:tc>
          <w:tcPr>
            <w:tcW w:w="907" w:type="dxa"/>
          </w:tcPr>
          <w:p>
            <w:pPr>
              <w:pStyle w:val="0"/>
            </w:pPr>
            <w:r>
              <w:rPr>
                <w:sz w:val="24"/>
              </w:rPr>
              <w:t xml:space="preserve">159.1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159.2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160</w:t>
            </w:r>
          </w:p>
        </w:tc>
        <w:tc>
          <w:tcPr>
            <w:gridSpan w:val="4"/>
            <w:tcW w:w="2923" w:type="dxa"/>
          </w:tcPr>
          <w:p>
            <w:pPr>
              <w:pStyle w:val="0"/>
            </w:pPr>
            <w:r>
              <w:rPr>
                <w:sz w:val="24"/>
              </w:rPr>
              <w:t xml:space="preserve">Полученные возмещения доли перестраховщиков в косвенных расходах на исполнение обязательств по страховым случаям и права требования страховщика по возмещению указанной доли перестраховщиков</w:t>
            </w:r>
          </w:p>
        </w:tc>
        <w:tc>
          <w:tcPr>
            <w:gridSpan w:val="2"/>
            <w:tcW w:w="2608" w:type="dxa"/>
          </w:tcPr>
          <w:p>
            <w:pPr>
              <w:pStyle w:val="0"/>
            </w:pPr>
            <w:r>
              <w:rPr>
                <w:sz w:val="24"/>
              </w:rPr>
            </w:r>
          </w:p>
        </w:tc>
        <w:tc>
          <w:tcPr>
            <w:tcW w:w="2633" w:type="dxa"/>
          </w:tcPr>
          <w:p>
            <w:pPr>
              <w:pStyle w:val="0"/>
            </w:pPr>
            <w:r>
              <w:rPr>
                <w:sz w:val="24"/>
              </w:rPr>
              <w:t xml:space="preserve">ins-dic:SumProizvVozmeshPoDPIPravTrebStraxVKosvRasxUregUb</w:t>
            </w:r>
          </w:p>
        </w:tc>
      </w:tr>
      <w:tr>
        <w:tc>
          <w:tcPr>
            <w:tcW w:w="907" w:type="dxa"/>
          </w:tcPr>
          <w:p>
            <w:pPr>
              <w:pStyle w:val="0"/>
            </w:pPr>
            <w:r>
              <w:rPr>
                <w:sz w:val="24"/>
              </w:rPr>
              <w:t xml:space="preserve">160.1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0990" w:name="P30990"/>
          <w:bookmarkEnd w:id="30990"/>
          <w:p>
            <w:pPr>
              <w:pStyle w:val="0"/>
            </w:pPr>
            <w:r>
              <w:rPr>
                <w:sz w:val="24"/>
              </w:rPr>
              <w:t xml:space="preserve">161</w:t>
            </w:r>
          </w:p>
        </w:tc>
        <w:tc>
          <w:tcPr>
            <w:gridSpan w:val="4"/>
            <w:tcW w:w="2923" w:type="dxa"/>
          </w:tcPr>
          <w:p>
            <w:pPr>
              <w:pStyle w:val="0"/>
            </w:pPr>
            <w:r>
              <w:rPr>
                <w:sz w:val="24"/>
              </w:rPr>
              <w:t xml:space="preserve">Сумма негарантированных выплат в связи с досрочным прекращением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ins-dic:SumNegarantVyplDosrPrekrDogStraxSostrVxodPerestr</w:t>
            </w:r>
          </w:p>
        </w:tc>
      </w:tr>
      <w:tr>
        <w:tc>
          <w:tcPr>
            <w:tcW w:w="907" w:type="dxa"/>
          </w:tcPr>
          <w:p>
            <w:pPr>
              <w:pStyle w:val="0"/>
            </w:pPr>
            <w:r>
              <w:rPr>
                <w:sz w:val="24"/>
              </w:rPr>
              <w:t xml:space="preserve">161.1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02" w:name="P31002"/>
          <w:bookmarkEnd w:id="31002"/>
          <w:p>
            <w:pPr>
              <w:pStyle w:val="0"/>
            </w:pPr>
            <w:r>
              <w:rPr>
                <w:sz w:val="24"/>
              </w:rPr>
              <w:t xml:space="preserve">162</w:t>
            </w:r>
          </w:p>
        </w:tc>
        <w:tc>
          <w:tcPr>
            <w:gridSpan w:val="4"/>
            <w:tcW w:w="2923" w:type="dxa"/>
          </w:tcPr>
          <w:p>
            <w:pPr>
              <w:pStyle w:val="0"/>
            </w:pPr>
            <w:r>
              <w:rPr>
                <w:sz w:val="24"/>
              </w:rPr>
              <w:t xml:space="preserve">Сумма негарантированных выплат в связи с наступлением страховых случаев по договорам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ins-dic:SumNegarantVyplNastStraxSluchDogStraxSostrVxodPerestr</w:t>
            </w:r>
          </w:p>
        </w:tc>
      </w:tr>
      <w:tr>
        <w:tc>
          <w:tcPr>
            <w:tcW w:w="907" w:type="dxa"/>
          </w:tcPr>
          <w:p>
            <w:pPr>
              <w:pStyle w:val="0"/>
            </w:pPr>
            <w:r>
              <w:rPr>
                <w:sz w:val="24"/>
              </w:rPr>
              <w:t xml:space="preserve">162.1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14" w:name="P31014"/>
          <w:bookmarkEnd w:id="31014"/>
          <w:p>
            <w:pPr>
              <w:pStyle w:val="0"/>
            </w:pPr>
            <w:r>
              <w:rPr>
                <w:sz w:val="24"/>
              </w:rPr>
              <w:t xml:space="preserve">163</w:t>
            </w:r>
          </w:p>
        </w:tc>
        <w:tc>
          <w:tcPr>
            <w:gridSpan w:val="4"/>
            <w:tcW w:w="2923" w:type="dxa"/>
          </w:tcPr>
          <w:p>
            <w:pPr>
              <w:pStyle w:val="0"/>
            </w:pPr>
            <w:r>
              <w:rPr>
                <w:sz w:val="24"/>
              </w:rPr>
              <w:t xml:space="preserve">Сумма дополнительных выплат в связи с досрочным прекращением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ins-dic:SumDopVyplDosrPrekrDogStraxSostrVxodPerestr</w:t>
            </w:r>
          </w:p>
        </w:tc>
      </w:tr>
      <w:tr>
        <w:tc>
          <w:tcPr>
            <w:tcW w:w="907" w:type="dxa"/>
          </w:tcPr>
          <w:p>
            <w:pPr>
              <w:pStyle w:val="0"/>
            </w:pPr>
            <w:r>
              <w:rPr>
                <w:sz w:val="24"/>
              </w:rPr>
              <w:t xml:space="preserve">163.1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26" w:name="P31026"/>
          <w:bookmarkEnd w:id="31026"/>
          <w:p>
            <w:pPr>
              <w:pStyle w:val="0"/>
            </w:pPr>
            <w:r>
              <w:rPr>
                <w:sz w:val="24"/>
              </w:rPr>
              <w:t xml:space="preserve">164</w:t>
            </w:r>
          </w:p>
        </w:tc>
        <w:tc>
          <w:tcPr>
            <w:gridSpan w:val="4"/>
            <w:tcW w:w="2923" w:type="dxa"/>
          </w:tcPr>
          <w:p>
            <w:pPr>
              <w:pStyle w:val="0"/>
            </w:pPr>
            <w:r>
              <w:rPr>
                <w:sz w:val="24"/>
              </w:rPr>
              <w:t xml:space="preserve">Сумма дополнительных выплат в связи с наступлением страховых случаев по договорам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ins-dic:SumDopVyplNastStraxSluchDogStraxSostrVxodPerestr</w:t>
            </w:r>
          </w:p>
        </w:tc>
      </w:tr>
      <w:tr>
        <w:tc>
          <w:tcPr>
            <w:tcW w:w="907" w:type="dxa"/>
          </w:tcPr>
          <w:p>
            <w:pPr>
              <w:pStyle w:val="0"/>
            </w:pPr>
            <w:r>
              <w:rPr>
                <w:sz w:val="24"/>
              </w:rPr>
              <w:t xml:space="preserve">164.1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38" w:name="P31038"/>
          <w:bookmarkEnd w:id="31038"/>
          <w:p>
            <w:pPr>
              <w:pStyle w:val="0"/>
            </w:pPr>
            <w:r>
              <w:rPr>
                <w:sz w:val="24"/>
              </w:rPr>
              <w:t xml:space="preserve">165</w:t>
            </w:r>
          </w:p>
        </w:tc>
        <w:tc>
          <w:tcPr>
            <w:gridSpan w:val="4"/>
            <w:tcW w:w="2923" w:type="dxa"/>
          </w:tcPr>
          <w:p>
            <w:pPr>
              <w:pStyle w:val="0"/>
            </w:pPr>
            <w:r>
              <w:rPr>
                <w:sz w:val="24"/>
              </w:rPr>
              <w:t xml:space="preserve">Прочие расходы на заключение договоров страхования, сострахования и входящего перестрахования, кроме прямых расходов на заключение договоров, признанных в течение отчетного периода</w:t>
            </w:r>
          </w:p>
        </w:tc>
        <w:tc>
          <w:tcPr>
            <w:gridSpan w:val="2"/>
            <w:tcW w:w="2608" w:type="dxa"/>
          </w:tcPr>
          <w:p>
            <w:pPr>
              <w:pStyle w:val="0"/>
            </w:pPr>
            <w:r>
              <w:rPr>
                <w:sz w:val="24"/>
              </w:rPr>
            </w:r>
          </w:p>
        </w:tc>
        <w:tc>
          <w:tcPr>
            <w:tcW w:w="2633" w:type="dxa"/>
          </w:tcPr>
          <w:p>
            <w:pPr>
              <w:pStyle w:val="0"/>
            </w:pPr>
            <w:r>
              <w:rPr>
                <w:sz w:val="24"/>
              </w:rPr>
              <w:t xml:space="preserve">ins-dic:ProchieRasxodyNaZaklyuchDogKromeKomisVoznagrazhdeniya</w:t>
            </w:r>
          </w:p>
        </w:tc>
      </w:tr>
      <w:tr>
        <w:tc>
          <w:tcPr>
            <w:tcW w:w="907" w:type="dxa"/>
          </w:tcPr>
          <w:p>
            <w:pPr>
              <w:pStyle w:val="0"/>
            </w:pPr>
            <w:r>
              <w:rPr>
                <w:sz w:val="24"/>
              </w:rPr>
              <w:t xml:space="preserve">165.1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50" w:name="P31050"/>
          <w:bookmarkEnd w:id="31050"/>
          <w:p>
            <w:pPr>
              <w:pStyle w:val="0"/>
            </w:pPr>
            <w:r>
              <w:rPr>
                <w:sz w:val="24"/>
              </w:rPr>
              <w:t xml:space="preserve">166</w:t>
            </w:r>
          </w:p>
        </w:tc>
        <w:tc>
          <w:tcPr>
            <w:gridSpan w:val="4"/>
            <w:tcW w:w="2923" w:type="dxa"/>
          </w:tcPr>
          <w:p>
            <w:pPr>
              <w:pStyle w:val="0"/>
            </w:pPr>
            <w:r>
              <w:rPr>
                <w:sz w:val="24"/>
              </w:rPr>
              <w:t xml:space="preserve">Расходы на сопровождение договоров страхования, сострахования и входящего перестрахования, признанных ранее чем 1 год назад от даты окончания отчетного периода, и соответствующих договоров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ins-dic:ObshIAdmRasxOtnKSoprDogStrSostrIVxodPerestrPriznRaneeCh1GodNazad</w:t>
            </w:r>
          </w:p>
        </w:tc>
      </w:tr>
      <w:tr>
        <w:tc>
          <w:tcPr>
            <w:tcW w:w="907" w:type="dxa"/>
          </w:tcPr>
          <w:p>
            <w:pPr>
              <w:pStyle w:val="0"/>
            </w:pPr>
            <w:r>
              <w:rPr>
                <w:sz w:val="24"/>
              </w:rPr>
              <w:t xml:space="preserve">166.1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62" w:name="P31062"/>
          <w:bookmarkEnd w:id="31062"/>
          <w:p>
            <w:pPr>
              <w:pStyle w:val="0"/>
            </w:pPr>
            <w:r>
              <w:rPr>
                <w:sz w:val="24"/>
              </w:rPr>
              <w:t xml:space="preserve">167</w:t>
            </w:r>
          </w:p>
        </w:tc>
        <w:tc>
          <w:tcPr>
            <w:gridSpan w:val="4"/>
            <w:tcW w:w="2923" w:type="dxa"/>
          </w:tcPr>
          <w:p>
            <w:pPr>
              <w:pStyle w:val="0"/>
            </w:pPr>
            <w:r>
              <w:rPr>
                <w:sz w:val="24"/>
              </w:rPr>
              <w:t xml:space="preserve">Расходы на сопровождение договоров страхования, сострахования и входящего перестрахования, признанных в течение 1 года, предшествующего дате окончания отчетного периода, и соответствующих договоров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ins-dic:ObshIAdmRasxOtnKSoprDogStrSostrIVxodPerestrPriznVTechCh1GodNazad</w:t>
            </w:r>
          </w:p>
        </w:tc>
      </w:tr>
      <w:tr>
        <w:tc>
          <w:tcPr>
            <w:tcW w:w="907" w:type="dxa"/>
          </w:tcPr>
          <w:p>
            <w:pPr>
              <w:pStyle w:val="0"/>
            </w:pPr>
            <w:r>
              <w:rPr>
                <w:sz w:val="24"/>
              </w:rPr>
              <w:t xml:space="preserve">167.1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168</w:t>
            </w:r>
          </w:p>
        </w:tc>
        <w:tc>
          <w:tcPr>
            <w:gridSpan w:val="4"/>
            <w:tcW w:w="2923" w:type="dxa"/>
          </w:tcPr>
          <w:p>
            <w:pPr>
              <w:pStyle w:val="0"/>
            </w:pPr>
            <w:r>
              <w:rPr>
                <w:sz w:val="24"/>
              </w:rPr>
              <w:t xml:space="preserve">Прочие расходы на сопровождение, кроме расходов на сопровождение договоров страхования, сострахования и входящего перестрахования, признанных до даты окончания отчетного периода, и соответствующих договоров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ins-dic:ProchieObshIAdminRasxKrOtnKRaneeIVTech1GodPrizn</w:t>
            </w:r>
          </w:p>
        </w:tc>
      </w:tr>
      <w:tr>
        <w:tc>
          <w:tcPr>
            <w:tcW w:w="907" w:type="dxa"/>
          </w:tcPr>
          <w:p>
            <w:pPr>
              <w:pStyle w:val="0"/>
            </w:pPr>
            <w:r>
              <w:rPr>
                <w:sz w:val="24"/>
              </w:rPr>
              <w:t xml:space="preserve">168.1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86" w:name="P31086"/>
          <w:bookmarkEnd w:id="31086"/>
          <w:p>
            <w:pPr>
              <w:pStyle w:val="0"/>
            </w:pPr>
            <w:r>
              <w:rPr>
                <w:sz w:val="24"/>
              </w:rPr>
              <w:t xml:space="preserve">169</w:t>
            </w:r>
          </w:p>
        </w:tc>
        <w:tc>
          <w:tcPr>
            <w:gridSpan w:val="4"/>
            <w:tcW w:w="2923" w:type="dxa"/>
          </w:tcPr>
          <w:p>
            <w:pPr>
              <w:pStyle w:val="0"/>
            </w:pPr>
            <w:r>
              <w:rPr>
                <w:sz w:val="24"/>
              </w:rPr>
              <w:t xml:space="preserve">Понесенные расходы на инвестиционную деятельность по данным бухгалтерского учета</w:t>
            </w:r>
          </w:p>
        </w:tc>
        <w:tc>
          <w:tcPr>
            <w:gridSpan w:val="2"/>
            <w:tcW w:w="2608" w:type="dxa"/>
          </w:tcPr>
          <w:p>
            <w:pPr>
              <w:pStyle w:val="0"/>
            </w:pPr>
            <w:r>
              <w:rPr>
                <w:sz w:val="24"/>
              </w:rPr>
            </w:r>
          </w:p>
        </w:tc>
        <w:tc>
          <w:tcPr>
            <w:tcW w:w="2633" w:type="dxa"/>
          </w:tcPr>
          <w:p>
            <w:pPr>
              <w:pStyle w:val="0"/>
            </w:pPr>
            <w:r>
              <w:rPr>
                <w:sz w:val="24"/>
              </w:rPr>
              <w:t xml:space="preserve">ins-dic:PonesenPoBURasxodyPoInvestDeyat</w:t>
            </w:r>
          </w:p>
        </w:tc>
      </w:tr>
      <w:tr>
        <w:tc>
          <w:tcPr>
            <w:tcW w:w="907" w:type="dxa"/>
          </w:tcPr>
          <w:p>
            <w:pPr>
              <w:pStyle w:val="0"/>
            </w:pPr>
            <w:r>
              <w:rPr>
                <w:sz w:val="24"/>
              </w:rPr>
              <w:t xml:space="preserve">169.1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169.2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098" w:name="P31098"/>
          <w:bookmarkEnd w:id="31098"/>
          <w:p>
            <w:pPr>
              <w:pStyle w:val="0"/>
            </w:pPr>
            <w:r>
              <w:rPr>
                <w:sz w:val="24"/>
              </w:rPr>
              <w:t xml:space="preserve">170</w:t>
            </w:r>
          </w:p>
        </w:tc>
        <w:tc>
          <w:tcPr>
            <w:gridSpan w:val="4"/>
            <w:tcW w:w="2923" w:type="dxa"/>
          </w:tcPr>
          <w:p>
            <w:pPr>
              <w:pStyle w:val="0"/>
            </w:pPr>
            <w:r>
              <w:rPr>
                <w:sz w:val="24"/>
              </w:rPr>
              <w:t xml:space="preserve">Сумма поступивших денежных средств по требованиям об оплате возмещенного вреда</w:t>
            </w:r>
          </w:p>
        </w:tc>
        <w:tc>
          <w:tcPr>
            <w:gridSpan w:val="2"/>
            <w:tcW w:w="2608" w:type="dxa"/>
          </w:tcPr>
          <w:p>
            <w:pPr>
              <w:pStyle w:val="0"/>
            </w:pPr>
            <w:r>
              <w:rPr>
                <w:sz w:val="24"/>
              </w:rPr>
            </w:r>
          </w:p>
        </w:tc>
        <w:tc>
          <w:tcPr>
            <w:tcW w:w="2633" w:type="dxa"/>
          </w:tcPr>
          <w:p>
            <w:pPr>
              <w:pStyle w:val="0"/>
            </w:pPr>
            <w:r>
              <w:rPr>
                <w:sz w:val="24"/>
              </w:rPr>
              <w:t xml:space="preserve">ins-dic:DoxPoPVU_PoluchenSummVozmeshhenij</w:t>
            </w:r>
          </w:p>
        </w:tc>
      </w:tr>
      <w:tr>
        <w:tc>
          <w:tcPr>
            <w:tcW w:w="907" w:type="dxa"/>
          </w:tcPr>
          <w:p>
            <w:pPr>
              <w:pStyle w:val="0"/>
            </w:pPr>
            <w:r>
              <w:rPr>
                <w:sz w:val="24"/>
              </w:rPr>
              <w:t xml:space="preserve">170.1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110" w:name="P31110"/>
          <w:bookmarkEnd w:id="31110"/>
          <w:p>
            <w:pPr>
              <w:pStyle w:val="0"/>
            </w:pPr>
            <w:r>
              <w:rPr>
                <w:sz w:val="24"/>
              </w:rPr>
              <w:t xml:space="preserve">171</w:t>
            </w:r>
          </w:p>
        </w:tc>
        <w:tc>
          <w:tcPr>
            <w:gridSpan w:val="4"/>
            <w:tcW w:w="2923" w:type="dxa"/>
          </w:tcPr>
          <w:p>
            <w:pPr>
              <w:pStyle w:val="0"/>
            </w:pPr>
            <w:r>
              <w:rPr>
                <w:sz w:val="24"/>
              </w:rPr>
              <w:t xml:space="preserve">Сумма выплат потерпевшим по их требованиям о прямом возмещении убытков (без учета дополнительного возмещения убытков потерпевшим)</w:t>
            </w:r>
          </w:p>
        </w:tc>
        <w:tc>
          <w:tcPr>
            <w:gridSpan w:val="2"/>
            <w:tcW w:w="2608" w:type="dxa"/>
          </w:tcPr>
          <w:p>
            <w:pPr>
              <w:pStyle w:val="0"/>
            </w:pPr>
            <w:r>
              <w:rPr>
                <w:sz w:val="24"/>
              </w:rPr>
            </w:r>
          </w:p>
        </w:tc>
        <w:tc>
          <w:tcPr>
            <w:tcW w:w="2633" w:type="dxa"/>
          </w:tcPr>
          <w:p>
            <w:pPr>
              <w:pStyle w:val="0"/>
            </w:pPr>
            <w:r>
              <w:rPr>
                <w:sz w:val="24"/>
              </w:rPr>
              <w:t xml:space="preserve">ins-dic:SumVyplPoterpTrebPVUBezDopVozmUbPoterp</w:t>
            </w:r>
          </w:p>
        </w:tc>
      </w:tr>
      <w:tr>
        <w:tc>
          <w:tcPr>
            <w:tcW w:w="907" w:type="dxa"/>
          </w:tcPr>
          <w:p>
            <w:pPr>
              <w:pStyle w:val="0"/>
            </w:pPr>
            <w:r>
              <w:rPr>
                <w:sz w:val="24"/>
              </w:rPr>
              <w:t xml:space="preserve">171.1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122" w:name="P31122"/>
          <w:bookmarkEnd w:id="31122"/>
          <w:p>
            <w:pPr>
              <w:pStyle w:val="0"/>
            </w:pPr>
            <w:r>
              <w:rPr>
                <w:sz w:val="24"/>
              </w:rPr>
              <w:t xml:space="preserve">172</w:t>
            </w:r>
          </w:p>
        </w:tc>
        <w:tc>
          <w:tcPr>
            <w:gridSpan w:val="4"/>
            <w:tcW w:w="2923" w:type="dxa"/>
          </w:tcPr>
          <w:p>
            <w:pPr>
              <w:pStyle w:val="0"/>
            </w:pPr>
            <w:r>
              <w:rPr>
                <w:sz w:val="24"/>
              </w:rPr>
              <w:t xml:space="preserve">Сумма выплат потерпевшим по их требованиям о прямом возмещении убытков (дополнительное возмещение убытков потерпевшим)</w:t>
            </w:r>
          </w:p>
        </w:tc>
        <w:tc>
          <w:tcPr>
            <w:gridSpan w:val="2"/>
            <w:tcW w:w="2608" w:type="dxa"/>
          </w:tcPr>
          <w:p>
            <w:pPr>
              <w:pStyle w:val="0"/>
            </w:pPr>
            <w:r>
              <w:rPr>
                <w:sz w:val="24"/>
              </w:rPr>
            </w:r>
          </w:p>
        </w:tc>
        <w:tc>
          <w:tcPr>
            <w:tcW w:w="2633" w:type="dxa"/>
          </w:tcPr>
          <w:p>
            <w:pPr>
              <w:pStyle w:val="0"/>
            </w:pPr>
            <w:r>
              <w:rPr>
                <w:sz w:val="24"/>
              </w:rPr>
              <w:t xml:space="preserve">ins-dic:SumVyplPoterpTrebPVUDoplnoeVozmUbPoterp</w:t>
            </w:r>
          </w:p>
        </w:tc>
      </w:tr>
      <w:tr>
        <w:tc>
          <w:tcPr>
            <w:tcW w:w="907" w:type="dxa"/>
          </w:tcPr>
          <w:p>
            <w:pPr>
              <w:pStyle w:val="0"/>
            </w:pPr>
            <w:r>
              <w:rPr>
                <w:sz w:val="24"/>
              </w:rPr>
              <w:t xml:space="preserve">172.1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173</w:t>
            </w:r>
          </w:p>
        </w:tc>
        <w:tc>
          <w:tcPr>
            <w:gridSpan w:val="4"/>
            <w:tcW w:w="2923" w:type="dxa"/>
          </w:tcPr>
          <w:p>
            <w:pPr>
              <w:pStyle w:val="0"/>
            </w:pPr>
            <w:r>
              <w:rPr>
                <w:sz w:val="24"/>
              </w:rPr>
              <w:t xml:space="preserve">Произведенные выплаты тантьем по договорам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ins-dic:SummaProizvedennyxTantem</w:t>
            </w:r>
          </w:p>
        </w:tc>
      </w:tr>
      <w:tr>
        <w:tc>
          <w:tcPr>
            <w:tcW w:w="907" w:type="dxa"/>
          </w:tcPr>
          <w:p>
            <w:pPr>
              <w:pStyle w:val="0"/>
            </w:pPr>
            <w:r>
              <w:rPr>
                <w:sz w:val="24"/>
              </w:rPr>
              <w:t xml:space="preserve">173.1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174</w:t>
            </w:r>
          </w:p>
        </w:tc>
        <w:tc>
          <w:tcPr>
            <w:gridSpan w:val="4"/>
            <w:tcW w:w="2923" w:type="dxa"/>
          </w:tcPr>
          <w:p>
            <w:pPr>
              <w:pStyle w:val="0"/>
            </w:pPr>
            <w:r>
              <w:rPr>
                <w:sz w:val="24"/>
              </w:rPr>
              <w:t xml:space="preserve">Полученные тантьемы по договорам исходящего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ins-dic:SummaPoluchennyxTantem</w:t>
            </w:r>
          </w:p>
        </w:tc>
      </w:tr>
      <w:tr>
        <w:tc>
          <w:tcPr>
            <w:tcW w:w="907" w:type="dxa"/>
          </w:tcPr>
          <w:p>
            <w:pPr>
              <w:pStyle w:val="0"/>
            </w:pPr>
            <w:r>
              <w:rPr>
                <w:sz w:val="24"/>
              </w:rPr>
              <w:t xml:space="preserve">174.1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175</w:t>
            </w:r>
          </w:p>
        </w:tc>
        <w:tc>
          <w:tcPr>
            <w:gridSpan w:val="4"/>
            <w:tcW w:w="2923" w:type="dxa"/>
          </w:tcPr>
          <w:p>
            <w:pPr>
              <w:pStyle w:val="0"/>
            </w:pPr>
            <w:r>
              <w:rPr>
                <w:sz w:val="24"/>
              </w:rPr>
              <w:t xml:space="preserve">Отчисления от страховых премий в фонды компенсационных выплат по договорам страхования, сострахования, признанным в течение отчетного периода</w:t>
            </w:r>
          </w:p>
        </w:tc>
        <w:tc>
          <w:tcPr>
            <w:gridSpan w:val="2"/>
            <w:tcW w:w="2608" w:type="dxa"/>
          </w:tcPr>
          <w:p>
            <w:pPr>
              <w:pStyle w:val="0"/>
            </w:pPr>
            <w:r>
              <w:rPr>
                <w:sz w:val="24"/>
              </w:rPr>
            </w:r>
          </w:p>
        </w:tc>
        <w:tc>
          <w:tcPr>
            <w:tcW w:w="2633" w:type="dxa"/>
          </w:tcPr>
          <w:p>
            <w:pPr>
              <w:pStyle w:val="0"/>
            </w:pPr>
            <w:r>
              <w:rPr>
                <w:sz w:val="24"/>
              </w:rPr>
              <w:t xml:space="preserve">ins-dic:OtchOtStrPremVFondKompVyplPoDogStrSostrPriznVTechOtchPer</w:t>
            </w:r>
          </w:p>
        </w:tc>
      </w:tr>
      <w:tr>
        <w:tc>
          <w:tcPr>
            <w:tcW w:w="907" w:type="dxa"/>
          </w:tcPr>
          <w:p>
            <w:pPr>
              <w:pStyle w:val="0"/>
            </w:pPr>
            <w:r>
              <w:rPr>
                <w:sz w:val="24"/>
              </w:rPr>
              <w:t xml:space="preserve">175.1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170" w:name="P31170"/>
          <w:bookmarkEnd w:id="31170"/>
          <w:p>
            <w:pPr>
              <w:pStyle w:val="0"/>
            </w:pPr>
            <w:r>
              <w:rPr>
                <w:sz w:val="24"/>
              </w:rPr>
              <w:t xml:space="preserve">176</w:t>
            </w:r>
          </w:p>
        </w:tc>
        <w:tc>
          <w:tcPr>
            <w:gridSpan w:val="4"/>
            <w:tcW w:w="2923" w:type="dxa"/>
          </w:tcPr>
          <w:p>
            <w:pPr>
              <w:pStyle w:val="0"/>
            </w:pPr>
            <w:r>
              <w:rPr>
                <w:sz w:val="24"/>
              </w:rPr>
              <w:t xml:space="preserve">Сумма вспомогательной величины ЗНУ</w:t>
            </w:r>
          </w:p>
        </w:tc>
        <w:tc>
          <w:tcPr>
            <w:gridSpan w:val="2"/>
            <w:tcW w:w="2608" w:type="dxa"/>
          </w:tcPr>
          <w:p>
            <w:pPr>
              <w:pStyle w:val="0"/>
            </w:pPr>
            <w:r>
              <w:rPr>
                <w:sz w:val="24"/>
              </w:rPr>
            </w:r>
          </w:p>
        </w:tc>
        <w:tc>
          <w:tcPr>
            <w:tcW w:w="2633" w:type="dxa"/>
          </w:tcPr>
          <w:p>
            <w:pPr>
              <w:pStyle w:val="0"/>
            </w:pPr>
            <w:r>
              <w:rPr>
                <w:sz w:val="24"/>
              </w:rPr>
              <w:t xml:space="preserve">ins-dic:Summa_Vspomog_Vel_ZNU</w:t>
            </w:r>
          </w:p>
        </w:tc>
      </w:tr>
      <w:tr>
        <w:tc>
          <w:tcPr>
            <w:tcW w:w="907" w:type="dxa"/>
          </w:tcPr>
          <w:p>
            <w:pPr>
              <w:pStyle w:val="0"/>
            </w:pPr>
            <w:r>
              <w:rPr>
                <w:sz w:val="24"/>
              </w:rPr>
              <w:t xml:space="preserve">176.1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182" w:name="P31182"/>
          <w:bookmarkEnd w:id="31182"/>
          <w:p>
            <w:pPr>
              <w:pStyle w:val="0"/>
            </w:pPr>
            <w:r>
              <w:rPr>
                <w:sz w:val="24"/>
              </w:rPr>
              <w:t xml:space="preserve">177</w:t>
            </w:r>
          </w:p>
        </w:tc>
        <w:tc>
          <w:tcPr>
            <w:gridSpan w:val="4"/>
            <w:tcW w:w="2923" w:type="dxa"/>
          </w:tcPr>
          <w:p>
            <w:pPr>
              <w:pStyle w:val="0"/>
            </w:pPr>
            <w:r>
              <w:rPr>
                <w:sz w:val="24"/>
              </w:rPr>
              <w:t xml:space="preserve">Доля перестраховщиков во вспомогательной величине ЗНУ</w:t>
            </w:r>
          </w:p>
        </w:tc>
        <w:tc>
          <w:tcPr>
            <w:gridSpan w:val="2"/>
            <w:tcW w:w="2608" w:type="dxa"/>
          </w:tcPr>
          <w:p>
            <w:pPr>
              <w:pStyle w:val="0"/>
            </w:pPr>
            <w:r>
              <w:rPr>
                <w:sz w:val="24"/>
              </w:rPr>
            </w:r>
          </w:p>
        </w:tc>
        <w:tc>
          <w:tcPr>
            <w:tcW w:w="2633" w:type="dxa"/>
          </w:tcPr>
          <w:p>
            <w:pPr>
              <w:pStyle w:val="0"/>
            </w:pPr>
            <w:r>
              <w:rPr>
                <w:sz w:val="24"/>
              </w:rPr>
              <w:t xml:space="preserve">ins-dic:Dolya_Perestrax_V_Vspomog_Vel_ZNU_Vsego</w:t>
            </w:r>
          </w:p>
        </w:tc>
      </w:tr>
      <w:tr>
        <w:tc>
          <w:tcPr>
            <w:tcW w:w="907" w:type="dxa"/>
          </w:tcPr>
          <w:p>
            <w:pPr>
              <w:pStyle w:val="0"/>
            </w:pPr>
            <w:r>
              <w:rPr>
                <w:sz w:val="24"/>
              </w:rPr>
              <w:t xml:space="preserve">177.1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194" w:name="P31194"/>
          <w:bookmarkEnd w:id="31194"/>
          <w:p>
            <w:pPr>
              <w:pStyle w:val="0"/>
            </w:pPr>
            <w:r>
              <w:rPr>
                <w:sz w:val="24"/>
              </w:rPr>
              <w:t xml:space="preserve">178</w:t>
            </w:r>
          </w:p>
        </w:tc>
        <w:tc>
          <w:tcPr>
            <w:gridSpan w:val="4"/>
            <w:tcW w:w="2923" w:type="dxa"/>
          </w:tcPr>
          <w:p>
            <w:pPr>
              <w:pStyle w:val="0"/>
            </w:pPr>
            <w:r>
              <w:rPr>
                <w:sz w:val="24"/>
              </w:rPr>
              <w:t xml:space="preserve">Коэффициент аппроксимации (k)</w:t>
            </w:r>
          </w:p>
        </w:tc>
        <w:tc>
          <w:tcPr>
            <w:gridSpan w:val="2"/>
            <w:tcW w:w="2608" w:type="dxa"/>
          </w:tcPr>
          <w:p>
            <w:pPr>
              <w:pStyle w:val="0"/>
            </w:pPr>
            <w:r>
              <w:rPr>
                <w:sz w:val="24"/>
              </w:rPr>
            </w:r>
          </w:p>
        </w:tc>
        <w:tc>
          <w:tcPr>
            <w:tcW w:w="2633" w:type="dxa"/>
          </w:tcPr>
          <w:p>
            <w:pPr>
              <w:pStyle w:val="0"/>
            </w:pPr>
            <w:r>
              <w:rPr>
                <w:sz w:val="24"/>
              </w:rPr>
              <w:t xml:space="preserve">ins-dic:KoeffApproksimacziiK</w:t>
            </w:r>
          </w:p>
        </w:tc>
      </w:tr>
      <w:tr>
        <w:tc>
          <w:tcPr>
            <w:tcW w:w="907" w:type="dxa"/>
          </w:tcPr>
          <w:p>
            <w:pPr>
              <w:pStyle w:val="0"/>
            </w:pPr>
            <w:r>
              <w:rPr>
                <w:sz w:val="24"/>
              </w:rPr>
              <w:t xml:space="preserve">178.1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178.2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206" w:name="P31206"/>
          <w:bookmarkEnd w:id="31206"/>
          <w:p>
            <w:pPr>
              <w:pStyle w:val="0"/>
            </w:pPr>
            <w:r>
              <w:rPr>
                <w:sz w:val="24"/>
              </w:rPr>
              <w:t xml:space="preserve">179</w:t>
            </w:r>
          </w:p>
        </w:tc>
        <w:tc>
          <w:tcPr>
            <w:gridSpan w:val="4"/>
            <w:tcW w:w="2923" w:type="dxa"/>
          </w:tcPr>
          <w:p>
            <w:pPr>
              <w:pStyle w:val="0"/>
            </w:pPr>
            <w:r>
              <w:rPr>
                <w:sz w:val="24"/>
              </w:rPr>
              <w:t xml:space="preserve">Инвестиционная часть страховых премий по договорам долевого страхования жизни, направленная на приобретение инвестиционных паев</w:t>
            </w:r>
          </w:p>
        </w:tc>
        <w:tc>
          <w:tcPr>
            <w:gridSpan w:val="2"/>
            <w:tcW w:w="2608" w:type="dxa"/>
          </w:tcPr>
          <w:p>
            <w:pPr>
              <w:pStyle w:val="0"/>
            </w:pPr>
            <w:r>
              <w:rPr>
                <w:sz w:val="24"/>
              </w:rPr>
            </w:r>
          </w:p>
        </w:tc>
        <w:tc>
          <w:tcPr>
            <w:tcW w:w="2633" w:type="dxa"/>
          </w:tcPr>
          <w:p>
            <w:pPr>
              <w:pStyle w:val="0"/>
            </w:pPr>
            <w:r>
              <w:rPr>
                <w:sz w:val="24"/>
              </w:rPr>
              <w:t xml:space="preserve">ins-dic:InvChStrPremijPoDogDolStZHizniNapravlNaPriobrInvPaev</w:t>
            </w:r>
          </w:p>
        </w:tc>
      </w:tr>
      <w:tr>
        <w:tc>
          <w:tcPr>
            <w:tcW w:w="907" w:type="dxa"/>
          </w:tcPr>
          <w:p>
            <w:pPr>
              <w:pStyle w:val="0"/>
            </w:pPr>
            <w:r>
              <w:rPr>
                <w:sz w:val="24"/>
              </w:rPr>
              <w:t xml:space="preserve">179.1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bookmarkStart w:id="31214" w:name="P31214"/>
          <w:bookmarkEnd w:id="31214"/>
          <w:p>
            <w:pPr>
              <w:pStyle w:val="0"/>
            </w:pPr>
            <w:r>
              <w:rPr>
                <w:sz w:val="24"/>
              </w:rPr>
              <w:t xml:space="preserve">180</w:t>
            </w:r>
          </w:p>
        </w:tc>
        <w:tc>
          <w:tcPr>
            <w:gridSpan w:val="4"/>
            <w:tcW w:w="2923" w:type="dxa"/>
          </w:tcPr>
          <w:p>
            <w:pPr>
              <w:pStyle w:val="0"/>
            </w:pPr>
            <w:r>
              <w:rPr>
                <w:sz w:val="24"/>
              </w:rPr>
              <w:t xml:space="preserve">Агентское и брокерское вознаграждения</w:t>
            </w:r>
          </w:p>
        </w:tc>
        <w:tc>
          <w:tcPr>
            <w:gridSpan w:val="2"/>
            <w:tcW w:w="2608" w:type="dxa"/>
          </w:tcPr>
          <w:p>
            <w:pPr>
              <w:pStyle w:val="0"/>
            </w:pPr>
            <w:r>
              <w:rPr>
                <w:sz w:val="24"/>
              </w:rPr>
            </w:r>
          </w:p>
        </w:tc>
        <w:tc>
          <w:tcPr>
            <w:tcW w:w="2633" w:type="dxa"/>
          </w:tcPr>
          <w:p>
            <w:pPr>
              <w:pStyle w:val="0"/>
            </w:pPr>
            <w:r>
              <w:rPr>
                <w:sz w:val="24"/>
              </w:rPr>
              <w:t xml:space="preserve">ins-dic:AgentskoeIBrokerskoeVoznagrazhdenie</w:t>
            </w:r>
          </w:p>
        </w:tc>
      </w:tr>
      <w:tr>
        <w:tc>
          <w:tcPr>
            <w:tcW w:w="907" w:type="dxa"/>
          </w:tcPr>
          <w:p>
            <w:pPr>
              <w:pStyle w:val="0"/>
            </w:pPr>
            <w:r>
              <w:rPr>
                <w:sz w:val="24"/>
              </w:rPr>
              <w:t xml:space="preserve">180.1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blPrEx>
          <w:tblBorders>
            <w:insideV w:val="nil"/>
          </w:tblBorders>
        </w:tblPrEx>
        <w:tc>
          <w:tcPr>
            <w:gridSpan w:val="3"/>
            <w:tcW w:w="1814" w:type="dxa"/>
            <w:tcBorders>
              <w:left w:val="single" w:sz="4"/>
            </w:tcBorders>
          </w:tcPr>
          <w:bookmarkStart w:id="31226" w:name="P31226"/>
          <w:bookmarkEnd w:id="31226"/>
          <w:p>
            <w:pPr>
              <w:pStyle w:val="0"/>
              <w:outlineLvl w:val="4"/>
            </w:pPr>
            <w:r>
              <w:rPr>
                <w:sz w:val="24"/>
              </w:rPr>
              <w:t xml:space="preserve">Подраздел 2.26.</w:t>
            </w:r>
          </w:p>
        </w:tc>
        <w:tc>
          <w:tcPr>
            <w:gridSpan w:val="5"/>
            <w:tcW w:w="7257" w:type="dxa"/>
            <w:tcBorders>
              <w:right w:val="single" w:sz="4"/>
            </w:tcBorders>
          </w:tcPr>
          <w:p>
            <w:pPr>
              <w:pStyle w:val="0"/>
            </w:pPr>
            <w:r>
              <w:rPr>
                <w:sz w:val="24"/>
              </w:rPr>
              <w:t xml:space="preserve">Размер прав требования и обязательств по учетной группе (дополнительной учетной группе)</w:t>
            </w:r>
          </w:p>
        </w:tc>
      </w:tr>
      <w:tr>
        <w:tc>
          <w:tcPr>
            <w:tcW w:w="907" w:type="dxa"/>
          </w:tcPr>
          <w:bookmarkStart w:id="31228" w:name="P31228"/>
          <w:bookmarkEnd w:id="31228"/>
          <w:p>
            <w:pPr>
              <w:pStyle w:val="0"/>
            </w:pPr>
            <w:r>
              <w:rPr>
                <w:sz w:val="24"/>
              </w:rPr>
              <w:t xml:space="preserve">181</w:t>
            </w:r>
          </w:p>
        </w:tc>
        <w:tc>
          <w:tcPr>
            <w:gridSpan w:val="4"/>
            <w:tcW w:w="2923" w:type="dxa"/>
          </w:tcPr>
          <w:p>
            <w:pPr>
              <w:pStyle w:val="0"/>
            </w:pPr>
            <w:r>
              <w:rPr>
                <w:sz w:val="24"/>
              </w:rPr>
              <w:t xml:space="preserve">Размер прав требования страховщика по стоимости согласно условиям договоров страхования, сострахования и входящего перестрахования, а также договоров с посредниками и (или) иных договоров</w:t>
            </w:r>
          </w:p>
        </w:tc>
        <w:tc>
          <w:tcPr>
            <w:gridSpan w:val="2"/>
            <w:tcW w:w="2608" w:type="dxa"/>
          </w:tcPr>
          <w:p>
            <w:pPr>
              <w:pStyle w:val="0"/>
            </w:pPr>
            <w:r>
              <w:rPr>
                <w:sz w:val="24"/>
              </w:rPr>
            </w:r>
          </w:p>
        </w:tc>
        <w:tc>
          <w:tcPr>
            <w:tcW w:w="2633" w:type="dxa"/>
          </w:tcPr>
          <w:p>
            <w:pPr>
              <w:pStyle w:val="0"/>
            </w:pPr>
            <w:r>
              <w:rPr>
                <w:sz w:val="24"/>
              </w:rPr>
              <w:t xml:space="preserve">ins-dic:PravaTrebovanijStraxSoglUsloviyamDog</w:t>
            </w:r>
          </w:p>
        </w:tc>
      </w:tr>
      <w:tr>
        <w:tc>
          <w:tcPr>
            <w:tcW w:w="907" w:type="dxa"/>
          </w:tcPr>
          <w:p>
            <w:pPr>
              <w:pStyle w:val="0"/>
            </w:pPr>
            <w:r>
              <w:rPr>
                <w:sz w:val="24"/>
              </w:rPr>
              <w:t xml:space="preserve">181.1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181.3</w:t>
            </w:r>
          </w:p>
        </w:tc>
        <w:tc>
          <w:tcPr>
            <w:gridSpan w:val="4"/>
            <w:tcW w:w="2923" w:type="dxa"/>
          </w:tcPr>
          <w:p>
            <w:pPr>
              <w:pStyle w:val="0"/>
            </w:pPr>
            <w:r>
              <w:rPr>
                <w:sz w:val="24"/>
              </w:rPr>
            </w:r>
          </w:p>
        </w:tc>
        <w:tc>
          <w:tcPr>
            <w:gridSpan w:val="2"/>
            <w:tcW w:w="2608" w:type="dxa"/>
          </w:tcPr>
          <w:p>
            <w:pPr>
              <w:pStyle w:val="0"/>
            </w:pPr>
            <w:r>
              <w:rPr>
                <w:sz w:val="24"/>
              </w:rPr>
              <w:t xml:space="preserve">Детализация прав требования и обязательств</w:t>
            </w:r>
          </w:p>
        </w:tc>
        <w:tc>
          <w:tcPr>
            <w:tcW w:w="2633" w:type="dxa"/>
          </w:tcPr>
          <w:p>
            <w:pPr>
              <w:pStyle w:val="0"/>
            </w:pPr>
            <w:r>
              <w:rPr>
                <w:sz w:val="24"/>
              </w:rPr>
              <w:t xml:space="preserve">dim-int:DetalizacziyaPravTrebIObyazAxis</w:t>
            </w:r>
          </w:p>
        </w:tc>
      </w:tr>
      <w:tr>
        <w:tc>
          <w:tcPr>
            <w:tcW w:w="907" w:type="dxa"/>
          </w:tcPr>
          <w:bookmarkStart w:id="31244" w:name="P31244"/>
          <w:bookmarkEnd w:id="31244"/>
          <w:p>
            <w:pPr>
              <w:pStyle w:val="0"/>
            </w:pPr>
            <w:r>
              <w:rPr>
                <w:sz w:val="24"/>
              </w:rPr>
              <w:t xml:space="preserve">182</w:t>
            </w:r>
          </w:p>
        </w:tc>
        <w:tc>
          <w:tcPr>
            <w:gridSpan w:val="4"/>
            <w:tcW w:w="2923" w:type="dxa"/>
          </w:tcPr>
          <w:p>
            <w:pPr>
              <w:pStyle w:val="0"/>
            </w:pPr>
            <w:r>
              <w:rPr>
                <w:sz w:val="24"/>
              </w:rPr>
              <w:t xml:space="preserve">Размер прав требования страховщика по стоимости, определенной в соответствии с требованиями к финансовой устойчивости и платежеспособности страховщиков</w:t>
            </w:r>
          </w:p>
        </w:tc>
        <w:tc>
          <w:tcPr>
            <w:gridSpan w:val="2"/>
            <w:tcW w:w="2608" w:type="dxa"/>
          </w:tcPr>
          <w:p>
            <w:pPr>
              <w:pStyle w:val="0"/>
            </w:pPr>
            <w:r>
              <w:rPr>
                <w:sz w:val="24"/>
              </w:rPr>
            </w:r>
          </w:p>
        </w:tc>
        <w:tc>
          <w:tcPr>
            <w:tcW w:w="2633" w:type="dxa"/>
          </w:tcPr>
          <w:p>
            <w:pPr>
              <w:pStyle w:val="0"/>
            </w:pPr>
            <w:r>
              <w:rPr>
                <w:sz w:val="24"/>
              </w:rPr>
              <w:t xml:space="preserve">ins-dic:PravaTrebovanijStraxSoglPolozheniyu710</w:t>
            </w:r>
          </w:p>
        </w:tc>
      </w:tr>
      <w:tr>
        <w:tc>
          <w:tcPr>
            <w:tcW w:w="907" w:type="dxa"/>
          </w:tcPr>
          <w:p>
            <w:pPr>
              <w:pStyle w:val="0"/>
            </w:pPr>
            <w:r>
              <w:rPr>
                <w:sz w:val="24"/>
              </w:rPr>
              <w:t xml:space="preserve">182.1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182.3</w:t>
            </w:r>
          </w:p>
        </w:tc>
        <w:tc>
          <w:tcPr>
            <w:gridSpan w:val="4"/>
            <w:tcW w:w="2923" w:type="dxa"/>
          </w:tcPr>
          <w:p>
            <w:pPr>
              <w:pStyle w:val="0"/>
            </w:pPr>
            <w:r>
              <w:rPr>
                <w:sz w:val="24"/>
              </w:rPr>
            </w:r>
          </w:p>
        </w:tc>
        <w:tc>
          <w:tcPr>
            <w:gridSpan w:val="2"/>
            <w:tcW w:w="2608" w:type="dxa"/>
          </w:tcPr>
          <w:p>
            <w:pPr>
              <w:pStyle w:val="0"/>
            </w:pPr>
            <w:r>
              <w:rPr>
                <w:sz w:val="24"/>
              </w:rPr>
              <w:t xml:space="preserve">Детализация прав требования и обязательств</w:t>
            </w:r>
          </w:p>
        </w:tc>
        <w:tc>
          <w:tcPr>
            <w:tcW w:w="2633" w:type="dxa"/>
          </w:tcPr>
          <w:p>
            <w:pPr>
              <w:pStyle w:val="0"/>
            </w:pPr>
            <w:r>
              <w:rPr>
                <w:sz w:val="24"/>
              </w:rPr>
              <w:t xml:space="preserve">dim-int:DetalizacziyaPravTrebIObyazAxis</w:t>
            </w:r>
          </w:p>
        </w:tc>
      </w:tr>
      <w:tr>
        <w:tc>
          <w:tcPr>
            <w:tcW w:w="907" w:type="dxa"/>
          </w:tcPr>
          <w:bookmarkStart w:id="31260" w:name="P31260"/>
          <w:bookmarkEnd w:id="31260"/>
          <w:p>
            <w:pPr>
              <w:pStyle w:val="0"/>
            </w:pPr>
            <w:r>
              <w:rPr>
                <w:sz w:val="24"/>
              </w:rPr>
              <w:t xml:space="preserve">183</w:t>
            </w:r>
          </w:p>
        </w:tc>
        <w:tc>
          <w:tcPr>
            <w:gridSpan w:val="4"/>
            <w:tcW w:w="2923" w:type="dxa"/>
          </w:tcPr>
          <w:p>
            <w:pPr>
              <w:pStyle w:val="0"/>
            </w:pPr>
            <w:r>
              <w:rPr>
                <w:sz w:val="24"/>
              </w:rPr>
              <w:t xml:space="preserve">Размер обязательств страховщика по стоимости согласно условиям договоров страхования, сострахования и входящего перестрахования, а также договоров с посредниками и (или) иных договоров</w:t>
            </w:r>
          </w:p>
        </w:tc>
        <w:tc>
          <w:tcPr>
            <w:gridSpan w:val="2"/>
            <w:tcW w:w="2608" w:type="dxa"/>
          </w:tcPr>
          <w:p>
            <w:pPr>
              <w:pStyle w:val="0"/>
            </w:pPr>
            <w:r>
              <w:rPr>
                <w:sz w:val="24"/>
              </w:rPr>
            </w:r>
          </w:p>
        </w:tc>
        <w:tc>
          <w:tcPr>
            <w:tcW w:w="2633" w:type="dxa"/>
          </w:tcPr>
          <w:p>
            <w:pPr>
              <w:pStyle w:val="0"/>
            </w:pPr>
            <w:r>
              <w:rPr>
                <w:sz w:val="24"/>
              </w:rPr>
              <w:t xml:space="preserve">ins-dic:ObyazStraxSoglUsloviyamDog</w:t>
            </w:r>
          </w:p>
        </w:tc>
      </w:tr>
      <w:tr>
        <w:tc>
          <w:tcPr>
            <w:tcW w:w="907" w:type="dxa"/>
          </w:tcPr>
          <w:p>
            <w:pPr>
              <w:pStyle w:val="0"/>
            </w:pPr>
            <w:r>
              <w:rPr>
                <w:sz w:val="24"/>
              </w:rPr>
              <w:t xml:space="preserve">183.1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183.3</w:t>
            </w:r>
          </w:p>
        </w:tc>
        <w:tc>
          <w:tcPr>
            <w:gridSpan w:val="4"/>
            <w:tcW w:w="2923" w:type="dxa"/>
          </w:tcPr>
          <w:p>
            <w:pPr>
              <w:pStyle w:val="0"/>
            </w:pPr>
            <w:r>
              <w:rPr>
                <w:sz w:val="24"/>
              </w:rPr>
            </w:r>
          </w:p>
        </w:tc>
        <w:tc>
          <w:tcPr>
            <w:gridSpan w:val="2"/>
            <w:tcW w:w="2608" w:type="dxa"/>
          </w:tcPr>
          <w:p>
            <w:pPr>
              <w:pStyle w:val="0"/>
            </w:pPr>
            <w:r>
              <w:rPr>
                <w:sz w:val="24"/>
              </w:rPr>
              <w:t xml:space="preserve">Детализация прав требования и обязательств</w:t>
            </w:r>
          </w:p>
        </w:tc>
        <w:tc>
          <w:tcPr>
            <w:tcW w:w="2633" w:type="dxa"/>
          </w:tcPr>
          <w:p>
            <w:pPr>
              <w:pStyle w:val="0"/>
            </w:pPr>
            <w:r>
              <w:rPr>
                <w:sz w:val="24"/>
              </w:rPr>
              <w:t xml:space="preserve">dim-int:DetalizacziyaPravTrebIObyazAxis</w:t>
            </w:r>
          </w:p>
        </w:tc>
      </w:tr>
      <w:tr>
        <w:tc>
          <w:tcPr>
            <w:tcW w:w="907" w:type="dxa"/>
          </w:tcPr>
          <w:bookmarkStart w:id="31276" w:name="P31276"/>
          <w:bookmarkEnd w:id="31276"/>
          <w:p>
            <w:pPr>
              <w:pStyle w:val="0"/>
            </w:pPr>
            <w:r>
              <w:rPr>
                <w:sz w:val="24"/>
              </w:rPr>
              <w:t xml:space="preserve">184</w:t>
            </w:r>
          </w:p>
        </w:tc>
        <w:tc>
          <w:tcPr>
            <w:gridSpan w:val="4"/>
            <w:tcW w:w="2923" w:type="dxa"/>
          </w:tcPr>
          <w:p>
            <w:pPr>
              <w:pStyle w:val="0"/>
            </w:pPr>
            <w:r>
              <w:rPr>
                <w:sz w:val="24"/>
              </w:rPr>
              <w:t xml:space="preserve">Размер обязательств страховщика по стоимости, определенной в соответствии с требованиями к финансовой устойчивости и платежеспособности страховщиков</w:t>
            </w:r>
          </w:p>
        </w:tc>
        <w:tc>
          <w:tcPr>
            <w:gridSpan w:val="2"/>
            <w:tcW w:w="2608" w:type="dxa"/>
          </w:tcPr>
          <w:p>
            <w:pPr>
              <w:pStyle w:val="0"/>
            </w:pPr>
            <w:r>
              <w:rPr>
                <w:sz w:val="24"/>
              </w:rPr>
            </w:r>
          </w:p>
        </w:tc>
        <w:tc>
          <w:tcPr>
            <w:tcW w:w="2633" w:type="dxa"/>
          </w:tcPr>
          <w:p>
            <w:pPr>
              <w:pStyle w:val="0"/>
            </w:pPr>
            <w:r>
              <w:rPr>
                <w:sz w:val="24"/>
              </w:rPr>
              <w:t xml:space="preserve">ins-dic:ObyazStraxSoglPolozheniyu710</w:t>
            </w:r>
          </w:p>
        </w:tc>
      </w:tr>
      <w:tr>
        <w:tc>
          <w:tcPr>
            <w:tcW w:w="907" w:type="dxa"/>
          </w:tcPr>
          <w:p>
            <w:pPr>
              <w:pStyle w:val="0"/>
            </w:pPr>
            <w:r>
              <w:rPr>
                <w:sz w:val="24"/>
              </w:rPr>
              <w:t xml:space="preserve">184.1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184.3</w:t>
            </w:r>
          </w:p>
        </w:tc>
        <w:tc>
          <w:tcPr>
            <w:gridSpan w:val="4"/>
            <w:tcW w:w="2923" w:type="dxa"/>
          </w:tcPr>
          <w:p>
            <w:pPr>
              <w:pStyle w:val="0"/>
            </w:pPr>
            <w:r>
              <w:rPr>
                <w:sz w:val="24"/>
              </w:rPr>
            </w:r>
          </w:p>
        </w:tc>
        <w:tc>
          <w:tcPr>
            <w:gridSpan w:val="2"/>
            <w:tcW w:w="2608" w:type="dxa"/>
          </w:tcPr>
          <w:p>
            <w:pPr>
              <w:pStyle w:val="0"/>
            </w:pPr>
            <w:r>
              <w:rPr>
                <w:sz w:val="24"/>
              </w:rPr>
              <w:t xml:space="preserve">Детализация прав требования и обязательств</w:t>
            </w:r>
          </w:p>
        </w:tc>
        <w:tc>
          <w:tcPr>
            <w:tcW w:w="2633" w:type="dxa"/>
          </w:tcPr>
          <w:p>
            <w:pPr>
              <w:pStyle w:val="0"/>
            </w:pPr>
            <w:r>
              <w:rPr>
                <w:sz w:val="24"/>
              </w:rPr>
              <w:t xml:space="preserve">dim-int:DetalizacziyaPravTrebIObyazAxis</w:t>
            </w:r>
          </w:p>
        </w:tc>
      </w:tr>
      <w:tr>
        <w:tblPrEx>
          <w:tblBorders>
            <w:insideV w:val="nil"/>
          </w:tblBorders>
        </w:tblPrEx>
        <w:tc>
          <w:tcPr>
            <w:gridSpan w:val="3"/>
            <w:tcW w:w="1814" w:type="dxa"/>
            <w:tcBorders>
              <w:left w:val="single" w:sz="4"/>
            </w:tcBorders>
          </w:tcPr>
          <w:bookmarkStart w:id="31292" w:name="P31292"/>
          <w:bookmarkEnd w:id="31292"/>
          <w:p>
            <w:pPr>
              <w:pStyle w:val="0"/>
              <w:outlineLvl w:val="4"/>
            </w:pPr>
            <w:r>
              <w:rPr>
                <w:sz w:val="24"/>
              </w:rPr>
              <w:t xml:space="preserve">Подраздел 2.27.</w:t>
            </w:r>
          </w:p>
        </w:tc>
        <w:tc>
          <w:tcPr>
            <w:gridSpan w:val="5"/>
            <w:tcW w:w="7257" w:type="dxa"/>
            <w:tcBorders>
              <w:right w:val="single" w:sz="4"/>
            </w:tcBorders>
          </w:tcPr>
          <w:p>
            <w:pPr>
              <w:pStyle w:val="0"/>
            </w:pPr>
            <w:r>
              <w:rPr>
                <w:sz w:val="24"/>
              </w:rPr>
              <w:t xml:space="preserve">Ретроспективный анализ достаточности оценки ожидаемой величины обязательств по резерву убытков (ДПУ) - брутто-перестрахование по учетной группе (дополнительной учетной группе)</w:t>
            </w:r>
          </w:p>
        </w:tc>
      </w:tr>
      <w:tr>
        <w:tc>
          <w:tcPr>
            <w:tcW w:w="907" w:type="dxa"/>
          </w:tcPr>
          <w:bookmarkStart w:id="31294" w:name="P31294"/>
          <w:bookmarkEnd w:id="31294"/>
          <w:p>
            <w:pPr>
              <w:pStyle w:val="0"/>
            </w:pPr>
            <w:r>
              <w:rPr>
                <w:sz w:val="24"/>
              </w:rPr>
              <w:t xml:space="preserve">185</w:t>
            </w:r>
          </w:p>
        </w:tc>
        <w:tc>
          <w:tcPr>
            <w:gridSpan w:val="4"/>
            <w:tcW w:w="2923" w:type="dxa"/>
          </w:tcPr>
          <w:p>
            <w:pPr>
              <w:pStyle w:val="0"/>
            </w:pPr>
            <w:r>
              <w:rPr>
                <w:sz w:val="24"/>
              </w:rPr>
              <w:t xml:space="preserve">Оценка ожидаемой величины обязательств по резерву убытков (ДПУ) - брутто-перестрахование</w:t>
            </w:r>
          </w:p>
        </w:tc>
        <w:tc>
          <w:tcPr>
            <w:gridSpan w:val="2"/>
            <w:tcW w:w="2608" w:type="dxa"/>
          </w:tcPr>
          <w:p>
            <w:pPr>
              <w:pStyle w:val="0"/>
            </w:pPr>
            <w:r>
              <w:rPr>
                <w:sz w:val="24"/>
              </w:rPr>
            </w:r>
          </w:p>
        </w:tc>
        <w:tc>
          <w:tcPr>
            <w:tcW w:w="2633" w:type="dxa"/>
          </w:tcPr>
          <w:p>
            <w:pPr>
              <w:pStyle w:val="0"/>
            </w:pPr>
            <w:r>
              <w:rPr>
                <w:sz w:val="24"/>
              </w:rPr>
              <w:t xml:space="preserve">ins-dic:DPUBruttoPerestraxovanie</w:t>
            </w:r>
          </w:p>
        </w:tc>
      </w:tr>
      <w:tr>
        <w:tc>
          <w:tcPr>
            <w:tcW w:w="907" w:type="dxa"/>
          </w:tcPr>
          <w:p>
            <w:pPr>
              <w:pStyle w:val="0"/>
            </w:pPr>
            <w:r>
              <w:rPr>
                <w:sz w:val="24"/>
              </w:rPr>
              <w:t xml:space="preserve">185.1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185.3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310" w:name="P31310"/>
          <w:bookmarkEnd w:id="31310"/>
          <w:p>
            <w:pPr>
              <w:pStyle w:val="0"/>
            </w:pPr>
            <w:r>
              <w:rPr>
                <w:sz w:val="24"/>
              </w:rPr>
              <w:t xml:space="preserve">186</w:t>
            </w:r>
          </w:p>
        </w:tc>
        <w:tc>
          <w:tcPr>
            <w:gridSpan w:val="4"/>
            <w:tcW w:w="2923" w:type="dxa"/>
          </w:tcPr>
          <w:p>
            <w:pPr>
              <w:pStyle w:val="0"/>
            </w:pPr>
            <w:r>
              <w:rPr>
                <w:sz w:val="24"/>
              </w:rPr>
              <w:t xml:space="preserve">Страховые выплаты - брутто-перестрахование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ins-dic:StraxVyplatyNarastItogomBruttoPerestraxovanie</w:t>
            </w:r>
          </w:p>
        </w:tc>
      </w:tr>
      <w:tr>
        <w:tc>
          <w:tcPr>
            <w:tcW w:w="907" w:type="dxa"/>
          </w:tcPr>
          <w:p>
            <w:pPr>
              <w:pStyle w:val="0"/>
            </w:pPr>
            <w:r>
              <w:rPr>
                <w:sz w:val="24"/>
              </w:rPr>
              <w:t xml:space="preserve">186.1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186.3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326" w:name="P31326"/>
          <w:bookmarkEnd w:id="31326"/>
          <w:p>
            <w:pPr>
              <w:pStyle w:val="0"/>
            </w:pPr>
            <w:r>
              <w:rPr>
                <w:sz w:val="24"/>
              </w:rPr>
              <w:t xml:space="preserve">187</w:t>
            </w:r>
          </w:p>
        </w:tc>
        <w:tc>
          <w:tcPr>
            <w:gridSpan w:val="4"/>
            <w:tcW w:w="2923" w:type="dxa"/>
          </w:tcPr>
          <w:p>
            <w:pPr>
              <w:pStyle w:val="0"/>
            </w:pPr>
            <w:r>
              <w:rPr>
                <w:sz w:val="24"/>
              </w:rPr>
              <w:t xml:space="preserve">Поступления по суброгациям, регрессам и от реализации годных остатков - брутто-перестрахование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ins-dic:PostPoSubrogRegressRealizGodnOstNarastItogBruttoPerestr</w:t>
            </w:r>
          </w:p>
        </w:tc>
      </w:tr>
      <w:tr>
        <w:tc>
          <w:tcPr>
            <w:tcW w:w="907" w:type="dxa"/>
          </w:tcPr>
          <w:p>
            <w:pPr>
              <w:pStyle w:val="0"/>
            </w:pPr>
            <w:r>
              <w:rPr>
                <w:sz w:val="24"/>
              </w:rPr>
              <w:t xml:space="preserve">187.1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187.3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342" w:name="P31342"/>
          <w:bookmarkEnd w:id="31342"/>
          <w:p>
            <w:pPr>
              <w:pStyle w:val="0"/>
            </w:pPr>
            <w:r>
              <w:rPr>
                <w:sz w:val="24"/>
              </w:rPr>
              <w:t xml:space="preserve">188</w:t>
            </w:r>
          </w:p>
        </w:tc>
        <w:tc>
          <w:tcPr>
            <w:gridSpan w:val="4"/>
            <w:tcW w:w="2923" w:type="dxa"/>
          </w:tcPr>
          <w:p>
            <w:pPr>
              <w:pStyle w:val="0"/>
            </w:pPr>
            <w:r>
              <w:rPr>
                <w:sz w:val="24"/>
              </w:rPr>
              <w:t xml:space="preserve">Расходы на исполнение обязательств по страховым случаям, учитываемым в расчете оценки ожидаемой величины обязательств по резерву убытков (ДПУ), - брутто-перестрахование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ins-dic:RasxNaIspolnObyazPoStraxSluchUchitVDPUDogNarastItogBruttoPerestr</w:t>
            </w:r>
          </w:p>
        </w:tc>
      </w:tr>
      <w:tr>
        <w:tc>
          <w:tcPr>
            <w:tcW w:w="907" w:type="dxa"/>
          </w:tcPr>
          <w:p>
            <w:pPr>
              <w:pStyle w:val="0"/>
            </w:pPr>
            <w:r>
              <w:rPr>
                <w:sz w:val="24"/>
              </w:rPr>
              <w:t xml:space="preserve">188.1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188.3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358" w:name="P31358"/>
          <w:bookmarkEnd w:id="31358"/>
          <w:p>
            <w:pPr>
              <w:pStyle w:val="0"/>
            </w:pPr>
            <w:r>
              <w:rPr>
                <w:sz w:val="24"/>
              </w:rPr>
              <w:t xml:space="preserve">189</w:t>
            </w:r>
          </w:p>
        </w:tc>
        <w:tc>
          <w:tcPr>
            <w:gridSpan w:val="4"/>
            <w:tcW w:w="2923" w:type="dxa"/>
          </w:tcPr>
          <w:p>
            <w:pPr>
              <w:pStyle w:val="0"/>
            </w:pPr>
            <w:r>
              <w:rPr>
                <w:sz w:val="24"/>
              </w:rPr>
              <w:t xml:space="preserve">Переоцененный остаток оценки ожидаемой величины обязательств по резерву убытков (ДПУ) - брутто-перестрахование</w:t>
            </w:r>
          </w:p>
        </w:tc>
        <w:tc>
          <w:tcPr>
            <w:gridSpan w:val="2"/>
            <w:tcW w:w="2608" w:type="dxa"/>
          </w:tcPr>
          <w:p>
            <w:pPr>
              <w:pStyle w:val="0"/>
            </w:pPr>
            <w:r>
              <w:rPr>
                <w:sz w:val="24"/>
              </w:rPr>
            </w:r>
          </w:p>
        </w:tc>
        <w:tc>
          <w:tcPr>
            <w:tcW w:w="2633" w:type="dxa"/>
          </w:tcPr>
          <w:p>
            <w:pPr>
              <w:pStyle w:val="0"/>
            </w:pPr>
            <w:r>
              <w:rPr>
                <w:sz w:val="24"/>
              </w:rPr>
              <w:t xml:space="preserve">ins-dic:PereoczenOstatokDPUBruttoPerestrax</w:t>
            </w:r>
          </w:p>
        </w:tc>
      </w:tr>
      <w:tr>
        <w:tc>
          <w:tcPr>
            <w:tcW w:w="907" w:type="dxa"/>
          </w:tcPr>
          <w:p>
            <w:pPr>
              <w:pStyle w:val="0"/>
            </w:pPr>
            <w:r>
              <w:rPr>
                <w:sz w:val="24"/>
              </w:rPr>
              <w:t xml:space="preserve">189.1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189.2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189.3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374" w:name="P31374"/>
          <w:bookmarkEnd w:id="31374"/>
          <w:p>
            <w:pPr>
              <w:pStyle w:val="0"/>
            </w:pPr>
            <w:r>
              <w:rPr>
                <w:sz w:val="24"/>
              </w:rPr>
              <w:t xml:space="preserve">190</w:t>
            </w:r>
          </w:p>
        </w:tc>
        <w:tc>
          <w:tcPr>
            <w:gridSpan w:val="4"/>
            <w:tcW w:w="2923" w:type="dxa"/>
          </w:tcPr>
          <w:p>
            <w:pPr>
              <w:pStyle w:val="0"/>
            </w:pPr>
            <w:r>
              <w:rPr>
                <w:sz w:val="24"/>
              </w:rPr>
              <w:t xml:space="preserve">Избыток (недостаток) оценки ожидаемой величины обязательств по резерву убытков (ДПУ) - брутто-перестрахование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ins-dic:IzbytokNedostatokDPUNarastItogomBruttoPerestrax</w:t>
            </w:r>
          </w:p>
        </w:tc>
      </w:tr>
      <w:tr>
        <w:tc>
          <w:tcPr>
            <w:tcW w:w="907" w:type="dxa"/>
          </w:tcPr>
          <w:p>
            <w:pPr>
              <w:pStyle w:val="0"/>
            </w:pPr>
            <w:r>
              <w:rPr>
                <w:sz w:val="24"/>
              </w:rPr>
              <w:t xml:space="preserve">190.1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190.3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390" w:name="P31390"/>
          <w:bookmarkEnd w:id="31390"/>
          <w:p>
            <w:pPr>
              <w:pStyle w:val="0"/>
            </w:pPr>
            <w:r>
              <w:rPr>
                <w:sz w:val="24"/>
              </w:rPr>
              <w:t xml:space="preserve">191</w:t>
            </w:r>
          </w:p>
        </w:tc>
        <w:tc>
          <w:tcPr>
            <w:gridSpan w:val="4"/>
            <w:tcW w:w="2923" w:type="dxa"/>
          </w:tcPr>
          <w:p>
            <w:pPr>
              <w:pStyle w:val="0"/>
            </w:pPr>
            <w:r>
              <w:rPr>
                <w:sz w:val="24"/>
              </w:rPr>
              <w:t xml:space="preserve">Избыток (недостаток) оценки ожидаемой величины обязательств по резерву убытков (ДПУ) - брутто-перестрахование (нарастающим итогом), %</w:t>
            </w:r>
          </w:p>
        </w:tc>
        <w:tc>
          <w:tcPr>
            <w:gridSpan w:val="2"/>
            <w:tcW w:w="2608" w:type="dxa"/>
          </w:tcPr>
          <w:p>
            <w:pPr>
              <w:pStyle w:val="0"/>
            </w:pPr>
            <w:r>
              <w:rPr>
                <w:sz w:val="24"/>
              </w:rPr>
            </w:r>
          </w:p>
        </w:tc>
        <w:tc>
          <w:tcPr>
            <w:tcW w:w="2633" w:type="dxa"/>
          </w:tcPr>
          <w:p>
            <w:pPr>
              <w:pStyle w:val="0"/>
            </w:pPr>
            <w:r>
              <w:rPr>
                <w:sz w:val="24"/>
              </w:rPr>
              <w:t xml:space="preserve">ins-dic:IzbytokNedostatokDPUNarastItogVProczentaxBruttoPerestrax</w:t>
            </w:r>
          </w:p>
        </w:tc>
      </w:tr>
      <w:tr>
        <w:tc>
          <w:tcPr>
            <w:tcW w:w="907" w:type="dxa"/>
          </w:tcPr>
          <w:p>
            <w:pPr>
              <w:pStyle w:val="0"/>
            </w:pPr>
            <w:r>
              <w:rPr>
                <w:sz w:val="24"/>
              </w:rPr>
              <w:t xml:space="preserve">191.1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191.3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blPrEx>
          <w:tblBorders>
            <w:insideV w:val="nil"/>
          </w:tblBorders>
        </w:tblPrEx>
        <w:tc>
          <w:tcPr>
            <w:gridSpan w:val="3"/>
            <w:tcW w:w="1814" w:type="dxa"/>
            <w:tcBorders>
              <w:left w:val="single" w:sz="4"/>
            </w:tcBorders>
          </w:tcPr>
          <w:bookmarkStart w:id="31406" w:name="P31406"/>
          <w:bookmarkEnd w:id="31406"/>
          <w:p>
            <w:pPr>
              <w:pStyle w:val="0"/>
              <w:outlineLvl w:val="4"/>
            </w:pPr>
            <w:r>
              <w:rPr>
                <w:sz w:val="24"/>
              </w:rPr>
              <w:t xml:space="preserve">Подраздел 2.28.</w:t>
            </w:r>
          </w:p>
        </w:tc>
        <w:tc>
          <w:tcPr>
            <w:gridSpan w:val="5"/>
            <w:tcW w:w="7257" w:type="dxa"/>
            <w:tcBorders>
              <w:right w:val="single" w:sz="4"/>
            </w:tcBorders>
          </w:tcPr>
          <w:p>
            <w:pPr>
              <w:pStyle w:val="0"/>
            </w:pPr>
            <w:r>
              <w:rPr>
                <w:sz w:val="24"/>
              </w:rPr>
              <w:t xml:space="preserve">Ретроспективный анализ достаточности оценки ожидаемой величины обязательств по резерву убытков (ДПУ) - нетто-перестрахование по учетной группе (дополнительной учетной группе)</w:t>
            </w:r>
          </w:p>
        </w:tc>
      </w:tr>
      <w:tr>
        <w:tc>
          <w:tcPr>
            <w:tcW w:w="907" w:type="dxa"/>
          </w:tcPr>
          <w:bookmarkStart w:id="31408" w:name="P31408"/>
          <w:bookmarkEnd w:id="31408"/>
          <w:p>
            <w:pPr>
              <w:pStyle w:val="0"/>
            </w:pPr>
            <w:r>
              <w:rPr>
                <w:sz w:val="24"/>
              </w:rPr>
              <w:t xml:space="preserve">192</w:t>
            </w:r>
          </w:p>
        </w:tc>
        <w:tc>
          <w:tcPr>
            <w:gridSpan w:val="4"/>
            <w:tcW w:w="2923" w:type="dxa"/>
          </w:tcPr>
          <w:p>
            <w:pPr>
              <w:pStyle w:val="0"/>
            </w:pPr>
            <w:r>
              <w:rPr>
                <w:sz w:val="24"/>
              </w:rPr>
              <w:t xml:space="preserve">Оценка ожидаемой величины обязательств по резерву убытков (ДПУ)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ins-dic:DPUNettoPerestraxovanie</w:t>
            </w:r>
          </w:p>
        </w:tc>
      </w:tr>
      <w:tr>
        <w:tc>
          <w:tcPr>
            <w:tcW w:w="907" w:type="dxa"/>
          </w:tcPr>
          <w:p>
            <w:pPr>
              <w:pStyle w:val="0"/>
            </w:pPr>
            <w:r>
              <w:rPr>
                <w:sz w:val="24"/>
              </w:rPr>
              <w:t xml:space="preserve">192.1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192.3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424" w:name="P31424"/>
          <w:bookmarkEnd w:id="31424"/>
          <w:p>
            <w:pPr>
              <w:pStyle w:val="0"/>
            </w:pPr>
            <w:r>
              <w:rPr>
                <w:sz w:val="24"/>
              </w:rPr>
              <w:t xml:space="preserve">193</w:t>
            </w:r>
          </w:p>
        </w:tc>
        <w:tc>
          <w:tcPr>
            <w:gridSpan w:val="4"/>
            <w:tcW w:w="2923" w:type="dxa"/>
          </w:tcPr>
          <w:p>
            <w:pPr>
              <w:pStyle w:val="0"/>
            </w:pPr>
            <w:r>
              <w:rPr>
                <w:sz w:val="24"/>
              </w:rPr>
              <w:t xml:space="preserve">Страховые выплаты - нетто-перестрахование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ins-dic:StraxVyplatyNarastItogomNettoPerestraxovanie</w:t>
            </w:r>
          </w:p>
        </w:tc>
      </w:tr>
      <w:tr>
        <w:tc>
          <w:tcPr>
            <w:tcW w:w="907" w:type="dxa"/>
          </w:tcPr>
          <w:p>
            <w:pPr>
              <w:pStyle w:val="0"/>
            </w:pPr>
            <w:r>
              <w:rPr>
                <w:sz w:val="24"/>
              </w:rPr>
              <w:t xml:space="preserve">193.1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193.3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440" w:name="P31440"/>
          <w:bookmarkEnd w:id="31440"/>
          <w:p>
            <w:pPr>
              <w:pStyle w:val="0"/>
            </w:pPr>
            <w:r>
              <w:rPr>
                <w:sz w:val="24"/>
              </w:rPr>
              <w:t xml:space="preserve">194</w:t>
            </w:r>
          </w:p>
        </w:tc>
        <w:tc>
          <w:tcPr>
            <w:gridSpan w:val="4"/>
            <w:tcW w:w="2923" w:type="dxa"/>
          </w:tcPr>
          <w:p>
            <w:pPr>
              <w:pStyle w:val="0"/>
            </w:pPr>
            <w:r>
              <w:rPr>
                <w:sz w:val="24"/>
              </w:rPr>
              <w:t xml:space="preserve">Поступления по суброгациям, регрессам и от реализации годных остатков - нетто-перестрахование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ins-dic:PostPoSubrogRegressRealizGodnOstNarastItogNettoPerestr</w:t>
            </w:r>
          </w:p>
        </w:tc>
      </w:tr>
      <w:tr>
        <w:tc>
          <w:tcPr>
            <w:tcW w:w="907" w:type="dxa"/>
          </w:tcPr>
          <w:p>
            <w:pPr>
              <w:pStyle w:val="0"/>
            </w:pPr>
            <w:r>
              <w:rPr>
                <w:sz w:val="24"/>
              </w:rPr>
              <w:t xml:space="preserve">194.1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194.2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194.3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456" w:name="P31456"/>
          <w:bookmarkEnd w:id="31456"/>
          <w:p>
            <w:pPr>
              <w:pStyle w:val="0"/>
            </w:pPr>
            <w:r>
              <w:rPr>
                <w:sz w:val="24"/>
              </w:rPr>
              <w:t xml:space="preserve">195</w:t>
            </w:r>
          </w:p>
        </w:tc>
        <w:tc>
          <w:tcPr>
            <w:gridSpan w:val="4"/>
            <w:tcW w:w="2923" w:type="dxa"/>
          </w:tcPr>
          <w:p>
            <w:pPr>
              <w:pStyle w:val="0"/>
            </w:pPr>
            <w:r>
              <w:rPr>
                <w:sz w:val="24"/>
              </w:rPr>
              <w:t xml:space="preserve">Расходы на исполнение обязательств по страховым случаям, учитываемым в расчете оценки ожидаемой величины обязательств по резерву убытков (ДПУ), - нетто-перестрахование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ins-dic:RasxNaIspolnObyazPoStraxSluchUchitVDPUDogNarastItogNettoPerestr</w:t>
            </w:r>
          </w:p>
        </w:tc>
      </w:tr>
      <w:tr>
        <w:tc>
          <w:tcPr>
            <w:tcW w:w="907" w:type="dxa"/>
          </w:tcPr>
          <w:p>
            <w:pPr>
              <w:pStyle w:val="0"/>
            </w:pPr>
            <w:r>
              <w:rPr>
                <w:sz w:val="24"/>
              </w:rPr>
              <w:t xml:space="preserve">195.1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195.3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472" w:name="P31472"/>
          <w:bookmarkEnd w:id="31472"/>
          <w:p>
            <w:pPr>
              <w:pStyle w:val="0"/>
            </w:pPr>
            <w:r>
              <w:rPr>
                <w:sz w:val="24"/>
              </w:rPr>
              <w:t xml:space="preserve">196</w:t>
            </w:r>
          </w:p>
        </w:tc>
        <w:tc>
          <w:tcPr>
            <w:gridSpan w:val="4"/>
            <w:tcW w:w="2923" w:type="dxa"/>
          </w:tcPr>
          <w:p>
            <w:pPr>
              <w:pStyle w:val="0"/>
            </w:pPr>
            <w:r>
              <w:rPr>
                <w:sz w:val="24"/>
              </w:rPr>
              <w:t xml:space="preserve">Переоцененный остаток оценки ожидаемой величины обязательств по резерву убытков (ДПУ) - нетто-перестрахование</w:t>
            </w:r>
          </w:p>
        </w:tc>
        <w:tc>
          <w:tcPr>
            <w:gridSpan w:val="2"/>
            <w:tcW w:w="2608" w:type="dxa"/>
          </w:tcPr>
          <w:p>
            <w:pPr>
              <w:pStyle w:val="0"/>
            </w:pPr>
            <w:r>
              <w:rPr>
                <w:sz w:val="24"/>
              </w:rPr>
            </w:r>
          </w:p>
        </w:tc>
        <w:tc>
          <w:tcPr>
            <w:tcW w:w="2633" w:type="dxa"/>
          </w:tcPr>
          <w:p>
            <w:pPr>
              <w:pStyle w:val="0"/>
            </w:pPr>
            <w:r>
              <w:rPr>
                <w:sz w:val="24"/>
              </w:rPr>
              <w:t xml:space="preserve">ins-dic:PereoczenOstatokDPUNettoPerestrax</w:t>
            </w:r>
          </w:p>
        </w:tc>
      </w:tr>
      <w:tr>
        <w:tc>
          <w:tcPr>
            <w:tcW w:w="907" w:type="dxa"/>
          </w:tcPr>
          <w:p>
            <w:pPr>
              <w:pStyle w:val="0"/>
            </w:pPr>
            <w:r>
              <w:rPr>
                <w:sz w:val="24"/>
              </w:rPr>
              <w:t xml:space="preserve">196.1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196.3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488" w:name="P31488"/>
          <w:bookmarkEnd w:id="31488"/>
          <w:p>
            <w:pPr>
              <w:pStyle w:val="0"/>
            </w:pPr>
            <w:r>
              <w:rPr>
                <w:sz w:val="24"/>
              </w:rPr>
              <w:t xml:space="preserve">197</w:t>
            </w:r>
          </w:p>
        </w:tc>
        <w:tc>
          <w:tcPr>
            <w:gridSpan w:val="4"/>
            <w:tcW w:w="2923" w:type="dxa"/>
          </w:tcPr>
          <w:p>
            <w:pPr>
              <w:pStyle w:val="0"/>
            </w:pPr>
            <w:r>
              <w:rPr>
                <w:sz w:val="24"/>
              </w:rPr>
              <w:t xml:space="preserve">Избыток (недостаток) оценки ожидаемой величины обязательств по резерву убытков (ДПУ) - нетто-перестрахование (нарастающим итогом)</w:t>
            </w:r>
          </w:p>
        </w:tc>
        <w:tc>
          <w:tcPr>
            <w:gridSpan w:val="2"/>
            <w:tcW w:w="2608" w:type="dxa"/>
          </w:tcPr>
          <w:p>
            <w:pPr>
              <w:pStyle w:val="0"/>
            </w:pPr>
            <w:r>
              <w:rPr>
                <w:sz w:val="24"/>
              </w:rPr>
            </w:r>
          </w:p>
        </w:tc>
        <w:tc>
          <w:tcPr>
            <w:tcW w:w="2633" w:type="dxa"/>
          </w:tcPr>
          <w:p>
            <w:pPr>
              <w:pStyle w:val="0"/>
            </w:pPr>
            <w:r>
              <w:rPr>
                <w:sz w:val="24"/>
              </w:rPr>
              <w:t xml:space="preserve">ins-dic:IzbytokNedostatokDPUNarastItogomNettoPerestrax</w:t>
            </w:r>
          </w:p>
        </w:tc>
      </w:tr>
      <w:tr>
        <w:tc>
          <w:tcPr>
            <w:tcW w:w="907" w:type="dxa"/>
          </w:tcPr>
          <w:p>
            <w:pPr>
              <w:pStyle w:val="0"/>
            </w:pPr>
            <w:r>
              <w:rPr>
                <w:sz w:val="24"/>
              </w:rPr>
              <w:t xml:space="preserve">197.1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197.3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c>
          <w:tcPr>
            <w:tcW w:w="907" w:type="dxa"/>
          </w:tcPr>
          <w:bookmarkStart w:id="31504" w:name="P31504"/>
          <w:bookmarkEnd w:id="31504"/>
          <w:p>
            <w:pPr>
              <w:pStyle w:val="0"/>
            </w:pPr>
            <w:r>
              <w:rPr>
                <w:sz w:val="24"/>
              </w:rPr>
              <w:t xml:space="preserve">198</w:t>
            </w:r>
          </w:p>
        </w:tc>
        <w:tc>
          <w:tcPr>
            <w:gridSpan w:val="4"/>
            <w:tcW w:w="2923" w:type="dxa"/>
          </w:tcPr>
          <w:p>
            <w:pPr>
              <w:pStyle w:val="0"/>
            </w:pPr>
            <w:r>
              <w:rPr>
                <w:sz w:val="24"/>
              </w:rPr>
              <w:t xml:space="preserve">Избыток (недостаток) оценки ожидаемой величины обязательств по резерву убытков (ДПУ) - нетто-перестрахование (нарастающим итогом), %</w:t>
            </w:r>
          </w:p>
        </w:tc>
        <w:tc>
          <w:tcPr>
            <w:gridSpan w:val="2"/>
            <w:tcW w:w="2608" w:type="dxa"/>
          </w:tcPr>
          <w:p>
            <w:pPr>
              <w:pStyle w:val="0"/>
            </w:pPr>
            <w:r>
              <w:rPr>
                <w:sz w:val="24"/>
              </w:rPr>
            </w:r>
          </w:p>
        </w:tc>
        <w:tc>
          <w:tcPr>
            <w:tcW w:w="2633" w:type="dxa"/>
          </w:tcPr>
          <w:p>
            <w:pPr>
              <w:pStyle w:val="0"/>
            </w:pPr>
            <w:r>
              <w:rPr>
                <w:sz w:val="24"/>
              </w:rPr>
              <w:t xml:space="preserve">ins-dic:IzbytokNedostatokDPUNarastItogVProczentaxNettoPerestrax</w:t>
            </w:r>
          </w:p>
        </w:tc>
      </w:tr>
      <w:tr>
        <w:tc>
          <w:tcPr>
            <w:tcW w:w="907" w:type="dxa"/>
          </w:tcPr>
          <w:p>
            <w:pPr>
              <w:pStyle w:val="0"/>
            </w:pPr>
            <w:r>
              <w:rPr>
                <w:sz w:val="24"/>
              </w:rPr>
              <w:t xml:space="preserve">198.1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p>
            <w:pPr>
              <w:pStyle w:val="0"/>
            </w:pPr>
            <w:r>
              <w:rPr>
                <w:sz w:val="24"/>
              </w:rPr>
              <w:t xml:space="preserve">198.3</w:t>
            </w:r>
          </w:p>
        </w:tc>
        <w:tc>
          <w:tcPr>
            <w:gridSpan w:val="4"/>
            <w:tcW w:w="2923" w:type="dxa"/>
          </w:tcPr>
          <w:p>
            <w:pPr>
              <w:pStyle w:val="0"/>
            </w:pPr>
            <w:r>
              <w:rPr>
                <w:sz w:val="24"/>
              </w:rPr>
            </w:r>
          </w:p>
        </w:tc>
        <w:tc>
          <w:tcPr>
            <w:gridSpan w:val="2"/>
            <w:tcW w:w="2608" w:type="dxa"/>
          </w:tcPr>
          <w:p>
            <w:pPr>
              <w:pStyle w:val="0"/>
            </w:pPr>
            <w:r>
              <w:rPr>
                <w:sz w:val="24"/>
              </w:rPr>
              <w:t xml:space="preserve">Период расчета</w:t>
            </w:r>
          </w:p>
        </w:tc>
        <w:tc>
          <w:tcPr>
            <w:tcW w:w="2633" w:type="dxa"/>
          </w:tcPr>
          <w:p>
            <w:pPr>
              <w:pStyle w:val="0"/>
            </w:pPr>
            <w:r>
              <w:rPr>
                <w:sz w:val="24"/>
              </w:rPr>
              <w:t xml:space="preserve">dim-int:PeriodRaschetaTaxis</w:t>
            </w:r>
          </w:p>
        </w:tc>
      </w:tr>
      <w:tr>
        <w:tblPrEx>
          <w:tblBorders>
            <w:insideV w:val="nil"/>
          </w:tblBorders>
        </w:tblPrEx>
        <w:tc>
          <w:tcPr>
            <w:gridSpan w:val="3"/>
            <w:tcW w:w="1814" w:type="dxa"/>
            <w:tcBorders>
              <w:left w:val="single" w:sz="4"/>
            </w:tcBorders>
          </w:tcPr>
          <w:bookmarkStart w:id="31520" w:name="P31520"/>
          <w:bookmarkEnd w:id="31520"/>
          <w:p>
            <w:pPr>
              <w:pStyle w:val="0"/>
              <w:outlineLvl w:val="4"/>
            </w:pPr>
            <w:r>
              <w:rPr>
                <w:sz w:val="24"/>
              </w:rPr>
              <w:t xml:space="preserve">Подраздел 2.29.</w:t>
            </w:r>
          </w:p>
        </w:tc>
        <w:tc>
          <w:tcPr>
            <w:gridSpan w:val="5"/>
            <w:tcW w:w="7257" w:type="dxa"/>
            <w:tcBorders>
              <w:right w:val="single" w:sz="4"/>
            </w:tcBorders>
          </w:tcPr>
          <w:p>
            <w:pPr>
              <w:pStyle w:val="0"/>
            </w:pPr>
            <w:r>
              <w:rPr>
                <w:sz w:val="24"/>
              </w:rPr>
              <w:t xml:space="preserve">Сумма выплат потерпевшим по их требованиям о прямом возмещении убытков (без учета дополнительного возмещения убытков потерпевшим) по учетной группе 3</w:t>
            </w:r>
          </w:p>
        </w:tc>
      </w:tr>
      <w:tr>
        <w:tc>
          <w:tcPr>
            <w:tcW w:w="907" w:type="dxa"/>
          </w:tcPr>
          <w:p>
            <w:pPr>
              <w:pStyle w:val="0"/>
            </w:pPr>
            <w:r>
              <w:rPr>
                <w:sz w:val="24"/>
              </w:rPr>
              <w:t xml:space="preserve">199</w:t>
            </w:r>
          </w:p>
        </w:tc>
        <w:tc>
          <w:tcPr>
            <w:gridSpan w:val="4"/>
            <w:tcW w:w="2923" w:type="dxa"/>
          </w:tcPr>
          <w:p>
            <w:pPr>
              <w:pStyle w:val="0"/>
            </w:pPr>
            <w:r>
              <w:rPr>
                <w:sz w:val="24"/>
              </w:rPr>
              <w:t xml:space="preserve">Сумма выплат потерпевшим по их требованиям о прямом возмещении убытков (без учета дополнительного возмещения убытков потерпевшим)</w:t>
            </w:r>
          </w:p>
        </w:tc>
        <w:tc>
          <w:tcPr>
            <w:gridSpan w:val="2"/>
            <w:tcW w:w="2608" w:type="dxa"/>
          </w:tcPr>
          <w:p>
            <w:pPr>
              <w:pStyle w:val="0"/>
            </w:pPr>
            <w:r>
              <w:rPr>
                <w:sz w:val="24"/>
              </w:rPr>
            </w:r>
          </w:p>
        </w:tc>
        <w:tc>
          <w:tcPr>
            <w:tcW w:w="2633" w:type="dxa"/>
          </w:tcPr>
          <w:p>
            <w:pPr>
              <w:pStyle w:val="0"/>
            </w:pPr>
            <w:r>
              <w:rPr>
                <w:sz w:val="24"/>
              </w:rPr>
              <w:t xml:space="preserve">ins-dic:SumVyplatPVUVSootvTrebObOplVozmVreda</w:t>
            </w:r>
          </w:p>
        </w:tc>
      </w:tr>
      <w:tr>
        <w:tc>
          <w:tcPr>
            <w:tcW w:w="907" w:type="dxa"/>
          </w:tcPr>
          <w:p>
            <w:pPr>
              <w:pStyle w:val="0"/>
            </w:pPr>
            <w:r>
              <w:rPr>
                <w:sz w:val="24"/>
              </w:rPr>
              <w:t xml:space="preserve">199.1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199.2</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1534" w:name="P31534"/>
          <w:bookmarkEnd w:id="31534"/>
          <w:p>
            <w:pPr>
              <w:pStyle w:val="0"/>
              <w:outlineLvl w:val="4"/>
            </w:pPr>
            <w:r>
              <w:rPr>
                <w:sz w:val="24"/>
              </w:rPr>
              <w:t xml:space="preserve">Подраздел 2.30.</w:t>
            </w:r>
          </w:p>
        </w:tc>
        <w:tc>
          <w:tcPr>
            <w:gridSpan w:val="5"/>
            <w:tcW w:w="7257" w:type="dxa"/>
            <w:tcBorders>
              <w:right w:val="single" w:sz="4"/>
            </w:tcBorders>
          </w:tcPr>
          <w:p>
            <w:pPr>
              <w:pStyle w:val="0"/>
            </w:pPr>
            <w:r>
              <w:rPr>
                <w:sz w:val="24"/>
              </w:rPr>
              <w:t xml:space="preserve">Количество оплаченных требований потерпевших о прямом возмещении убытков (без учета дополнительного возмещения убытков потерпевшим) по учетной группе 3</w:t>
            </w:r>
          </w:p>
        </w:tc>
      </w:tr>
      <w:tr>
        <w:tc>
          <w:tcPr>
            <w:tcW w:w="907" w:type="dxa"/>
          </w:tcPr>
          <w:p>
            <w:pPr>
              <w:pStyle w:val="0"/>
            </w:pPr>
            <w:r>
              <w:rPr>
                <w:sz w:val="24"/>
              </w:rPr>
              <w:t xml:space="preserve">200</w:t>
            </w:r>
          </w:p>
        </w:tc>
        <w:tc>
          <w:tcPr>
            <w:gridSpan w:val="4"/>
            <w:tcW w:w="2923" w:type="dxa"/>
          </w:tcPr>
          <w:p>
            <w:pPr>
              <w:pStyle w:val="0"/>
            </w:pPr>
            <w:r>
              <w:rPr>
                <w:sz w:val="24"/>
              </w:rPr>
              <w:t xml:space="preserve">Количество оплаченных требований потерпевших о прямом возмещении убытков (без учета дополнительного возмещения убытков потерпевшим)</w:t>
            </w:r>
          </w:p>
        </w:tc>
        <w:tc>
          <w:tcPr>
            <w:gridSpan w:val="2"/>
            <w:tcW w:w="2608" w:type="dxa"/>
          </w:tcPr>
          <w:p>
            <w:pPr>
              <w:pStyle w:val="0"/>
            </w:pPr>
            <w:r>
              <w:rPr>
                <w:sz w:val="24"/>
              </w:rPr>
            </w:r>
          </w:p>
        </w:tc>
        <w:tc>
          <w:tcPr>
            <w:tcW w:w="2633" w:type="dxa"/>
          </w:tcPr>
          <w:p>
            <w:pPr>
              <w:pStyle w:val="0"/>
            </w:pPr>
            <w:r>
              <w:rPr>
                <w:sz w:val="24"/>
              </w:rPr>
              <w:t xml:space="preserve">ins-dic:KolTrebOplVozmeshhVreda</w:t>
            </w:r>
          </w:p>
        </w:tc>
      </w:tr>
      <w:tr>
        <w:tc>
          <w:tcPr>
            <w:tcW w:w="907" w:type="dxa"/>
          </w:tcPr>
          <w:p>
            <w:pPr>
              <w:pStyle w:val="0"/>
            </w:pPr>
            <w:r>
              <w:rPr>
                <w:sz w:val="24"/>
              </w:rPr>
              <w:t xml:space="preserve">200.1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200.2</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1548" w:name="P31548"/>
          <w:bookmarkEnd w:id="31548"/>
          <w:p>
            <w:pPr>
              <w:pStyle w:val="0"/>
              <w:outlineLvl w:val="4"/>
            </w:pPr>
            <w:r>
              <w:rPr>
                <w:sz w:val="24"/>
              </w:rPr>
              <w:t xml:space="preserve">Подраздел 2.31.</w:t>
            </w:r>
          </w:p>
        </w:tc>
        <w:tc>
          <w:tcPr>
            <w:gridSpan w:val="5"/>
            <w:tcW w:w="7257" w:type="dxa"/>
            <w:tcBorders>
              <w:right w:val="single" w:sz="4"/>
            </w:tcBorders>
          </w:tcPr>
          <w:p>
            <w:pPr>
              <w:pStyle w:val="0"/>
            </w:pPr>
            <w:r>
              <w:rPr>
                <w:sz w:val="24"/>
              </w:rPr>
              <w:t xml:space="preserve">Сумма выплат потерпевшим по их требованиям о прямом возмещении убытков (дополнительное возмещение убытков потерпевшим) по учетной группе 3</w:t>
            </w:r>
          </w:p>
        </w:tc>
      </w:tr>
      <w:tr>
        <w:tc>
          <w:tcPr>
            <w:tcW w:w="907" w:type="dxa"/>
          </w:tcPr>
          <w:p>
            <w:pPr>
              <w:pStyle w:val="0"/>
            </w:pPr>
            <w:r>
              <w:rPr>
                <w:sz w:val="24"/>
              </w:rPr>
              <w:t xml:space="preserve">201</w:t>
            </w:r>
          </w:p>
        </w:tc>
        <w:tc>
          <w:tcPr>
            <w:gridSpan w:val="4"/>
            <w:tcW w:w="2923" w:type="dxa"/>
          </w:tcPr>
          <w:p>
            <w:pPr>
              <w:pStyle w:val="0"/>
            </w:pPr>
            <w:r>
              <w:rPr>
                <w:sz w:val="24"/>
              </w:rPr>
              <w:t xml:space="preserve">Сумма выплат потерпевшим по их требованиям о прямом возмещении убытков (дополнительное возмещение убытков потерпевшим)</w:t>
            </w:r>
          </w:p>
        </w:tc>
        <w:tc>
          <w:tcPr>
            <w:gridSpan w:val="2"/>
            <w:tcW w:w="2608" w:type="dxa"/>
          </w:tcPr>
          <w:p>
            <w:pPr>
              <w:pStyle w:val="0"/>
            </w:pPr>
            <w:r>
              <w:rPr>
                <w:sz w:val="24"/>
              </w:rPr>
            </w:r>
          </w:p>
        </w:tc>
        <w:tc>
          <w:tcPr>
            <w:tcW w:w="2633" w:type="dxa"/>
          </w:tcPr>
          <w:p>
            <w:pPr>
              <w:pStyle w:val="0"/>
            </w:pPr>
            <w:r>
              <w:rPr>
                <w:sz w:val="24"/>
              </w:rPr>
              <w:t xml:space="preserve">ins-dic:SumDopVozmeshUbPoterpevshOsushPVU</w:t>
            </w:r>
          </w:p>
        </w:tc>
      </w:tr>
      <w:tr>
        <w:tc>
          <w:tcPr>
            <w:tcW w:w="907" w:type="dxa"/>
          </w:tcPr>
          <w:p>
            <w:pPr>
              <w:pStyle w:val="0"/>
            </w:pPr>
            <w:r>
              <w:rPr>
                <w:sz w:val="24"/>
              </w:rPr>
              <w:t xml:space="preserve">201.1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201.2</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1562" w:name="P31562"/>
          <w:bookmarkEnd w:id="31562"/>
          <w:p>
            <w:pPr>
              <w:pStyle w:val="0"/>
              <w:outlineLvl w:val="4"/>
            </w:pPr>
            <w:r>
              <w:rPr>
                <w:sz w:val="24"/>
              </w:rPr>
              <w:t xml:space="preserve">Подраздел 2.32.</w:t>
            </w:r>
          </w:p>
        </w:tc>
        <w:tc>
          <w:tcPr>
            <w:gridSpan w:val="5"/>
            <w:tcW w:w="7257" w:type="dxa"/>
            <w:tcBorders>
              <w:right w:val="single" w:sz="4"/>
            </w:tcBorders>
          </w:tcPr>
          <w:p>
            <w:pPr>
              <w:pStyle w:val="0"/>
            </w:pPr>
            <w:r>
              <w:rPr>
                <w:sz w:val="24"/>
              </w:rPr>
              <w:t xml:space="preserve">Количество оплаченных требований потерпевших о прямом возмещении убытков (дополнительное возмещение убытков потерпевшим) по учетной группе 3</w:t>
            </w:r>
          </w:p>
        </w:tc>
      </w:tr>
      <w:tr>
        <w:tc>
          <w:tcPr>
            <w:tcW w:w="907" w:type="dxa"/>
          </w:tcPr>
          <w:p>
            <w:pPr>
              <w:pStyle w:val="0"/>
            </w:pPr>
            <w:r>
              <w:rPr>
                <w:sz w:val="24"/>
              </w:rPr>
              <w:t xml:space="preserve">202</w:t>
            </w:r>
          </w:p>
        </w:tc>
        <w:tc>
          <w:tcPr>
            <w:gridSpan w:val="4"/>
            <w:tcW w:w="2923" w:type="dxa"/>
          </w:tcPr>
          <w:p>
            <w:pPr>
              <w:pStyle w:val="0"/>
            </w:pPr>
            <w:r>
              <w:rPr>
                <w:sz w:val="24"/>
              </w:rPr>
              <w:t xml:space="preserve">Количество оплаченных требований потерпевших о прямом возмещении убытков (дополнительное возмещение убытков потерпевшим)</w:t>
            </w:r>
          </w:p>
        </w:tc>
        <w:tc>
          <w:tcPr>
            <w:gridSpan w:val="2"/>
            <w:tcW w:w="2608" w:type="dxa"/>
          </w:tcPr>
          <w:p>
            <w:pPr>
              <w:pStyle w:val="0"/>
            </w:pPr>
            <w:r>
              <w:rPr>
                <w:sz w:val="24"/>
              </w:rPr>
            </w:r>
          </w:p>
        </w:tc>
        <w:tc>
          <w:tcPr>
            <w:tcW w:w="2633" w:type="dxa"/>
          </w:tcPr>
          <w:p>
            <w:pPr>
              <w:pStyle w:val="0"/>
            </w:pPr>
            <w:r>
              <w:rPr>
                <w:sz w:val="24"/>
              </w:rPr>
              <w:t xml:space="preserve">ins-dic:KolTrebDopVozmesh</w:t>
            </w:r>
          </w:p>
        </w:tc>
      </w:tr>
      <w:tr>
        <w:tc>
          <w:tcPr>
            <w:tcW w:w="907" w:type="dxa"/>
          </w:tcPr>
          <w:p>
            <w:pPr>
              <w:pStyle w:val="0"/>
            </w:pPr>
            <w:r>
              <w:rPr>
                <w:sz w:val="24"/>
              </w:rPr>
              <w:t xml:space="preserve">202.1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202.2</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1576" w:name="P31576"/>
          <w:bookmarkEnd w:id="31576"/>
          <w:p>
            <w:pPr>
              <w:pStyle w:val="0"/>
              <w:outlineLvl w:val="4"/>
            </w:pPr>
            <w:r>
              <w:rPr>
                <w:sz w:val="24"/>
              </w:rPr>
              <w:t xml:space="preserve">Подраздел 2.33.</w:t>
            </w:r>
          </w:p>
        </w:tc>
        <w:tc>
          <w:tcPr>
            <w:gridSpan w:val="5"/>
            <w:tcW w:w="7257" w:type="dxa"/>
            <w:tcBorders>
              <w:right w:val="single" w:sz="4"/>
            </w:tcBorders>
          </w:tcPr>
          <w:p>
            <w:pPr>
              <w:pStyle w:val="0"/>
            </w:pPr>
            <w:r>
              <w:rPr>
                <w:sz w:val="24"/>
              </w:rPr>
              <w:t xml:space="preserve">Сумма поступивших денежных средств по требованиям об оплате возмещенного вреда по учетной группе 3</w:t>
            </w:r>
          </w:p>
        </w:tc>
      </w:tr>
      <w:tr>
        <w:tc>
          <w:tcPr>
            <w:tcW w:w="907" w:type="dxa"/>
          </w:tcPr>
          <w:p>
            <w:pPr>
              <w:pStyle w:val="0"/>
            </w:pPr>
            <w:r>
              <w:rPr>
                <w:sz w:val="24"/>
              </w:rPr>
              <w:t xml:space="preserve">203</w:t>
            </w:r>
          </w:p>
        </w:tc>
        <w:tc>
          <w:tcPr>
            <w:gridSpan w:val="4"/>
            <w:tcW w:w="2923" w:type="dxa"/>
          </w:tcPr>
          <w:p>
            <w:pPr>
              <w:pStyle w:val="0"/>
            </w:pPr>
            <w:r>
              <w:rPr>
                <w:sz w:val="24"/>
              </w:rPr>
              <w:t xml:space="preserve">Сумма поступивших денежных средств по требованиям об оплате возмещенного вреда</w:t>
            </w:r>
          </w:p>
        </w:tc>
        <w:tc>
          <w:tcPr>
            <w:gridSpan w:val="2"/>
            <w:tcW w:w="2608" w:type="dxa"/>
          </w:tcPr>
          <w:p>
            <w:pPr>
              <w:pStyle w:val="0"/>
            </w:pPr>
            <w:r>
              <w:rPr>
                <w:sz w:val="24"/>
              </w:rPr>
            </w:r>
          </w:p>
        </w:tc>
        <w:tc>
          <w:tcPr>
            <w:tcW w:w="2633" w:type="dxa"/>
          </w:tcPr>
          <w:p>
            <w:pPr>
              <w:pStyle w:val="0"/>
            </w:pPr>
            <w:r>
              <w:rPr>
                <w:sz w:val="24"/>
              </w:rPr>
              <w:t xml:space="preserve">ins-dic:SumPostDenSrPoTrebOplVozmeshVreda</w:t>
            </w:r>
          </w:p>
        </w:tc>
      </w:tr>
      <w:tr>
        <w:tc>
          <w:tcPr>
            <w:tcW w:w="907" w:type="dxa"/>
          </w:tcPr>
          <w:p>
            <w:pPr>
              <w:pStyle w:val="0"/>
            </w:pPr>
            <w:r>
              <w:rPr>
                <w:sz w:val="24"/>
              </w:rPr>
              <w:t xml:space="preserve">203.1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203.2</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1590" w:name="P31590"/>
          <w:bookmarkEnd w:id="31590"/>
          <w:p>
            <w:pPr>
              <w:pStyle w:val="0"/>
              <w:outlineLvl w:val="4"/>
            </w:pPr>
            <w:r>
              <w:rPr>
                <w:sz w:val="24"/>
              </w:rPr>
              <w:t xml:space="preserve">Подраздел 2.34.</w:t>
            </w:r>
          </w:p>
        </w:tc>
        <w:tc>
          <w:tcPr>
            <w:gridSpan w:val="5"/>
            <w:tcW w:w="7257" w:type="dxa"/>
            <w:tcBorders>
              <w:right w:val="single" w:sz="4"/>
            </w:tcBorders>
          </w:tcPr>
          <w:p>
            <w:pPr>
              <w:pStyle w:val="0"/>
            </w:pPr>
            <w:r>
              <w:rPr>
                <w:sz w:val="24"/>
              </w:rPr>
              <w:t xml:space="preserve">Количество требований об оплате возмещенного вреда, по которым поступили денежные средства, по учетной группе 3</w:t>
            </w:r>
          </w:p>
        </w:tc>
      </w:tr>
      <w:tr>
        <w:tc>
          <w:tcPr>
            <w:tcW w:w="907" w:type="dxa"/>
          </w:tcPr>
          <w:p>
            <w:pPr>
              <w:pStyle w:val="0"/>
            </w:pPr>
            <w:r>
              <w:rPr>
                <w:sz w:val="24"/>
              </w:rPr>
              <w:t xml:space="preserve">204</w:t>
            </w:r>
          </w:p>
        </w:tc>
        <w:tc>
          <w:tcPr>
            <w:gridSpan w:val="4"/>
            <w:tcW w:w="2923" w:type="dxa"/>
          </w:tcPr>
          <w:p>
            <w:pPr>
              <w:pStyle w:val="0"/>
            </w:pPr>
            <w:r>
              <w:rPr>
                <w:sz w:val="24"/>
              </w:rPr>
              <w:t xml:space="preserve">Количество требований об оплате возмещенного вреда, по которым поступили денежные средства</w:t>
            </w:r>
          </w:p>
        </w:tc>
        <w:tc>
          <w:tcPr>
            <w:gridSpan w:val="2"/>
            <w:tcW w:w="2608" w:type="dxa"/>
          </w:tcPr>
          <w:p>
            <w:pPr>
              <w:pStyle w:val="0"/>
            </w:pPr>
            <w:r>
              <w:rPr>
                <w:sz w:val="24"/>
              </w:rPr>
            </w:r>
          </w:p>
        </w:tc>
        <w:tc>
          <w:tcPr>
            <w:tcW w:w="2633" w:type="dxa"/>
          </w:tcPr>
          <w:p>
            <w:pPr>
              <w:pStyle w:val="0"/>
            </w:pPr>
            <w:r>
              <w:rPr>
                <w:sz w:val="24"/>
              </w:rPr>
              <w:t xml:space="preserve">ins-dic:KolichestvoTrebObOplateVozmeschennogoVredaPoKotPostDenSr</w:t>
            </w:r>
          </w:p>
        </w:tc>
      </w:tr>
      <w:tr>
        <w:tc>
          <w:tcPr>
            <w:tcW w:w="907" w:type="dxa"/>
          </w:tcPr>
          <w:p>
            <w:pPr>
              <w:pStyle w:val="0"/>
            </w:pPr>
            <w:r>
              <w:rPr>
                <w:sz w:val="24"/>
              </w:rPr>
              <w:t xml:space="preserve">204.1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dim-int:Perechen_Uchet_GruppAxis</w:t>
            </w:r>
          </w:p>
        </w:tc>
      </w:tr>
      <w:tr>
        <w:tc>
          <w:tcPr>
            <w:tcW w:w="907" w:type="dxa"/>
          </w:tcPr>
          <w:p>
            <w:pPr>
              <w:pStyle w:val="0"/>
            </w:pPr>
            <w:r>
              <w:rPr>
                <w:sz w:val="24"/>
              </w:rPr>
              <w:t xml:space="preserve">204.2</w:t>
            </w:r>
          </w:p>
        </w:tc>
        <w:tc>
          <w:tcPr>
            <w:gridSpan w:val="4"/>
            <w:tcW w:w="2923" w:type="dxa"/>
          </w:tcPr>
          <w:p>
            <w:pPr>
              <w:pStyle w:val="0"/>
            </w:pPr>
            <w:r>
              <w:rPr>
                <w:sz w:val="24"/>
              </w:rPr>
            </w:r>
          </w:p>
        </w:tc>
        <w:tc>
          <w:tcPr>
            <w:gridSpan w:val="2"/>
            <w:tcW w:w="2608" w:type="dxa"/>
          </w:tcPr>
          <w:p>
            <w:pPr>
              <w:pStyle w:val="0"/>
            </w:pPr>
            <w:r>
              <w:rPr>
                <w:sz w:val="24"/>
              </w:rPr>
              <w:t xml:space="preserve">Период (квартал и год) наступления страхового случая</w:t>
            </w:r>
          </w:p>
        </w:tc>
        <w:tc>
          <w:tcPr>
            <w:tcW w:w="2633" w:type="dxa"/>
          </w:tcPr>
          <w:p>
            <w:pPr>
              <w:pStyle w:val="0"/>
            </w:pPr>
            <w:r>
              <w:rPr>
                <w:sz w:val="24"/>
              </w:rPr>
              <w:t xml:space="preserve">dim-int:Period_KvartalIGod_NastupleniyaStraxovogoSluchayaTaxis</w:t>
            </w:r>
          </w:p>
        </w:tc>
      </w:tr>
      <w:tr>
        <w:tblPrEx>
          <w:tblBorders>
            <w:insideV w:val="nil"/>
          </w:tblBorders>
        </w:tblPrEx>
        <w:tc>
          <w:tcPr>
            <w:gridSpan w:val="3"/>
            <w:tcW w:w="1814" w:type="dxa"/>
            <w:tcBorders>
              <w:left w:val="single" w:sz="4"/>
            </w:tcBorders>
          </w:tcPr>
          <w:bookmarkStart w:id="31604" w:name="P31604"/>
          <w:bookmarkEnd w:id="31604"/>
          <w:p>
            <w:pPr>
              <w:pStyle w:val="0"/>
              <w:outlineLvl w:val="4"/>
            </w:pPr>
            <w:r>
              <w:rPr>
                <w:sz w:val="24"/>
              </w:rPr>
              <w:t xml:space="preserve">Подраздел 2.35.</w:t>
            </w:r>
          </w:p>
        </w:tc>
        <w:tc>
          <w:tcPr>
            <w:gridSpan w:val="5"/>
            <w:tcW w:w="7257" w:type="dxa"/>
            <w:tcBorders>
              <w:right w:val="single" w:sz="4"/>
            </w:tcBorders>
          </w:tcPr>
          <w:p>
            <w:pPr>
              <w:pStyle w:val="0"/>
            </w:pPr>
            <w:r>
              <w:rPr>
                <w:sz w:val="24"/>
              </w:rPr>
              <w:t xml:space="preserve">Денежные потоки при оценке страховых резервов по учетной группе (дополнительной учетной группе)</w:t>
            </w:r>
          </w:p>
        </w:tc>
      </w:tr>
      <w:tr>
        <w:tc>
          <w:tcPr>
            <w:tcW w:w="907" w:type="dxa"/>
          </w:tcPr>
          <w:bookmarkStart w:id="31606" w:name="P31606"/>
          <w:bookmarkEnd w:id="31606"/>
          <w:p>
            <w:pPr>
              <w:pStyle w:val="0"/>
            </w:pPr>
            <w:r>
              <w:rPr>
                <w:sz w:val="24"/>
              </w:rPr>
              <w:t xml:space="preserve">205</w:t>
            </w:r>
          </w:p>
        </w:tc>
        <w:tc>
          <w:tcPr>
            <w:gridSpan w:val="4"/>
            <w:tcW w:w="2923" w:type="dxa"/>
          </w:tcPr>
          <w:p>
            <w:pPr>
              <w:pStyle w:val="0"/>
            </w:pPr>
            <w:r>
              <w:rPr>
                <w:sz w:val="24"/>
              </w:rPr>
              <w:t xml:space="preserve">Исходящие денежные потоки при оценке ДПП: расходы на заключение (аквизицию)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ins-dic:IsxDenPotRasxZaklDogStrSostrVxodPerestr</w:t>
            </w:r>
          </w:p>
        </w:tc>
      </w:tr>
      <w:tr>
        <w:tc>
          <w:tcPr>
            <w:tcW w:w="907" w:type="dxa"/>
          </w:tcPr>
          <w:p>
            <w:pPr>
              <w:pStyle w:val="0"/>
            </w:pPr>
            <w:r>
              <w:rPr>
                <w:sz w:val="24"/>
              </w:rPr>
              <w:t xml:space="preserve">205.1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205.2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618" w:name="P31618"/>
          <w:bookmarkEnd w:id="31618"/>
          <w:p>
            <w:pPr>
              <w:pStyle w:val="0"/>
            </w:pPr>
            <w:r>
              <w:rPr>
                <w:sz w:val="24"/>
              </w:rPr>
              <w:t xml:space="preserve">206</w:t>
            </w:r>
          </w:p>
        </w:tc>
        <w:tc>
          <w:tcPr>
            <w:gridSpan w:val="4"/>
            <w:tcW w:w="2923" w:type="dxa"/>
          </w:tcPr>
          <w:p>
            <w:pPr>
              <w:pStyle w:val="0"/>
            </w:pPr>
            <w:r>
              <w:rPr>
                <w:sz w:val="24"/>
              </w:rPr>
              <w:t xml:space="preserve">Исходящие денежные потоки при оценке ДПП: расходы на сопровождение договоров страхования, сострахования и входящего перестрахования</w:t>
            </w:r>
          </w:p>
        </w:tc>
        <w:tc>
          <w:tcPr>
            <w:gridSpan w:val="2"/>
            <w:tcW w:w="2608" w:type="dxa"/>
          </w:tcPr>
          <w:p>
            <w:pPr>
              <w:pStyle w:val="0"/>
            </w:pPr>
            <w:r>
              <w:rPr>
                <w:sz w:val="24"/>
              </w:rPr>
            </w:r>
          </w:p>
        </w:tc>
        <w:tc>
          <w:tcPr>
            <w:tcW w:w="2633" w:type="dxa"/>
          </w:tcPr>
          <w:p>
            <w:pPr>
              <w:pStyle w:val="0"/>
            </w:pPr>
            <w:r>
              <w:rPr>
                <w:sz w:val="24"/>
              </w:rPr>
              <w:t xml:space="preserve">ins-dic:IsxDenPotRasxSoprDogStrSostrVxodPerestr</w:t>
            </w:r>
          </w:p>
        </w:tc>
      </w:tr>
      <w:tr>
        <w:tc>
          <w:tcPr>
            <w:tcW w:w="907" w:type="dxa"/>
          </w:tcPr>
          <w:p>
            <w:pPr>
              <w:pStyle w:val="0"/>
            </w:pPr>
            <w:r>
              <w:rPr>
                <w:sz w:val="24"/>
              </w:rPr>
              <w:t xml:space="preserve">206.1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206.2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630" w:name="P31630"/>
          <w:bookmarkEnd w:id="31630"/>
          <w:p>
            <w:pPr>
              <w:pStyle w:val="0"/>
            </w:pPr>
            <w:r>
              <w:rPr>
                <w:sz w:val="24"/>
              </w:rPr>
              <w:t xml:space="preserve">207</w:t>
            </w:r>
          </w:p>
        </w:tc>
        <w:tc>
          <w:tcPr>
            <w:gridSpan w:val="4"/>
            <w:tcW w:w="2923" w:type="dxa"/>
          </w:tcPr>
          <w:p>
            <w:pPr>
              <w:pStyle w:val="0"/>
            </w:pPr>
            <w:r>
              <w:rPr>
                <w:sz w:val="24"/>
              </w:rPr>
              <w:t xml:space="preserve">Исходящие денежные потоки при оценке ДПП: расходы на исполнение обязательств страховщика по страховым случаям</w:t>
            </w:r>
          </w:p>
        </w:tc>
        <w:tc>
          <w:tcPr>
            <w:gridSpan w:val="2"/>
            <w:tcW w:w="2608" w:type="dxa"/>
          </w:tcPr>
          <w:p>
            <w:pPr>
              <w:pStyle w:val="0"/>
            </w:pPr>
            <w:r>
              <w:rPr>
                <w:sz w:val="24"/>
              </w:rPr>
            </w:r>
          </w:p>
        </w:tc>
        <w:tc>
          <w:tcPr>
            <w:tcW w:w="2633" w:type="dxa"/>
          </w:tcPr>
          <w:p>
            <w:pPr>
              <w:pStyle w:val="0"/>
            </w:pPr>
            <w:r>
              <w:rPr>
                <w:sz w:val="24"/>
              </w:rPr>
              <w:t xml:space="preserve">ins-dic:IsxDenPotRasxIspObyazStraxPoStraxSluch</w:t>
            </w:r>
          </w:p>
        </w:tc>
      </w:tr>
      <w:tr>
        <w:tc>
          <w:tcPr>
            <w:tcW w:w="907" w:type="dxa"/>
          </w:tcPr>
          <w:p>
            <w:pPr>
              <w:pStyle w:val="0"/>
            </w:pPr>
            <w:r>
              <w:rPr>
                <w:sz w:val="24"/>
              </w:rPr>
              <w:t xml:space="preserve">207.1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207.2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642" w:name="P31642"/>
          <w:bookmarkEnd w:id="31642"/>
          <w:p>
            <w:pPr>
              <w:pStyle w:val="0"/>
            </w:pPr>
            <w:r>
              <w:rPr>
                <w:sz w:val="24"/>
              </w:rPr>
              <w:t xml:space="preserve">208</w:t>
            </w:r>
          </w:p>
        </w:tc>
        <w:tc>
          <w:tcPr>
            <w:gridSpan w:val="4"/>
            <w:tcW w:w="2923" w:type="dxa"/>
          </w:tcPr>
          <w:p>
            <w:pPr>
              <w:pStyle w:val="0"/>
            </w:pPr>
            <w:r>
              <w:rPr>
                <w:sz w:val="24"/>
              </w:rPr>
              <w:t xml:space="preserve">Прочие исходящие денежные потоки при оценке ДПП</w:t>
            </w:r>
          </w:p>
        </w:tc>
        <w:tc>
          <w:tcPr>
            <w:gridSpan w:val="2"/>
            <w:tcW w:w="2608" w:type="dxa"/>
          </w:tcPr>
          <w:p>
            <w:pPr>
              <w:pStyle w:val="0"/>
            </w:pPr>
            <w:r>
              <w:rPr>
                <w:sz w:val="24"/>
              </w:rPr>
            </w:r>
          </w:p>
        </w:tc>
        <w:tc>
          <w:tcPr>
            <w:tcW w:w="2633" w:type="dxa"/>
          </w:tcPr>
          <w:p>
            <w:pPr>
              <w:pStyle w:val="0"/>
            </w:pPr>
            <w:r>
              <w:rPr>
                <w:sz w:val="24"/>
              </w:rPr>
              <w:t xml:space="preserve">ins-dic:ProchieIsxDenPotPriOczenkeDPP</w:t>
            </w:r>
          </w:p>
        </w:tc>
      </w:tr>
      <w:tr>
        <w:tc>
          <w:tcPr>
            <w:tcW w:w="907" w:type="dxa"/>
          </w:tcPr>
          <w:p>
            <w:pPr>
              <w:pStyle w:val="0"/>
            </w:pPr>
            <w:r>
              <w:rPr>
                <w:sz w:val="24"/>
              </w:rPr>
              <w:t xml:space="preserve">208.1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208.2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654" w:name="P31654"/>
          <w:bookmarkEnd w:id="31654"/>
          <w:p>
            <w:pPr>
              <w:pStyle w:val="0"/>
            </w:pPr>
            <w:r>
              <w:rPr>
                <w:sz w:val="24"/>
              </w:rPr>
              <w:t xml:space="preserve">209</w:t>
            </w:r>
          </w:p>
        </w:tc>
        <w:tc>
          <w:tcPr>
            <w:gridSpan w:val="4"/>
            <w:tcW w:w="2923" w:type="dxa"/>
          </w:tcPr>
          <w:p>
            <w:pPr>
              <w:pStyle w:val="0"/>
            </w:pPr>
            <w:r>
              <w:rPr>
                <w:sz w:val="24"/>
              </w:rPr>
              <w:t xml:space="preserve">Входящие денежные потоки при оценке ДПП в части поступлений страховых премий (взносов)</w:t>
            </w:r>
          </w:p>
        </w:tc>
        <w:tc>
          <w:tcPr>
            <w:gridSpan w:val="2"/>
            <w:tcW w:w="2608" w:type="dxa"/>
          </w:tcPr>
          <w:p>
            <w:pPr>
              <w:pStyle w:val="0"/>
            </w:pPr>
            <w:r>
              <w:rPr>
                <w:sz w:val="24"/>
              </w:rPr>
            </w:r>
          </w:p>
        </w:tc>
        <w:tc>
          <w:tcPr>
            <w:tcW w:w="2633" w:type="dxa"/>
          </w:tcPr>
          <w:p>
            <w:pPr>
              <w:pStyle w:val="0"/>
            </w:pPr>
            <w:r>
              <w:rPr>
                <w:sz w:val="24"/>
              </w:rPr>
              <w:t xml:space="preserve">ins-dic:VxodDenPotPriOczenkeDPPPostStraxPremijVznosov</w:t>
            </w:r>
          </w:p>
        </w:tc>
      </w:tr>
      <w:tr>
        <w:tc>
          <w:tcPr>
            <w:tcW w:w="907" w:type="dxa"/>
          </w:tcPr>
          <w:p>
            <w:pPr>
              <w:pStyle w:val="0"/>
            </w:pPr>
            <w:r>
              <w:rPr>
                <w:sz w:val="24"/>
              </w:rPr>
              <w:t xml:space="preserve">209.1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209.2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666" w:name="P31666"/>
          <w:bookmarkEnd w:id="31666"/>
          <w:p>
            <w:pPr>
              <w:pStyle w:val="0"/>
            </w:pPr>
            <w:r>
              <w:rPr>
                <w:sz w:val="24"/>
              </w:rPr>
              <w:t xml:space="preserve">210</w:t>
            </w:r>
          </w:p>
        </w:tc>
        <w:tc>
          <w:tcPr>
            <w:gridSpan w:val="4"/>
            <w:tcW w:w="2923" w:type="dxa"/>
          </w:tcPr>
          <w:p>
            <w:pPr>
              <w:pStyle w:val="0"/>
            </w:pPr>
            <w:r>
              <w:rPr>
                <w:sz w:val="24"/>
              </w:rPr>
              <w:t xml:space="preserve">Входящие денежные потоки при оценке ДПП в части поступлений по суброгациям, регрессам и от реализации годных остатков</w:t>
            </w:r>
          </w:p>
        </w:tc>
        <w:tc>
          <w:tcPr>
            <w:gridSpan w:val="2"/>
            <w:tcW w:w="2608" w:type="dxa"/>
          </w:tcPr>
          <w:p>
            <w:pPr>
              <w:pStyle w:val="0"/>
            </w:pPr>
            <w:r>
              <w:rPr>
                <w:sz w:val="24"/>
              </w:rPr>
            </w:r>
          </w:p>
        </w:tc>
        <w:tc>
          <w:tcPr>
            <w:tcW w:w="2633" w:type="dxa"/>
          </w:tcPr>
          <w:p>
            <w:pPr>
              <w:pStyle w:val="0"/>
            </w:pPr>
            <w:r>
              <w:rPr>
                <w:sz w:val="24"/>
              </w:rPr>
              <w:t xml:space="preserve">ins-dic:VxodDenPotPriOczenkeDPPPostPoSubrogacziyamRegressamGO</w:t>
            </w:r>
          </w:p>
        </w:tc>
      </w:tr>
      <w:tr>
        <w:tc>
          <w:tcPr>
            <w:tcW w:w="907" w:type="dxa"/>
          </w:tcPr>
          <w:p>
            <w:pPr>
              <w:pStyle w:val="0"/>
            </w:pPr>
            <w:r>
              <w:rPr>
                <w:sz w:val="24"/>
              </w:rPr>
              <w:t xml:space="preserve">210.1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210.2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678" w:name="P31678"/>
          <w:bookmarkEnd w:id="31678"/>
          <w:p>
            <w:pPr>
              <w:pStyle w:val="0"/>
            </w:pPr>
            <w:r>
              <w:rPr>
                <w:sz w:val="24"/>
              </w:rPr>
              <w:t xml:space="preserve">211</w:t>
            </w:r>
          </w:p>
        </w:tc>
        <w:tc>
          <w:tcPr>
            <w:gridSpan w:val="4"/>
            <w:tcW w:w="2923" w:type="dxa"/>
          </w:tcPr>
          <w:p>
            <w:pPr>
              <w:pStyle w:val="0"/>
            </w:pPr>
            <w:r>
              <w:rPr>
                <w:sz w:val="24"/>
              </w:rPr>
              <w:t xml:space="preserve">Прочие входящие денежные потоки при оценке ДПП</w:t>
            </w:r>
          </w:p>
        </w:tc>
        <w:tc>
          <w:tcPr>
            <w:gridSpan w:val="2"/>
            <w:tcW w:w="2608" w:type="dxa"/>
          </w:tcPr>
          <w:p>
            <w:pPr>
              <w:pStyle w:val="0"/>
            </w:pPr>
            <w:r>
              <w:rPr>
                <w:sz w:val="24"/>
              </w:rPr>
            </w:r>
          </w:p>
        </w:tc>
        <w:tc>
          <w:tcPr>
            <w:tcW w:w="2633" w:type="dxa"/>
          </w:tcPr>
          <w:p>
            <w:pPr>
              <w:pStyle w:val="0"/>
            </w:pPr>
            <w:r>
              <w:rPr>
                <w:sz w:val="24"/>
              </w:rPr>
              <w:t xml:space="preserve">ins-dic:ProchieVxodyashhieDenezhnyePotokiPriOczenkeDPP</w:t>
            </w:r>
          </w:p>
        </w:tc>
      </w:tr>
      <w:tr>
        <w:tc>
          <w:tcPr>
            <w:tcW w:w="907" w:type="dxa"/>
          </w:tcPr>
          <w:p>
            <w:pPr>
              <w:pStyle w:val="0"/>
            </w:pPr>
            <w:r>
              <w:rPr>
                <w:sz w:val="24"/>
              </w:rPr>
              <w:t xml:space="preserve">211.1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211.2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690" w:name="P31690"/>
          <w:bookmarkEnd w:id="31690"/>
          <w:p>
            <w:pPr>
              <w:pStyle w:val="0"/>
            </w:pPr>
            <w:r>
              <w:rPr>
                <w:sz w:val="24"/>
              </w:rPr>
              <w:t xml:space="preserve">212</w:t>
            </w:r>
          </w:p>
        </w:tc>
        <w:tc>
          <w:tcPr>
            <w:gridSpan w:val="4"/>
            <w:tcW w:w="2923" w:type="dxa"/>
          </w:tcPr>
          <w:p>
            <w:pPr>
              <w:pStyle w:val="0"/>
            </w:pPr>
            <w:r>
              <w:rPr>
                <w:sz w:val="24"/>
              </w:rPr>
              <w:t xml:space="preserve">Исходящие денежные потоки при оценке ДПУ: расходы на исполнение обязательств страховщика по страховым случаям</w:t>
            </w:r>
          </w:p>
        </w:tc>
        <w:tc>
          <w:tcPr>
            <w:gridSpan w:val="2"/>
            <w:tcW w:w="2608" w:type="dxa"/>
          </w:tcPr>
          <w:p>
            <w:pPr>
              <w:pStyle w:val="0"/>
            </w:pPr>
            <w:r>
              <w:rPr>
                <w:sz w:val="24"/>
              </w:rPr>
            </w:r>
          </w:p>
        </w:tc>
        <w:tc>
          <w:tcPr>
            <w:tcW w:w="2633" w:type="dxa"/>
          </w:tcPr>
          <w:p>
            <w:pPr>
              <w:pStyle w:val="0"/>
            </w:pPr>
            <w:r>
              <w:rPr>
                <w:sz w:val="24"/>
              </w:rPr>
              <w:t xml:space="preserve">ins-dic:IsxDenPotPriOczenkeDPURasxIspObyazStraxPoStraxSluch</w:t>
            </w:r>
          </w:p>
        </w:tc>
      </w:tr>
      <w:tr>
        <w:tc>
          <w:tcPr>
            <w:tcW w:w="907" w:type="dxa"/>
          </w:tcPr>
          <w:p>
            <w:pPr>
              <w:pStyle w:val="0"/>
            </w:pPr>
            <w:r>
              <w:rPr>
                <w:sz w:val="24"/>
              </w:rPr>
              <w:t xml:space="preserve">212.1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212.2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tcW w:w="907" w:type="dxa"/>
          </w:tcPr>
          <w:bookmarkStart w:id="31702" w:name="P31702"/>
          <w:bookmarkEnd w:id="31702"/>
          <w:p>
            <w:pPr>
              <w:pStyle w:val="0"/>
            </w:pPr>
            <w:r>
              <w:rPr>
                <w:sz w:val="24"/>
              </w:rPr>
              <w:t xml:space="preserve">213</w:t>
            </w:r>
          </w:p>
        </w:tc>
        <w:tc>
          <w:tcPr>
            <w:gridSpan w:val="4"/>
            <w:tcW w:w="2923" w:type="dxa"/>
          </w:tcPr>
          <w:p>
            <w:pPr>
              <w:pStyle w:val="0"/>
            </w:pPr>
            <w:r>
              <w:rPr>
                <w:sz w:val="24"/>
              </w:rPr>
              <w:t xml:space="preserve">Исходящие денежные потоки при оценке РПВУ: расходы на исполнение обязательств по прямому возмещению убытков</w:t>
            </w:r>
          </w:p>
        </w:tc>
        <w:tc>
          <w:tcPr>
            <w:gridSpan w:val="2"/>
            <w:tcW w:w="2608" w:type="dxa"/>
          </w:tcPr>
          <w:p>
            <w:pPr>
              <w:pStyle w:val="0"/>
            </w:pPr>
            <w:r>
              <w:rPr>
                <w:sz w:val="24"/>
              </w:rPr>
            </w:r>
          </w:p>
        </w:tc>
        <w:tc>
          <w:tcPr>
            <w:tcW w:w="2633" w:type="dxa"/>
          </w:tcPr>
          <w:p>
            <w:pPr>
              <w:pStyle w:val="0"/>
            </w:pPr>
            <w:r>
              <w:rPr>
                <w:sz w:val="24"/>
              </w:rPr>
              <w:t xml:space="preserve">ins-dic:IsxDenPotPriOczenkeRPVURasxIspObyazPoPrVozmUb</w:t>
            </w:r>
          </w:p>
        </w:tc>
      </w:tr>
      <w:tr>
        <w:tc>
          <w:tcPr>
            <w:tcW w:w="907" w:type="dxa"/>
          </w:tcPr>
          <w:p>
            <w:pPr>
              <w:pStyle w:val="0"/>
            </w:pPr>
            <w:r>
              <w:rPr>
                <w:sz w:val="24"/>
              </w:rPr>
              <w:t xml:space="preserve">213.1</w:t>
            </w:r>
          </w:p>
        </w:tc>
        <w:tc>
          <w:tcPr>
            <w:gridSpan w:val="4"/>
            <w:tcW w:w="2923" w:type="dxa"/>
          </w:tcPr>
          <w:p>
            <w:pPr>
              <w:pStyle w:val="0"/>
            </w:pPr>
            <w:r>
              <w:rPr>
                <w:sz w:val="24"/>
              </w:rPr>
            </w:r>
          </w:p>
        </w:tc>
        <w:tc>
          <w:tcPr>
            <w:gridSpan w:val="2"/>
            <w:tcW w:w="2608" w:type="dxa"/>
          </w:tcPr>
          <w:p>
            <w:pPr>
              <w:pStyle w:val="0"/>
            </w:pPr>
            <w:r>
              <w:rPr>
                <w:sz w:val="24"/>
              </w:rPr>
              <w:t xml:space="preserve">Перечень учетных групп</w:t>
            </w:r>
          </w:p>
        </w:tc>
        <w:tc>
          <w:tcPr>
            <w:tcW w:w="2633" w:type="dxa"/>
          </w:tcPr>
          <w:p>
            <w:pPr>
              <w:pStyle w:val="0"/>
            </w:pPr>
            <w:r>
              <w:rPr>
                <w:sz w:val="24"/>
              </w:rPr>
              <w:t xml:space="preserve">dim-int:Perechen_Uchet_Grupp_Axis</w:t>
            </w:r>
          </w:p>
        </w:tc>
      </w:tr>
      <w:tr>
        <w:tc>
          <w:tcPr>
            <w:tcW w:w="907" w:type="dxa"/>
          </w:tcPr>
          <w:p>
            <w:pPr>
              <w:pStyle w:val="0"/>
            </w:pPr>
            <w:r>
              <w:rPr>
                <w:sz w:val="24"/>
              </w:rPr>
              <w:t xml:space="preserve">213.2</w:t>
            </w:r>
          </w:p>
        </w:tc>
        <w:tc>
          <w:tcPr>
            <w:gridSpan w:val="4"/>
            <w:tcW w:w="2923" w:type="dxa"/>
          </w:tcPr>
          <w:p>
            <w:pPr>
              <w:pStyle w:val="0"/>
            </w:pPr>
            <w:r>
              <w:rPr>
                <w:sz w:val="24"/>
              </w:rPr>
            </w:r>
          </w:p>
        </w:tc>
        <w:tc>
          <w:tcPr>
            <w:gridSpan w:val="2"/>
            <w:tcW w:w="2608" w:type="dxa"/>
          </w:tcPr>
          <w:p>
            <w:pPr>
              <w:pStyle w:val="0"/>
            </w:pPr>
            <w:r>
              <w:rPr>
                <w:sz w:val="24"/>
              </w:rPr>
              <w:t xml:space="preserve">Перечень дополнительных учетных групп</w:t>
            </w:r>
          </w:p>
        </w:tc>
        <w:tc>
          <w:tcPr>
            <w:tcW w:w="2633" w:type="dxa"/>
          </w:tcPr>
          <w:p>
            <w:pPr>
              <w:pStyle w:val="0"/>
            </w:pPr>
            <w:r>
              <w:rPr>
                <w:sz w:val="24"/>
              </w:rPr>
              <w:t xml:space="preserve">dim-int:PerechenDopUchGruppTaxis</w:t>
            </w:r>
          </w:p>
        </w:tc>
      </w:tr>
      <w:tr>
        <w:tc>
          <w:tcPr>
            <w:gridSpan w:val="8"/>
            <w:tcW w:w="9071" w:type="dxa"/>
          </w:tcPr>
          <w:p>
            <w:pPr>
              <w:pStyle w:val="0"/>
              <w:outlineLvl w:val="3"/>
            </w:pPr>
            <w:r>
              <w:rPr>
                <w:sz w:val="24"/>
              </w:rPr>
              <w:t xml:space="preserve">Информация об актуарии, осуществившем расчет страховых резервов и доли перестраховщиков в них</w:t>
            </w:r>
          </w:p>
        </w:tc>
      </w:tr>
      <w:tr>
        <w:tc>
          <w:tcPr>
            <w:tcW w:w="907" w:type="dxa"/>
          </w:tcPr>
          <w:bookmarkStart w:id="31715" w:name="P31715"/>
          <w:bookmarkEnd w:id="31715"/>
          <w:p>
            <w:pPr>
              <w:pStyle w:val="0"/>
            </w:pPr>
            <w:r>
              <w:rPr>
                <w:sz w:val="24"/>
              </w:rPr>
              <w:t xml:space="preserve">214</w:t>
            </w:r>
          </w:p>
        </w:tc>
        <w:tc>
          <w:tcPr>
            <w:gridSpan w:val="4"/>
            <w:tcW w:w="2923" w:type="dxa"/>
          </w:tcPr>
          <w:p>
            <w:pPr>
              <w:pStyle w:val="0"/>
            </w:pPr>
            <w:r>
              <w:rPr>
                <w:sz w:val="24"/>
              </w:rPr>
              <w:t xml:space="preserve">Фамилия актуария, осуществившего расчет страховых резервов и доли перестраховщиков в них</w:t>
            </w:r>
          </w:p>
        </w:tc>
        <w:tc>
          <w:tcPr>
            <w:gridSpan w:val="2"/>
            <w:tcW w:w="2608" w:type="dxa"/>
          </w:tcPr>
          <w:p>
            <w:pPr>
              <w:pStyle w:val="0"/>
            </w:pPr>
            <w:r>
              <w:rPr>
                <w:sz w:val="24"/>
              </w:rPr>
            </w:r>
          </w:p>
        </w:tc>
        <w:tc>
          <w:tcPr>
            <w:tcW w:w="2633" w:type="dxa"/>
          </w:tcPr>
          <w:p>
            <w:pPr>
              <w:pStyle w:val="0"/>
            </w:pPr>
            <w:r>
              <w:rPr>
                <w:sz w:val="24"/>
              </w:rPr>
              <w:t xml:space="preserve">ins-dic:FamiliyaAktuariyaOsushRaschetStraxRezIDoliPerestraxovshhikov</w:t>
            </w:r>
          </w:p>
        </w:tc>
      </w:tr>
      <w:tr>
        <w:tc>
          <w:tcPr>
            <w:tcW w:w="907" w:type="dxa"/>
          </w:tcPr>
          <w:bookmarkStart w:id="31719" w:name="P31719"/>
          <w:bookmarkEnd w:id="31719"/>
          <w:p>
            <w:pPr>
              <w:pStyle w:val="0"/>
            </w:pPr>
            <w:r>
              <w:rPr>
                <w:sz w:val="24"/>
              </w:rPr>
              <w:t xml:space="preserve">215</w:t>
            </w:r>
          </w:p>
        </w:tc>
        <w:tc>
          <w:tcPr>
            <w:gridSpan w:val="4"/>
            <w:tcW w:w="2923" w:type="dxa"/>
          </w:tcPr>
          <w:p>
            <w:pPr>
              <w:pStyle w:val="0"/>
            </w:pPr>
            <w:r>
              <w:rPr>
                <w:sz w:val="24"/>
              </w:rPr>
              <w:t xml:space="preserve">Имя актуария, осуществившего расчет страховых резервов и доли перестраховщиков в них</w:t>
            </w:r>
          </w:p>
        </w:tc>
        <w:tc>
          <w:tcPr>
            <w:gridSpan w:val="2"/>
            <w:tcW w:w="2608" w:type="dxa"/>
          </w:tcPr>
          <w:p>
            <w:pPr>
              <w:pStyle w:val="0"/>
            </w:pPr>
            <w:r>
              <w:rPr>
                <w:sz w:val="24"/>
              </w:rPr>
            </w:r>
          </w:p>
        </w:tc>
        <w:tc>
          <w:tcPr>
            <w:tcW w:w="2633" w:type="dxa"/>
          </w:tcPr>
          <w:p>
            <w:pPr>
              <w:pStyle w:val="0"/>
            </w:pPr>
            <w:r>
              <w:rPr>
                <w:sz w:val="24"/>
              </w:rPr>
              <w:t xml:space="preserve">ins-dic:ImyaAktuariyaOsushRaschetStraxRezIDoliPerestraxovshhikov</w:t>
            </w:r>
          </w:p>
        </w:tc>
      </w:tr>
      <w:tr>
        <w:tc>
          <w:tcPr>
            <w:tcW w:w="907" w:type="dxa"/>
          </w:tcPr>
          <w:bookmarkStart w:id="31723" w:name="P31723"/>
          <w:bookmarkEnd w:id="31723"/>
          <w:p>
            <w:pPr>
              <w:pStyle w:val="0"/>
            </w:pPr>
            <w:r>
              <w:rPr>
                <w:sz w:val="24"/>
              </w:rPr>
              <w:t xml:space="preserve">216</w:t>
            </w:r>
          </w:p>
        </w:tc>
        <w:tc>
          <w:tcPr>
            <w:gridSpan w:val="4"/>
            <w:tcW w:w="2923" w:type="dxa"/>
          </w:tcPr>
          <w:p>
            <w:pPr>
              <w:pStyle w:val="0"/>
            </w:pPr>
            <w:r>
              <w:rPr>
                <w:sz w:val="24"/>
              </w:rPr>
              <w:t xml:space="preserve">Отчество (при наличии) актуария, осуществившего расчет страховых резервов и доли перестраховщиков в них</w:t>
            </w:r>
          </w:p>
        </w:tc>
        <w:tc>
          <w:tcPr>
            <w:gridSpan w:val="2"/>
            <w:tcW w:w="2608" w:type="dxa"/>
          </w:tcPr>
          <w:p>
            <w:pPr>
              <w:pStyle w:val="0"/>
            </w:pPr>
            <w:r>
              <w:rPr>
                <w:sz w:val="24"/>
              </w:rPr>
            </w:r>
          </w:p>
        </w:tc>
        <w:tc>
          <w:tcPr>
            <w:tcW w:w="2633" w:type="dxa"/>
          </w:tcPr>
          <w:p>
            <w:pPr>
              <w:pStyle w:val="0"/>
            </w:pPr>
            <w:r>
              <w:rPr>
                <w:sz w:val="24"/>
              </w:rPr>
              <w:t xml:space="preserve">ins-dic:OtchestvoAktuariyaOsushRaschetStraxRezIDoliPerestraxovshhikov</w:t>
            </w:r>
          </w:p>
        </w:tc>
      </w:tr>
    </w:tbl>
    <w:p>
      <w:pPr>
        <w:pStyle w:val="0"/>
        <w:ind w:firstLine="540"/>
        <w:jc w:val="both"/>
      </w:pPr>
      <w:r>
        <w:rPr>
          <w:sz w:val="24"/>
        </w:rPr>
      </w:r>
    </w:p>
    <w:p>
      <w:pPr>
        <w:pStyle w:val="0"/>
        <w:ind w:firstLine="540"/>
        <w:jc w:val="both"/>
      </w:pPr>
      <w:r>
        <w:rPr>
          <w:sz w:val="24"/>
        </w:rPr>
        <w:t xml:space="preserve">--------------------------------</w:t>
      </w:r>
    </w:p>
    <w:bookmarkStart w:id="31729" w:name="P31729"/>
    <w:bookmarkEnd w:id="31729"/>
    <w:p>
      <w:pPr>
        <w:pStyle w:val="0"/>
        <w:spacing w:before="240" w:lineRule="auto"/>
        <w:ind w:firstLine="540"/>
        <w:jc w:val="both"/>
      </w:pPr>
      <w:r>
        <w:rPr>
          <w:sz w:val="24"/>
        </w:rPr>
        <w:t xml:space="preserve">&lt;1&gt; Общероссийский </w:t>
      </w:r>
      <w:hyperlink w:history="0" r:id="rId413"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0420155 "Отчет о страховых</w:t>
      </w:r>
    </w:p>
    <w:p>
      <w:pPr>
        <w:pStyle w:val="0"/>
        <w:jc w:val="center"/>
      </w:pPr>
      <w:r>
        <w:rPr>
          <w:sz w:val="24"/>
        </w:rPr>
        <w:t xml:space="preserve">резервах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29159" w:tooltip="Отчетность по форме 0420155">
        <w:r>
          <w:rPr>
            <w:sz w:val="24"/>
            <w:color w:val="0000ff"/>
          </w:rPr>
          <w:t xml:space="preserve">форме 0420155</w:t>
        </w:r>
      </w:hyperlink>
      <w:r>
        <w:rPr>
          <w:sz w:val="24"/>
        </w:rPr>
        <w:t xml:space="preserve"> "Отчет о страховых резервах страховщика" (далее - отчетность по форме 0420155), за исключением </w:t>
      </w:r>
      <w:hyperlink w:history="0" w:anchor="P29174" w:tooltip="Раздел 1.">
        <w:r>
          <w:rPr>
            <w:sz w:val="24"/>
            <w:color w:val="0000ff"/>
          </w:rPr>
          <w:t xml:space="preserve">раздела 1</w:t>
        </w:r>
      </w:hyperlink>
      <w:r>
        <w:rPr>
          <w:sz w:val="24"/>
        </w:rPr>
        <w:t xml:space="preserve">, </w:t>
      </w:r>
      <w:hyperlink w:history="0" w:anchor="P30772" w:tooltip="Подраздел 2.25.">
        <w:r>
          <w:rPr>
            <w:sz w:val="24"/>
            <w:color w:val="0000ff"/>
          </w:rPr>
          <w:t xml:space="preserve">подразделов 2.25</w:t>
        </w:r>
      </w:hyperlink>
      <w:r>
        <w:rPr>
          <w:sz w:val="24"/>
        </w:rPr>
        <w:t xml:space="preserve">, </w:t>
      </w:r>
      <w:hyperlink w:history="0" w:anchor="P31226" w:tooltip="Подраздел 2.26.">
        <w:r>
          <w:rPr>
            <w:sz w:val="24"/>
            <w:color w:val="0000ff"/>
          </w:rPr>
          <w:t xml:space="preserve">2.26</w:t>
        </w:r>
      </w:hyperlink>
      <w:r>
        <w:rPr>
          <w:sz w:val="24"/>
        </w:rPr>
        <w:t xml:space="preserve">, </w:t>
      </w:r>
      <w:hyperlink w:history="0" w:anchor="P31604" w:tooltip="Подраздел 2.35.">
        <w:r>
          <w:rPr>
            <w:sz w:val="24"/>
            <w:color w:val="0000ff"/>
          </w:rPr>
          <w:t xml:space="preserve">2.35 раздела 2</w:t>
        </w:r>
      </w:hyperlink>
      <w:r>
        <w:rPr>
          <w:sz w:val="24"/>
        </w:rPr>
        <w:t xml:space="preserve"> и информации об актуарии, осуществившем расчет страховых резервов и доли перестраховщиков в них (далее - информация об актуарии), составляется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посредством формирования предусмотренных в ней показателей за I квартал, первое полугодие, 9 месяцев, год (далее - отчетный период) по состоянию на последний календарный день отчетного периода включительно (далее - отчетная дата).</w:t>
      </w:r>
    </w:p>
    <w:p>
      <w:pPr>
        <w:pStyle w:val="0"/>
        <w:spacing w:before="240" w:lineRule="auto"/>
        <w:ind w:firstLine="540"/>
        <w:jc w:val="both"/>
      </w:pPr>
      <w:hyperlink w:history="0" w:anchor="P29174" w:tooltip="Раздел 1.">
        <w:r>
          <w:rPr>
            <w:sz w:val="24"/>
            <w:color w:val="0000ff"/>
          </w:rPr>
          <w:t xml:space="preserve">Раздел 1</w:t>
        </w:r>
      </w:hyperlink>
      <w:r>
        <w:rPr>
          <w:sz w:val="24"/>
        </w:rPr>
        <w:t xml:space="preserve">, </w:t>
      </w:r>
      <w:hyperlink w:history="0" w:anchor="P30772" w:tooltip="Подраздел 2.25.">
        <w:r>
          <w:rPr>
            <w:sz w:val="24"/>
            <w:color w:val="0000ff"/>
          </w:rPr>
          <w:t xml:space="preserve">подразделы 2.25</w:t>
        </w:r>
      </w:hyperlink>
      <w:r>
        <w:rPr>
          <w:sz w:val="24"/>
        </w:rPr>
        <w:t xml:space="preserve">, </w:t>
      </w:r>
      <w:hyperlink w:history="0" w:anchor="P31226" w:tooltip="Подраздел 2.26.">
        <w:r>
          <w:rPr>
            <w:sz w:val="24"/>
            <w:color w:val="0000ff"/>
          </w:rPr>
          <w:t xml:space="preserve">2.26</w:t>
        </w:r>
      </w:hyperlink>
      <w:r>
        <w:rPr>
          <w:sz w:val="24"/>
        </w:rPr>
        <w:t xml:space="preserve">, </w:t>
      </w:r>
      <w:hyperlink w:history="0" w:anchor="P31604" w:tooltip="Подраздел 2.35.">
        <w:r>
          <w:rPr>
            <w:sz w:val="24"/>
            <w:color w:val="0000ff"/>
          </w:rPr>
          <w:t xml:space="preserve">2.35 раздела 2</w:t>
        </w:r>
      </w:hyperlink>
      <w:r>
        <w:rPr>
          <w:sz w:val="24"/>
        </w:rPr>
        <w:t xml:space="preserve"> и информация об актуарии отчетности по форме 0420155 составляются страховщиком посредством формирования предусмотренных в них показателей ежемесячно по состоянию на последний календарный день месяца включительно.</w:t>
      </w:r>
    </w:p>
    <w:p>
      <w:pPr>
        <w:pStyle w:val="0"/>
        <w:spacing w:before="240" w:lineRule="auto"/>
        <w:ind w:firstLine="540"/>
        <w:jc w:val="both"/>
      </w:pPr>
      <w:r>
        <w:rPr>
          <w:sz w:val="24"/>
        </w:rPr>
        <w:t xml:space="preserve">Отчетность по </w:t>
      </w:r>
      <w:hyperlink w:history="0" w:anchor="P29159" w:tooltip="Отчетность по форме 0420155">
        <w:r>
          <w:rPr>
            <w:sz w:val="24"/>
            <w:color w:val="0000ff"/>
          </w:rPr>
          <w:t xml:space="preserve">форме 0420155</w:t>
        </w:r>
      </w:hyperlink>
      <w:r>
        <w:rPr>
          <w:sz w:val="24"/>
        </w:rPr>
        <w:t xml:space="preserve"> составляется страховщиком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303" w:tooltip="9. Код валюты и основная валюта указываются в соответствии с Общероссийским классификатором валют - трехзначный цифровой код и трехбуквенный код (с использованием разделителя &quot;-&quot; (тире).">
        <w:r>
          <w:rPr>
            <w:sz w:val="24"/>
            <w:color w:val="0000ff"/>
          </w:rPr>
          <w:t xml:space="preserve">9</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Требования настоящих Порядка и сроков в отношении отражения в отчетности по </w:t>
      </w:r>
      <w:hyperlink w:history="0" w:anchor="P29159" w:tooltip="Отчетность по форме 0420155">
        <w:r>
          <w:rPr>
            <w:sz w:val="24"/>
            <w:color w:val="0000ff"/>
          </w:rPr>
          <w:t xml:space="preserve">форме 0420155</w:t>
        </w:r>
      </w:hyperlink>
      <w:r>
        <w:rPr>
          <w:sz w:val="24"/>
        </w:rPr>
        <w:t xml:space="preserve"> сведений об операциях с перестраховщиками распространяются также на акционерное общество "Российское агентство по страхованию экспортных кредитов и инвестиций" в случае, если страховщик заключал с указанным акционерным обществом в соответствии с </w:t>
      </w:r>
      <w:hyperlink w:history="0" r:id="rId414"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договоры перестрахования, в которых страховщик выступает перестрахователем (далее - договоры исходящего перестрахования).</w:t>
      </w:r>
    </w:p>
    <w:p>
      <w:pPr>
        <w:pStyle w:val="0"/>
        <w:spacing w:before="240" w:lineRule="auto"/>
        <w:ind w:firstLine="540"/>
        <w:jc w:val="both"/>
      </w:pPr>
      <w:r>
        <w:rPr>
          <w:sz w:val="24"/>
        </w:rPr>
        <w:t xml:space="preserve">2. При составлении отчетности по </w:t>
      </w:r>
      <w:hyperlink w:history="0" w:anchor="P29159" w:tooltip="Отчетность по форме 0420155">
        <w:r>
          <w:rPr>
            <w:sz w:val="24"/>
            <w:color w:val="0000ff"/>
          </w:rPr>
          <w:t xml:space="preserve">форме 0420155</w:t>
        </w:r>
      </w:hyperlink>
      <w:r>
        <w:rPr>
          <w:sz w:val="24"/>
        </w:rPr>
        <w:t xml:space="preserve"> страховщик должен руководствоваться </w:t>
      </w:r>
      <w:hyperlink w:history="0" r:id="rId41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от 17 июня 2025 года N 858-П "О требованиях к финансовой устойчивости и платежеспособности страховщиков" &lt;1&gt; (далее - Положение Банка России N 858-П).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27 августа 2025 года, регистрационный N 83340.</w:t>
      </w:r>
    </w:p>
    <w:p>
      <w:pPr>
        <w:pStyle w:val="0"/>
        <w:ind w:firstLine="540"/>
        <w:jc w:val="both"/>
      </w:pPr>
      <w:r>
        <w:rPr>
          <w:sz w:val="24"/>
        </w:rPr>
      </w:r>
    </w:p>
    <w:p>
      <w:pPr>
        <w:pStyle w:val="0"/>
        <w:ind w:firstLine="540"/>
        <w:jc w:val="both"/>
      </w:pPr>
      <w:r>
        <w:rPr>
          <w:sz w:val="24"/>
        </w:rPr>
        <w:t xml:space="preserve">3. Отчетность по </w:t>
      </w:r>
      <w:hyperlink w:history="0" w:anchor="P29159" w:tooltip="Отчетность по форме 0420155">
        <w:r>
          <w:rPr>
            <w:sz w:val="24"/>
            <w:color w:val="0000ff"/>
          </w:rPr>
          <w:t xml:space="preserve">форме 0420155</w:t>
        </w:r>
      </w:hyperlink>
      <w:r>
        <w:rPr>
          <w:sz w:val="24"/>
        </w:rPr>
        <w:t xml:space="preserve"> составляется на основании данных расчета страховых резервов и доли перестраховщиков в них в соответствии с разработанными и утвержденными страховщиком положениями о формировании страховых резервов.</w:t>
      </w:r>
    </w:p>
    <w:p>
      <w:pPr>
        <w:pStyle w:val="0"/>
        <w:spacing w:before="240" w:lineRule="auto"/>
        <w:ind w:firstLine="540"/>
        <w:jc w:val="both"/>
      </w:pPr>
      <w:r>
        <w:rPr>
          <w:sz w:val="24"/>
        </w:rPr>
        <w:t xml:space="preserve">4. Номера и наименования учетных групп, предусмотренных </w:t>
      </w:r>
      <w:hyperlink w:history="0" r:id="rId41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подпунктами 5.1.3</w:t>
        </w:r>
      </w:hyperlink>
      <w:r>
        <w:rPr>
          <w:sz w:val="24"/>
        </w:rPr>
        <w:t xml:space="preserve"> и </w:t>
      </w:r>
      <w:hyperlink w:history="0" r:id="rId41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5.1.4 пункта 5.1</w:t>
        </w:r>
      </w:hyperlink>
      <w:r>
        <w:rPr>
          <w:sz w:val="24"/>
        </w:rPr>
        <w:t xml:space="preserve"> Положения Банка России N 858-П (далее - учетные группы), указываются по аналитическим признакам группы аналитических признаков "Перечень учетных групп".</w:t>
      </w:r>
    </w:p>
    <w:p>
      <w:pPr>
        <w:pStyle w:val="0"/>
        <w:spacing w:before="240" w:lineRule="auto"/>
        <w:ind w:firstLine="540"/>
        <w:jc w:val="both"/>
      </w:pPr>
      <w:r>
        <w:rPr>
          <w:sz w:val="24"/>
        </w:rPr>
        <w:t xml:space="preserve">В случае если по решению страховщика учетные группы, предусмотренные </w:t>
      </w:r>
      <w:hyperlink w:history="0" r:id="rId41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5.1.3 пункта 5.1</w:t>
        </w:r>
      </w:hyperlink>
      <w:r>
        <w:rPr>
          <w:sz w:val="24"/>
        </w:rPr>
        <w:t xml:space="preserve"> Положения Банка России N 858-П, разделены в соответствии с </w:t>
      </w:r>
      <w:hyperlink w:history="0" r:id="rId41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5.1.6 пункта 5.1</w:t>
        </w:r>
      </w:hyperlink>
      <w:r>
        <w:rPr>
          <w:sz w:val="24"/>
        </w:rPr>
        <w:t xml:space="preserve"> Положения Банка России N 858-П на дополнительные учетные группы, номера и наименования дополнительных учетных групп, входящих в состав указанных учетных групп, указываются по группе аналитических признаков "Перечень дополнительных учетных групп" с соблюдением следующей последовательности: номер дополнительной учетной группы - наименование дополнительной учетной группы. Номер дополнительной учетной группы состоит из двух частей, разделенных символом "." (точка), где первая часть - номер учетной группы, которая разделена на дополнительные учетные группы, вторая часть - номер дополнительной учетной группы.</w:t>
      </w:r>
    </w:p>
    <w:p>
      <w:pPr>
        <w:pStyle w:val="0"/>
        <w:spacing w:before="240" w:lineRule="auto"/>
        <w:ind w:firstLine="540"/>
        <w:jc w:val="both"/>
      </w:pPr>
      <w:r>
        <w:rPr>
          <w:sz w:val="24"/>
        </w:rPr>
        <w:t xml:space="preserve">Договоры страхования, сострахования, перестрахования, относящиеся к учетным группам 1 - 17, дополнительным учетным группам, входящим в состав указанных учетных групп, отражаются по аналитическому признаку "Договор страхования, сострахования, перестрахования относится к страхованию иному, чем страхование жизни" группы аналитических признаков "Вид договора страхования, перестрахования".</w:t>
      </w:r>
    </w:p>
    <w:p>
      <w:pPr>
        <w:pStyle w:val="0"/>
        <w:spacing w:before="240" w:lineRule="auto"/>
        <w:ind w:firstLine="540"/>
        <w:jc w:val="both"/>
      </w:pPr>
      <w:r>
        <w:rPr>
          <w:sz w:val="24"/>
        </w:rPr>
        <w:t xml:space="preserve">Договоры страхования, сострахования, перестрахования, относящиеся к учетным группам 18 - 21, отражаются по аналитическому признаку "Договор страхования, сострахования, перестрахования относится к страхованию жизни" группы аналитических признаков "Вид договора страхования, перестрахования".</w:t>
      </w:r>
    </w:p>
    <w:p>
      <w:pPr>
        <w:pStyle w:val="0"/>
        <w:spacing w:before="240" w:lineRule="auto"/>
        <w:ind w:firstLine="540"/>
        <w:jc w:val="both"/>
      </w:pPr>
      <w:r>
        <w:rPr>
          <w:sz w:val="24"/>
        </w:rPr>
        <w:t xml:space="preserve">Страховщик должен обеспечить сопоставимость данных отчетности по </w:t>
      </w:r>
      <w:hyperlink w:history="0" w:anchor="P29159" w:tooltip="Отчетность по форме 0420155">
        <w:r>
          <w:rPr>
            <w:sz w:val="24"/>
            <w:color w:val="0000ff"/>
          </w:rPr>
          <w:t xml:space="preserve">форме 0420155</w:t>
        </w:r>
      </w:hyperlink>
      <w:r>
        <w:rPr>
          <w:sz w:val="24"/>
        </w:rPr>
        <w:t xml:space="preserve"> по учетным группам, дополнительным учетным группам, входящим в состав учетных групп, за периоды, предшествующие отчетному периоду.</w:t>
      </w:r>
    </w:p>
    <w:p>
      <w:pPr>
        <w:pStyle w:val="0"/>
        <w:spacing w:before="240" w:lineRule="auto"/>
        <w:ind w:firstLine="540"/>
        <w:jc w:val="both"/>
      </w:pPr>
      <w:r>
        <w:rPr>
          <w:sz w:val="24"/>
        </w:rPr>
        <w:t xml:space="preserve">5. По показателям </w:t>
      </w:r>
      <w:hyperlink w:history="0" w:anchor="P29174" w:tooltip="Раздел 1.">
        <w:r>
          <w:rPr>
            <w:sz w:val="24"/>
            <w:color w:val="0000ff"/>
          </w:rPr>
          <w:t xml:space="preserve">раздела 1</w:t>
        </w:r>
      </w:hyperlink>
      <w:r>
        <w:rPr>
          <w:sz w:val="24"/>
        </w:rPr>
        <w:t xml:space="preserve"> отчетности по форме 0420155 отражаются сведения о сформированных страховщиком в соответствии с </w:t>
      </w:r>
      <w:hyperlink w:history="0" r:id="rId42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5</w:t>
        </w:r>
      </w:hyperlink>
      <w:r>
        <w:rPr>
          <w:sz w:val="24"/>
        </w:rPr>
        <w:t xml:space="preserve"> Положения Банка России N 858-П страховых резервах и доле перестраховщиков в них по состоянию на конец месяца и на конец года, предшествующего отчетному периоду.</w:t>
      </w:r>
    </w:p>
    <w:p>
      <w:pPr>
        <w:pStyle w:val="0"/>
        <w:spacing w:before="240" w:lineRule="auto"/>
        <w:ind w:firstLine="540"/>
        <w:jc w:val="both"/>
      </w:pPr>
      <w:r>
        <w:rPr>
          <w:sz w:val="24"/>
        </w:rPr>
        <w:t xml:space="preserve">По показателям </w:t>
      </w:r>
      <w:hyperlink w:history="0" w:anchor="P29338" w:tooltip="Подраздел 1.2.">
        <w:r>
          <w:rPr>
            <w:sz w:val="24"/>
            <w:color w:val="0000ff"/>
          </w:rPr>
          <w:t xml:space="preserve">подраздела 1.2 раздела 1</w:t>
        </w:r>
      </w:hyperlink>
      <w:r>
        <w:rPr>
          <w:sz w:val="24"/>
        </w:rPr>
        <w:t xml:space="preserve"> отчетности по форме 0420155 отражаются сводные данные </w:t>
      </w:r>
      <w:hyperlink w:history="0" w:anchor="P29176" w:tooltip="Подраздел 1.1.">
        <w:r>
          <w:rPr>
            <w:sz w:val="24"/>
            <w:color w:val="0000ff"/>
          </w:rPr>
          <w:t xml:space="preserve">подраздела 1.1 раздела 1</w:t>
        </w:r>
      </w:hyperlink>
      <w:r>
        <w:rPr>
          <w:sz w:val="24"/>
        </w:rPr>
        <w:t xml:space="preserve"> отчетности по форме 0420155 в разбивке по учетным группам и дополнительным учетным группам, входящим в состав учетных групп (при наличии).</w:t>
      </w:r>
    </w:p>
    <w:p>
      <w:pPr>
        <w:pStyle w:val="0"/>
        <w:spacing w:before="240" w:lineRule="auto"/>
        <w:ind w:firstLine="540"/>
        <w:jc w:val="both"/>
      </w:pPr>
      <w:r>
        <w:rPr>
          <w:sz w:val="24"/>
        </w:rPr>
        <w:t xml:space="preserve">По показателям </w:t>
      </w:r>
      <w:hyperlink w:history="0" w:anchor="P29572" w:tooltip="Подраздел 1.3.">
        <w:r>
          <w:rPr>
            <w:sz w:val="24"/>
            <w:color w:val="0000ff"/>
          </w:rPr>
          <w:t xml:space="preserve">подраздела 1.3 раздела 1</w:t>
        </w:r>
      </w:hyperlink>
      <w:r>
        <w:rPr>
          <w:sz w:val="24"/>
        </w:rPr>
        <w:t xml:space="preserve"> отчетности по форме 0420155 отражаются данные в разбивке по учетным группам и дополнительным учетным группам, входящим в состав учетных групп (при наличии), только по тем видам страховых резервов и доле перестраховщиков в них и только по той части, в отношении которых страховщик применяет методы расчета страховых резервов, согласованные с Банком России в соответствии с </w:t>
      </w:r>
      <w:hyperlink w:history="0" r:id="rId42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5.10</w:t>
        </w:r>
      </w:hyperlink>
      <w:r>
        <w:rPr>
          <w:sz w:val="24"/>
        </w:rPr>
        <w:t xml:space="preserve"> Положения Банка России N 858-П (с указанием реквизитов писем Банка России по показателю "Реквизиты писем Банка России о согласовании методов расчета страховых резервов, отличающихся от методов, предусмотренных требованиями к финансовой устойчивости и платежеспособности страховщиков" </w:t>
      </w:r>
      <w:hyperlink w:history="0" w:anchor="P29806" w:tooltip="61">
        <w:r>
          <w:rPr>
            <w:sz w:val="24"/>
            <w:color w:val="0000ff"/>
          </w:rPr>
          <w:t xml:space="preserve">(строка 61)</w:t>
        </w:r>
      </w:hyperlink>
      <w:r>
        <w:rPr>
          <w:sz w:val="24"/>
        </w:rPr>
        <w:t xml:space="preserve">.</w:t>
      </w:r>
    </w:p>
    <w:p>
      <w:pPr>
        <w:pStyle w:val="0"/>
        <w:spacing w:before="240" w:lineRule="auto"/>
        <w:ind w:firstLine="540"/>
        <w:jc w:val="both"/>
      </w:pPr>
      <w:r>
        <w:rPr>
          <w:sz w:val="24"/>
        </w:rPr>
        <w:t xml:space="preserve">По показателям "Оценка ожидаемой величины обязательств по резерву премий (ДПП)" (</w:t>
      </w:r>
      <w:hyperlink w:history="0" w:anchor="P29186" w:tooltip="2">
        <w:r>
          <w:rPr>
            <w:sz w:val="24"/>
            <w:color w:val="0000ff"/>
          </w:rPr>
          <w:t xml:space="preserve">строки 2</w:t>
        </w:r>
      </w:hyperlink>
      <w:r>
        <w:rPr>
          <w:sz w:val="24"/>
        </w:rPr>
        <w:t xml:space="preserve">, </w:t>
      </w:r>
      <w:hyperlink w:history="0" w:anchor="P29352" w:tooltip="22">
        <w:r>
          <w:rPr>
            <w:sz w:val="24"/>
            <w:color w:val="0000ff"/>
          </w:rPr>
          <w:t xml:space="preserve">22</w:t>
        </w:r>
      </w:hyperlink>
      <w:r>
        <w:rPr>
          <w:sz w:val="24"/>
        </w:rPr>
        <w:t xml:space="preserve">) и "Оценка ожидаемой величины обязательств по резерву премий (ДПП) (актуарная)" </w:t>
      </w:r>
      <w:hyperlink w:history="0" w:anchor="P29586" w:tooltip="42">
        <w:r>
          <w:rPr>
            <w:sz w:val="24"/>
            <w:color w:val="0000ff"/>
          </w:rPr>
          <w:t xml:space="preserve">(строка 42)</w:t>
        </w:r>
      </w:hyperlink>
      <w:r>
        <w:rPr>
          <w:sz w:val="24"/>
        </w:rPr>
        <w:t xml:space="preserve"> отражается неотрицательная взвешенная по вероятности реализации денежного потока сумма денежных потоков, дисконтированных на срок денежного потока, определенный в соответствии с </w:t>
      </w:r>
      <w:hyperlink w:history="0" r:id="rId42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четырнадцатым</w:t>
        </w:r>
      </w:hyperlink>
      <w:r>
        <w:rPr>
          <w:sz w:val="24"/>
        </w:rPr>
        <w:t xml:space="preserve"> и </w:t>
      </w:r>
      <w:hyperlink w:history="0" r:id="rId42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пятнадцатым подпункта 5.3.14 пункта 5.3</w:t>
        </w:r>
      </w:hyperlink>
      <w:r>
        <w:rPr>
          <w:sz w:val="24"/>
        </w:rPr>
        <w:t xml:space="preserve"> Положения Банка России N 858-П (далее - наилучшая оценка приведенной стоимости всех денежных потоков) (для учетных групп 18 - 21 - наилучшая оценка приведенной стоимости всех денежных потоков), входящих в прогноз денежных потоков, по исполнению обязательств, учитываемых в расчете величины резерва премий, до наиболее поздней предполагаемой даты полного исполнения обязательств по договорам страхования, сострахования и по договорам перестрахования, в которых страховщик выступает перестраховщиком (далее соответственно - договоры входящего перестрахования, ожидаемая величина обязательств по резерву премий (ДПП).</w:t>
      </w:r>
    </w:p>
    <w:p>
      <w:pPr>
        <w:pStyle w:val="0"/>
        <w:spacing w:before="240" w:lineRule="auto"/>
        <w:ind w:firstLine="540"/>
        <w:jc w:val="both"/>
      </w:pPr>
      <w:r>
        <w:rPr>
          <w:sz w:val="24"/>
        </w:rPr>
        <w:t xml:space="preserve">По показателям "Сумма СПРП</w:t>
      </w:r>
      <w:r>
        <w:rPr>
          <w:sz w:val="24"/>
          <w:vertAlign w:val="superscript"/>
        </w:rPr>
        <w:t xml:space="preserve">НО</w:t>
      </w:r>
      <w:r>
        <w:rPr>
          <w:sz w:val="24"/>
        </w:rPr>
        <w:t xml:space="preserve"> по договорам исходящего перестрахования" (</w:t>
      </w:r>
      <w:hyperlink w:history="0" w:anchor="P29210" w:tooltip="5">
        <w:r>
          <w:rPr>
            <w:sz w:val="24"/>
            <w:color w:val="0000ff"/>
          </w:rPr>
          <w:t xml:space="preserve">строки 5</w:t>
        </w:r>
      </w:hyperlink>
      <w:r>
        <w:rPr>
          <w:sz w:val="24"/>
        </w:rPr>
        <w:t xml:space="preserve">, </w:t>
      </w:r>
      <w:hyperlink w:history="0" w:anchor="P29388" w:tooltip="25">
        <w:r>
          <w:rPr>
            <w:sz w:val="24"/>
            <w:color w:val="0000ff"/>
          </w:rPr>
          <w:t xml:space="preserve">25</w:t>
        </w:r>
      </w:hyperlink>
      <w:r>
        <w:rPr>
          <w:sz w:val="24"/>
        </w:rPr>
        <w:t xml:space="preserve">) и "Сумма СПРП</w:t>
      </w:r>
      <w:r>
        <w:rPr>
          <w:sz w:val="24"/>
          <w:vertAlign w:val="superscript"/>
        </w:rPr>
        <w:t xml:space="preserve">НО</w:t>
      </w:r>
      <w:r>
        <w:rPr>
          <w:sz w:val="24"/>
        </w:rPr>
        <w:t xml:space="preserve"> по договорам исходящего перестрахования (актуарная)" </w:t>
      </w:r>
      <w:hyperlink w:history="0" w:anchor="P29622" w:tooltip="45">
        <w:r>
          <w:rPr>
            <w:sz w:val="24"/>
            <w:color w:val="0000ff"/>
          </w:rPr>
          <w:t xml:space="preserve">(строка 45)</w:t>
        </w:r>
      </w:hyperlink>
      <w:r>
        <w:rPr>
          <w:sz w:val="24"/>
        </w:rPr>
        <w:t xml:space="preserve"> отражается наилучшая оценка приведенной стоимости всех денежных потоков, входящих в прогноз денежных потоков по договорам исходящего перестрахования, полученных путем применения условий этих договоров исходящего перестрахования к прогнозу денежных потоков по основным договорам страхования, сострахования, входящего перестрахования, используемых для оценки ожидаемой величины обязательств по резерву премий (ДПП).</w:t>
      </w:r>
    </w:p>
    <w:p>
      <w:pPr>
        <w:pStyle w:val="0"/>
        <w:spacing w:before="240" w:lineRule="auto"/>
        <w:ind w:firstLine="540"/>
        <w:jc w:val="both"/>
      </w:pPr>
      <w:r>
        <w:rPr>
          <w:sz w:val="24"/>
        </w:rPr>
        <w:t xml:space="preserve">По показателям "Оценка ожидаемой величины обязательств по резерву убытков (ДПУ)" (</w:t>
      </w:r>
      <w:hyperlink w:history="0" w:anchor="P29234" w:tooltip="8">
        <w:r>
          <w:rPr>
            <w:sz w:val="24"/>
            <w:color w:val="0000ff"/>
          </w:rPr>
          <w:t xml:space="preserve">строки 8</w:t>
        </w:r>
      </w:hyperlink>
      <w:r>
        <w:rPr>
          <w:sz w:val="24"/>
        </w:rPr>
        <w:t xml:space="preserve">, </w:t>
      </w:r>
      <w:hyperlink w:history="0" w:anchor="P29424" w:tooltip="28">
        <w:r>
          <w:rPr>
            <w:sz w:val="24"/>
            <w:color w:val="0000ff"/>
          </w:rPr>
          <w:t xml:space="preserve">28</w:t>
        </w:r>
      </w:hyperlink>
      <w:r>
        <w:rPr>
          <w:sz w:val="24"/>
        </w:rPr>
        <w:t xml:space="preserve">) и "Оценка ожидаемой величины обязательств по резерву убытков (ДПУ) (актуарная)" </w:t>
      </w:r>
      <w:hyperlink w:history="0" w:anchor="P29658" w:tooltip="48">
        <w:r>
          <w:rPr>
            <w:sz w:val="24"/>
            <w:color w:val="0000ff"/>
          </w:rPr>
          <w:t xml:space="preserve">(строка 48)</w:t>
        </w:r>
      </w:hyperlink>
      <w:r>
        <w:rPr>
          <w:sz w:val="24"/>
        </w:rPr>
        <w:t xml:space="preserve"> отражается неотрицательная наилучшая оценка приведенной стоимости всех денежных потоков, входящих в прогноз денежных потоков, по исполнению обязательств, учитываемых в расчете величины резерва убытков, до наиболее поздней предполагаемой даты полного исполнения обязательств по договорам страхования, сострахования, входящего перестрахования (далее - ожидаемая величина обязательств по резерву убытков (ДПУ).</w:t>
      </w:r>
    </w:p>
    <w:p>
      <w:pPr>
        <w:pStyle w:val="0"/>
        <w:spacing w:before="240" w:lineRule="auto"/>
        <w:ind w:firstLine="540"/>
        <w:jc w:val="both"/>
      </w:pPr>
      <w:r>
        <w:rPr>
          <w:sz w:val="24"/>
        </w:rPr>
        <w:t xml:space="preserve">По показателям "Сумма СПРУ</w:t>
      </w:r>
      <w:r>
        <w:rPr>
          <w:sz w:val="24"/>
          <w:vertAlign w:val="superscript"/>
        </w:rPr>
        <w:t xml:space="preserve">НО</w:t>
      </w:r>
      <w:r>
        <w:rPr>
          <w:sz w:val="24"/>
        </w:rPr>
        <w:t xml:space="preserve"> по договорам исходящего перестрахования" (</w:t>
      </w:r>
      <w:hyperlink w:history="0" w:anchor="P29258" w:tooltip="11">
        <w:r>
          <w:rPr>
            <w:sz w:val="24"/>
            <w:color w:val="0000ff"/>
          </w:rPr>
          <w:t xml:space="preserve">строки 11</w:t>
        </w:r>
      </w:hyperlink>
      <w:r>
        <w:rPr>
          <w:sz w:val="24"/>
        </w:rPr>
        <w:t xml:space="preserve">, </w:t>
      </w:r>
      <w:hyperlink w:history="0" w:anchor="P29460" w:tooltip="31">
        <w:r>
          <w:rPr>
            <w:sz w:val="24"/>
            <w:color w:val="0000ff"/>
          </w:rPr>
          <w:t xml:space="preserve">31</w:t>
        </w:r>
      </w:hyperlink>
      <w:r>
        <w:rPr>
          <w:sz w:val="24"/>
        </w:rPr>
        <w:t xml:space="preserve">) и "Сумма СПРУ</w:t>
      </w:r>
      <w:r>
        <w:rPr>
          <w:sz w:val="24"/>
          <w:vertAlign w:val="superscript"/>
        </w:rPr>
        <w:t xml:space="preserve">НО</w:t>
      </w:r>
      <w:r>
        <w:rPr>
          <w:sz w:val="24"/>
        </w:rPr>
        <w:t xml:space="preserve"> по договорам исходящего перестрахования (актуарная)" </w:t>
      </w:r>
      <w:hyperlink w:history="0" w:anchor="P29694" w:tooltip="51">
        <w:r>
          <w:rPr>
            <w:sz w:val="24"/>
            <w:color w:val="0000ff"/>
          </w:rPr>
          <w:t xml:space="preserve">(строка 51)</w:t>
        </w:r>
      </w:hyperlink>
      <w:r>
        <w:rPr>
          <w:sz w:val="24"/>
        </w:rPr>
        <w:t xml:space="preserve"> отражается наилучшая оценка приведенной стоимости всех денежных потоков, входящих в прогноз денежных потоков по договорам исходящего перестрахования, полученных путем применения условий этих договоров исходящего перестрахования к прогнозу денежных потоков по основным договорам страхования, сострахования, входящего перестрахования, используемых для оценки ожидаемой величины обязательств по резерву убытков (ДПУ).</w:t>
      </w:r>
    </w:p>
    <w:p>
      <w:pPr>
        <w:pStyle w:val="0"/>
        <w:spacing w:before="240" w:lineRule="auto"/>
        <w:ind w:firstLine="540"/>
        <w:jc w:val="both"/>
      </w:pPr>
      <w:r>
        <w:rPr>
          <w:sz w:val="24"/>
        </w:rPr>
        <w:t xml:space="preserve">По показателям "Сумма СПРПВУ</w:t>
      </w:r>
      <w:r>
        <w:rPr>
          <w:sz w:val="24"/>
          <w:vertAlign w:val="superscript"/>
        </w:rPr>
        <w:t xml:space="preserve">НО</w:t>
      </w:r>
      <w:r>
        <w:rPr>
          <w:sz w:val="24"/>
        </w:rPr>
        <w:t xml:space="preserve"> по договорам исходящего перестрахования" (</w:t>
      </w:r>
      <w:hyperlink w:history="0" w:anchor="P29298" w:tooltip="16">
        <w:r>
          <w:rPr>
            <w:sz w:val="24"/>
            <w:color w:val="0000ff"/>
          </w:rPr>
          <w:t xml:space="preserve">строки 16</w:t>
        </w:r>
      </w:hyperlink>
      <w:r>
        <w:rPr>
          <w:sz w:val="24"/>
        </w:rPr>
        <w:t xml:space="preserve">, </w:t>
      </w:r>
      <w:hyperlink w:history="0" w:anchor="P29516" w:tooltip="36">
        <w:r>
          <w:rPr>
            <w:sz w:val="24"/>
            <w:color w:val="0000ff"/>
          </w:rPr>
          <w:t xml:space="preserve">36</w:t>
        </w:r>
      </w:hyperlink>
      <w:r>
        <w:rPr>
          <w:sz w:val="24"/>
        </w:rPr>
        <w:t xml:space="preserve">) и "Сумма СПРПВУ</w:t>
      </w:r>
      <w:r>
        <w:rPr>
          <w:sz w:val="24"/>
          <w:vertAlign w:val="superscript"/>
        </w:rPr>
        <w:t xml:space="preserve">НО</w:t>
      </w:r>
      <w:r>
        <w:rPr>
          <w:sz w:val="24"/>
        </w:rPr>
        <w:t xml:space="preserve"> по договорам исходящего перестрахования (актуарная)" </w:t>
      </w:r>
      <w:hyperlink w:history="0" w:anchor="P29750" w:tooltip="56">
        <w:r>
          <w:rPr>
            <w:sz w:val="24"/>
            <w:color w:val="0000ff"/>
          </w:rPr>
          <w:t xml:space="preserve">(строка 56)</w:t>
        </w:r>
      </w:hyperlink>
      <w:r>
        <w:rPr>
          <w:sz w:val="24"/>
        </w:rPr>
        <w:t xml:space="preserve"> отражается наилучшая оценка приведенной стоимости всех денежных потоков, входящих в прогноз денежных потоков по договорам исходящего перестрахования, полученных путем применения условий этих договоров исходящего перестрахования к прогнозу денежных потоков по основным договорам страхования, сострахования, входящего перестрахования, используемых для оценки резерва по прямому возмещению убытков (РПВУ).</w:t>
      </w:r>
    </w:p>
    <w:p>
      <w:pPr>
        <w:pStyle w:val="0"/>
        <w:spacing w:before="240" w:lineRule="auto"/>
        <w:ind w:firstLine="540"/>
        <w:jc w:val="both"/>
      </w:pPr>
      <w:r>
        <w:rPr>
          <w:sz w:val="24"/>
        </w:rPr>
        <w:t xml:space="preserve">Значения показателей "Стабилизационный резерв" </w:t>
      </w:r>
      <w:hyperlink w:history="0" w:anchor="P29274" w:tooltip="13">
        <w:r>
          <w:rPr>
            <w:sz w:val="24"/>
            <w:color w:val="0000ff"/>
          </w:rPr>
          <w:t xml:space="preserve">(строка 13)</w:t>
        </w:r>
      </w:hyperlink>
      <w:r>
        <w:rPr>
          <w:sz w:val="24"/>
        </w:rPr>
        <w:t xml:space="preserve">, "Резерв по прямому возмещению убытков (РПВУ)" </w:t>
      </w:r>
      <w:hyperlink w:history="0" w:anchor="P29282" w:tooltip="14">
        <w:r>
          <w:rPr>
            <w:sz w:val="24"/>
            <w:color w:val="0000ff"/>
          </w:rPr>
          <w:t xml:space="preserve">(строка 14)</w:t>
        </w:r>
      </w:hyperlink>
      <w:r>
        <w:rPr>
          <w:sz w:val="24"/>
        </w:rPr>
        <w:t xml:space="preserve">, "Доля перестраховщиков в резерве по прямому возмещению убытков (ДРПВУ)" </w:t>
      </w:r>
      <w:hyperlink w:history="0" w:anchor="P29290" w:tooltip="15">
        <w:r>
          <w:rPr>
            <w:sz w:val="24"/>
            <w:color w:val="0000ff"/>
          </w:rPr>
          <w:t xml:space="preserve">(строка 15)</w:t>
        </w:r>
      </w:hyperlink>
      <w:r>
        <w:rPr>
          <w:sz w:val="24"/>
        </w:rPr>
        <w:t xml:space="preserve">, "Сумма СПРПВУ</w:t>
      </w:r>
      <w:r>
        <w:rPr>
          <w:sz w:val="24"/>
          <w:vertAlign w:val="superscript"/>
        </w:rPr>
        <w:t xml:space="preserve">НО</w:t>
      </w:r>
      <w:r>
        <w:rPr>
          <w:sz w:val="24"/>
        </w:rPr>
        <w:t xml:space="preserve"> по договорам исходящего перестрахования" </w:t>
      </w:r>
      <w:hyperlink w:history="0" w:anchor="P29298" w:tooltip="16">
        <w:r>
          <w:rPr>
            <w:sz w:val="24"/>
            <w:color w:val="0000ff"/>
          </w:rPr>
          <w:t xml:space="preserve">(строка 16)</w:t>
        </w:r>
      </w:hyperlink>
      <w:r>
        <w:rPr>
          <w:sz w:val="24"/>
        </w:rPr>
        <w:t xml:space="preserve">, "Корректировка на риск неплатежа по резерву по прямому возмещению убытков (КРНПВУ)" </w:t>
      </w:r>
      <w:hyperlink w:history="0" w:anchor="P29306" w:tooltip="17">
        <w:r>
          <w:rPr>
            <w:sz w:val="24"/>
            <w:color w:val="0000ff"/>
          </w:rPr>
          <w:t xml:space="preserve">(строка 17)</w:t>
        </w:r>
      </w:hyperlink>
      <w:r>
        <w:rPr>
          <w:sz w:val="24"/>
        </w:rPr>
        <w:t xml:space="preserve"> указываются по договорам страхования, сострахования, перестрахования, относящимся к страхованию иному, чем страхование жизни (по аналитическому признаку "Договор страхования, сострахования, перестрахования относится к страхованию иному, чем страхование жизни" группы аналитических признаков "Вид договора страхования, перестрахования").</w:t>
      </w:r>
    </w:p>
    <w:p>
      <w:pPr>
        <w:pStyle w:val="0"/>
        <w:spacing w:before="240" w:lineRule="auto"/>
        <w:ind w:firstLine="540"/>
        <w:jc w:val="both"/>
      </w:pPr>
      <w:r>
        <w:rPr>
          <w:sz w:val="24"/>
        </w:rPr>
        <w:t xml:space="preserve">Значения показателей "Стабилизационный резерв" </w:t>
      </w:r>
      <w:hyperlink w:history="0" w:anchor="P29484" w:tooltip="33">
        <w:r>
          <w:rPr>
            <w:sz w:val="24"/>
            <w:color w:val="0000ff"/>
          </w:rPr>
          <w:t xml:space="preserve">(строка 33)</w:t>
        </w:r>
      </w:hyperlink>
      <w:r>
        <w:rPr>
          <w:sz w:val="24"/>
        </w:rPr>
        <w:t xml:space="preserve"> и "Стабилизационный резерв (актуарный)" </w:t>
      </w:r>
      <w:hyperlink w:history="0" w:anchor="P29718" w:tooltip="53">
        <w:r>
          <w:rPr>
            <w:sz w:val="24"/>
            <w:color w:val="0000ff"/>
          </w:rPr>
          <w:t xml:space="preserve">(строка 53)</w:t>
        </w:r>
      </w:hyperlink>
      <w:r>
        <w:rPr>
          <w:sz w:val="24"/>
        </w:rPr>
        <w:t xml:space="preserve"> указываются по учетной группе 9.</w:t>
      </w:r>
    </w:p>
    <w:p>
      <w:pPr>
        <w:pStyle w:val="0"/>
        <w:spacing w:before="240" w:lineRule="auto"/>
        <w:ind w:firstLine="540"/>
        <w:jc w:val="both"/>
      </w:pPr>
      <w:r>
        <w:rPr>
          <w:sz w:val="24"/>
        </w:rPr>
        <w:t xml:space="preserve">Значения показателей "Резерв по прямому возмещению убытков (РПВУ)" </w:t>
      </w:r>
      <w:hyperlink w:history="0" w:anchor="P29492" w:tooltip="34">
        <w:r>
          <w:rPr>
            <w:sz w:val="24"/>
            <w:color w:val="0000ff"/>
          </w:rPr>
          <w:t xml:space="preserve">(строка 34)</w:t>
        </w:r>
      </w:hyperlink>
      <w:r>
        <w:rPr>
          <w:sz w:val="24"/>
        </w:rPr>
        <w:t xml:space="preserve">, "Доля перестраховщиков в резерве по прямому возмещению убытков (ДРПВУ)" </w:t>
      </w:r>
      <w:hyperlink w:history="0" w:anchor="P29504" w:tooltip="35">
        <w:r>
          <w:rPr>
            <w:sz w:val="24"/>
            <w:color w:val="0000ff"/>
          </w:rPr>
          <w:t xml:space="preserve">(строка 35)</w:t>
        </w:r>
      </w:hyperlink>
      <w:r>
        <w:rPr>
          <w:sz w:val="24"/>
        </w:rPr>
        <w:t xml:space="preserve">, "Сумма СПРПВУ</w:t>
      </w:r>
      <w:r>
        <w:rPr>
          <w:sz w:val="24"/>
          <w:vertAlign w:val="superscript"/>
        </w:rPr>
        <w:t xml:space="preserve">НО</w:t>
      </w:r>
      <w:r>
        <w:rPr>
          <w:sz w:val="24"/>
        </w:rPr>
        <w:t xml:space="preserve"> по договорам исходящего перестрахования" </w:t>
      </w:r>
      <w:hyperlink w:history="0" w:anchor="P29516" w:tooltip="36">
        <w:r>
          <w:rPr>
            <w:sz w:val="24"/>
            <w:color w:val="0000ff"/>
          </w:rPr>
          <w:t xml:space="preserve">(строка 36)</w:t>
        </w:r>
      </w:hyperlink>
      <w:r>
        <w:rPr>
          <w:sz w:val="24"/>
        </w:rPr>
        <w:t xml:space="preserve">, "Корректировка на риск неплатежа по резерву по прямому возмещению убытков (КРНПВУ)" </w:t>
      </w:r>
      <w:hyperlink w:history="0" w:anchor="P29528" w:tooltip="37">
        <w:r>
          <w:rPr>
            <w:sz w:val="24"/>
            <w:color w:val="0000ff"/>
          </w:rPr>
          <w:t xml:space="preserve">(строка 37)</w:t>
        </w:r>
      </w:hyperlink>
      <w:r>
        <w:rPr>
          <w:sz w:val="24"/>
        </w:rPr>
        <w:t xml:space="preserve">, "Резерв по прямому возмещению убытков (РПВУ) (актуарный)" </w:t>
      </w:r>
      <w:hyperlink w:history="0" w:anchor="P29726" w:tooltip="54">
        <w:r>
          <w:rPr>
            <w:sz w:val="24"/>
            <w:color w:val="0000ff"/>
          </w:rPr>
          <w:t xml:space="preserve">(строка 54)</w:t>
        </w:r>
      </w:hyperlink>
      <w:r>
        <w:rPr>
          <w:sz w:val="24"/>
        </w:rPr>
        <w:t xml:space="preserve">, "Доля перестраховщиков в резерве по прямому возмещению убытков (ДРПВУ) (актуарная)" </w:t>
      </w:r>
      <w:hyperlink w:history="0" w:anchor="P29738" w:tooltip="55">
        <w:r>
          <w:rPr>
            <w:sz w:val="24"/>
            <w:color w:val="0000ff"/>
          </w:rPr>
          <w:t xml:space="preserve">(строка 55)</w:t>
        </w:r>
      </w:hyperlink>
      <w:r>
        <w:rPr>
          <w:sz w:val="24"/>
        </w:rPr>
        <w:t xml:space="preserve">, "Сумма СПРПВУ</w:t>
      </w:r>
      <w:r>
        <w:rPr>
          <w:sz w:val="24"/>
          <w:vertAlign w:val="superscript"/>
        </w:rPr>
        <w:t xml:space="preserve">НО</w:t>
      </w:r>
      <w:r>
        <w:rPr>
          <w:sz w:val="24"/>
        </w:rPr>
        <w:t xml:space="preserve"> по договорам исходящего перестрахования (актуарная)" </w:t>
      </w:r>
      <w:hyperlink w:history="0" w:anchor="P29750" w:tooltip="56">
        <w:r>
          <w:rPr>
            <w:sz w:val="24"/>
            <w:color w:val="0000ff"/>
          </w:rPr>
          <w:t xml:space="preserve">(строка 56)</w:t>
        </w:r>
      </w:hyperlink>
      <w:r>
        <w:rPr>
          <w:sz w:val="24"/>
        </w:rPr>
        <w:t xml:space="preserve">, "Корректировка на риск неплатежа по резерву по прямому возмещению убытков (КРНПВУ) (актуарная)" </w:t>
      </w:r>
      <w:hyperlink w:history="0" w:anchor="P29762" w:tooltip="57">
        <w:r>
          <w:rPr>
            <w:sz w:val="24"/>
            <w:color w:val="0000ff"/>
          </w:rPr>
          <w:t xml:space="preserve">(строка 57)</w:t>
        </w:r>
      </w:hyperlink>
      <w:r>
        <w:rPr>
          <w:sz w:val="24"/>
        </w:rPr>
        <w:t xml:space="preserve"> указываются по учетной группе 3 и дополнительным учетным группам, входящим в ее состав (при наличии).</w:t>
      </w:r>
    </w:p>
    <w:p>
      <w:pPr>
        <w:pStyle w:val="0"/>
        <w:spacing w:before="240" w:lineRule="auto"/>
        <w:ind w:firstLine="540"/>
        <w:jc w:val="both"/>
      </w:pPr>
      <w:r>
        <w:rPr>
          <w:sz w:val="24"/>
        </w:rPr>
        <w:t xml:space="preserve">Значение показателя "Резерв инвестиционных обязательств" </w:t>
      </w:r>
      <w:hyperlink w:history="0" w:anchor="P29314" w:tooltip="18">
        <w:r>
          <w:rPr>
            <w:sz w:val="24"/>
            <w:color w:val="0000ff"/>
          </w:rPr>
          <w:t xml:space="preserve">(строка 18)</w:t>
        </w:r>
      </w:hyperlink>
      <w:r>
        <w:rPr>
          <w:sz w:val="24"/>
        </w:rPr>
        <w:t xml:space="preserve"> указывается по договорам страхования, сострахования, перестрахования, относящимся к страхованию жизни (по аналитическому признаку "Договор страхования, сострахования, перестрахования относится к страхованию жизни" группы аналитических признаков "Вид договора страхования, перестрахования").</w:t>
      </w:r>
    </w:p>
    <w:p>
      <w:pPr>
        <w:pStyle w:val="0"/>
        <w:spacing w:before="240" w:lineRule="auto"/>
        <w:ind w:firstLine="540"/>
        <w:jc w:val="both"/>
      </w:pPr>
      <w:r>
        <w:rPr>
          <w:sz w:val="24"/>
        </w:rPr>
        <w:t xml:space="preserve">Значения показателей "Резерв инвестиционных обязательств" </w:t>
      </w:r>
      <w:hyperlink w:history="0" w:anchor="P29540" w:tooltip="38">
        <w:r>
          <w:rPr>
            <w:sz w:val="24"/>
            <w:color w:val="0000ff"/>
          </w:rPr>
          <w:t xml:space="preserve">(строка 38)</w:t>
        </w:r>
      </w:hyperlink>
      <w:r>
        <w:rPr>
          <w:sz w:val="24"/>
        </w:rPr>
        <w:t xml:space="preserve"> и "Резерв инвестиционных обязательств (актуарный)" </w:t>
      </w:r>
      <w:hyperlink w:history="0" w:anchor="P29774" w:tooltip="58">
        <w:r>
          <w:rPr>
            <w:sz w:val="24"/>
            <w:color w:val="0000ff"/>
          </w:rPr>
          <w:t xml:space="preserve">(строка 58)</w:t>
        </w:r>
      </w:hyperlink>
      <w:r>
        <w:rPr>
          <w:sz w:val="24"/>
        </w:rPr>
        <w:t xml:space="preserve"> указываются по учетной группе 19.</w:t>
      </w:r>
    </w:p>
    <w:p>
      <w:pPr>
        <w:pStyle w:val="0"/>
        <w:spacing w:before="240" w:lineRule="auto"/>
        <w:ind w:firstLine="540"/>
        <w:jc w:val="both"/>
      </w:pPr>
      <w:r>
        <w:rPr>
          <w:sz w:val="24"/>
        </w:rPr>
        <w:t xml:space="preserve">Величина страховых резервов по страхованию иному, чем страхование жизни, и доли перестраховщиков в них, отраженная в </w:t>
      </w:r>
      <w:hyperlink w:history="0" w:anchor="P29176" w:tooltip="Подраздел 1.1.">
        <w:r>
          <w:rPr>
            <w:sz w:val="24"/>
            <w:color w:val="0000ff"/>
          </w:rPr>
          <w:t xml:space="preserve">подразделе 1.1 раздела 1</w:t>
        </w:r>
      </w:hyperlink>
      <w:r>
        <w:rPr>
          <w:sz w:val="24"/>
        </w:rPr>
        <w:t xml:space="preserve"> отчетности по форме 0420155, определяется страховщиком путем суммирования величин соответствующих страховых резервов по страхованию иному, чем страхование жизни, и доли перестраховщиков в них, отраженных в </w:t>
      </w:r>
      <w:hyperlink w:history="0" w:anchor="P29338" w:tooltip="Подраздел 1.2.">
        <w:r>
          <w:rPr>
            <w:sz w:val="24"/>
            <w:color w:val="0000ff"/>
          </w:rPr>
          <w:t xml:space="preserve">подразделе 1.2 раздела 1</w:t>
        </w:r>
      </w:hyperlink>
      <w:r>
        <w:rPr>
          <w:sz w:val="24"/>
        </w:rPr>
        <w:t xml:space="preserve"> отчетности по форме 0420155 по учетным группам 1 - 17.</w:t>
      </w:r>
    </w:p>
    <w:p>
      <w:pPr>
        <w:pStyle w:val="0"/>
        <w:spacing w:before="240" w:lineRule="auto"/>
        <w:ind w:firstLine="540"/>
        <w:jc w:val="both"/>
      </w:pPr>
      <w:r>
        <w:rPr>
          <w:sz w:val="24"/>
        </w:rPr>
        <w:t xml:space="preserve">Величина страховых резервов по страхованию жизни и доли перестраховщиков в них, отраженная в </w:t>
      </w:r>
      <w:hyperlink w:history="0" w:anchor="P29176" w:tooltip="Подраздел 1.1.">
        <w:r>
          <w:rPr>
            <w:sz w:val="24"/>
            <w:color w:val="0000ff"/>
          </w:rPr>
          <w:t xml:space="preserve">подразделе 1.1 раздела 1</w:t>
        </w:r>
      </w:hyperlink>
      <w:r>
        <w:rPr>
          <w:sz w:val="24"/>
        </w:rPr>
        <w:t xml:space="preserve"> отчетности по форме 0420155, определяется страховщиком путем суммирования величин соответствующих страховых резервов по страхованию жизни и доли перестраховщиков в них, отраженных в </w:t>
      </w:r>
      <w:hyperlink w:history="0" w:anchor="P29338" w:tooltip="Подраздел 1.2.">
        <w:r>
          <w:rPr>
            <w:sz w:val="24"/>
            <w:color w:val="0000ff"/>
          </w:rPr>
          <w:t xml:space="preserve">подразделе 1.2 раздела 1</w:t>
        </w:r>
      </w:hyperlink>
      <w:r>
        <w:rPr>
          <w:sz w:val="24"/>
        </w:rPr>
        <w:t xml:space="preserve"> отчетности по форме 0420155 по учетным группам 18 - 21.</w:t>
      </w:r>
    </w:p>
    <w:p>
      <w:pPr>
        <w:pStyle w:val="0"/>
        <w:spacing w:before="240" w:lineRule="auto"/>
        <w:ind w:firstLine="540"/>
        <w:jc w:val="both"/>
      </w:pPr>
      <w:r>
        <w:rPr>
          <w:sz w:val="24"/>
        </w:rPr>
        <w:t xml:space="preserve">6. В </w:t>
      </w:r>
      <w:hyperlink w:history="0" w:anchor="P29820" w:tooltip="Подраздел 2.1.">
        <w:r>
          <w:rPr>
            <w:sz w:val="24"/>
            <w:color w:val="0000ff"/>
          </w:rPr>
          <w:t xml:space="preserve">подразделе 2.1 раздела 2</w:t>
        </w:r>
      </w:hyperlink>
      <w:r>
        <w:rPr>
          <w:sz w:val="24"/>
        </w:rPr>
        <w:t xml:space="preserve"> отчетности по форме 0420155 по показателю "Сумма заработанной страховой премии - брутто-перестрахование, используемая для расчета страховых резервов" </w:t>
      </w:r>
      <w:hyperlink w:history="0" w:anchor="P29822" w:tooltip="62">
        <w:r>
          <w:rPr>
            <w:sz w:val="24"/>
            <w:color w:val="0000ff"/>
          </w:rPr>
          <w:t xml:space="preserve">(строка 62)</w:t>
        </w:r>
      </w:hyperlink>
      <w:r>
        <w:rPr>
          <w:sz w:val="24"/>
        </w:rPr>
        <w:t xml:space="preserve"> отражается используемая для расчета страховых резервов сумма заработанной страховой премии, определенная в соответствии с </w:t>
      </w:r>
      <w:hyperlink w:history="0" r:id="rId42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5.5.5 пункта 5.5</w:t>
        </w:r>
      </w:hyperlink>
      <w:r>
        <w:rPr>
          <w:sz w:val="24"/>
        </w:rPr>
        <w:t xml:space="preserve"> Положения Банка России N 858-П, по признанным до отчетной даты договорам страхования, сострахования, входящего перестрахования, относящимся к учетным группам 1 - 17, 21, дополнительным учетным группам, входящим в состав учетных групп 1 - 17 (при наличии).</w:t>
      </w:r>
    </w:p>
    <w:p>
      <w:pPr>
        <w:pStyle w:val="0"/>
        <w:spacing w:before="240" w:lineRule="auto"/>
        <w:ind w:firstLine="540"/>
        <w:jc w:val="both"/>
      </w:pPr>
      <w:r>
        <w:rPr>
          <w:sz w:val="24"/>
        </w:rPr>
        <w:t xml:space="preserve">По показателю "Сумма заработанной страховой премии - брутто-перестрахование, используемая для расчета страховых резервов" </w:t>
      </w:r>
      <w:hyperlink w:history="0" w:anchor="P29822" w:tooltip="62">
        <w:r>
          <w:rPr>
            <w:sz w:val="24"/>
            <w:color w:val="0000ff"/>
          </w:rPr>
          <w:t xml:space="preserve">(строка 62)</w:t>
        </w:r>
      </w:hyperlink>
      <w:r>
        <w:rPr>
          <w:sz w:val="24"/>
        </w:rPr>
        <w:t xml:space="preserve"> данные о сумме заработанной страховой премии указываются по состоянию на отчетную дату и на конец каждого из 19 кварталов, предшествующих последнему кварталу отчетного периода (для отчетного периода, состоящего из одного квартала, - предшествующих этому кварталу) (далее - последний квартал отчетного периода), а также на конец каждого из 30 и более кварталов, следующих после отчетного периода (с указанием последнего календарного дня квартала, отличного от последнего квартала отчетного периода, по группе аналитических признаков "Период (квартал и год)", за исключением данных о сумме заработанной страховой премии за 31 и более кварталов, следующих после отчетного периода, которые указываются совокупно по аналитическому признаку "Последующие периоды").</w:t>
      </w:r>
    </w:p>
    <w:p>
      <w:pPr>
        <w:pStyle w:val="0"/>
        <w:spacing w:before="240" w:lineRule="auto"/>
        <w:ind w:firstLine="540"/>
        <w:jc w:val="both"/>
      </w:pPr>
      <w:r>
        <w:rPr>
          <w:sz w:val="24"/>
        </w:rPr>
        <w:t xml:space="preserve">По решению страховщика данные о сумме заработанной страховой премии до 31 декабря 2022 года включительно отражаются по показателю "Сумма заработанной страховой премии - брутто-перестрахование, используемая для расчета страховых резервов" </w:t>
      </w:r>
      <w:hyperlink w:history="0" w:anchor="P29822" w:tooltip="62">
        <w:r>
          <w:rPr>
            <w:sz w:val="24"/>
            <w:color w:val="0000ff"/>
          </w:rPr>
          <w:t xml:space="preserve">(строка 62)</w:t>
        </w:r>
      </w:hyperlink>
      <w:r>
        <w:rPr>
          <w:sz w:val="24"/>
        </w:rPr>
        <w:t xml:space="preserve"> в соответствии с данными о сумме заработанной страховой премии, отраженными в отчетности по </w:t>
      </w:r>
      <w:hyperlink w:history="0" w:anchor="P29159" w:tooltip="Отчетность по форме 0420155">
        <w:r>
          <w:rPr>
            <w:sz w:val="24"/>
            <w:color w:val="0000ff"/>
          </w:rPr>
          <w:t xml:space="preserve">форме 0420155</w:t>
        </w:r>
      </w:hyperlink>
      <w:r>
        <w:rPr>
          <w:sz w:val="24"/>
        </w:rPr>
        <w:t xml:space="preserve">, представленной страховщиком в Банк России за 2022 год и ранее.</w:t>
      </w:r>
    </w:p>
    <w:p>
      <w:pPr>
        <w:pStyle w:val="0"/>
        <w:spacing w:before="240" w:lineRule="auto"/>
        <w:ind w:firstLine="540"/>
        <w:jc w:val="both"/>
      </w:pPr>
      <w:r>
        <w:rPr>
          <w:sz w:val="24"/>
        </w:rPr>
        <w:t xml:space="preserve">7. В </w:t>
      </w:r>
      <w:hyperlink w:history="0" w:anchor="P29838" w:tooltip="Подраздел 2.2.">
        <w:r>
          <w:rPr>
            <w:sz w:val="24"/>
            <w:color w:val="0000ff"/>
          </w:rPr>
          <w:t xml:space="preserve">подразделе 2.2 раздела 2</w:t>
        </w:r>
      </w:hyperlink>
      <w:r>
        <w:rPr>
          <w:sz w:val="24"/>
        </w:rPr>
        <w:t xml:space="preserve"> отчетности по форме 0420155 по показателю "Сумма вспомогательной величины ЗНУ на конец каждого квартала" </w:t>
      </w:r>
      <w:hyperlink w:history="0" w:anchor="P29840" w:tooltip="63">
        <w:r>
          <w:rPr>
            <w:sz w:val="24"/>
            <w:color w:val="0000ff"/>
          </w:rPr>
          <w:t xml:space="preserve">(строка 63)</w:t>
        </w:r>
      </w:hyperlink>
      <w:r>
        <w:rPr>
          <w:sz w:val="24"/>
        </w:rPr>
        <w:t xml:space="preserve"> отражается сумма вспомогательной величины ЗНУ, рассчитанной в соответствии с </w:t>
      </w:r>
      <w:hyperlink w:history="0" r:id="rId42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3 к Положению Банка России N 858-П (далее - вспомогательная величина ЗНУ), по состоянию на отчетную дату и на конец каждого из 19 кварталов, предшествующих последнему кварталу отчетного периода, по договорам страхования, сострахования, входящего перестрахования, относящимся к учетным группам 1 - 17, 21 и дополнительным учетным группам, входящим в состав учетных групп 1 - 17 (при наличии), страховые случаи по которым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сумма вспомогательной величины ЗНУ по таким страховым случаям указывается совокупно по аналитическому признаку "Предшествующие периоды").</w:t>
      </w:r>
    </w:p>
    <w:p>
      <w:pPr>
        <w:pStyle w:val="0"/>
        <w:spacing w:before="240" w:lineRule="auto"/>
        <w:ind w:firstLine="540"/>
        <w:jc w:val="both"/>
      </w:pPr>
      <w:r>
        <w:rPr>
          <w:sz w:val="24"/>
        </w:rPr>
        <w:t xml:space="preserve">По показателю "Сумма вспомогательной величины ЗНУ на конец каждого квартала" </w:t>
      </w:r>
      <w:hyperlink w:history="0" w:anchor="P29840" w:tooltip="63">
        <w:r>
          <w:rPr>
            <w:sz w:val="24"/>
            <w:color w:val="0000ff"/>
          </w:rPr>
          <w:t xml:space="preserve">(строка 63)</w:t>
        </w:r>
      </w:hyperlink>
      <w:r>
        <w:rPr>
          <w:sz w:val="24"/>
        </w:rPr>
        <w:t xml:space="preserve"> сумма вспомогательной величины ЗНУ отражается без учета дисконтирования.</w:t>
      </w:r>
    </w:p>
    <w:p>
      <w:pPr>
        <w:pStyle w:val="0"/>
        <w:spacing w:before="240" w:lineRule="auto"/>
        <w:ind w:firstLine="540"/>
        <w:jc w:val="both"/>
      </w:pPr>
      <w:r>
        <w:rPr>
          <w:sz w:val="24"/>
        </w:rPr>
        <w:t xml:space="preserve">8. В </w:t>
      </w:r>
      <w:hyperlink w:history="0" w:anchor="P29856" w:tooltip="Подраздел 2.3.">
        <w:r>
          <w:rPr>
            <w:sz w:val="24"/>
            <w:color w:val="0000ff"/>
          </w:rPr>
          <w:t xml:space="preserve">подразделе 2.3 раздела 2</w:t>
        </w:r>
      </w:hyperlink>
      <w:r>
        <w:rPr>
          <w:sz w:val="24"/>
        </w:rPr>
        <w:t xml:space="preserve"> отчетности по форме 0420155 по показателю "Доля перестраховщиков во вспомогательной величине ЗНУ на конец каждого квартала" </w:t>
      </w:r>
      <w:hyperlink w:history="0" w:anchor="P29858" w:tooltip="64">
        <w:r>
          <w:rPr>
            <w:sz w:val="24"/>
            <w:color w:val="0000ff"/>
          </w:rPr>
          <w:t xml:space="preserve">(строка 64)</w:t>
        </w:r>
      </w:hyperlink>
      <w:r>
        <w:rPr>
          <w:sz w:val="24"/>
        </w:rPr>
        <w:t xml:space="preserve"> отражается сумма доли перестраховщиков во вспомогательной величине ЗНУ по состоянию на отчетную дату и на конец каждого из 19 кварталов, предшествующих последнему кварталу отчетного периода, по договорам страхования, сострахования, входящего перестрахования, относящимся к учетным группам 1 - 17, 21 и дополнительным учетным группам, входящим в состав учетных групп 1 - 17 (при наличии), страховые случаи по которым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сумма доли перестраховщиков во вспомогательной величине ЗНУ по таким страховым случаям указывается совокупно по аналитическому признаку "Предшествующие периоды").</w:t>
      </w:r>
    </w:p>
    <w:p>
      <w:pPr>
        <w:pStyle w:val="0"/>
        <w:spacing w:before="240" w:lineRule="auto"/>
        <w:ind w:firstLine="540"/>
        <w:jc w:val="both"/>
      </w:pPr>
      <w:r>
        <w:rPr>
          <w:sz w:val="24"/>
        </w:rPr>
        <w:t xml:space="preserve">По показателю "Доля перестраховщиков во вспомогательной величине ЗНУ на конец каждого квартала" </w:t>
      </w:r>
      <w:hyperlink w:history="0" w:anchor="P29858" w:tooltip="64">
        <w:r>
          <w:rPr>
            <w:sz w:val="24"/>
            <w:color w:val="0000ff"/>
          </w:rPr>
          <w:t xml:space="preserve">(строка 64)</w:t>
        </w:r>
      </w:hyperlink>
      <w:r>
        <w:rPr>
          <w:sz w:val="24"/>
        </w:rPr>
        <w:t xml:space="preserve"> сумма доли перестраховщиков во вспомогательной величине ЗНУ отражается без учета дисконтирования.</w:t>
      </w:r>
    </w:p>
    <w:p>
      <w:pPr>
        <w:pStyle w:val="0"/>
        <w:spacing w:before="240" w:lineRule="auto"/>
        <w:ind w:firstLine="540"/>
        <w:jc w:val="both"/>
      </w:pPr>
      <w:r>
        <w:rPr>
          <w:sz w:val="24"/>
        </w:rPr>
        <w:t xml:space="preserve">9. В </w:t>
      </w:r>
      <w:hyperlink w:history="0" w:anchor="P29874" w:tooltip="Подраздел 2.4.">
        <w:r>
          <w:rPr>
            <w:sz w:val="24"/>
            <w:color w:val="0000ff"/>
          </w:rPr>
          <w:t xml:space="preserve">подразделах 2.4</w:t>
        </w:r>
      </w:hyperlink>
      <w:r>
        <w:rPr>
          <w:sz w:val="24"/>
        </w:rPr>
        <w:t xml:space="preserve"> и </w:t>
      </w:r>
      <w:hyperlink w:history="0" w:anchor="P29928" w:tooltip="Подраздел 2.7.">
        <w:r>
          <w:rPr>
            <w:sz w:val="24"/>
            <w:color w:val="0000ff"/>
          </w:rPr>
          <w:t xml:space="preserve">2.7 раздела 2</w:t>
        </w:r>
      </w:hyperlink>
      <w:r>
        <w:rPr>
          <w:sz w:val="24"/>
        </w:rPr>
        <w:t xml:space="preserve"> отчетности по форме 0420155 отражаются данные треугольников развития убытков, указанных в </w:t>
      </w:r>
      <w:hyperlink w:history="0" r:id="rId42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пункте 1</w:t>
        </w:r>
      </w:hyperlink>
      <w:r>
        <w:rPr>
          <w:sz w:val="24"/>
        </w:rPr>
        <w:t xml:space="preserve"> приложения 3 к Положению Банка России N 858-П, по договорам страхования, сострахования, входящего перестрахования, относящимся к учетным группам 1 - 17, 21 и дополнительным учетным группам, входящим в состав учетных групп 1 - 17 (при наличии), до учета корректировки на оплаченные убытки (страховые выплаты), исключаемые из таблиц треугольников развития убытков в соответствии с </w:t>
      </w:r>
      <w:hyperlink w:history="0" r:id="rId42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8</w:t>
        </w:r>
      </w:hyperlink>
      <w:r>
        <w:rPr>
          <w:sz w:val="24"/>
        </w:rPr>
        <w:t xml:space="preserve"> приложения 3 к Положению Банка России N 858-П.</w:t>
      </w:r>
    </w:p>
    <w:p>
      <w:pPr>
        <w:pStyle w:val="0"/>
        <w:spacing w:before="240" w:lineRule="auto"/>
        <w:ind w:firstLine="540"/>
        <w:jc w:val="both"/>
      </w:pPr>
      <w:r>
        <w:rPr>
          <w:sz w:val="24"/>
        </w:rPr>
        <w:t xml:space="preserve">9.1. По показателю "Оплаченные убытки (страховые выплаты) на конец каждого квартала (нарастающим итогом)" </w:t>
      </w:r>
      <w:hyperlink w:history="0" w:anchor="P29876" w:tooltip="65">
        <w:r>
          <w:rPr>
            <w:sz w:val="24"/>
            <w:color w:val="0000ff"/>
          </w:rPr>
          <w:t xml:space="preserve">(строка 65)</w:t>
        </w:r>
      </w:hyperlink>
      <w:r>
        <w:rPr>
          <w:sz w:val="24"/>
        </w:rPr>
        <w:t xml:space="preserve"> отражается нарастающим итогом сумма оплаченных убытков (страховых выплат) по состоянию на отчетную дату и на конец каждого из 19 кварталов, предшествующих последнему кварталу отчетного периода, по страховым случаям,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сумма оплаченных убытков (страховых выплат) по таким страховым случаям указывается совокупно по аналитическому признаку "Предшествующие периоды").</w:t>
      </w:r>
    </w:p>
    <w:p>
      <w:pPr>
        <w:pStyle w:val="0"/>
        <w:spacing w:before="240" w:lineRule="auto"/>
        <w:ind w:firstLine="540"/>
        <w:jc w:val="both"/>
      </w:pPr>
      <w:r>
        <w:rPr>
          <w:sz w:val="24"/>
        </w:rPr>
        <w:t xml:space="preserve">9.2. По показателю "Доля перестраховщиков в оплаченных убытках (страховых выплатах) на конец каждого квартала (нарастающим итогом)" </w:t>
      </w:r>
      <w:hyperlink w:history="0" w:anchor="P29930" w:tooltip="68">
        <w:r>
          <w:rPr>
            <w:sz w:val="24"/>
            <w:color w:val="0000ff"/>
          </w:rPr>
          <w:t xml:space="preserve">(строка 68)</w:t>
        </w:r>
      </w:hyperlink>
      <w:r>
        <w:rPr>
          <w:sz w:val="24"/>
        </w:rPr>
        <w:t xml:space="preserve"> отражается нарастающим итогом сумма доли перестраховщиков в оплаченных убытках (страховых выплатах) по состоянию на отчетную дату и на конец каждого из 19 кварталов, предшествующих последнему кварталу отчетного периода, по страховым случаям,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сумма доли перестраховщиков в оплаченных убытках (страховых выплатах) по таким страховым случаям указывается совокупно по аналитическому признаку "Предшествующие периоды").</w:t>
      </w:r>
    </w:p>
    <w:p>
      <w:pPr>
        <w:pStyle w:val="0"/>
        <w:spacing w:before="240" w:lineRule="auto"/>
        <w:ind w:firstLine="540"/>
        <w:jc w:val="both"/>
      </w:pPr>
      <w:r>
        <w:rPr>
          <w:sz w:val="24"/>
        </w:rPr>
        <w:t xml:space="preserve">10. В </w:t>
      </w:r>
      <w:hyperlink w:history="0" w:anchor="P29892" w:tooltip="Подраздел 2.5.">
        <w:r>
          <w:rPr>
            <w:sz w:val="24"/>
            <w:color w:val="0000ff"/>
          </w:rPr>
          <w:t xml:space="preserve">подразделах 2.5</w:t>
        </w:r>
      </w:hyperlink>
      <w:r>
        <w:rPr>
          <w:sz w:val="24"/>
        </w:rPr>
        <w:t xml:space="preserve"> и </w:t>
      </w:r>
      <w:hyperlink w:history="0" w:anchor="P29946" w:tooltip="Подраздел 2.8.">
        <w:r>
          <w:rPr>
            <w:sz w:val="24"/>
            <w:color w:val="0000ff"/>
          </w:rPr>
          <w:t xml:space="preserve">2.8 раздела 2</w:t>
        </w:r>
      </w:hyperlink>
      <w:r>
        <w:rPr>
          <w:sz w:val="24"/>
        </w:rPr>
        <w:t xml:space="preserve"> отчетности по форме 0420155 отражаются сведения об оплаченных убытках (страховых выплатах) по договорам страхования, сострахования, входящего перестрахования, относящимся к учетным группам 1 - 17, 21 и дополнительным учетным группам, входящим в состав учетных групп 1 - 17 (при наличии), в случае их исключения из таблиц треугольников развития убытков в соответствии с </w:t>
      </w:r>
      <w:hyperlink w:history="0" r:id="rId42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8</w:t>
        </w:r>
      </w:hyperlink>
      <w:r>
        <w:rPr>
          <w:sz w:val="24"/>
        </w:rPr>
        <w:t xml:space="preserve"> приложения 3 к Положению Банка России N 858-П.</w:t>
      </w:r>
    </w:p>
    <w:p>
      <w:pPr>
        <w:pStyle w:val="0"/>
        <w:spacing w:before="240" w:lineRule="auto"/>
        <w:ind w:firstLine="540"/>
        <w:jc w:val="both"/>
      </w:pPr>
      <w:r>
        <w:rPr>
          <w:sz w:val="24"/>
        </w:rPr>
        <w:t xml:space="preserve">10.1. По показателю "Величина убытка, исключенного из треугольника развития убытков" </w:t>
      </w:r>
      <w:hyperlink w:history="0" w:anchor="P29894" w:tooltip="66">
        <w:r>
          <w:rPr>
            <w:sz w:val="24"/>
            <w:color w:val="0000ff"/>
          </w:rPr>
          <w:t xml:space="preserve">(строка 66)</w:t>
        </w:r>
      </w:hyperlink>
      <w:r>
        <w:rPr>
          <w:sz w:val="24"/>
        </w:rPr>
        <w:t xml:space="preserve"> отражается нарастающим итогом сумма оплаченного убытка (страховой выплаты), исключенного из таблиц треугольников развития убытков, по состоянию на отчетную дату и на конец каждого из 19 кварталов, предшествующих последнему кварталу отчетного периода, по страховым случаям,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сумма оплаченного убытка (страховой выплаты), исключенного (исключенной) из таблиц треугольников развития убытков, по таким страховым случаям указывается совокупно по аналитическому признаку "Предшествующие периоды").</w:t>
      </w:r>
    </w:p>
    <w:p>
      <w:pPr>
        <w:pStyle w:val="0"/>
        <w:spacing w:before="240" w:lineRule="auto"/>
        <w:ind w:firstLine="540"/>
        <w:jc w:val="both"/>
      </w:pPr>
      <w:r>
        <w:rPr>
          <w:sz w:val="24"/>
        </w:rPr>
        <w:t xml:space="preserve">10.2. По показателю "Величина доли перестраховщиков в убытке, исключенном из треугольника развития убытков" </w:t>
      </w:r>
      <w:hyperlink w:history="0" w:anchor="P29948" w:tooltip="69">
        <w:r>
          <w:rPr>
            <w:sz w:val="24"/>
            <w:color w:val="0000ff"/>
          </w:rPr>
          <w:t xml:space="preserve">(строка 69)</w:t>
        </w:r>
      </w:hyperlink>
      <w:r>
        <w:rPr>
          <w:sz w:val="24"/>
        </w:rPr>
        <w:t xml:space="preserve"> отражается нарастающим итогом сумма доли перестраховщиков в оплаченном убытке (страховой выплате), исключенном из таблиц треугольников развития убытков, по состоянию на отчетную дату и на конец каждого из 19 кварталов, предшествующих последнему кварталу отчетного периода, по страховым случаям,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сумма доли перестраховщиков в оплаченном убытке (страховой выплате), исключенном из таблиц треугольников развития убытков, по таким страховым случаям указывается совокупно по аналитическому признаку "Предшествующие периоды").</w:t>
      </w:r>
    </w:p>
    <w:p>
      <w:pPr>
        <w:pStyle w:val="0"/>
        <w:spacing w:before="240" w:lineRule="auto"/>
        <w:ind w:firstLine="540"/>
        <w:jc w:val="both"/>
      </w:pPr>
      <w:r>
        <w:rPr>
          <w:sz w:val="24"/>
        </w:rPr>
        <w:t xml:space="preserve">11. В </w:t>
      </w:r>
      <w:hyperlink w:history="0" w:anchor="P29910" w:tooltip="Подраздел 2.6.">
        <w:r>
          <w:rPr>
            <w:sz w:val="24"/>
            <w:color w:val="0000ff"/>
          </w:rPr>
          <w:t xml:space="preserve">подразделе 2.6 раздела 2</w:t>
        </w:r>
      </w:hyperlink>
      <w:r>
        <w:rPr>
          <w:sz w:val="24"/>
        </w:rPr>
        <w:t xml:space="preserve"> отчетности по форме 0420155 по показателю "Количество страховых случаев на конец каждого квартала (нарастающим итогом)" </w:t>
      </w:r>
      <w:hyperlink w:history="0" w:anchor="P29912" w:tooltip="67">
        <w:r>
          <w:rPr>
            <w:sz w:val="24"/>
            <w:color w:val="0000ff"/>
          </w:rPr>
          <w:t xml:space="preserve">(строка 67)</w:t>
        </w:r>
      </w:hyperlink>
      <w:r>
        <w:rPr>
          <w:sz w:val="24"/>
        </w:rPr>
        <w:t xml:space="preserve"> отражаются нарастающим итогом данные о количестве страховых случаев по состоянию на отчетную дату и на конец каждого из 19 кварталов, предшествующих последнему кварталу отчетного периода, по договорам страхования, сострахования, входящего перестрахования, относящимся к учетным группам 1 - 17, 21 и дополнительным учетным группам, входящим в состав учетных групп 1 - 17 (при наличии), по которым страховщиком была произведена страховая выплата и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данные по таким страховым случаям указываются совокупно по аналитическому признаку "Предшествующие периоды").</w:t>
      </w:r>
    </w:p>
    <w:p>
      <w:pPr>
        <w:pStyle w:val="0"/>
        <w:spacing w:before="240" w:lineRule="auto"/>
        <w:ind w:firstLine="540"/>
        <w:jc w:val="both"/>
      </w:pPr>
      <w:r>
        <w:rPr>
          <w:sz w:val="24"/>
        </w:rPr>
        <w:t xml:space="preserve">В случае если в отношении одного страхового случая страховщиком произведено несколько страховых выплат, в </w:t>
      </w:r>
      <w:hyperlink w:history="0" w:anchor="P29910" w:tooltip="Подраздел 2.6.">
        <w:r>
          <w:rPr>
            <w:sz w:val="24"/>
            <w:color w:val="0000ff"/>
          </w:rPr>
          <w:t xml:space="preserve">подразделе 2.6 раздела 2</w:t>
        </w:r>
      </w:hyperlink>
      <w:r>
        <w:rPr>
          <w:sz w:val="24"/>
        </w:rPr>
        <w:t xml:space="preserve"> отчетности по форме 0420155 отражаются данные только по первой выплате (страховой случай учитывается в количестве одной единицы), остальные выплаты (доплаты) не учитываются (доплаты учитываются в количестве 0 (ноль).</w:t>
      </w:r>
    </w:p>
    <w:p>
      <w:pPr>
        <w:pStyle w:val="0"/>
        <w:spacing w:before="240" w:lineRule="auto"/>
        <w:ind w:firstLine="540"/>
        <w:jc w:val="both"/>
      </w:pPr>
      <w:r>
        <w:rPr>
          <w:sz w:val="24"/>
        </w:rPr>
        <w:t xml:space="preserve">12. По показателям </w:t>
      </w:r>
      <w:hyperlink w:history="0" w:anchor="P29964" w:tooltip="Подраздел 2.9.">
        <w:r>
          <w:rPr>
            <w:sz w:val="24"/>
            <w:color w:val="0000ff"/>
          </w:rPr>
          <w:t xml:space="preserve">подразделов 2.9</w:t>
        </w:r>
      </w:hyperlink>
      <w:r>
        <w:rPr>
          <w:sz w:val="24"/>
        </w:rPr>
        <w:t xml:space="preserve"> - </w:t>
      </w:r>
      <w:hyperlink w:history="0" w:anchor="P30332" w:tooltip="Подраздел 2.11.">
        <w:r>
          <w:rPr>
            <w:sz w:val="24"/>
            <w:color w:val="0000ff"/>
          </w:rPr>
          <w:t xml:space="preserve">2.11 раздела 2</w:t>
        </w:r>
      </w:hyperlink>
      <w:r>
        <w:rPr>
          <w:sz w:val="24"/>
        </w:rPr>
        <w:t xml:space="preserve"> отчетности по форме 0420155 отражаются сведения о расчете стабилизационного резерва в соответствии с </w:t>
      </w:r>
      <w:hyperlink w:history="0" r:id="rId42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приложением 6</w:t>
        </w:r>
      </w:hyperlink>
      <w:r>
        <w:rPr>
          <w:sz w:val="24"/>
        </w:rPr>
        <w:t xml:space="preserve"> к Положению Банка России N 858-П и сведения о расчете вспомогательной величины СтР в соответствии с </w:t>
      </w:r>
      <w:hyperlink w:history="0" r:id="rId43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5 к Положению Банка России N 858-П (далее - вспомогательная величина СтР) за отчетный период и за год, предшествующий отчетному периоду.</w:t>
      </w:r>
    </w:p>
    <w:p>
      <w:pPr>
        <w:pStyle w:val="0"/>
        <w:spacing w:before="240" w:lineRule="auto"/>
        <w:ind w:firstLine="540"/>
        <w:jc w:val="both"/>
      </w:pPr>
      <w:r>
        <w:rPr>
          <w:sz w:val="24"/>
        </w:rPr>
        <w:t xml:space="preserve">Сведения о расчете стабилизационного резерва по учетной группе 9 отражаются по показателям </w:t>
      </w:r>
      <w:hyperlink w:history="0" w:anchor="P29964" w:tooltip="Подраздел 2.9.">
        <w:r>
          <w:rPr>
            <w:sz w:val="24"/>
            <w:color w:val="0000ff"/>
          </w:rPr>
          <w:t xml:space="preserve">подраздела 2.9 раздела 2</w:t>
        </w:r>
      </w:hyperlink>
      <w:r>
        <w:rPr>
          <w:sz w:val="24"/>
        </w:rPr>
        <w:t xml:space="preserve"> отчетности по форме 0420155 в случае его формирования страховщиком в соответствии с </w:t>
      </w:r>
      <w:hyperlink w:history="0" r:id="rId431" w:tooltip="Федеральный закон от 25.07.2011 N 260-ФЗ (ред. от 28.12.2024)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 {КонсультантПлюс}">
        <w:r>
          <w:rPr>
            <w:sz w:val="24"/>
            <w:color w:val="0000ff"/>
          </w:rPr>
          <w:t xml:space="preserve">частью 6 статьи 3</w:t>
        </w:r>
      </w:hyperlink>
      <w:r>
        <w:rPr>
          <w:sz w:val="24"/>
        </w:rPr>
        <w:t xml:space="preserve"> Федерального закона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(далее - Федеральный закон N 260-ФЗ). В ином случае страховщик отражает сведения о расчете вспомогательной величины СтР по учетной группе 9 в </w:t>
      </w:r>
      <w:hyperlink w:history="0" w:anchor="P30332" w:tooltip="Подраздел 2.11.">
        <w:r>
          <w:rPr>
            <w:sz w:val="24"/>
            <w:color w:val="0000ff"/>
          </w:rPr>
          <w:t xml:space="preserve">подразделе 2.11 раздела 2</w:t>
        </w:r>
      </w:hyperlink>
      <w:r>
        <w:rPr>
          <w:sz w:val="24"/>
        </w:rPr>
        <w:t xml:space="preserve"> отчетности по форме 0420155, при этом показатели </w:t>
      </w:r>
      <w:hyperlink w:history="0" w:anchor="P29964" w:tooltip="Подраздел 2.9.">
        <w:r>
          <w:rPr>
            <w:sz w:val="24"/>
            <w:color w:val="0000ff"/>
          </w:rPr>
          <w:t xml:space="preserve">подраздела 2.9 раздела 2</w:t>
        </w:r>
      </w:hyperlink>
      <w:r>
        <w:rPr>
          <w:sz w:val="24"/>
        </w:rPr>
        <w:t xml:space="preserve"> отчетности по форме 0420155 не формируются.</w:t>
      </w:r>
    </w:p>
    <w:p>
      <w:pPr>
        <w:pStyle w:val="0"/>
        <w:spacing w:before="240" w:lineRule="auto"/>
        <w:ind w:firstLine="540"/>
        <w:jc w:val="both"/>
      </w:pPr>
      <w:r>
        <w:rPr>
          <w:sz w:val="24"/>
        </w:rPr>
        <w:t xml:space="preserve">12.1. По показателям </w:t>
      </w:r>
      <w:hyperlink w:history="0" w:anchor="P29964" w:tooltip="Подраздел 2.9.">
        <w:r>
          <w:rPr>
            <w:sz w:val="24"/>
            <w:color w:val="0000ff"/>
          </w:rPr>
          <w:t xml:space="preserve">подраздела 2.9 раздела 2</w:t>
        </w:r>
      </w:hyperlink>
      <w:r>
        <w:rPr>
          <w:sz w:val="24"/>
        </w:rPr>
        <w:t xml:space="preserve"> отчетности по форме 0420155 отражаются сведения о расчете величины стабилизационного резерва по учетной группе 9.</w:t>
      </w:r>
    </w:p>
    <w:p>
      <w:pPr>
        <w:pStyle w:val="0"/>
        <w:spacing w:before="240" w:lineRule="auto"/>
        <w:ind w:firstLine="540"/>
        <w:jc w:val="both"/>
      </w:pPr>
      <w:r>
        <w:rPr>
          <w:sz w:val="24"/>
        </w:rPr>
        <w:t xml:space="preserve">По показателям "Увеличение стоимости активов в виде полученного страховщиком застрахованного имущества (его годных остатков)" </w:t>
      </w:r>
      <w:hyperlink w:history="0" w:anchor="P30078" w:tooltip="84">
        <w:r>
          <w:rPr>
            <w:sz w:val="24"/>
            <w:color w:val="0000ff"/>
          </w:rPr>
          <w:t xml:space="preserve">(строка 84)</w:t>
        </w:r>
      </w:hyperlink>
      <w:r>
        <w:rPr>
          <w:sz w:val="24"/>
        </w:rPr>
        <w:t xml:space="preserve"> и "Уменьшение стоимости активов в виде полученного страховщиком застрахованного имущества (его годных остатков)" </w:t>
      </w:r>
      <w:hyperlink w:history="0" w:anchor="P30094" w:tooltip="86">
        <w:r>
          <w:rPr>
            <w:sz w:val="24"/>
            <w:color w:val="0000ff"/>
          </w:rPr>
          <w:t xml:space="preserve">(строка 86)</w:t>
        </w:r>
      </w:hyperlink>
      <w:r>
        <w:rPr>
          <w:sz w:val="24"/>
        </w:rPr>
        <w:t xml:space="preserve"> отражается соответственно увеличение или уменьшение стоимости активов в виде полученного страховщиком застрахованного имущества (его годных остатков), от прав на которое страхователь (выгодоприобретатель) отказался в пользу страховщика в целях получения от него страховой выплаты в соответствии с </w:t>
      </w:r>
      <w:hyperlink w:history="0" r:id="rId43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5 статьи 10</w:t>
        </w:r>
      </w:hyperlink>
      <w:r>
        <w:rPr>
          <w:sz w:val="24"/>
        </w:rPr>
        <w:t xml:space="preserve"> Закона Российской Федерации от 27 ноября 1992 года N 4015-I "Об организации страхового дела в Российской Федерации" (далее - Закон Российской Федерации N 4015-I).</w:t>
      </w:r>
    </w:p>
    <w:p>
      <w:pPr>
        <w:pStyle w:val="0"/>
        <w:spacing w:before="240" w:lineRule="auto"/>
        <w:ind w:firstLine="540"/>
        <w:jc w:val="both"/>
      </w:pPr>
      <w:r>
        <w:rPr>
          <w:sz w:val="24"/>
        </w:rPr>
        <w:t xml:space="preserve">По показателю "Отчисления от страховых премий в фонды компенсационных выплат" </w:t>
      </w:r>
      <w:hyperlink w:history="0" w:anchor="P30102" w:tooltip="87">
        <w:r>
          <w:rPr>
            <w:sz w:val="24"/>
            <w:color w:val="0000ff"/>
          </w:rPr>
          <w:t xml:space="preserve">(строка 87)</w:t>
        </w:r>
      </w:hyperlink>
      <w:r>
        <w:rPr>
          <w:sz w:val="24"/>
        </w:rPr>
        <w:t xml:space="preserve"> указывается сумма отчислений от страховых премий в фонды компенсационных выплат, осуществляемых в случаях, когда федеральными законами предусмотрено осуществление компенсационных выплат за счет средств профессиональных объединений страховщиков или иных организаций, на которые в соответствии с федеральными законами возложена обязанность осуществления компенсационных выплат (далее - отчисления в фонды компенсационных выплат).</w:t>
      </w:r>
    </w:p>
    <w:p>
      <w:pPr>
        <w:pStyle w:val="0"/>
        <w:spacing w:before="240" w:lineRule="auto"/>
        <w:ind w:firstLine="540"/>
        <w:jc w:val="both"/>
      </w:pPr>
      <w:r>
        <w:rPr>
          <w:sz w:val="24"/>
        </w:rPr>
        <w:t xml:space="preserve">По показателю "Страховые выплаты по договорам исходящего перестрахования, заключенным в отношении обязательств по произведенным страховым выплатам" </w:t>
      </w:r>
      <w:hyperlink w:history="0" w:anchor="P30166" w:tooltip="95">
        <w:r>
          <w:rPr>
            <w:sz w:val="24"/>
            <w:color w:val="0000ff"/>
          </w:rPr>
          <w:t xml:space="preserve">(строка 95)</w:t>
        </w:r>
      </w:hyperlink>
      <w:r>
        <w:rPr>
          <w:sz w:val="24"/>
        </w:rPr>
        <w:t xml:space="preserve"> указывается сумма страховых выплат по договорам исходящего перестрахования, заключенным страховщиком в отношении обязательств по произведенным страховым выплатам, указанным по показателю "Произведенные страховые выплаты, всего" </w:t>
      </w:r>
      <w:hyperlink w:history="0" w:anchor="P30158" w:tooltip="94">
        <w:r>
          <w:rPr>
            <w:sz w:val="24"/>
            <w:color w:val="0000ff"/>
          </w:rPr>
          <w:t xml:space="preserve">(строка 94)</w:t>
        </w:r>
      </w:hyperlink>
      <w:r>
        <w:rPr>
          <w:sz w:val="24"/>
        </w:rPr>
        <w:t xml:space="preserve">.</w:t>
      </w:r>
    </w:p>
    <w:p>
      <w:pPr>
        <w:pStyle w:val="0"/>
        <w:spacing w:before="240" w:lineRule="auto"/>
        <w:ind w:firstLine="540"/>
        <w:jc w:val="both"/>
      </w:pPr>
      <w:r>
        <w:rPr>
          <w:sz w:val="24"/>
        </w:rPr>
        <w:t xml:space="preserve">По показателю "Стабилизационный резерв" </w:t>
      </w:r>
      <w:hyperlink w:history="0" w:anchor="P30302" w:tooltip="112">
        <w:r>
          <w:rPr>
            <w:sz w:val="24"/>
            <w:color w:val="0000ff"/>
          </w:rPr>
          <w:t xml:space="preserve">(строка 112)</w:t>
        </w:r>
      </w:hyperlink>
      <w:r>
        <w:rPr>
          <w:sz w:val="24"/>
        </w:rPr>
        <w:t xml:space="preserve"> данные о величине стабилизационного резерва указываются по состоянию на начало и конец отчетного периода и по состоянию на начало и конец года, предшествующего отчетному периоду.</w:t>
      </w:r>
    </w:p>
    <w:p>
      <w:pPr>
        <w:pStyle w:val="0"/>
        <w:spacing w:before="240" w:lineRule="auto"/>
        <w:ind w:firstLine="540"/>
        <w:jc w:val="both"/>
      </w:pPr>
      <w:r>
        <w:rPr>
          <w:sz w:val="24"/>
        </w:rPr>
        <w:t xml:space="preserve">12.2. По показателям </w:t>
      </w:r>
      <w:hyperlink w:history="0" w:anchor="P30310" w:tooltip="Подраздел 2.10.">
        <w:r>
          <w:rPr>
            <w:sz w:val="24"/>
            <w:color w:val="0000ff"/>
          </w:rPr>
          <w:t xml:space="preserve">подраздела 2.10 раздела 2</w:t>
        </w:r>
      </w:hyperlink>
      <w:r>
        <w:rPr>
          <w:sz w:val="24"/>
        </w:rPr>
        <w:t xml:space="preserve"> отчетности по форме 0420155 отражаются сведения о расчете вспомогательной величины СтР по учетным группам 5, 8, 11, 15.</w:t>
      </w:r>
    </w:p>
    <w:p>
      <w:pPr>
        <w:pStyle w:val="0"/>
        <w:spacing w:before="240" w:lineRule="auto"/>
        <w:ind w:firstLine="540"/>
        <w:jc w:val="both"/>
      </w:pPr>
      <w:r>
        <w:rPr>
          <w:sz w:val="24"/>
        </w:rPr>
        <w:t xml:space="preserve">По показателю "Вспомогательная величина СтР" </w:t>
      </w:r>
      <w:hyperlink w:history="0" w:anchor="P30312" w:tooltip="113">
        <w:r>
          <w:rPr>
            <w:sz w:val="24"/>
            <w:color w:val="0000ff"/>
          </w:rPr>
          <w:t xml:space="preserve">(строка 113)</w:t>
        </w:r>
      </w:hyperlink>
      <w:r>
        <w:rPr>
          <w:sz w:val="24"/>
        </w:rPr>
        <w:t xml:space="preserve"> данные о вспомогательной величине СтР указываются по состоянию на начало и конец отчетного периода и по состоянию на начало и конец года, предшествующего отчетному периоду.</w:t>
      </w:r>
    </w:p>
    <w:p>
      <w:pPr>
        <w:pStyle w:val="0"/>
        <w:spacing w:before="240" w:lineRule="auto"/>
        <w:ind w:firstLine="540"/>
        <w:jc w:val="both"/>
      </w:pPr>
      <w:r>
        <w:rPr>
          <w:sz w:val="24"/>
        </w:rPr>
        <w:t xml:space="preserve">По показателю "Величина страховой выплаты, учитываемой для целей расчета вспомогательной величины СтР, за вычетом доли перестраховщиков в ней" </w:t>
      </w:r>
      <w:hyperlink w:history="0" w:anchor="P30320" w:tooltip="114">
        <w:r>
          <w:rPr>
            <w:sz w:val="24"/>
            <w:color w:val="0000ff"/>
          </w:rPr>
          <w:t xml:space="preserve">(строка 114)</w:t>
        </w:r>
      </w:hyperlink>
      <w:r>
        <w:rPr>
          <w:sz w:val="24"/>
        </w:rPr>
        <w:t xml:space="preserve"> отражаются все страховые выплаты, которые учитываются при расчете вспомогательной величины СтР в соответствии с </w:t>
      </w:r>
      <w:hyperlink w:history="0" r:id="rId43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третьим</w:t>
        </w:r>
      </w:hyperlink>
      <w:r>
        <w:rPr>
          <w:sz w:val="24"/>
        </w:rPr>
        <w:t xml:space="preserve"> - </w:t>
      </w:r>
      <w:hyperlink w:history="0" r:id="rId43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пятым пункта 4</w:t>
        </w:r>
      </w:hyperlink>
      <w:r>
        <w:rPr>
          <w:sz w:val="24"/>
        </w:rPr>
        <w:t xml:space="preserve"> приложения 5 к Положению Банка России N 858-П; каждая страховая выплата отражается отдельно (по группе аналитических признаков "Величина страховой выплаты, учитываемой для целей расчета вспомогательной величины СтР, за вычетом доли перестраховщиков в ней").</w:t>
      </w:r>
    </w:p>
    <w:p>
      <w:pPr>
        <w:pStyle w:val="0"/>
        <w:spacing w:before="240" w:lineRule="auto"/>
        <w:ind w:firstLine="540"/>
        <w:jc w:val="both"/>
      </w:pPr>
      <w:r>
        <w:rPr>
          <w:sz w:val="24"/>
        </w:rPr>
        <w:t xml:space="preserve">12.3. В </w:t>
      </w:r>
      <w:hyperlink w:history="0" w:anchor="P30332" w:tooltip="Подраздел 2.11.">
        <w:r>
          <w:rPr>
            <w:sz w:val="24"/>
            <w:color w:val="0000ff"/>
          </w:rPr>
          <w:t xml:space="preserve">подразделе 2.11 раздела 2</w:t>
        </w:r>
      </w:hyperlink>
      <w:r>
        <w:rPr>
          <w:sz w:val="24"/>
        </w:rPr>
        <w:t xml:space="preserve"> отчетности по форме 0420155 по показателю "Вспомогательная величина СтР" </w:t>
      </w:r>
      <w:hyperlink w:history="0" w:anchor="P30334" w:tooltip="115">
        <w:r>
          <w:rPr>
            <w:sz w:val="24"/>
            <w:color w:val="0000ff"/>
          </w:rPr>
          <w:t xml:space="preserve">(строка 115)</w:t>
        </w:r>
      </w:hyperlink>
      <w:r>
        <w:rPr>
          <w:sz w:val="24"/>
        </w:rPr>
        <w:t xml:space="preserve"> отражаются сведения о расчете вспомогательной величины СтР по учетным группам 1 - 4, 6, 7, 10, 12 - 14, 16, 17, а также сведения о расчете вспомогательной величины СтР по учетной группе 9 (в случае если страховщик не формирует стабилизационный резерв в соответствии с </w:t>
      </w:r>
      <w:hyperlink w:history="0" r:id="rId435" w:tooltip="Федеральный закон от 25.07.2011 N 260-ФЗ (ред. от 28.12.2024)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 {КонсультантПлюс}">
        <w:r>
          <w:rPr>
            <w:sz w:val="24"/>
            <w:color w:val="0000ff"/>
          </w:rPr>
          <w:t xml:space="preserve">частью 6 статьи 3</w:t>
        </w:r>
      </w:hyperlink>
      <w:r>
        <w:rPr>
          <w:sz w:val="24"/>
        </w:rPr>
        <w:t xml:space="preserve"> Федерального закона N 260-ФЗ) по состоянию на начало и конец отчетного периода и по состоянию на начало и конец года, предшествующего отчетному периоду.</w:t>
      </w:r>
    </w:p>
    <w:p>
      <w:pPr>
        <w:pStyle w:val="0"/>
        <w:spacing w:before="240" w:lineRule="auto"/>
        <w:ind w:firstLine="540"/>
        <w:jc w:val="both"/>
      </w:pPr>
      <w:r>
        <w:rPr>
          <w:sz w:val="24"/>
        </w:rPr>
        <w:t xml:space="preserve">13. По показателям </w:t>
      </w:r>
      <w:hyperlink w:history="0" w:anchor="P30342" w:tooltip="Подраздел 2.12.">
        <w:r>
          <w:rPr>
            <w:sz w:val="24"/>
            <w:color w:val="0000ff"/>
          </w:rPr>
          <w:t xml:space="preserve">подразделов 2.12</w:t>
        </w:r>
      </w:hyperlink>
      <w:r>
        <w:rPr>
          <w:sz w:val="24"/>
        </w:rPr>
        <w:t xml:space="preserve"> и </w:t>
      </w:r>
      <w:hyperlink w:history="0" w:anchor="P30360" w:tooltip="Подраздел 2.13.">
        <w:r>
          <w:rPr>
            <w:sz w:val="24"/>
            <w:color w:val="0000ff"/>
          </w:rPr>
          <w:t xml:space="preserve">2.13 раздела 2</w:t>
        </w:r>
      </w:hyperlink>
      <w:r>
        <w:rPr>
          <w:sz w:val="24"/>
        </w:rPr>
        <w:t xml:space="preserve"> отчетности по форме 0420155 данные указываются по состоянию на отчетную дату и на конец каждого квартала, предшествующего последнему кварталу отчетного периода, в разрезе учетных групп 3 и 7 и дополнительных учетных групп, входящих в состав указанных учетных групп (при наличии). При этом количество кварталов, предшествующих последнему кварталу отчетного периода (не менее 11 кварталов и не более 31 квартала), по которым указываются данные, определяется страховщиком исходя из количества кварталов, по которым им производится расчет вспомогательной величины ОРС</w:t>
      </w:r>
      <w:r>
        <w:rPr>
          <w:sz w:val="24"/>
          <w:vertAlign w:val="superscript"/>
        </w:rPr>
        <w:t xml:space="preserve">Ф</w:t>
      </w:r>
      <w:r>
        <w:rPr>
          <w:sz w:val="24"/>
        </w:rPr>
        <w:t xml:space="preserve"> по учетным группам 3 и 7 в соответствии с </w:t>
      </w:r>
      <w:hyperlink w:history="0" r:id="rId43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приложением 4</w:t>
        </w:r>
      </w:hyperlink>
      <w:r>
        <w:rPr>
          <w:sz w:val="24"/>
        </w:rPr>
        <w:t xml:space="preserve"> к Положению Банка России N 858-П (далее - вспомогательная величина ОРС</w:t>
      </w:r>
      <w:r>
        <w:rPr>
          <w:sz w:val="24"/>
          <w:vertAlign w:val="superscript"/>
        </w:rPr>
        <w:t xml:space="preserve">Ф</w:t>
      </w:r>
      <w:r>
        <w:rPr>
          <w:sz w:val="24"/>
        </w:rPr>
        <w:t xml:space="preserve">).</w:t>
      </w:r>
    </w:p>
    <w:p>
      <w:pPr>
        <w:pStyle w:val="0"/>
        <w:spacing w:before="240" w:lineRule="auto"/>
        <w:ind w:firstLine="540"/>
        <w:jc w:val="both"/>
      </w:pPr>
      <w:r>
        <w:rPr>
          <w:sz w:val="24"/>
        </w:rPr>
        <w:t xml:space="preserve">13.1. В </w:t>
      </w:r>
      <w:hyperlink w:history="0" w:anchor="P30342" w:tooltip="Подраздел 2.12.">
        <w:r>
          <w:rPr>
            <w:sz w:val="24"/>
            <w:color w:val="0000ff"/>
          </w:rPr>
          <w:t xml:space="preserve">подразделе 2.12 раздела 2</w:t>
        </w:r>
      </w:hyperlink>
      <w:r>
        <w:rPr>
          <w:sz w:val="24"/>
        </w:rPr>
        <w:t xml:space="preserve"> отчетности по форме 0420155 по показателю "Суммы, полученные по суброгационным и регрессным требованиям, а также от реализации годных остатков, на конец каждого квартала (нарастающим итогом)" </w:t>
      </w:r>
      <w:hyperlink w:history="0" w:anchor="P30344" w:tooltip="116">
        <w:r>
          <w:rPr>
            <w:sz w:val="24"/>
            <w:color w:val="0000ff"/>
          </w:rPr>
          <w:t xml:space="preserve">(строка 116)</w:t>
        </w:r>
      </w:hyperlink>
      <w:r>
        <w:rPr>
          <w:sz w:val="24"/>
        </w:rPr>
        <w:t xml:space="preserve"> отражаются нарастающим итогом суммы, полученные по суброгационным и регрессным требованиям, а также от реализации годных остатков по договорам страхования, сострахования, входящего перестрахования, страховые случаи по которым наступили в квартале, указанном по группе аналитических признаков "Период (квартал и год) наступления страхового случая"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кварталов, по которым производится расчет вспомогательной величины ОРС</w:t>
      </w:r>
      <w:r>
        <w:rPr>
          <w:sz w:val="24"/>
          <w:vertAlign w:val="superscript"/>
        </w:rPr>
        <w:t xml:space="preserve">Ф</w:t>
      </w:r>
      <w:r>
        <w:rPr>
          <w:sz w:val="24"/>
        </w:rPr>
        <w:t xml:space="preserve">, - данные о суммах, полученных по суброгационным и регрессным требованиям, а также от реализации годных остатков, по таким страховым случаям указываются совокупно по аналитическому признаку "Предшествующие периоды").</w:t>
      </w:r>
    </w:p>
    <w:p>
      <w:pPr>
        <w:pStyle w:val="0"/>
        <w:spacing w:before="240" w:lineRule="auto"/>
        <w:ind w:firstLine="540"/>
        <w:jc w:val="both"/>
      </w:pPr>
      <w:r>
        <w:rPr>
          <w:sz w:val="24"/>
        </w:rPr>
        <w:t xml:space="preserve">13.2. В </w:t>
      </w:r>
      <w:hyperlink w:history="0" w:anchor="P30360" w:tooltip="Подраздел 2.13.">
        <w:r>
          <w:rPr>
            <w:sz w:val="24"/>
            <w:color w:val="0000ff"/>
          </w:rPr>
          <w:t xml:space="preserve">подразделе 2.13 раздела 2</w:t>
        </w:r>
      </w:hyperlink>
      <w:r>
        <w:rPr>
          <w:sz w:val="24"/>
        </w:rPr>
        <w:t xml:space="preserve"> отчетности по форме 0420155 по показателю "Совокупный размер прав требования по суброгациям и регрессам по страховым случаям, относящимся к i-му кварталу наступления убытков (ПТ)" </w:t>
      </w:r>
      <w:hyperlink w:history="0" w:anchor="P29306" w:tooltip="17">
        <w:r>
          <w:rPr>
            <w:sz w:val="24"/>
            <w:color w:val="0000ff"/>
          </w:rPr>
          <w:t xml:space="preserve">(строка 117)</w:t>
        </w:r>
      </w:hyperlink>
      <w:r>
        <w:rPr>
          <w:sz w:val="24"/>
        </w:rPr>
        <w:t xml:space="preserve"> отражаются данные о совокупном размере прав требования по суброгациям и регрессам (без учета обесценения и обнуления) по страховым случаям, которые наступили в квартале, указанном по группе аналитических признаков "Период (квартал и год) наступления страхового случая"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кварталов, по которым производится расчет вспомогательной величины ОРС</w:t>
      </w:r>
      <w:r>
        <w:rPr>
          <w:sz w:val="24"/>
          <w:vertAlign w:val="superscript"/>
        </w:rPr>
        <w:t xml:space="preserve">Ф</w:t>
      </w:r>
      <w:r>
        <w:rPr>
          <w:sz w:val="24"/>
        </w:rPr>
        <w:t xml:space="preserve">, - данные о совокупном размере прав требования по суброгациям и регрессам по таким страховым случаям указываются совокупно по аналитическому признаку "Предшествующие периоды").</w:t>
      </w:r>
    </w:p>
    <w:p>
      <w:pPr>
        <w:pStyle w:val="0"/>
        <w:spacing w:before="240" w:lineRule="auto"/>
        <w:ind w:firstLine="540"/>
        <w:jc w:val="both"/>
      </w:pPr>
      <w:r>
        <w:rPr>
          <w:sz w:val="24"/>
        </w:rPr>
        <w:t xml:space="preserve">Итоговое значение показателя "Совокупный размер прав требования по суброгациям и регрессам по страховым случаям, относящимся к i-му кварталу наступления убытков (ПТ)" </w:t>
      </w:r>
      <w:hyperlink w:history="0" w:anchor="P29306" w:tooltip="17">
        <w:r>
          <w:rPr>
            <w:sz w:val="24"/>
            <w:color w:val="0000ff"/>
          </w:rPr>
          <w:t xml:space="preserve">(строка 117)</w:t>
        </w:r>
      </w:hyperlink>
      <w:r>
        <w:rPr>
          <w:sz w:val="24"/>
        </w:rPr>
        <w:t xml:space="preserve"> определяется страховщиком путем суммирования данных по всем периодам наступления страхового случая, отраженных по указанному показателю.</w:t>
      </w:r>
    </w:p>
    <w:p>
      <w:pPr>
        <w:pStyle w:val="0"/>
        <w:spacing w:before="240" w:lineRule="auto"/>
        <w:ind w:firstLine="540"/>
        <w:jc w:val="both"/>
      </w:pPr>
      <w:r>
        <w:rPr>
          <w:sz w:val="24"/>
        </w:rPr>
        <w:t xml:space="preserve">14. По показателям </w:t>
      </w:r>
      <w:hyperlink w:history="0" w:anchor="P30378" w:tooltip="Подраздел 2.14.">
        <w:r>
          <w:rPr>
            <w:sz w:val="24"/>
            <w:color w:val="0000ff"/>
          </w:rPr>
          <w:t xml:space="preserve">подразделов 2.14</w:t>
        </w:r>
      </w:hyperlink>
      <w:r>
        <w:rPr>
          <w:sz w:val="24"/>
        </w:rPr>
        <w:t xml:space="preserve"> - </w:t>
      </w:r>
      <w:hyperlink w:history="0" w:anchor="P30532" w:tooltip="Подраздел 2.21.">
        <w:r>
          <w:rPr>
            <w:sz w:val="24"/>
            <w:color w:val="0000ff"/>
          </w:rPr>
          <w:t xml:space="preserve">2.21 раздела 2</w:t>
        </w:r>
      </w:hyperlink>
      <w:r>
        <w:rPr>
          <w:sz w:val="24"/>
        </w:rPr>
        <w:t xml:space="preserve"> отчетности по форме 0420155 отражаются входящие и исходящие денежные потоки при оценке ожидаемой величины обязательств по резерву премий (ДПП), доли перестраховщиков в резерве премий, ожидаемой величины обязательств по резерву убытков (ДПУ), доли перестраховщиков в резерве убытков до дисконтирования в разрезе учетных групп 1 - 21 и дополнительных учетных групп, входящих в состав учетных групп 1 - 17 (при наличии).</w:t>
      </w:r>
    </w:p>
    <w:p>
      <w:pPr>
        <w:pStyle w:val="0"/>
        <w:spacing w:before="240" w:lineRule="auto"/>
        <w:ind w:firstLine="540"/>
        <w:jc w:val="both"/>
      </w:pPr>
      <w:r>
        <w:rPr>
          <w:sz w:val="24"/>
        </w:rPr>
        <w:t xml:space="preserve">По показателям </w:t>
      </w:r>
      <w:hyperlink w:history="0" w:anchor="P30378" w:tooltip="Подраздел 2.14.">
        <w:r>
          <w:rPr>
            <w:sz w:val="24"/>
            <w:color w:val="0000ff"/>
          </w:rPr>
          <w:t xml:space="preserve">подразделов 2.14</w:t>
        </w:r>
      </w:hyperlink>
      <w:r>
        <w:rPr>
          <w:sz w:val="24"/>
        </w:rPr>
        <w:t xml:space="preserve"> - </w:t>
      </w:r>
      <w:hyperlink w:history="0" w:anchor="P30444" w:tooltip="Подраздел 2.17.">
        <w:r>
          <w:rPr>
            <w:sz w:val="24"/>
            <w:color w:val="0000ff"/>
          </w:rPr>
          <w:t xml:space="preserve">2.17 раздела 2</w:t>
        </w:r>
      </w:hyperlink>
      <w:r>
        <w:rPr>
          <w:sz w:val="24"/>
        </w:rPr>
        <w:t xml:space="preserve"> отчетности по форме 0420155 по группам аналитических признаков "Период (квартал и год) действия страхового покрытия" и "Период (квартал и год) погашения денежных потоков" сведения по учетным группам 1 - 17 и дополнительным учетным группам, входящим в состав указанных учетных групп (при наличии), отражаются за 30 кварталов, следующих после отчетного периода, сведения по учетным группам 18 - 21 - за 400 кварталов, следующих после отчетного периода (с указанием последнего календарного дня квартала, за исключением сведений по учетным группам 1 - 17 и дополнительным учетным группам, входящим в состав указанных учетных групп (при наличии), за 31 и более кварталов, следующих после отчетного периода, и сведений по учетным группам 18 - 21 за 401 и более кварталов, следующих после отчетного периода, которые указываются совокупно по аналитическому признаку "Последующие периоды").</w:t>
      </w:r>
    </w:p>
    <w:p>
      <w:pPr>
        <w:pStyle w:val="0"/>
        <w:spacing w:before="240" w:lineRule="auto"/>
        <w:ind w:firstLine="540"/>
        <w:jc w:val="both"/>
      </w:pPr>
      <w:r>
        <w:rPr>
          <w:sz w:val="24"/>
        </w:rPr>
        <w:t xml:space="preserve">Отражение сведений по группе аналитических признаков "Период (квартал и год) действия страхового покрытия" осуществляется страховщиком с учетом периода (периодов) времени, определяемого (определяемых) согласно условиям договора страхования (сострахования, входящего перестрахования), в течение которого (которых) могут наступить страховые случаи или произойти иные события (совершено действие или бездействие (произведены работы, оказаны услуги), определенные в договоре страхования (сострахования, входящего перестрахования), в результате которых в будущем наступит страховой случай.</w:t>
      </w:r>
    </w:p>
    <w:p>
      <w:pPr>
        <w:pStyle w:val="0"/>
        <w:spacing w:before="240" w:lineRule="auto"/>
        <w:ind w:firstLine="540"/>
        <w:jc w:val="both"/>
      </w:pPr>
      <w:r>
        <w:rPr>
          <w:sz w:val="24"/>
        </w:rPr>
        <w:t xml:space="preserve">По показателям </w:t>
      </w:r>
      <w:hyperlink w:history="0" w:anchor="P30466" w:tooltip="Подраздел 2.18.">
        <w:r>
          <w:rPr>
            <w:sz w:val="24"/>
            <w:color w:val="0000ff"/>
          </w:rPr>
          <w:t xml:space="preserve">подразделов 2.18</w:t>
        </w:r>
      </w:hyperlink>
      <w:r>
        <w:rPr>
          <w:sz w:val="24"/>
        </w:rPr>
        <w:t xml:space="preserve"> - </w:t>
      </w:r>
      <w:hyperlink w:history="0" w:anchor="P30532" w:tooltip="Подраздел 2.21.">
        <w:r>
          <w:rPr>
            <w:sz w:val="24"/>
            <w:color w:val="0000ff"/>
          </w:rPr>
          <w:t xml:space="preserve">2.21 раздела 2</w:t>
        </w:r>
      </w:hyperlink>
      <w:r>
        <w:rPr>
          <w:sz w:val="24"/>
        </w:rPr>
        <w:t xml:space="preserve"> отчетности по форме 0420155 по группе аналитических признаков "Период (квартал и год) погашения денежных потоков" сведения отражаются за 30 и более кварталов, следующих после отчетного периода (с указанием последнего календарного дня квартала, отличного от последнего квартала отчетного периода, за исключением сведений за 31 и более кварталов, следующих после отчетного периода, которые указываются совокупно по аналитическому признаку "Последующие периоды"), по группе аналитических признаков "Период (квартал и год) наступления страхового случая" сведения отражаются за отчетный период и за 29 и более кварталов, предшествующих последнему кварталу отчетного периода (с указанием последнего календарного дня квартала, за исключением страховых случаев, наступивших ранее 29 кварталов, предшествующих последнему кварталу отчетного периода, - сведения по таким страховым случаям указываются совокупно по аналитическому признаку "Предшествующие периоды").</w:t>
      </w:r>
    </w:p>
    <w:p>
      <w:pPr>
        <w:pStyle w:val="0"/>
        <w:spacing w:before="240" w:lineRule="auto"/>
        <w:ind w:firstLine="540"/>
        <w:jc w:val="both"/>
      </w:pPr>
      <w:r>
        <w:rPr>
          <w:sz w:val="24"/>
        </w:rPr>
        <w:t xml:space="preserve">Сумма денежных потоков, указанных в </w:t>
      </w:r>
      <w:hyperlink w:history="0" w:anchor="P30488" w:tooltip="Подраздел 2.19.">
        <w:r>
          <w:rPr>
            <w:sz w:val="24"/>
            <w:color w:val="0000ff"/>
          </w:rPr>
          <w:t xml:space="preserve">подразделе 2.19 раздела 2</w:t>
        </w:r>
      </w:hyperlink>
      <w:r>
        <w:rPr>
          <w:sz w:val="24"/>
        </w:rPr>
        <w:t xml:space="preserve"> отчетности по форме 0420155, за вычетом суммы денежных потоков, указанных в </w:t>
      </w:r>
      <w:hyperlink w:history="0" w:anchor="P30466" w:tooltip="Подраздел 2.18.">
        <w:r>
          <w:rPr>
            <w:sz w:val="24"/>
            <w:color w:val="0000ff"/>
          </w:rPr>
          <w:t xml:space="preserve">подразделе 2.18 раздела 2</w:t>
        </w:r>
      </w:hyperlink>
      <w:r>
        <w:rPr>
          <w:sz w:val="24"/>
        </w:rPr>
        <w:t xml:space="preserve"> отчетности по форме 0420155, должна соответствовать недисконтированной ожидаемой величине обязательств по резерву убытков (ДПУ) на отчетную дату.</w:t>
      </w:r>
    </w:p>
    <w:p>
      <w:pPr>
        <w:pStyle w:val="0"/>
        <w:spacing w:before="240" w:lineRule="auto"/>
        <w:ind w:firstLine="540"/>
        <w:jc w:val="both"/>
      </w:pPr>
      <w:r>
        <w:rPr>
          <w:sz w:val="24"/>
        </w:rPr>
        <w:t xml:space="preserve">В </w:t>
      </w:r>
      <w:hyperlink w:history="0" w:anchor="P30378" w:tooltip="Подраздел 2.14.">
        <w:r>
          <w:rPr>
            <w:sz w:val="24"/>
            <w:color w:val="0000ff"/>
          </w:rPr>
          <w:t xml:space="preserve">подразделах 2.14</w:t>
        </w:r>
      </w:hyperlink>
      <w:r>
        <w:rPr>
          <w:sz w:val="24"/>
        </w:rPr>
        <w:t xml:space="preserve"> - </w:t>
      </w:r>
      <w:hyperlink w:history="0" w:anchor="P30532" w:tooltip="Подраздел 2.21.">
        <w:r>
          <w:rPr>
            <w:sz w:val="24"/>
            <w:color w:val="0000ff"/>
          </w:rPr>
          <w:t xml:space="preserve">2.21 раздела 2</w:t>
        </w:r>
      </w:hyperlink>
      <w:r>
        <w:rPr>
          <w:sz w:val="24"/>
        </w:rPr>
        <w:t xml:space="preserve"> отчетности по форме 0420155 в случае, если для денежных потоков невозможно однозначно определить период погашения денежных потоков или период действия страхового покрытия, денежные потоки распределяются по периодам действия страхового покрытия обоснованным актуарием способом.</w:t>
      </w:r>
    </w:p>
    <w:p>
      <w:pPr>
        <w:pStyle w:val="0"/>
        <w:spacing w:before="240" w:lineRule="auto"/>
        <w:ind w:firstLine="540"/>
        <w:jc w:val="both"/>
      </w:pPr>
      <w:r>
        <w:rPr>
          <w:sz w:val="24"/>
        </w:rPr>
        <w:t xml:space="preserve">Величины всех денежных потоков (входящих и исходящих) в </w:t>
      </w:r>
      <w:hyperlink w:history="0" w:anchor="P30378" w:tooltip="Подраздел 2.14.">
        <w:r>
          <w:rPr>
            <w:sz w:val="24"/>
            <w:color w:val="0000ff"/>
          </w:rPr>
          <w:t xml:space="preserve">подразделах 2.14</w:t>
        </w:r>
      </w:hyperlink>
      <w:r>
        <w:rPr>
          <w:sz w:val="24"/>
        </w:rPr>
        <w:t xml:space="preserve"> - </w:t>
      </w:r>
      <w:hyperlink w:history="0" w:anchor="P30532" w:tooltip="Подраздел 2.21.">
        <w:r>
          <w:rPr>
            <w:sz w:val="24"/>
            <w:color w:val="0000ff"/>
          </w:rPr>
          <w:t xml:space="preserve">2.21 раздела 2</w:t>
        </w:r>
      </w:hyperlink>
      <w:r>
        <w:rPr>
          <w:sz w:val="24"/>
        </w:rPr>
        <w:t xml:space="preserve"> отчетности по форме 0420155 отражаются в значениях по модулю (без знака "-" (минус), за исключением случаев, когда денежный поток принимает отрицательное значение.</w:t>
      </w:r>
    </w:p>
    <w:p>
      <w:pPr>
        <w:pStyle w:val="0"/>
        <w:spacing w:before="240" w:lineRule="auto"/>
        <w:ind w:firstLine="540"/>
        <w:jc w:val="both"/>
      </w:pPr>
      <w:r>
        <w:rPr>
          <w:sz w:val="24"/>
        </w:rPr>
        <w:t xml:space="preserve">15. По показателям </w:t>
      </w:r>
      <w:hyperlink w:history="0" w:anchor="P30554" w:tooltip="Подраздел 2.22.">
        <w:r>
          <w:rPr>
            <w:sz w:val="24"/>
            <w:color w:val="0000ff"/>
          </w:rPr>
          <w:t xml:space="preserve">подраздела 2.22 раздела 2</w:t>
        </w:r>
      </w:hyperlink>
      <w:r>
        <w:rPr>
          <w:sz w:val="24"/>
        </w:rPr>
        <w:t xml:space="preserve"> отчетности по форме 0420155 сведения отражаются в разрезе учетных групп 1 - 21 и дополнительных учетных групп, входящих в состав учетных групп 1 - 17 (при наличии), по состоянию на отчетную дату и на конец года, предшествующего отчетному периоду.</w:t>
      </w:r>
    </w:p>
    <w:p>
      <w:pPr>
        <w:pStyle w:val="0"/>
        <w:spacing w:before="240" w:lineRule="auto"/>
        <w:ind w:firstLine="540"/>
        <w:jc w:val="both"/>
      </w:pPr>
      <w:r>
        <w:rPr>
          <w:sz w:val="24"/>
        </w:rPr>
        <w:t xml:space="preserve">По показателю "Вспомогательная величина PM" </w:t>
      </w:r>
      <w:hyperlink w:history="0" w:anchor="P30556" w:tooltip="126">
        <w:r>
          <w:rPr>
            <w:sz w:val="24"/>
            <w:color w:val="0000ff"/>
          </w:rPr>
          <w:t xml:space="preserve">(строка 126)</w:t>
        </w:r>
      </w:hyperlink>
      <w:r>
        <w:rPr>
          <w:sz w:val="24"/>
        </w:rPr>
        <w:t xml:space="preserve"> отражается величина PMi по учетной группе, рассчитанная в соответствии с </w:t>
      </w:r>
      <w:hyperlink w:history="0" r:id="rId43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2</w:t>
        </w:r>
      </w:hyperlink>
      <w:r>
        <w:rPr>
          <w:sz w:val="24"/>
        </w:rPr>
        <w:t xml:space="preserve"> приложения 5 к Положению Банка России N 858-П (далее - вспомогательная величина РМ).</w:t>
      </w:r>
    </w:p>
    <w:p>
      <w:pPr>
        <w:pStyle w:val="0"/>
        <w:spacing w:before="240" w:lineRule="auto"/>
        <w:ind w:firstLine="540"/>
        <w:jc w:val="both"/>
      </w:pPr>
      <w:r>
        <w:rPr>
          <w:sz w:val="24"/>
        </w:rPr>
        <w:t xml:space="preserve">Значения показателей "Наилучшая оценка приведенной стоимости денежных потоков по исполнению обязательств, учитываемых в расчете величины резерва убытков (ДПУ</w:t>
      </w:r>
      <w:r>
        <w:rPr>
          <w:sz w:val="24"/>
          <w:vertAlign w:val="superscript"/>
        </w:rPr>
        <w:t xml:space="preserve">НО</w:t>
      </w:r>
      <w:r>
        <w:rPr>
          <w:sz w:val="24"/>
        </w:rPr>
        <w:t xml:space="preserve">)" </w:t>
      </w:r>
      <w:hyperlink w:history="0" w:anchor="P30568" w:tooltip="127">
        <w:r>
          <w:rPr>
            <w:sz w:val="24"/>
            <w:color w:val="0000ff"/>
          </w:rPr>
          <w:t xml:space="preserve">(строка 127)</w:t>
        </w:r>
      </w:hyperlink>
      <w:r>
        <w:rPr>
          <w:sz w:val="24"/>
        </w:rPr>
        <w:t xml:space="preserve">, "Наилучшая оценка приведенной стоимости денежных потоков по расходам на исполнение обязательств по страховым случаям (ДПРУУ</w:t>
      </w:r>
      <w:r>
        <w:rPr>
          <w:sz w:val="24"/>
          <w:vertAlign w:val="superscript"/>
        </w:rPr>
        <w:t xml:space="preserve">НО</w:t>
      </w:r>
      <w:r>
        <w:rPr>
          <w:sz w:val="24"/>
        </w:rPr>
        <w:t xml:space="preserve">)" </w:t>
      </w:r>
      <w:hyperlink w:history="0" w:anchor="P30580" w:tooltip="128">
        <w:r>
          <w:rPr>
            <w:sz w:val="24"/>
            <w:color w:val="0000ff"/>
          </w:rPr>
          <w:t xml:space="preserve">(строка 128)</w:t>
        </w:r>
      </w:hyperlink>
      <w:r>
        <w:rPr>
          <w:sz w:val="24"/>
        </w:rPr>
        <w:t xml:space="preserve">, "Вспомогательная величина ДПУ</w:t>
      </w:r>
      <w:r>
        <w:rPr>
          <w:sz w:val="24"/>
          <w:vertAlign w:val="superscript"/>
        </w:rPr>
        <w:t xml:space="preserve">Ф</w:t>
      </w:r>
      <w:r>
        <w:rPr>
          <w:sz w:val="24"/>
        </w:rPr>
        <w:t xml:space="preserve">" </w:t>
      </w:r>
      <w:hyperlink w:history="0" w:anchor="P30592" w:tooltip="129">
        <w:r>
          <w:rPr>
            <w:sz w:val="24"/>
            <w:color w:val="0000ff"/>
          </w:rPr>
          <w:t xml:space="preserve">(строка 129)</w:t>
        </w:r>
      </w:hyperlink>
      <w:r>
        <w:rPr>
          <w:sz w:val="24"/>
        </w:rPr>
        <w:t xml:space="preserve">, "Вспомогательная величина ОРС</w:t>
      </w:r>
      <w:r>
        <w:rPr>
          <w:sz w:val="24"/>
          <w:vertAlign w:val="superscript"/>
        </w:rPr>
        <w:t xml:space="preserve">Ф</w:t>
      </w:r>
      <w:r>
        <w:rPr>
          <w:sz w:val="24"/>
        </w:rPr>
        <w:t xml:space="preserve">" </w:t>
      </w:r>
      <w:hyperlink w:history="0" w:anchor="P30604" w:tooltip="130">
        <w:r>
          <w:rPr>
            <w:sz w:val="24"/>
            <w:color w:val="0000ff"/>
          </w:rPr>
          <w:t xml:space="preserve">(строка 130)</w:t>
        </w:r>
      </w:hyperlink>
      <w:r>
        <w:rPr>
          <w:sz w:val="24"/>
        </w:rPr>
        <w:t xml:space="preserve">, "Наилучшая оценка приведенной стоимости денежных потоков по страховым выплатам, учитываемых в расчете величины резерва убытков (ДПУВ</w:t>
      </w:r>
      <w:r>
        <w:rPr>
          <w:sz w:val="24"/>
          <w:vertAlign w:val="superscript"/>
        </w:rPr>
        <w:t xml:space="preserve">НО</w:t>
      </w:r>
      <w:r>
        <w:rPr>
          <w:sz w:val="24"/>
        </w:rPr>
        <w:t xml:space="preserve">)" </w:t>
      </w:r>
      <w:hyperlink w:history="0" w:anchor="P30616" w:tooltip="131">
        <w:r>
          <w:rPr>
            <w:sz w:val="24"/>
            <w:color w:val="0000ff"/>
          </w:rPr>
          <w:t xml:space="preserve">(строка 131)</w:t>
        </w:r>
      </w:hyperlink>
      <w:r>
        <w:rPr>
          <w:sz w:val="24"/>
        </w:rPr>
        <w:t xml:space="preserve">, "Количество кварталов для расчета вспомогательной величины ДПУ</w:t>
      </w:r>
      <w:r>
        <w:rPr>
          <w:sz w:val="24"/>
          <w:vertAlign w:val="superscript"/>
        </w:rPr>
        <w:t xml:space="preserve">Ф</w:t>
      </w:r>
      <w:r>
        <w:rPr>
          <w:sz w:val="24"/>
        </w:rPr>
        <w:t xml:space="preserve"> (величина N)" </w:t>
      </w:r>
      <w:hyperlink w:history="0" w:anchor="P30652" w:tooltip="134">
        <w:r>
          <w:rPr>
            <w:sz w:val="24"/>
            <w:color w:val="0000ff"/>
          </w:rPr>
          <w:t xml:space="preserve">(строка 134)</w:t>
        </w:r>
      </w:hyperlink>
      <w:r>
        <w:rPr>
          <w:sz w:val="24"/>
        </w:rPr>
        <w:t xml:space="preserve">, "Количество кварталов для расчета вспомогательной величины ОРС</w:t>
      </w:r>
      <w:r>
        <w:rPr>
          <w:sz w:val="24"/>
          <w:vertAlign w:val="superscript"/>
        </w:rPr>
        <w:t xml:space="preserve">Ф</w:t>
      </w:r>
      <w:r>
        <w:rPr>
          <w:sz w:val="24"/>
        </w:rPr>
        <w:t xml:space="preserve"> (величина M)" </w:t>
      </w:r>
      <w:hyperlink w:history="0" w:anchor="P30664" w:tooltip="135">
        <w:r>
          <w:rPr>
            <w:sz w:val="24"/>
            <w:color w:val="0000ff"/>
          </w:rPr>
          <w:t xml:space="preserve">(строка 135)</w:t>
        </w:r>
      </w:hyperlink>
      <w:r>
        <w:rPr>
          <w:sz w:val="24"/>
        </w:rPr>
        <w:t xml:space="preserve">, "Основная валюта" </w:t>
      </w:r>
      <w:hyperlink w:history="0" w:anchor="P30724" w:tooltip="140">
        <w:r>
          <w:rPr>
            <w:sz w:val="24"/>
            <w:color w:val="0000ff"/>
          </w:rPr>
          <w:t xml:space="preserve">(строка 140)</w:t>
        </w:r>
      </w:hyperlink>
      <w:r>
        <w:rPr>
          <w:sz w:val="24"/>
        </w:rPr>
        <w:t xml:space="preserve"> указываются по учетным группам 1 - 17 и дополнительным учетным группам, входящим в их состав (при наличии).</w:t>
      </w:r>
    </w:p>
    <w:p>
      <w:pPr>
        <w:pStyle w:val="0"/>
        <w:spacing w:before="240" w:lineRule="auto"/>
        <w:ind w:firstLine="540"/>
        <w:jc w:val="both"/>
      </w:pPr>
      <w:r>
        <w:rPr>
          <w:sz w:val="24"/>
        </w:rPr>
        <w:t xml:space="preserve">По показателю "Вспомогательная величина ДПУ</w:t>
      </w:r>
      <w:r>
        <w:rPr>
          <w:sz w:val="24"/>
          <w:vertAlign w:val="superscript"/>
        </w:rPr>
        <w:t xml:space="preserve">Ф</w:t>
      </w:r>
      <w:r>
        <w:rPr>
          <w:sz w:val="24"/>
        </w:rPr>
        <w:t xml:space="preserve">" </w:t>
      </w:r>
      <w:hyperlink w:history="0" w:anchor="P30592" w:tooltip="129">
        <w:r>
          <w:rPr>
            <w:sz w:val="24"/>
            <w:color w:val="0000ff"/>
          </w:rPr>
          <w:t xml:space="preserve">(строка 129)</w:t>
        </w:r>
      </w:hyperlink>
      <w:r>
        <w:rPr>
          <w:sz w:val="24"/>
        </w:rPr>
        <w:t xml:space="preserve"> отражается вспомогательная величина ДПУ</w:t>
      </w:r>
      <w:r>
        <w:rPr>
          <w:sz w:val="24"/>
          <w:vertAlign w:val="superscript"/>
        </w:rPr>
        <w:t xml:space="preserve">Ф</w:t>
      </w:r>
      <w:r>
        <w:rPr>
          <w:sz w:val="24"/>
        </w:rPr>
        <w:t xml:space="preserve">, рассчитанная в соответствии с </w:t>
      </w:r>
      <w:hyperlink w:history="0" r:id="rId43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приложением 3</w:t>
        </w:r>
      </w:hyperlink>
      <w:r>
        <w:rPr>
          <w:sz w:val="24"/>
        </w:rPr>
        <w:t xml:space="preserve"> к Положению Банка России N 858-П (далее - вспомогательная величина ДПУ</w:t>
      </w:r>
      <w:r>
        <w:rPr>
          <w:sz w:val="24"/>
          <w:vertAlign w:val="superscript"/>
        </w:rPr>
        <w:t xml:space="preserve">Ф</w:t>
      </w:r>
      <w:r>
        <w:rPr>
          <w:sz w:val="24"/>
        </w:rPr>
        <w:t xml:space="preserve">).</w:t>
      </w:r>
    </w:p>
    <w:p>
      <w:pPr>
        <w:pStyle w:val="0"/>
        <w:spacing w:before="240" w:lineRule="auto"/>
        <w:ind w:firstLine="540"/>
        <w:jc w:val="both"/>
      </w:pPr>
      <w:r>
        <w:rPr>
          <w:sz w:val="24"/>
        </w:rPr>
        <w:t xml:space="preserve">По показателю "Вспомогательная величина ОРС</w:t>
      </w:r>
      <w:r>
        <w:rPr>
          <w:sz w:val="24"/>
          <w:vertAlign w:val="superscript"/>
        </w:rPr>
        <w:t xml:space="preserve">Ф</w:t>
      </w:r>
      <w:r>
        <w:rPr>
          <w:sz w:val="24"/>
        </w:rPr>
        <w:t xml:space="preserve">" </w:t>
      </w:r>
      <w:hyperlink w:history="0" w:anchor="P30604" w:tooltip="130">
        <w:r>
          <w:rPr>
            <w:sz w:val="24"/>
            <w:color w:val="0000ff"/>
          </w:rPr>
          <w:t xml:space="preserve">(строка 130)</w:t>
        </w:r>
      </w:hyperlink>
      <w:r>
        <w:rPr>
          <w:sz w:val="24"/>
        </w:rPr>
        <w:t xml:space="preserve"> отражается вспомогательная величина ОРС</w:t>
      </w:r>
      <w:r>
        <w:rPr>
          <w:sz w:val="24"/>
          <w:vertAlign w:val="superscript"/>
        </w:rPr>
        <w:t xml:space="preserve">Ф</w:t>
      </w:r>
      <w:r>
        <w:rPr>
          <w:sz w:val="24"/>
        </w:rPr>
        <w:t xml:space="preserve">.</w:t>
      </w:r>
    </w:p>
    <w:p>
      <w:pPr>
        <w:pStyle w:val="0"/>
        <w:spacing w:before="240" w:lineRule="auto"/>
        <w:ind w:firstLine="540"/>
        <w:jc w:val="both"/>
      </w:pPr>
      <w:r>
        <w:rPr>
          <w:sz w:val="24"/>
        </w:rPr>
        <w:t xml:space="preserve">По показателю "Количество кварталов для расчета вспомогательной величины ДПУ</w:t>
      </w:r>
      <w:r>
        <w:rPr>
          <w:sz w:val="24"/>
          <w:vertAlign w:val="superscript"/>
        </w:rPr>
        <w:t xml:space="preserve">Ф</w:t>
      </w:r>
      <w:r>
        <w:rPr>
          <w:sz w:val="24"/>
        </w:rPr>
        <w:t xml:space="preserve"> (величина N)" </w:t>
      </w:r>
      <w:hyperlink w:history="0" w:anchor="P30652" w:tooltip="134">
        <w:r>
          <w:rPr>
            <w:sz w:val="24"/>
            <w:color w:val="0000ff"/>
          </w:rPr>
          <w:t xml:space="preserve">(строка 134)</w:t>
        </w:r>
      </w:hyperlink>
      <w:r>
        <w:rPr>
          <w:sz w:val="24"/>
        </w:rPr>
        <w:t xml:space="preserve"> отражается количество кварталов, за которые рассматриваются данные о страховых выплатах для расчета вспомогательной величины ДПУ</w:t>
      </w:r>
      <w:r>
        <w:rPr>
          <w:sz w:val="24"/>
          <w:vertAlign w:val="superscript"/>
        </w:rPr>
        <w:t xml:space="preserve">Ф</w:t>
      </w:r>
      <w:r>
        <w:rPr>
          <w:sz w:val="24"/>
        </w:rPr>
        <w:t xml:space="preserve"> (величина N).</w:t>
      </w:r>
    </w:p>
    <w:p>
      <w:pPr>
        <w:pStyle w:val="0"/>
        <w:spacing w:before="240" w:lineRule="auto"/>
        <w:ind w:firstLine="540"/>
        <w:jc w:val="both"/>
      </w:pPr>
      <w:r>
        <w:rPr>
          <w:sz w:val="24"/>
        </w:rPr>
        <w:t xml:space="preserve">По показателю "Количество кварталов для расчета вспомогательной величины ОРС</w:t>
      </w:r>
      <w:r>
        <w:rPr>
          <w:sz w:val="24"/>
          <w:vertAlign w:val="superscript"/>
        </w:rPr>
        <w:t xml:space="preserve">Ф</w:t>
      </w:r>
      <w:r>
        <w:rPr>
          <w:sz w:val="24"/>
        </w:rPr>
        <w:t xml:space="preserve"> (величинам)" </w:t>
      </w:r>
      <w:hyperlink w:history="0" w:anchor="P30664" w:tooltip="135">
        <w:r>
          <w:rPr>
            <w:sz w:val="24"/>
            <w:color w:val="0000ff"/>
          </w:rPr>
          <w:t xml:space="preserve">(строка 135)</w:t>
        </w:r>
      </w:hyperlink>
      <w:r>
        <w:rPr>
          <w:sz w:val="24"/>
        </w:rPr>
        <w:t xml:space="preserve"> отражается количество кварталов, за которые рассматриваются данные о поступлениях по суброгациям, регрессам и от реализации годных остатков для расчета вспомогательной величины ОРС</w:t>
      </w:r>
      <w:r>
        <w:rPr>
          <w:sz w:val="24"/>
          <w:vertAlign w:val="superscript"/>
        </w:rPr>
        <w:t xml:space="preserve">Ф</w:t>
      </w:r>
      <w:r>
        <w:rPr>
          <w:sz w:val="24"/>
        </w:rPr>
        <w:t xml:space="preserve"> (величина M).</w:t>
      </w:r>
    </w:p>
    <w:p>
      <w:pPr>
        <w:pStyle w:val="0"/>
        <w:spacing w:before="240" w:lineRule="auto"/>
        <w:ind w:firstLine="540"/>
        <w:jc w:val="both"/>
      </w:pPr>
      <w:r>
        <w:rPr>
          <w:sz w:val="24"/>
        </w:rPr>
        <w:t xml:space="preserve">По показателю "Прочие денежные потоки по заключенным до отчетной даты включительно договорам страхования, сострахования и входящего перестрахования, о которых на отчетную дату страховщик не имеет достоверных данных в связи с более поздним получением первичных учетных документов" </w:t>
      </w:r>
      <w:hyperlink w:history="0" w:anchor="P30712" w:tooltip="139">
        <w:r>
          <w:rPr>
            <w:sz w:val="24"/>
            <w:color w:val="0000ff"/>
          </w:rPr>
          <w:t xml:space="preserve">(строка 139)</w:t>
        </w:r>
      </w:hyperlink>
      <w:r>
        <w:rPr>
          <w:sz w:val="24"/>
        </w:rPr>
        <w:t xml:space="preserve"> отражается сумма прочих денежных потоков по заключенным до отчетной даты включительно договорам страхования, сострахования, входящего перестрахования, указанных в </w:t>
      </w:r>
      <w:hyperlink w:history="0" r:id="rId43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втором подпункта 5.3.13 пункта 5.3</w:t>
        </w:r>
      </w:hyperlink>
      <w:r>
        <w:rPr>
          <w:sz w:val="24"/>
        </w:rPr>
        <w:t xml:space="preserve"> Положения Банка России N 858-П, за исключением денежных потоков, отраженных по показателям "Денежные потоки по страховым премиям по заключенным до отчетной даты включительно договорам страхования, сострахования и входящего перестрахования, о которых на отчетную дату страховщик не имеет достоверных данных в связи с более поздним получением первичных учетных документов" </w:t>
      </w:r>
      <w:hyperlink w:history="0" w:anchor="P30688" w:tooltip="137">
        <w:r>
          <w:rPr>
            <w:sz w:val="24"/>
            <w:color w:val="0000ff"/>
          </w:rPr>
          <w:t xml:space="preserve">(строка 137)</w:t>
        </w:r>
      </w:hyperlink>
      <w:r>
        <w:rPr>
          <w:sz w:val="24"/>
        </w:rPr>
        <w:t xml:space="preserve"> и "Оценочная величина денежных потоков по аквизиционным расходам, соответствующих денежным потокам по заключенным до отчетной даты включительно договорам страхования, сострахования и входящего перестрахования, о которых на отчетную дату страховщик не имеет достоверных данных в связи с более поздним получением первичных учетных документов" </w:t>
      </w:r>
      <w:hyperlink w:history="0" w:anchor="P30700" w:tooltip="138">
        <w:r>
          <w:rPr>
            <w:sz w:val="24"/>
            <w:color w:val="0000ff"/>
          </w:rPr>
          <w:t xml:space="preserve">(строка 138)</w:t>
        </w:r>
      </w:hyperlink>
      <w:r>
        <w:rPr>
          <w:sz w:val="24"/>
        </w:rPr>
        <w:t xml:space="preserve">.</w:t>
      </w:r>
    </w:p>
    <w:p>
      <w:pPr>
        <w:pStyle w:val="0"/>
        <w:spacing w:before="240" w:lineRule="auto"/>
        <w:ind w:firstLine="540"/>
        <w:jc w:val="both"/>
      </w:pPr>
      <w:r>
        <w:rPr>
          <w:sz w:val="24"/>
        </w:rPr>
        <w:t xml:space="preserve">По показателю "Основная валюта" </w:t>
      </w:r>
      <w:hyperlink w:history="0" w:anchor="P30724" w:tooltip="140">
        <w:r>
          <w:rPr>
            <w:sz w:val="24"/>
            <w:color w:val="0000ff"/>
          </w:rPr>
          <w:t xml:space="preserve">(строка 140)</w:t>
        </w:r>
      </w:hyperlink>
      <w:r>
        <w:rPr>
          <w:sz w:val="24"/>
        </w:rPr>
        <w:t xml:space="preserve"> указывается основная валюта для каждой учетной группы (дополнительной учетной группы). В случае если основной валютой учетной группы (дополнительной учетной группы) является валюта, отличная от рубля, пересчет значений показателей отчетности по </w:t>
      </w:r>
      <w:hyperlink w:history="0" w:anchor="P29159" w:tooltip="Отчетность по форме 0420155">
        <w:r>
          <w:rPr>
            <w:sz w:val="24"/>
            <w:color w:val="0000ff"/>
          </w:rPr>
          <w:t xml:space="preserve">форме 0420155</w:t>
        </w:r>
      </w:hyperlink>
      <w:r>
        <w:rPr>
          <w:sz w:val="24"/>
        </w:rPr>
        <w:t xml:space="preserve"> в рубли осуществляется страховщиком с соблюдением положений </w:t>
      </w:r>
      <w:hyperlink w:history="0" r:id="rId44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 7.3</w:t>
        </w:r>
      </w:hyperlink>
      <w:r>
        <w:rPr>
          <w:sz w:val="24"/>
        </w:rPr>
        <w:t xml:space="preserve"> Положения Банка России N 858-П.</w:t>
      </w:r>
    </w:p>
    <w:p>
      <w:pPr>
        <w:pStyle w:val="0"/>
        <w:spacing w:before="240" w:lineRule="auto"/>
        <w:ind w:firstLine="540"/>
        <w:jc w:val="both"/>
      </w:pPr>
      <w:r>
        <w:rPr>
          <w:sz w:val="24"/>
        </w:rPr>
        <w:t xml:space="preserve">16. В </w:t>
      </w:r>
      <w:hyperlink w:history="0" w:anchor="P30736" w:tooltip="Подраздел 2.23.">
        <w:r>
          <w:rPr>
            <w:sz w:val="24"/>
            <w:color w:val="0000ff"/>
          </w:rPr>
          <w:t xml:space="preserve">подразделе 2.23 раздела 2</w:t>
        </w:r>
      </w:hyperlink>
      <w:r>
        <w:rPr>
          <w:sz w:val="24"/>
        </w:rPr>
        <w:t xml:space="preserve"> отчетности по форме 0420155 по показателю "Вспомогательная величина СУ" </w:t>
      </w:r>
      <w:hyperlink w:history="0" w:anchor="P30738" w:tooltip="141">
        <w:r>
          <w:rPr>
            <w:sz w:val="24"/>
            <w:color w:val="0000ff"/>
          </w:rPr>
          <w:t xml:space="preserve">(строка 141)</w:t>
        </w:r>
      </w:hyperlink>
      <w:r>
        <w:rPr>
          <w:sz w:val="24"/>
        </w:rPr>
        <w:t xml:space="preserve"> отражается прогноз денежных потоков при расчете вспомогательной величины РМ в разрезе учетных групп 1 - 17 и дополнительных учетных групп, входящих в состав указанных учетных групп (при наличии).</w:t>
      </w:r>
    </w:p>
    <w:p>
      <w:pPr>
        <w:pStyle w:val="0"/>
        <w:spacing w:before="240" w:lineRule="auto"/>
        <w:ind w:firstLine="540"/>
        <w:jc w:val="both"/>
      </w:pPr>
      <w:r>
        <w:rPr>
          <w:sz w:val="24"/>
        </w:rPr>
        <w:t xml:space="preserve">По показателю "Вспомогательная величина СУ" </w:t>
      </w:r>
      <w:hyperlink w:history="0" w:anchor="P30738" w:tooltip="141">
        <w:r>
          <w:rPr>
            <w:sz w:val="24"/>
            <w:color w:val="0000ff"/>
          </w:rPr>
          <w:t xml:space="preserve">(строка 141)</w:t>
        </w:r>
      </w:hyperlink>
      <w:r>
        <w:rPr>
          <w:sz w:val="24"/>
        </w:rPr>
        <w:t xml:space="preserve"> данные о вспомогательной величине СУ(р), используемой для расчета вспомогательной величины РМ в соответствии с </w:t>
      </w:r>
      <w:hyperlink w:history="0" r:id="rId44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приложением 5</w:t>
        </w:r>
      </w:hyperlink>
      <w:r>
        <w:rPr>
          <w:sz w:val="24"/>
        </w:rPr>
        <w:t xml:space="preserve"> к Положению Банка России N 858-П, указываются на отчетную дату и на каждую дату, отстоящую на 1 год (2 года, 3 года, 4 года, 5 лет, 6 лет, 7 лет и так далее до года, содержащего максимальную предполагаемую дату полного исполнения обязательств по учитываемым в расчете договорам) вперед от отчетной даты, а также на каждую дату, отстоящую на 1 год (2 года) назад от отчетной даты (с указанием последнего календарного дня расчетного года по группе аналитических признаков "Период расчета", за исключением сведений за 8 и более лет, следующих после отчетного периода, которые указываются совокупно по аналитическому признаку "Последующие периоды").</w:t>
      </w:r>
    </w:p>
    <w:p>
      <w:pPr>
        <w:pStyle w:val="0"/>
        <w:spacing w:before="240" w:lineRule="auto"/>
        <w:ind w:firstLine="540"/>
        <w:jc w:val="both"/>
      </w:pPr>
      <w:r>
        <w:rPr>
          <w:sz w:val="24"/>
        </w:rPr>
        <w:t xml:space="preserve">17. В </w:t>
      </w:r>
      <w:hyperlink w:history="0" w:anchor="P30754" w:tooltip="Подраздел 2.24.">
        <w:r>
          <w:rPr>
            <w:sz w:val="24"/>
            <w:color w:val="0000ff"/>
          </w:rPr>
          <w:t xml:space="preserve">подразделе 2.24 раздела 2</w:t>
        </w:r>
      </w:hyperlink>
      <w:r>
        <w:rPr>
          <w:sz w:val="24"/>
        </w:rPr>
        <w:t xml:space="preserve"> отчетности по форме 0420155 по показателю "Количество договоров страхования, сострахования и входящего перестрахования, досрочно прекративших свое действие" </w:t>
      </w:r>
      <w:hyperlink w:history="0" w:anchor="P30756" w:tooltip="142">
        <w:r>
          <w:rPr>
            <w:sz w:val="24"/>
            <w:color w:val="0000ff"/>
          </w:rPr>
          <w:t xml:space="preserve">(строка 142)</w:t>
        </w:r>
      </w:hyperlink>
      <w:r>
        <w:rPr>
          <w:sz w:val="24"/>
        </w:rPr>
        <w:t xml:space="preserve"> отражаются нарастающим итогом данные о количестве договоров страхования, сострахования, входящего перестрахования, досрочно прекративших свое действие, на отчетную дату и на конец каждого из 19 кварталов, предшествующих последнему кварталу отчетного периода, в разрезе учетных групп 1 - 21 и дополнительных учетных групп, входящих в состав учетных групп 1 - 17 (при наличии).</w:t>
      </w:r>
    </w:p>
    <w:p>
      <w:pPr>
        <w:pStyle w:val="0"/>
        <w:spacing w:before="240" w:lineRule="auto"/>
        <w:ind w:firstLine="540"/>
        <w:jc w:val="both"/>
      </w:pPr>
      <w:r>
        <w:rPr>
          <w:sz w:val="24"/>
        </w:rPr>
        <w:t xml:space="preserve">По группе аналитических признаков "Период (квартал и год) признания договора" сведения отражаются за последний квартал отчетного периода и за 19 кварталов, предшествующих последнему кварталу отчетного периода, исходя из квартала признания договоров страхования, сострахования, входящего перестрахования, досрочно прекративших свое действие (с указанием последнего календарного дня квартала).</w:t>
      </w:r>
    </w:p>
    <w:p>
      <w:pPr>
        <w:pStyle w:val="0"/>
        <w:spacing w:before="240" w:lineRule="auto"/>
        <w:ind w:firstLine="540"/>
        <w:jc w:val="both"/>
      </w:pPr>
      <w:r>
        <w:rPr>
          <w:sz w:val="24"/>
        </w:rPr>
        <w:t xml:space="preserve">18. По показателям </w:t>
      </w:r>
      <w:hyperlink w:history="0" w:anchor="P30772" w:tooltip="Подраздел 2.25.">
        <w:r>
          <w:rPr>
            <w:sz w:val="24"/>
            <w:color w:val="0000ff"/>
          </w:rPr>
          <w:t xml:space="preserve">подраздела 2.25 раздела 2</w:t>
        </w:r>
      </w:hyperlink>
      <w:r>
        <w:rPr>
          <w:sz w:val="24"/>
        </w:rPr>
        <w:t xml:space="preserve"> отчетности по форме 0420155 сведения отражаются за месяц нарастающим итогом с начала года (за исключением показателей "Сумма вспомогательной величины ЗНУ" </w:t>
      </w:r>
      <w:hyperlink w:history="0" w:anchor="P31170" w:tooltip="176">
        <w:r>
          <w:rPr>
            <w:sz w:val="24"/>
            <w:color w:val="0000ff"/>
          </w:rPr>
          <w:t xml:space="preserve">(строка 176)</w:t>
        </w:r>
      </w:hyperlink>
      <w:r>
        <w:rPr>
          <w:sz w:val="24"/>
        </w:rPr>
        <w:t xml:space="preserve">, "Доля перестраховщиков во вспомогательной величине ЗНУ" </w:t>
      </w:r>
      <w:hyperlink w:history="0" w:anchor="P31182" w:tooltip="177">
        <w:r>
          <w:rPr>
            <w:sz w:val="24"/>
            <w:color w:val="0000ff"/>
          </w:rPr>
          <w:t xml:space="preserve">(строка 177)</w:t>
        </w:r>
      </w:hyperlink>
      <w:r>
        <w:rPr>
          <w:sz w:val="24"/>
        </w:rPr>
        <w:t xml:space="preserve"> и "Коэффициент аппроксимации (k)" </w:t>
      </w:r>
      <w:hyperlink w:history="0" w:anchor="P31194" w:tooltip="178">
        <w:r>
          <w:rPr>
            <w:sz w:val="24"/>
            <w:color w:val="0000ff"/>
          </w:rPr>
          <w:t xml:space="preserve">(строка 178)</w:t>
        </w:r>
      </w:hyperlink>
      <w:r>
        <w:rPr>
          <w:sz w:val="24"/>
        </w:rPr>
        <w:t xml:space="preserve">, сведения по которым отражаются по состоянию на конец месяца) в разрезе учетных групп 1 - 21 и дополнительных учетных групп, входящих в состав учетных групп 1 - 17 (при наличии).</w:t>
      </w:r>
    </w:p>
    <w:p>
      <w:pPr>
        <w:pStyle w:val="0"/>
        <w:spacing w:before="240" w:lineRule="auto"/>
        <w:ind w:firstLine="540"/>
        <w:jc w:val="both"/>
      </w:pPr>
      <w:r>
        <w:rPr>
          <w:sz w:val="24"/>
        </w:rPr>
        <w:t xml:space="preserve">Значения показателей "Произведенные страховые выплаты по соглашению о прямом возмещении убытков, за исключением величины не разнесенных по убыткам списаний по инкассо" </w:t>
      </w:r>
      <w:hyperlink w:history="0" w:anchor="P30870" w:tooltip="151">
        <w:r>
          <w:rPr>
            <w:sz w:val="24"/>
            <w:color w:val="0000ff"/>
          </w:rPr>
          <w:t xml:space="preserve">(строка 151)</w:t>
        </w:r>
      </w:hyperlink>
      <w:r>
        <w:rPr>
          <w:sz w:val="24"/>
        </w:rPr>
        <w:t xml:space="preserve">, "Сумма поступивших денежных средств по требованиям об оплате возмещенного вреда" </w:t>
      </w:r>
      <w:hyperlink w:history="0" w:anchor="P31098" w:tooltip="170">
        <w:r>
          <w:rPr>
            <w:sz w:val="24"/>
            <w:color w:val="0000ff"/>
          </w:rPr>
          <w:t xml:space="preserve">(строка 170)</w:t>
        </w:r>
      </w:hyperlink>
      <w:r>
        <w:rPr>
          <w:sz w:val="24"/>
        </w:rPr>
        <w:t xml:space="preserve">, "Сумма выплат потерпевшим по их требованиям о прямом возмещении убытков (без учета дополнительного возмещения убытков потерпевшим)" </w:t>
      </w:r>
      <w:hyperlink w:history="0" w:anchor="P31110" w:tooltip="171">
        <w:r>
          <w:rPr>
            <w:sz w:val="24"/>
            <w:color w:val="0000ff"/>
          </w:rPr>
          <w:t xml:space="preserve">(строка 171)</w:t>
        </w:r>
      </w:hyperlink>
      <w:r>
        <w:rPr>
          <w:sz w:val="24"/>
        </w:rPr>
        <w:t xml:space="preserve">, "Сумма выплат потерпевшим по их требованиям о прямом возмещении убытков (дополнительное возмещение убытков потерпевшим)" </w:t>
      </w:r>
      <w:hyperlink w:history="0" w:anchor="P31122" w:tooltip="172">
        <w:r>
          <w:rPr>
            <w:sz w:val="24"/>
            <w:color w:val="0000ff"/>
          </w:rPr>
          <w:t xml:space="preserve">(строка 172)</w:t>
        </w:r>
      </w:hyperlink>
      <w:r>
        <w:rPr>
          <w:sz w:val="24"/>
        </w:rPr>
        <w:t xml:space="preserve"> указываются по учетной группе 3.</w:t>
      </w:r>
    </w:p>
    <w:p>
      <w:pPr>
        <w:pStyle w:val="0"/>
        <w:spacing w:before="240" w:lineRule="auto"/>
        <w:ind w:firstLine="540"/>
        <w:jc w:val="both"/>
      </w:pPr>
      <w:r>
        <w:rPr>
          <w:sz w:val="24"/>
        </w:rPr>
        <w:t xml:space="preserve">Значение показателя "Инвестиционная часть страховых премий по договорам долевого страхования жизни, направленная на приобретение инвестиционных паев" </w:t>
      </w:r>
      <w:hyperlink w:history="0" w:anchor="P31206" w:tooltip="179">
        <w:r>
          <w:rPr>
            <w:sz w:val="24"/>
            <w:color w:val="0000ff"/>
          </w:rPr>
          <w:t xml:space="preserve">(строка 179)</w:t>
        </w:r>
      </w:hyperlink>
      <w:r>
        <w:rPr>
          <w:sz w:val="24"/>
        </w:rPr>
        <w:t xml:space="preserve"> указывается по учетной группе 19.</w:t>
      </w:r>
    </w:p>
    <w:p>
      <w:pPr>
        <w:pStyle w:val="0"/>
        <w:spacing w:before="240" w:lineRule="auto"/>
        <w:ind w:firstLine="540"/>
        <w:jc w:val="both"/>
      </w:pPr>
      <w:r>
        <w:rPr>
          <w:sz w:val="24"/>
        </w:rPr>
        <w:t xml:space="preserve">По показателям </w:t>
      </w:r>
      <w:hyperlink w:history="0" w:anchor="P30772" w:tooltip="Подраздел 2.25.">
        <w:r>
          <w:rPr>
            <w:sz w:val="24"/>
            <w:color w:val="0000ff"/>
          </w:rPr>
          <w:t xml:space="preserve">подраздела 2.25 раздела 2</w:t>
        </w:r>
      </w:hyperlink>
      <w:r>
        <w:rPr>
          <w:sz w:val="24"/>
        </w:rPr>
        <w:t xml:space="preserve"> отчетности по форме 0420155 выплаты или поступления, осуществленные в результате зачета страховщиком встречных требований, отражаются так, как если бы они не были зачтены страховщиком в результате встречных требований.</w:t>
      </w:r>
    </w:p>
    <w:p>
      <w:pPr>
        <w:pStyle w:val="0"/>
        <w:spacing w:before="240" w:lineRule="auto"/>
        <w:ind w:firstLine="540"/>
        <w:jc w:val="both"/>
      </w:pPr>
      <w:r>
        <w:rPr>
          <w:sz w:val="24"/>
        </w:rPr>
        <w:t xml:space="preserve">18.1. По показателю "Сумма страховой премии, предусмотренной договором страхования за предоставление страхового покрытия до верхней границы соответствующего договора, по договорам страхования, сострахования и входящего перестрахования, признанным в течение отчетного периода (за вычетом возвратов части страховых премий)" </w:t>
      </w:r>
      <w:hyperlink w:history="0" w:anchor="P30774" w:tooltip="143">
        <w:r>
          <w:rPr>
            <w:sz w:val="24"/>
            <w:color w:val="0000ff"/>
          </w:rPr>
          <w:t xml:space="preserve">(строка 143)</w:t>
        </w:r>
      </w:hyperlink>
      <w:r>
        <w:rPr>
          <w:sz w:val="24"/>
        </w:rPr>
        <w:t xml:space="preserve"> отражается сумма страховых премий по признанным в отчетном периоде договорам страхования, сострахования, входящего перестрахования. В данный показатель по указанным договорам включаются страховые премии, полученные страховщиком до отчетной даты, и страховые премии, ожидаемые к получению страховщиком после отчетной даты, за вычетом возвратов части страховых премий при досрочном прекращении договоров.</w:t>
      </w:r>
    </w:p>
    <w:p>
      <w:pPr>
        <w:pStyle w:val="0"/>
        <w:spacing w:before="240" w:lineRule="auto"/>
        <w:ind w:firstLine="540"/>
        <w:jc w:val="both"/>
      </w:pPr>
      <w:r>
        <w:rPr>
          <w:sz w:val="24"/>
        </w:rPr>
        <w:t xml:space="preserve">Сумма страховых премий, которые уплачиваются страхователем страховой организации и направляются в соответствии с указанием страхователя на приобретение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 по договору долевого страхования жизни, и сумма возвратов таких страховых премий по показателю "Сумма страховой премии, предусмотренной договором страхования за предоставление страхового покрытия до верхней границы соответствующего договора, по договорам страхования, сострахования и входящего перестрахования, признанным в течение отчетного периода (за вычетом возвратов части страховых премий)" </w:t>
      </w:r>
      <w:hyperlink w:history="0" w:anchor="P30774" w:tooltip="143">
        <w:r>
          <w:rPr>
            <w:sz w:val="24"/>
            <w:color w:val="0000ff"/>
          </w:rPr>
          <w:t xml:space="preserve">(строка 143)</w:t>
        </w:r>
      </w:hyperlink>
      <w:r>
        <w:rPr>
          <w:sz w:val="24"/>
        </w:rPr>
        <w:t xml:space="preserve"> не отражаются.</w:t>
      </w:r>
    </w:p>
    <w:p>
      <w:pPr>
        <w:pStyle w:val="0"/>
        <w:spacing w:before="240" w:lineRule="auto"/>
        <w:ind w:firstLine="540"/>
        <w:jc w:val="both"/>
      </w:pPr>
      <w:r>
        <w:rPr>
          <w:sz w:val="24"/>
        </w:rPr>
        <w:t xml:space="preserve">18.2. По показателю "Сумма страховой премии за перестрахование договоров страхования, сострахования и входящего перестрахования, признанных в течение отчетного периода" </w:t>
      </w:r>
      <w:hyperlink w:history="0" w:anchor="P30786" w:tooltip="144">
        <w:r>
          <w:rPr>
            <w:sz w:val="24"/>
            <w:color w:val="0000ff"/>
          </w:rPr>
          <w:t xml:space="preserve">(строка 144)</w:t>
        </w:r>
      </w:hyperlink>
      <w:r>
        <w:rPr>
          <w:sz w:val="24"/>
        </w:rPr>
        <w:t xml:space="preserve"> отражается сумма страховых премий по договорам исходящего перестрахования, которые перечислены перестраховщику до отчетной даты и которые будут перечислены перестраховщику после отчетной даты за перестрахование договоров страхования, сострахования, входящего перестрахования, признанных в течение отчетного периода (за вычетом возвратов страховых премий).</w:t>
      </w:r>
    </w:p>
    <w:p>
      <w:pPr>
        <w:pStyle w:val="0"/>
        <w:spacing w:before="240" w:lineRule="auto"/>
        <w:ind w:firstLine="540"/>
        <w:jc w:val="both"/>
      </w:pPr>
      <w:r>
        <w:rPr>
          <w:sz w:val="24"/>
        </w:rPr>
        <w:t xml:space="preserve">В отношении договоров исходящего перестрахования, в соответствии с условиями которых предусмотрена уплата депозитной премии и по которым депозитная премия не может быть отнесена к конкретным договорам страхования, сострахования, входящего перестрахования, признанным в течение отчетного периода, по показателю "Сумма страховой премии за перестрахование договоров страхования, сострахования и входящего перестрахования, признанных в течение отчетного периода" </w:t>
      </w:r>
      <w:hyperlink w:history="0" w:anchor="P30786" w:tooltip="144">
        <w:r>
          <w:rPr>
            <w:sz w:val="24"/>
            <w:color w:val="0000ff"/>
          </w:rPr>
          <w:t xml:space="preserve">(строка 144)</w:t>
        </w:r>
      </w:hyperlink>
      <w:r>
        <w:rPr>
          <w:sz w:val="24"/>
        </w:rPr>
        <w:t xml:space="preserve"> сумма депозитной премии отражается в том отчетном периоде, в котором она была уплачена.</w:t>
      </w:r>
    </w:p>
    <w:p>
      <w:pPr>
        <w:pStyle w:val="0"/>
        <w:spacing w:before="240" w:lineRule="auto"/>
        <w:ind w:firstLine="540"/>
        <w:jc w:val="both"/>
      </w:pPr>
      <w:r>
        <w:rPr>
          <w:sz w:val="24"/>
        </w:rPr>
        <w:t xml:space="preserve">18.3. По показателю "Произведенные страховые выплаты по соглашению о прямом возмещении убытков, за исключением величины не разнесенных по убыткам списаний по инкассо" </w:t>
      </w:r>
      <w:hyperlink w:history="0" w:anchor="P30870" w:tooltip="151">
        <w:r>
          <w:rPr>
            <w:sz w:val="24"/>
            <w:color w:val="0000ff"/>
          </w:rPr>
          <w:t xml:space="preserve">(строка 151)</w:t>
        </w:r>
      </w:hyperlink>
      <w:r>
        <w:rPr>
          <w:sz w:val="24"/>
        </w:rPr>
        <w:t xml:space="preserve"> страховщиком, застраховавшим гражданскую ответственность лица, причинившего вред имуществу потерпевшего (далее - страховщик причинителя вреда), указывается сумма осуществленных в отчетном периоде страховщиками, застраховавшими гражданскую ответственность потерпевших (далее - страховщик потерпевшего), выплат по прямому возмещению убытков по обязательному страхованию гражданской ответственности владельцев транспортных средств (далее - прямое возмещение убытков) в соответствии с поступившими от страховщиков потерпевших требованиями об оплате возмещенного вреда в рамках прямого возмещения убытков (за исключением величины не разнесенных по убыткам списаний по инкассо).</w:t>
      </w:r>
    </w:p>
    <w:p>
      <w:pPr>
        <w:pStyle w:val="0"/>
        <w:spacing w:before="240" w:lineRule="auto"/>
        <w:ind w:firstLine="540"/>
        <w:jc w:val="both"/>
      </w:pPr>
      <w:r>
        <w:rPr>
          <w:sz w:val="24"/>
        </w:rPr>
        <w:t xml:space="preserve">18.4. По показателю "Полученные возмещения доли перестраховщиков в страховых выплатах и права требования страховщика по возмещению указанной доли перестраховщиков" </w:t>
      </w:r>
      <w:hyperlink w:history="0" w:anchor="P30882" w:tooltip="152">
        <w:r>
          <w:rPr>
            <w:sz w:val="24"/>
            <w:color w:val="0000ff"/>
          </w:rPr>
          <w:t xml:space="preserve">(строка 152)</w:t>
        </w:r>
      </w:hyperlink>
      <w:r>
        <w:rPr>
          <w:sz w:val="24"/>
        </w:rPr>
        <w:t xml:space="preserve"> отражается сумма полученных возмещений доли перестраховщиков и прав требования страховщика по возмещению доли перестраховщиков в страховых выплатах, указанных по показателю "Произведенные страховые выплаты по договорам страхования, сострахования и входящего перестрахования, за исключением величины не разнесенных по убыткам списаний по инкассо" </w:t>
      </w:r>
      <w:hyperlink w:history="0" w:anchor="P30858" w:tooltip="150">
        <w:r>
          <w:rPr>
            <w:sz w:val="24"/>
            <w:color w:val="0000ff"/>
          </w:rPr>
          <w:t xml:space="preserve">(строка 150)</w:t>
        </w:r>
      </w:hyperlink>
      <w:r>
        <w:rPr>
          <w:sz w:val="24"/>
        </w:rPr>
        <w:t xml:space="preserve">.</w:t>
      </w:r>
    </w:p>
    <w:p>
      <w:pPr>
        <w:pStyle w:val="0"/>
        <w:spacing w:before="240" w:lineRule="auto"/>
        <w:ind w:firstLine="540"/>
        <w:jc w:val="both"/>
      </w:pPr>
      <w:r>
        <w:rPr>
          <w:sz w:val="24"/>
        </w:rPr>
        <w:t xml:space="preserve">18.5. По показателю "Прямые расходы на исполнение обязательств по страховым случаям по договорам страхования, сострахования и входящего перестрахования" </w:t>
      </w:r>
      <w:hyperlink w:history="0" w:anchor="P30942" w:tooltip="157">
        <w:r>
          <w:rPr>
            <w:sz w:val="24"/>
            <w:color w:val="0000ff"/>
          </w:rPr>
          <w:t xml:space="preserve">(строка 157)</w:t>
        </w:r>
      </w:hyperlink>
      <w:r>
        <w:rPr>
          <w:sz w:val="24"/>
        </w:rPr>
        <w:t xml:space="preserve"> отражается сумма осуществленных страховщиком в течение отчетного периода прямых расходов на исполнение обязательств по страховым случаям.</w:t>
      </w:r>
    </w:p>
    <w:p>
      <w:pPr>
        <w:pStyle w:val="0"/>
        <w:spacing w:before="240" w:lineRule="auto"/>
        <w:ind w:firstLine="540"/>
        <w:jc w:val="both"/>
      </w:pPr>
      <w:r>
        <w:rPr>
          <w:sz w:val="24"/>
        </w:rPr>
        <w:t xml:space="preserve">18.6. По показателю "Косвенные расходы на исполнение обязательств по страховым случаям по договорам страхования, сострахования и входящего перестрахования" </w:t>
      </w:r>
      <w:hyperlink w:history="0" w:anchor="P30966" w:tooltip="159">
        <w:r>
          <w:rPr>
            <w:sz w:val="24"/>
            <w:color w:val="0000ff"/>
          </w:rPr>
          <w:t xml:space="preserve">(строка 159)</w:t>
        </w:r>
      </w:hyperlink>
      <w:r>
        <w:rPr>
          <w:sz w:val="24"/>
        </w:rPr>
        <w:t xml:space="preserve"> отражается сумма осуществленных страховщиком в течение отчетного периода косвенных расходов на исполнение обязательств по страховым случаям.</w:t>
      </w:r>
    </w:p>
    <w:p>
      <w:pPr>
        <w:pStyle w:val="0"/>
        <w:spacing w:before="240" w:lineRule="auto"/>
        <w:ind w:firstLine="540"/>
        <w:jc w:val="both"/>
      </w:pPr>
      <w:r>
        <w:rPr>
          <w:sz w:val="24"/>
        </w:rPr>
        <w:t xml:space="preserve">18.7. По показателям "Сумма негарантированных выплат в связи с досрочным прекращением договоров страхования, сострахования и входящего перестрахования" </w:t>
      </w:r>
      <w:hyperlink w:history="0" w:anchor="P30990" w:tooltip="161">
        <w:r>
          <w:rPr>
            <w:sz w:val="24"/>
            <w:color w:val="0000ff"/>
          </w:rPr>
          <w:t xml:space="preserve">(строка 161)</w:t>
        </w:r>
      </w:hyperlink>
      <w:r>
        <w:rPr>
          <w:sz w:val="24"/>
        </w:rPr>
        <w:t xml:space="preserve"> и "Сумма негарантированных выплат в связи с наступлением страховых случаев по договорам страхования, сострахования и входящего перестрахования" </w:t>
      </w:r>
      <w:hyperlink w:history="0" w:anchor="P31002" w:tooltip="162">
        <w:r>
          <w:rPr>
            <w:sz w:val="24"/>
            <w:color w:val="0000ff"/>
          </w:rPr>
          <w:t xml:space="preserve">(строка 162)</w:t>
        </w:r>
      </w:hyperlink>
      <w:r>
        <w:rPr>
          <w:sz w:val="24"/>
        </w:rPr>
        <w:t xml:space="preserve"> отражается сумма негарантированных выплат по договорам страхования жизни, указанных в </w:t>
      </w:r>
      <w:hyperlink w:history="0" r:id="rId44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третьем подпункта 5.4.3.2 пункта 5.4</w:t>
        </w:r>
      </w:hyperlink>
      <w:r>
        <w:rPr>
          <w:sz w:val="24"/>
        </w:rPr>
        <w:t xml:space="preserve"> Положения Банка России N 858-П, произведенных за отчетный период в связи с досрочным прекращением договоров страхования, сострахования, входящего перестрахования и в связи с наступлением страховых случаев по договорам страхования, сострахования, входящего перестрахования соответственно.</w:t>
      </w:r>
    </w:p>
    <w:p>
      <w:pPr>
        <w:pStyle w:val="0"/>
        <w:spacing w:before="240" w:lineRule="auto"/>
        <w:ind w:firstLine="540"/>
        <w:jc w:val="both"/>
      </w:pPr>
      <w:r>
        <w:rPr>
          <w:sz w:val="24"/>
        </w:rPr>
        <w:t xml:space="preserve">18.8. По показателям "Сумма дополнительных выплат в связи с досрочным прекращением договоров страхования, сострахования и входящего перестрахования" </w:t>
      </w:r>
      <w:hyperlink w:history="0" w:anchor="P31014" w:tooltip="163">
        <w:r>
          <w:rPr>
            <w:sz w:val="24"/>
            <w:color w:val="0000ff"/>
          </w:rPr>
          <w:t xml:space="preserve">(строка 163)</w:t>
        </w:r>
      </w:hyperlink>
      <w:r>
        <w:rPr>
          <w:sz w:val="24"/>
        </w:rPr>
        <w:t xml:space="preserve"> и "Сумма дополнительных выплат в связи с наступлением страховых случаев по договорам страхования, сострахования и входящего перестрахования" </w:t>
      </w:r>
      <w:hyperlink w:history="0" w:anchor="P31026" w:tooltip="164">
        <w:r>
          <w:rPr>
            <w:sz w:val="24"/>
            <w:color w:val="0000ff"/>
          </w:rPr>
          <w:t xml:space="preserve">(строка 164)</w:t>
        </w:r>
      </w:hyperlink>
      <w:r>
        <w:rPr>
          <w:sz w:val="24"/>
        </w:rPr>
        <w:t xml:space="preserve"> отражается сумма дополнительных выплат по договорам страхования жизни, указанных в </w:t>
      </w:r>
      <w:hyperlink w:history="0" r:id="rId44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втором подпункта 5.1.4 пункта 5.1</w:t>
        </w:r>
      </w:hyperlink>
      <w:r>
        <w:rPr>
          <w:sz w:val="24"/>
        </w:rPr>
        <w:t xml:space="preserve"> Положения Банка России N 858-П, произведенных за отчетный период в связи с досрочным прекращением договоров страхования, сострахования, входящего перестрахования и в связи с наступлением страховых случаев по договорам страхования, сострахования, входящего перестрахования соответственно.</w:t>
      </w:r>
    </w:p>
    <w:p>
      <w:pPr>
        <w:pStyle w:val="0"/>
        <w:spacing w:before="240" w:lineRule="auto"/>
        <w:ind w:firstLine="540"/>
        <w:jc w:val="both"/>
      </w:pPr>
      <w:r>
        <w:rPr>
          <w:sz w:val="24"/>
        </w:rPr>
        <w:t xml:space="preserve">18.9. По показателю "Прочие расходы на заключение договоров страхования, сострахования и входящего перестрахования, кроме прямых расходов на заключение договоров, признанных в течение отчетного периода" </w:t>
      </w:r>
      <w:hyperlink w:history="0" w:anchor="P31038" w:tooltip="165">
        <w:r>
          <w:rPr>
            <w:sz w:val="24"/>
            <w:color w:val="0000ff"/>
          </w:rPr>
          <w:t xml:space="preserve">(строка 165)</w:t>
        </w:r>
      </w:hyperlink>
      <w:r>
        <w:rPr>
          <w:sz w:val="24"/>
        </w:rPr>
        <w:t xml:space="preserve"> отражается сумма прочих расходов на заключение договоров страхования, сострахования, входящего перестрахования, кроме прямых расходов на заключение договоров страхования, сострахования, входящего перестрахования, признанных в течение отчетного периода, соответствующих страховым премиям, предусмотренным договорами за предоставление страхового покрытия до верхней по времени границы (даты окончания) максимально длинного непрерывного периода действия страхового покрытия начиная с даты, по состоянию на которую осуществляется расчет страховых резервов (далее - расчетная дата) (включительно), в течение которого условия договора, влияющие на величину страховых резервов, однозначно определены и не подлежат изменению страховщиком в одностороннем порядке (далее - верхняя граница).</w:t>
      </w:r>
    </w:p>
    <w:p>
      <w:pPr>
        <w:pStyle w:val="0"/>
        <w:spacing w:before="240" w:lineRule="auto"/>
        <w:ind w:firstLine="540"/>
        <w:jc w:val="both"/>
      </w:pPr>
      <w:r>
        <w:rPr>
          <w:sz w:val="24"/>
        </w:rPr>
        <w:t xml:space="preserve">18.10. По показателям "Расходы на сопровождение договоров страхования, сострахования и входящего перестрахования, признанных ранее чем 1 год назад от даты окончания отчетного периода, и соответствующих договоров исходящего перестрахования" </w:t>
      </w:r>
      <w:hyperlink w:history="0" w:anchor="P31050" w:tooltip="166">
        <w:r>
          <w:rPr>
            <w:sz w:val="24"/>
            <w:color w:val="0000ff"/>
          </w:rPr>
          <w:t xml:space="preserve">(строка 166)</w:t>
        </w:r>
      </w:hyperlink>
      <w:r>
        <w:rPr>
          <w:sz w:val="24"/>
        </w:rPr>
        <w:t xml:space="preserve"> и "Расходы на сопровождение договоров страхования, сострахования и входящего перестрахования, признанных в течение 1 года, предшествующего дате окончания отчетного периода, и соответствующих договоров исходящего перестрахования" </w:t>
      </w:r>
      <w:hyperlink w:history="0" w:anchor="P31062" w:tooltip="167">
        <w:r>
          <w:rPr>
            <w:sz w:val="24"/>
            <w:color w:val="0000ff"/>
          </w:rPr>
          <w:t xml:space="preserve">(строка 167)</w:t>
        </w:r>
      </w:hyperlink>
      <w:r>
        <w:rPr>
          <w:sz w:val="24"/>
        </w:rPr>
        <w:t xml:space="preserve"> отражаются суммарные расходы на сопровождение договоров страхования, сострахования, входящего перестрахования, исходящего перестрахования. При этом в части расходов на сопровождение договоров исходящего перестрахования:</w:t>
      </w:r>
    </w:p>
    <w:p>
      <w:pPr>
        <w:pStyle w:val="0"/>
        <w:spacing w:before="240" w:lineRule="auto"/>
        <w:ind w:firstLine="540"/>
        <w:jc w:val="both"/>
      </w:pPr>
      <w:r>
        <w:rPr>
          <w:sz w:val="24"/>
        </w:rPr>
        <w:t xml:space="preserve">по показателю "Расходы на сопровождение договоров страхования, сострахования и входящего перестрахования, признанных ранее чем 1 год назад от даты окончания отчетного периода, и соответствующих договоров исходящего перестрахования" </w:t>
      </w:r>
      <w:hyperlink w:history="0" w:anchor="P31050" w:tooltip="166">
        <w:r>
          <w:rPr>
            <w:sz w:val="24"/>
            <w:color w:val="0000ff"/>
          </w:rPr>
          <w:t xml:space="preserve">(строка 166)</w:t>
        </w:r>
      </w:hyperlink>
      <w:r>
        <w:rPr>
          <w:sz w:val="24"/>
        </w:rPr>
        <w:t xml:space="preserve"> отражаются расходы на сопровождение договоров исходящего перестрахования, в соответствии с условиями которых перестраховываются договоры страхования, сострахования, входящего перестрахования, признанные ранее чем 1 год назад от даты окончания отчетного периода;</w:t>
      </w:r>
    </w:p>
    <w:p>
      <w:pPr>
        <w:pStyle w:val="0"/>
        <w:spacing w:before="240" w:lineRule="auto"/>
        <w:ind w:firstLine="540"/>
        <w:jc w:val="both"/>
      </w:pPr>
      <w:r>
        <w:rPr>
          <w:sz w:val="24"/>
        </w:rPr>
        <w:t xml:space="preserve">по показателю "Расходы на сопровождение договоров страхования, сострахования и входящего перестрахования, признанных в течение 1 года, предшествующего дате окончания отчетного периода, и соответствующих договоров исходящего перестрахования" </w:t>
      </w:r>
      <w:hyperlink w:history="0" w:anchor="P31062" w:tooltip="167">
        <w:r>
          <w:rPr>
            <w:sz w:val="24"/>
            <w:color w:val="0000ff"/>
          </w:rPr>
          <w:t xml:space="preserve">(строка 167)</w:t>
        </w:r>
      </w:hyperlink>
      <w:r>
        <w:rPr>
          <w:sz w:val="24"/>
        </w:rPr>
        <w:t xml:space="preserve"> отражаются расходы на сопровождение договоров исходящего перестрахования, в соответствии с условиями которых перестраховываются договоры страхования, сострахования, входящего перестрахования, признанные в течение 1 года, предшествующего дате окончания отчетного периода.</w:t>
      </w:r>
    </w:p>
    <w:p>
      <w:pPr>
        <w:pStyle w:val="0"/>
        <w:spacing w:before="240" w:lineRule="auto"/>
        <w:ind w:firstLine="540"/>
        <w:jc w:val="both"/>
      </w:pPr>
      <w:r>
        <w:rPr>
          <w:sz w:val="24"/>
        </w:rPr>
        <w:t xml:space="preserve">18.11. По показателю "Понесенные расходы на инвестиционную деятельность по данным бухгалтерского учета" </w:t>
      </w:r>
      <w:hyperlink w:history="0" w:anchor="P31086" w:tooltip="169">
        <w:r>
          <w:rPr>
            <w:sz w:val="24"/>
            <w:color w:val="0000ff"/>
          </w:rPr>
          <w:t xml:space="preserve">(строка 169)</w:t>
        </w:r>
      </w:hyperlink>
      <w:r>
        <w:rPr>
          <w:sz w:val="24"/>
        </w:rPr>
        <w:t xml:space="preserve"> отражаются понесенные страховщиком расходы на инвестиционную деятельность по данным бухгалтерского учета страховщика (оплата услуг управляющей компании, инвестиционных советников, комиссионные вознаграждения за ведение счетов и иные расходы на инвестиционную деятельность).</w:t>
      </w:r>
    </w:p>
    <w:p>
      <w:pPr>
        <w:pStyle w:val="0"/>
        <w:spacing w:before="240" w:lineRule="auto"/>
        <w:ind w:firstLine="540"/>
        <w:jc w:val="both"/>
      </w:pPr>
      <w:r>
        <w:rPr>
          <w:sz w:val="24"/>
        </w:rPr>
        <w:t xml:space="preserve">18.12. По показателям "Сумма вспомогательной величины ЗНУ" </w:t>
      </w:r>
      <w:hyperlink w:history="0" w:anchor="P31170" w:tooltip="176">
        <w:r>
          <w:rPr>
            <w:sz w:val="24"/>
            <w:color w:val="0000ff"/>
          </w:rPr>
          <w:t xml:space="preserve">(строка 176)</w:t>
        </w:r>
      </w:hyperlink>
      <w:r>
        <w:rPr>
          <w:sz w:val="24"/>
        </w:rPr>
        <w:t xml:space="preserve"> и "Доля перестраховщиков во вспомогательной величине ЗНУ" </w:t>
      </w:r>
      <w:hyperlink w:history="0" w:anchor="P31182" w:tooltip="177">
        <w:r>
          <w:rPr>
            <w:sz w:val="24"/>
            <w:color w:val="0000ff"/>
          </w:rPr>
          <w:t xml:space="preserve">(строка 177)</w:t>
        </w:r>
      </w:hyperlink>
      <w:r>
        <w:rPr>
          <w:sz w:val="24"/>
        </w:rPr>
        <w:t xml:space="preserve"> отражаются соответственно сумма вспомогательной величины ЗНУ и сумма доли перестраховщиков в ней без учета дисконтирования.</w:t>
      </w:r>
    </w:p>
    <w:p>
      <w:pPr>
        <w:pStyle w:val="0"/>
        <w:spacing w:before="240" w:lineRule="auto"/>
        <w:ind w:firstLine="540"/>
        <w:jc w:val="both"/>
      </w:pPr>
      <w:r>
        <w:rPr>
          <w:sz w:val="24"/>
        </w:rPr>
        <w:t xml:space="preserve">18.13. По показателю "Коэффициент аппроксимации (k)" </w:t>
      </w:r>
      <w:hyperlink w:history="0" w:anchor="P31194" w:tooltip="178">
        <w:r>
          <w:rPr>
            <w:sz w:val="24"/>
            <w:color w:val="0000ff"/>
          </w:rPr>
          <w:t xml:space="preserve">(строка 178)</w:t>
        </w:r>
      </w:hyperlink>
      <w:r>
        <w:rPr>
          <w:sz w:val="24"/>
        </w:rPr>
        <w:t xml:space="preserve"> указывается значение коэффициента аппроксимации, определенное в соответствии с </w:t>
      </w:r>
      <w:hyperlink w:history="0" r:id="rId44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5.5.4 пункта 5.5</w:t>
        </w:r>
      </w:hyperlink>
      <w:r>
        <w:rPr>
          <w:sz w:val="24"/>
        </w:rPr>
        <w:t xml:space="preserve"> Положения Банка России N 858-П.</w:t>
      </w:r>
    </w:p>
    <w:p>
      <w:pPr>
        <w:pStyle w:val="0"/>
        <w:spacing w:before="240" w:lineRule="auto"/>
        <w:ind w:firstLine="540"/>
        <w:jc w:val="both"/>
      </w:pPr>
      <w:r>
        <w:rPr>
          <w:sz w:val="24"/>
        </w:rPr>
        <w:t xml:space="preserve">18.14. По показателю "Инвестиционная часть страховых премий по договорам долевого страхования жизни, направленная на приобретение инвестиционных паев" </w:t>
      </w:r>
      <w:hyperlink w:history="0" w:anchor="P31206" w:tooltip="179">
        <w:r>
          <w:rPr>
            <w:sz w:val="24"/>
            <w:color w:val="0000ff"/>
          </w:rPr>
          <w:t xml:space="preserve">(строка 179)</w:t>
        </w:r>
      </w:hyperlink>
      <w:r>
        <w:rPr>
          <w:sz w:val="24"/>
        </w:rPr>
        <w:t xml:space="preserve"> отражается по признанным в отчетном периоде договорам долевого страхования жизни часть страховой премии, которая уплачивается страхователем страховой организации и направляется в соответствии с указанием страхователя на приобретение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 по договору долевого страхования жизни, за вычетом возвратов указанной части страховой премии.</w:t>
      </w:r>
    </w:p>
    <w:p>
      <w:pPr>
        <w:pStyle w:val="0"/>
        <w:spacing w:before="240" w:lineRule="auto"/>
        <w:ind w:firstLine="540"/>
        <w:jc w:val="both"/>
      </w:pPr>
      <w:r>
        <w:rPr>
          <w:sz w:val="24"/>
        </w:rPr>
        <w:t xml:space="preserve">18.15. По показателю "Агентское и брокерское вознаграждения" </w:t>
      </w:r>
      <w:hyperlink w:history="0" w:anchor="P31214" w:tooltip="180">
        <w:r>
          <w:rPr>
            <w:sz w:val="24"/>
            <w:color w:val="0000ff"/>
          </w:rPr>
          <w:t xml:space="preserve">(строка 180)</w:t>
        </w:r>
      </w:hyperlink>
      <w:r>
        <w:rPr>
          <w:sz w:val="24"/>
        </w:rPr>
        <w:t xml:space="preserve"> отражается сумма агентского и брокерского вознаграждений, указанных в </w:t>
      </w:r>
      <w:hyperlink w:history="0" r:id="rId44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четвертом подпункта 5.3.9 пункта 5.3</w:t>
        </w:r>
      </w:hyperlink>
      <w:r>
        <w:rPr>
          <w:sz w:val="24"/>
        </w:rPr>
        <w:t xml:space="preserve"> Положения Банка России N 858-П.</w:t>
      </w:r>
    </w:p>
    <w:p>
      <w:pPr>
        <w:pStyle w:val="0"/>
        <w:spacing w:before="240" w:lineRule="auto"/>
        <w:ind w:firstLine="540"/>
        <w:jc w:val="both"/>
      </w:pPr>
      <w:r>
        <w:rPr>
          <w:sz w:val="24"/>
        </w:rPr>
        <w:t xml:space="preserve">19. По показателям </w:t>
      </w:r>
      <w:hyperlink w:history="0" w:anchor="P31226" w:tooltip="Подраздел 2.26.">
        <w:r>
          <w:rPr>
            <w:sz w:val="24"/>
            <w:color w:val="0000ff"/>
          </w:rPr>
          <w:t xml:space="preserve">подраздела 2.26 раздела 2</w:t>
        </w:r>
      </w:hyperlink>
      <w:r>
        <w:rPr>
          <w:sz w:val="24"/>
        </w:rPr>
        <w:t xml:space="preserve"> отчетности по форме 0420155 отражаются сведения о размере прав требования и обязательств страховщика, возникших в рамках денежных потоков, не включаемых в расчет прогноза денежных потоков в соответствии с </w:t>
      </w:r>
      <w:hyperlink w:history="0" r:id="rId44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5.3.7 пункта 5.3</w:t>
        </w:r>
      </w:hyperlink>
      <w:r>
        <w:rPr>
          <w:sz w:val="24"/>
        </w:rPr>
        <w:t xml:space="preserve"> и </w:t>
      </w:r>
      <w:hyperlink w:history="0" r:id="rId44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5.6.5 пункта 5.6</w:t>
        </w:r>
      </w:hyperlink>
      <w:r>
        <w:rPr>
          <w:sz w:val="24"/>
        </w:rPr>
        <w:t xml:space="preserve"> Положения Банка России N 858-П, по состоянию на конец месяца в разрезе учетных групп 1 - 21 и дополнительных учетных групп, входящих в состав учетных групп 1 - 17 (при наличии).</w:t>
      </w:r>
    </w:p>
    <w:p>
      <w:pPr>
        <w:pStyle w:val="0"/>
        <w:spacing w:before="240" w:lineRule="auto"/>
        <w:ind w:firstLine="540"/>
        <w:jc w:val="both"/>
      </w:pPr>
      <w:r>
        <w:rPr>
          <w:sz w:val="24"/>
        </w:rPr>
        <w:t xml:space="preserve">По показателям "Размер прав требования страховщика по стоимости согласно условиям договоров страхования, сострахования и входящего перестрахования, а также договоров с посредниками и (или) иных договоров" </w:t>
      </w:r>
      <w:hyperlink w:history="0" w:anchor="P31228" w:tooltip="181">
        <w:r>
          <w:rPr>
            <w:sz w:val="24"/>
            <w:color w:val="0000ff"/>
          </w:rPr>
          <w:t xml:space="preserve">(строка 181)</w:t>
        </w:r>
      </w:hyperlink>
      <w:r>
        <w:rPr>
          <w:sz w:val="24"/>
        </w:rPr>
        <w:t xml:space="preserve"> и "Размер обязательств страховщика по стоимости согласно условиям договоров страхования, сострахования и входящего перестрахования, а также договоров с посредниками и (или) иных договоров" </w:t>
      </w:r>
      <w:hyperlink w:history="0" w:anchor="P31260" w:tooltip="183">
        <w:r>
          <w:rPr>
            <w:sz w:val="24"/>
            <w:color w:val="0000ff"/>
          </w:rPr>
          <w:t xml:space="preserve">(строка 183)</w:t>
        </w:r>
      </w:hyperlink>
      <w:r>
        <w:rPr>
          <w:sz w:val="24"/>
        </w:rPr>
        <w:t xml:space="preserve"> отражается соответственно стоимость прав требования и обязательств страховщика, определенная исходя из условий договоров (без учета обесценения и прочих корректировок), по состоянию на отчетную дату.</w:t>
      </w:r>
    </w:p>
    <w:p>
      <w:pPr>
        <w:pStyle w:val="0"/>
        <w:spacing w:before="240" w:lineRule="auto"/>
        <w:ind w:firstLine="540"/>
        <w:jc w:val="both"/>
      </w:pPr>
      <w:r>
        <w:rPr>
          <w:sz w:val="24"/>
        </w:rPr>
        <w:t xml:space="preserve">По показателям "Размер прав требования страховщика по стоимости, определенной в соответствии с требованиями к финансовой устойчивости и платежеспособности страховщиков" </w:t>
      </w:r>
      <w:hyperlink w:history="0" w:anchor="P31244" w:tooltip="182">
        <w:r>
          <w:rPr>
            <w:sz w:val="24"/>
            <w:color w:val="0000ff"/>
          </w:rPr>
          <w:t xml:space="preserve">(строка 182)</w:t>
        </w:r>
      </w:hyperlink>
      <w:r>
        <w:rPr>
          <w:sz w:val="24"/>
        </w:rPr>
        <w:t xml:space="preserve"> и "Размер обязательств страховщика по стоимости, определенной в соответствии с требованиями к финансовой устойчивости и платежеспособности страховщиков" </w:t>
      </w:r>
      <w:hyperlink w:history="0" w:anchor="P31276" w:tooltip="184">
        <w:r>
          <w:rPr>
            <w:sz w:val="24"/>
            <w:color w:val="0000ff"/>
          </w:rPr>
          <w:t xml:space="preserve">(строка 184)</w:t>
        </w:r>
      </w:hyperlink>
      <w:r>
        <w:rPr>
          <w:sz w:val="24"/>
        </w:rPr>
        <w:t xml:space="preserve"> отражается соответственно стоимость прав требования и обязательств страховщика, определенная исходя из положений </w:t>
      </w:r>
      <w:hyperlink w:history="0" r:id="rId44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 3</w:t>
        </w:r>
      </w:hyperlink>
      <w:r>
        <w:rPr>
          <w:sz w:val="24"/>
        </w:rPr>
        <w:t xml:space="preserve"> и </w:t>
      </w:r>
      <w:hyperlink w:history="0" r:id="rId44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4</w:t>
        </w:r>
      </w:hyperlink>
      <w:r>
        <w:rPr>
          <w:sz w:val="24"/>
        </w:rPr>
        <w:t xml:space="preserve"> Положения Банка России N 858-П (в том числе с учетом обесценения, обнуления, условий признания), по состоянию на отчетную дату.</w:t>
      </w:r>
    </w:p>
    <w:p>
      <w:pPr>
        <w:pStyle w:val="0"/>
        <w:spacing w:before="240" w:lineRule="auto"/>
        <w:ind w:firstLine="540"/>
        <w:jc w:val="both"/>
      </w:pPr>
      <w:r>
        <w:rPr>
          <w:sz w:val="24"/>
        </w:rPr>
        <w:t xml:space="preserve">По группе аналитических признаков "Детализация прав требования и обязательств" сведения отражаются по правам требования и обязательствам страховщика, возникшим в рамках следующих денежных потоков:</w:t>
      </w:r>
    </w:p>
    <w:bookmarkStart w:id="31841" w:name="P31841"/>
    <w:bookmarkEnd w:id="31841"/>
    <w:p>
      <w:pPr>
        <w:pStyle w:val="0"/>
        <w:spacing w:before="240" w:lineRule="auto"/>
        <w:ind w:firstLine="540"/>
        <w:jc w:val="both"/>
      </w:pPr>
      <w:r>
        <w:rPr>
          <w:sz w:val="24"/>
        </w:rPr>
        <w:t xml:space="preserve">нереализованных (невыплаченных и (или) неполученных) денежных потоков, срок платежей по которым в соответствии с условиями договоров страхования, сострахования, входящего перестрахования наступил до расчетной даты, за исключением страховых выплат и соответствующих им денежных потоков по исполнению обязательств по страховым случаям, а также соответствующих им денежных потоков по оплате расходов на ведение дела и нереализованных (невыплаченных и (или) неполученных) денежных потоков, срок платежей по которым в соответствии с условиями договора исходящего перестрахования наступил до расчетной даты (по аналитическому признаку "Нереализованные денежные потоки, всего" и входящим в его состав аналитическим признакам);</w:t>
      </w:r>
    </w:p>
    <w:p>
      <w:pPr>
        <w:pStyle w:val="0"/>
        <w:spacing w:before="240" w:lineRule="auto"/>
        <w:ind w:firstLine="540"/>
        <w:jc w:val="both"/>
      </w:pPr>
      <w:r>
        <w:rPr>
          <w:sz w:val="24"/>
        </w:rPr>
        <w:t xml:space="preserve">денежных потоков по страховым премиям (страховым взносам), которые уплачиваются за предоставление страхового покрытия до верхней границы договора страхования (сострахования, входящего перестрахования), при условии, что верхняя граница договора страхования (сострахования, входящего перестрахования) не позднее расчетной даты, а также соответствующих им денежных потоков по оплате расходов на заключение (аквизицию) договоров страхования, сострахования, входящего перестрахования, за исключением денежных потоков, указанных в </w:t>
      </w:r>
      <w:hyperlink w:history="0" w:anchor="P31841" w:tooltip="нереализованных (невыплаченных и (или) неполученных) денежных потоков, срок платежей по которым в соответствии с условиями договоров страхования, сострахования, входящего перестрахования наступил до расчетной даты, за исключением страховых выплат и соответствующих им денежных потоков по исполнению обязательств по страховым случаям, а также соответствующих им денежных потоков по оплате расходов на ведение дела и нереализованных (невыплаченных и (или) неполученных) денежных потоков, срок платежей по которы...">
        <w:r>
          <w:rPr>
            <w:sz w:val="24"/>
            <w:color w:val="0000ff"/>
          </w:rPr>
          <w:t xml:space="preserve">абзаце пятом</w:t>
        </w:r>
      </w:hyperlink>
      <w:r>
        <w:rPr>
          <w:sz w:val="24"/>
        </w:rPr>
        <w:t xml:space="preserve"> настоящего пункта (по аналитическим признакам "Денежные потоки по страховым премиям по договорам страхования, сострахования и входящего перестрахования" и "Денежные потоки по оплате расходов на заключение (аквизицию) договоров страхования, сострахования и входящего перестрахования, соответствующие страховым премиям" соответственно);</w:t>
      </w:r>
    </w:p>
    <w:p>
      <w:pPr>
        <w:pStyle w:val="0"/>
        <w:spacing w:before="240" w:lineRule="auto"/>
        <w:ind w:firstLine="540"/>
        <w:jc w:val="both"/>
      </w:pPr>
      <w:r>
        <w:rPr>
          <w:sz w:val="24"/>
        </w:rPr>
        <w:t xml:space="preserve">денежных потоков по излишне полученным от страхователя денежным средствам и по страховым премиям (страховым взносам), поступившим ранее предусмотренного договором страхования (сострахования, входящего перестрахования) срока, а также соответствующих им денежных потоков по оплате расходов на заключение (аквизицию) договоров страхования, сострахования, входящего перестрахования (по аналитическим признакам "Денежные потоки по излишне полученным от страхователя денежным средствам и по страховым премиям, поступившим ранее срока" и "Денежные потоки по оплате расходов на заключение (аквизицию) договоров страхования, сострахования и входящего перестрахования, соответствующие денежным потокам по излишне полученным от страхователя денежным средствам и по страховым премиям, поступившим ранее срока" соответственно);</w:t>
      </w:r>
    </w:p>
    <w:bookmarkStart w:id="31844" w:name="P31844"/>
    <w:bookmarkEnd w:id="31844"/>
    <w:p>
      <w:pPr>
        <w:pStyle w:val="0"/>
        <w:spacing w:before="240" w:lineRule="auto"/>
        <w:ind w:firstLine="540"/>
        <w:jc w:val="both"/>
      </w:pPr>
      <w:r>
        <w:rPr>
          <w:sz w:val="24"/>
        </w:rPr>
        <w:t xml:space="preserve">нереализованных на расчетную дату денежных потоков, связанных с исполнением обязательств по договорам, возникших в результате выплаты до расчетной даты страхового возмещения по страховому случаю (в том числе денежных потоков по суброгациям и регрессам) (по аналитическому признаку "Нереализованные денежные потоки по выплатам страхового возмещения по страховому случаю (в том числе денежные потоки по суброгациям и регрессам)");</w:t>
      </w:r>
    </w:p>
    <w:p>
      <w:pPr>
        <w:pStyle w:val="0"/>
        <w:spacing w:before="240" w:lineRule="auto"/>
        <w:ind w:firstLine="540"/>
        <w:jc w:val="both"/>
      </w:pPr>
      <w:r>
        <w:rPr>
          <w:sz w:val="24"/>
        </w:rPr>
        <w:t xml:space="preserve">прочих нереализованных на расчетную дату денежных потоков, связанных с исполнением обязательств по договорам страхования, сострахования, входящего перестрахования, за исключением денежных потоков, указанных в </w:t>
      </w:r>
      <w:hyperlink w:history="0" w:anchor="P31841" w:tooltip="нереализованных (невыплаченных и (или) неполученных) денежных потоков, срок платежей по которым в соответствии с условиями договоров страхования, сострахования, входящего перестрахования наступил до расчетной даты, за исключением страховых выплат и соответствующих им денежных потоков по исполнению обязательств по страховым случаям, а также соответствующих им денежных потоков по оплате расходов на ведение дела и нереализованных (невыплаченных и (или) неполученных) денежных потоков, срок платежей по которы...">
        <w:r>
          <w:rPr>
            <w:sz w:val="24"/>
            <w:color w:val="0000ff"/>
          </w:rPr>
          <w:t xml:space="preserve">абзацах пятом</w:t>
        </w:r>
      </w:hyperlink>
      <w:r>
        <w:rPr>
          <w:sz w:val="24"/>
        </w:rPr>
        <w:t xml:space="preserve"> и </w:t>
      </w:r>
      <w:hyperlink w:history="0" w:anchor="P31844" w:tooltip="нереализованных на расчетную дату денежных потоков, связанных с исполнением обязательств по договорам, возникших в результате выплаты до расчетной даты страхового возмещения по страховому случаю (в том числе денежных потоков по суброгациям и регрессам) (по аналитическому признаку &quot;Нереализованные денежные потоки по выплатам страхового возмещения по страховому случаю (в том числе денежные потоки по суброгациям и регрессам)&quot;);">
        <w:r>
          <w:rPr>
            <w:sz w:val="24"/>
            <w:color w:val="0000ff"/>
          </w:rPr>
          <w:t xml:space="preserve">восьмом</w:t>
        </w:r>
      </w:hyperlink>
      <w:r>
        <w:rPr>
          <w:sz w:val="24"/>
        </w:rPr>
        <w:t xml:space="preserve"> настоящего пункта (по аналитическому признаку "Прочие нереализованные денежные потоки, связанные с исполнением обязательств по договорам страхования, сострахования и входящего перестрахования");</w:t>
      </w:r>
    </w:p>
    <w:p>
      <w:pPr>
        <w:pStyle w:val="0"/>
        <w:spacing w:before="240" w:lineRule="auto"/>
        <w:ind w:firstLine="540"/>
        <w:jc w:val="both"/>
      </w:pPr>
      <w:r>
        <w:rPr>
          <w:sz w:val="24"/>
        </w:rPr>
        <w:t xml:space="preserve">денежных потоков по возврату страхователем - физическим лицом займа, предоставленного страховщиком в соответствии с </w:t>
      </w:r>
      <w:hyperlink w:history="0" r:id="rId45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7 статьи 26</w:t>
        </w:r>
      </w:hyperlink>
      <w:r>
        <w:rPr>
          <w:sz w:val="24"/>
        </w:rPr>
        <w:t xml:space="preserve"> Закона Российской Федерации N 4015-I (по аналитическому признаку "Денежные потоки по возврату страхователем - физическим лицом займа");</w:t>
      </w:r>
    </w:p>
    <w:p>
      <w:pPr>
        <w:pStyle w:val="0"/>
        <w:spacing w:before="240" w:lineRule="auto"/>
        <w:ind w:firstLine="540"/>
        <w:jc w:val="both"/>
      </w:pPr>
      <w:r>
        <w:rPr>
          <w:sz w:val="24"/>
        </w:rPr>
        <w:t xml:space="preserve">денежных потоков по правам требования к страховым организациям, к профессиональному объединению страховщиков, созданному в соответствии со </w:t>
      </w:r>
      <w:hyperlink w:history="0" r:id="rId451"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статьей 24</w:t>
        </w:r>
      </w:hyperlink>
      <w:r>
        <w:rPr>
          <w:sz w:val="24"/>
        </w:rPr>
        <w:t xml:space="preserve"> Федерального закона от 25 апреля 2002 года N 40-ФЗ "Об обязательном страховании гражданской ответственности владельцев транспортных средств" (далее - Федеральный закон N 40-ФЗ), при условии, что расчеты по таким правам требования осуществляются в рамках соглашения о прямом возмещении убытков и такие права требования возникли в результате прямого возмещения убытков до расчетной даты (по аналитическому признаку "Денежные потоки по правам требования к страховым организациям в рамках соглашения о прямом возмещении убытков");</w:t>
      </w:r>
    </w:p>
    <w:p>
      <w:pPr>
        <w:pStyle w:val="0"/>
        <w:spacing w:before="240" w:lineRule="auto"/>
        <w:ind w:firstLine="540"/>
        <w:jc w:val="both"/>
      </w:pPr>
      <w:r>
        <w:rPr>
          <w:sz w:val="24"/>
        </w:rPr>
        <w:t xml:space="preserve">денежных потоков по страховым премиям, которые уплачиваются страхователем страховой организации и направляются в соответствии с указанием страхователя на приобретение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 по договору долевого страхования жизни, и по возвратам таких страховых премий (по аналитическому признаку "Денежные потоки по страховым премиям по договорам долевого страхования жизни, направляемым на приобретение инвестиционных паев, и по возвратам таких страховых премий" в разрезе учетной группы 19);</w:t>
      </w:r>
    </w:p>
    <w:p>
      <w:pPr>
        <w:pStyle w:val="0"/>
        <w:spacing w:before="240" w:lineRule="auto"/>
        <w:ind w:firstLine="540"/>
        <w:jc w:val="both"/>
      </w:pPr>
      <w:r>
        <w:rPr>
          <w:sz w:val="24"/>
        </w:rPr>
        <w:t xml:space="preserve">денежных потоков по операциям, связанным с приобретением в соответствии с указанием страхователя инвестиционных паев открытых паевых инвестиционных фондов или инвестиционных паев закрытых паевых инвестиционных фондов, предназначенных для квалифицированных инвесторов, по договору долевого страхования жизни (по аналитическому признаку "Денежные потоки по операциям, связанным с приобретением инвестиционных паев по договору долевого страхования жизни" в разрезе учетной группы 19);</w:t>
      </w:r>
    </w:p>
    <w:p>
      <w:pPr>
        <w:pStyle w:val="0"/>
        <w:spacing w:before="240" w:lineRule="auto"/>
        <w:ind w:firstLine="540"/>
        <w:jc w:val="both"/>
      </w:pPr>
      <w:r>
        <w:rPr>
          <w:sz w:val="24"/>
        </w:rPr>
        <w:t xml:space="preserve">денежных потоков по возврату страховой премии (ее части) при досрочном прекращении договора страхования (сострахования, входящего перестрахования) по страхованию иному, чем страхование жизни, если дата досрочного прекращения такого договора наступила до расчетной даты включительно, а также соответствующих им денежных потоков по оплате расходов на заключение (аквизицию) договоров страхования, сострахования, входящего перестрахования (по аналитическим признакам "Денежные потоки по возврату страховых премий при досрочном прекращении договоров страхования, сострахования и входящего перестрахования" и "Денежные потоки по оплате расходов на заключение (аквизицию) договоров страхования, сострахования и входящего перестрахования, соответствующие денежным потокам по возврату страховых премий при их досрочном прекращении" соответственно в разрезе учетных групп 1 - 17 и дополнительных учетных групп, входящих в состав указанных учетных групп (при наличии);</w:t>
      </w:r>
    </w:p>
    <w:p>
      <w:pPr>
        <w:pStyle w:val="0"/>
        <w:spacing w:before="240" w:lineRule="auto"/>
        <w:ind w:firstLine="540"/>
        <w:jc w:val="both"/>
      </w:pPr>
      <w:r>
        <w:rPr>
          <w:sz w:val="24"/>
        </w:rPr>
        <w:t xml:space="preserve">денежных потоков по договорам исходящего перестрахования, если такие потоки обусловлены денежными потоками по основным договорам, которые уже получены или уплачены страховщиком, за исключением денежных потоков, указанных в </w:t>
      </w:r>
      <w:hyperlink w:history="0" w:anchor="P31841" w:tooltip="нереализованных (невыплаченных и (или) неполученных) денежных потоков, срок платежей по которым в соответствии с условиями договоров страхования, сострахования, входящего перестрахования наступил до расчетной даты, за исключением страховых выплат и соответствующих им денежных потоков по исполнению обязательств по страховым случаям, а также соответствующих им денежных потоков по оплате расходов на ведение дела и нереализованных (невыплаченных и (или) неполученных) денежных потоков, срок платежей по которы...">
        <w:r>
          <w:rPr>
            <w:sz w:val="24"/>
            <w:color w:val="0000ff"/>
          </w:rPr>
          <w:t xml:space="preserve">абзаце пятом</w:t>
        </w:r>
      </w:hyperlink>
      <w:r>
        <w:rPr>
          <w:sz w:val="24"/>
        </w:rPr>
        <w:t xml:space="preserve"> настоящего пункта (по аналитическому признаку "Денежные потоки по договорам исходящего перестрахования, всего" и входящим в его состав аналитическим признакам);</w:t>
      </w:r>
    </w:p>
    <w:p>
      <w:pPr>
        <w:pStyle w:val="0"/>
        <w:spacing w:before="240" w:lineRule="auto"/>
        <w:ind w:firstLine="540"/>
        <w:jc w:val="both"/>
      </w:pPr>
      <w:r>
        <w:rPr>
          <w:sz w:val="24"/>
        </w:rPr>
        <w:t xml:space="preserve">денежных потоков по договору входящего перестрахования в части обязательств перестрахователя по оплате части страховой премии, которую перестрахователь имеет право отсрочить в соответствии с условиями такого договора перестрахования в качестве гарантии исполнения обязательств перестраховщика по указанному договору (депо премий), а также денежных потоков в части обязательств перестрахователя по такому договору перестрахования по возврату перестраховщику (перестраховщикам) денежных средств, размер которой определяется в зависимости от доли перестраховщика в страховых резервах перестрахователя (депо убытков) (по аналитическому признаку "Денежные потоки в части депо премий и депо убытков");</w:t>
      </w:r>
    </w:p>
    <w:p>
      <w:pPr>
        <w:pStyle w:val="0"/>
        <w:spacing w:before="240" w:lineRule="auto"/>
        <w:ind w:firstLine="540"/>
        <w:jc w:val="both"/>
      </w:pPr>
      <w:r>
        <w:rPr>
          <w:sz w:val="24"/>
        </w:rPr>
        <w:t xml:space="preserve">денежных потоков по исполнению обязательств перестрахователя по уплате перестраховщику дополнительных платежей, зависящих от разницы поступлений и платежей перестраховщика по заключенному с перестрахователем договору перестрахования или группе таких договоров за определенный в договоре исходящего перестрахования период времени, на расчетную дату, за исключением денежных потоков, указанных в </w:t>
      </w:r>
      <w:hyperlink w:history="0" w:anchor="P31841" w:tooltip="нереализованных (невыплаченных и (или) неполученных) денежных потоков, срок платежей по которым в соответствии с условиями договоров страхования, сострахования, входящего перестрахования наступил до расчетной даты, за исключением страховых выплат и соответствующих им денежных потоков по исполнению обязательств по страховым случаям, а также соответствующих им денежных потоков по оплате расходов на ведение дела и нереализованных (невыплаченных и (или) неполученных) денежных потоков, срок платежей по которы...">
        <w:r>
          <w:rPr>
            <w:sz w:val="24"/>
            <w:color w:val="0000ff"/>
          </w:rPr>
          <w:t xml:space="preserve">абзаце пятом</w:t>
        </w:r>
      </w:hyperlink>
      <w:r>
        <w:rPr>
          <w:sz w:val="24"/>
        </w:rPr>
        <w:t xml:space="preserve"> настоящего пункта (по аналитическому признаку "Денежные потоки по исполнению обязательств перестрахователя по уплате перестраховщику дополнительных платежей");</w:t>
      </w:r>
    </w:p>
    <w:p>
      <w:pPr>
        <w:pStyle w:val="0"/>
        <w:spacing w:before="240" w:lineRule="auto"/>
        <w:ind w:firstLine="540"/>
        <w:jc w:val="both"/>
      </w:pPr>
      <w:r>
        <w:rPr>
          <w:sz w:val="24"/>
        </w:rPr>
        <w:t xml:space="preserve">денежных потоков по возврату страховой премии (ее части) при досрочном прекращении договора исходящего перестрахования, если дата досрочного прекращения наступила до расчетной даты, за исключением денежных потоков, указанных в </w:t>
      </w:r>
      <w:hyperlink w:history="0" w:anchor="P31841" w:tooltip="нереализованных (невыплаченных и (или) неполученных) денежных потоков, срок платежей по которым в соответствии с условиями договоров страхования, сострахования, входящего перестрахования наступил до расчетной даты, за исключением страховых выплат и соответствующих им денежных потоков по исполнению обязательств по страховым случаям, а также соответствующих им денежных потоков по оплате расходов на ведение дела и нереализованных (невыплаченных и (или) неполученных) денежных потоков, срок платежей по которы...">
        <w:r>
          <w:rPr>
            <w:sz w:val="24"/>
            <w:color w:val="0000ff"/>
          </w:rPr>
          <w:t xml:space="preserve">абзаце пятом</w:t>
        </w:r>
      </w:hyperlink>
      <w:r>
        <w:rPr>
          <w:sz w:val="24"/>
        </w:rPr>
        <w:t xml:space="preserve"> настоящего пункта (по аналитическому признаку "Денежные потоки по возврату страховой премии (ее части) при досрочном прекращении договора исходящего перестрахования");</w:t>
      </w:r>
    </w:p>
    <w:p>
      <w:pPr>
        <w:pStyle w:val="0"/>
        <w:spacing w:before="240" w:lineRule="auto"/>
        <w:ind w:firstLine="540"/>
        <w:jc w:val="both"/>
      </w:pPr>
      <w:r>
        <w:rPr>
          <w:sz w:val="24"/>
        </w:rPr>
        <w:t xml:space="preserve">нереализованных денежных потоков по доле перестраховщиков в поступивших страховщику денежных средствах по суброгациям, регрессам и от реализации годных остатков, за исключением денежных потоков, указанных в </w:t>
      </w:r>
      <w:hyperlink w:history="0" w:anchor="P31841" w:tooltip="нереализованных (невыплаченных и (или) неполученных) денежных потоков, срок платежей по которым в соответствии с условиями договоров страхования, сострахования, входящего перестрахования наступил до расчетной даты, за исключением страховых выплат и соответствующих им денежных потоков по исполнению обязательств по страховым случаям, а также соответствующих им денежных потоков по оплате расходов на ведение дела и нереализованных (невыплаченных и (или) неполученных) денежных потоков, срок платежей по которы...">
        <w:r>
          <w:rPr>
            <w:sz w:val="24"/>
            <w:color w:val="0000ff"/>
          </w:rPr>
          <w:t xml:space="preserve">абзаце пятом</w:t>
        </w:r>
      </w:hyperlink>
      <w:r>
        <w:rPr>
          <w:sz w:val="24"/>
        </w:rPr>
        <w:t xml:space="preserve"> настоящего пункта (по аналитическим признакам "Нереализованные денежные потоки по доле перестраховщиков в поступивших страховщику денежных средствах по суброгациям и регрессам" и "Нереализованные денежные потоки по доле перестраховщиков в поступивших страховщику денежных средствах от реализации годных остатков" соответственно).</w:t>
      </w:r>
    </w:p>
    <w:p>
      <w:pPr>
        <w:pStyle w:val="0"/>
        <w:spacing w:before="240" w:lineRule="auto"/>
        <w:ind w:firstLine="540"/>
        <w:jc w:val="both"/>
      </w:pPr>
      <w:r>
        <w:rPr>
          <w:sz w:val="24"/>
        </w:rPr>
        <w:t xml:space="preserve">В случае если страховщиком отражены сведения по аналитическим признакам "Нереализованные прочие денежные потоки по договорам страхования, сострахования и входящего перестрахования (расшифровать)", "Нереализованные прочие денежные потоки по договорам исходящего перестрахования (расшифровать)", "Прочие денежные потоки по договорам исходящего перестрахования (расшифровать)" группы аналитических признаков "Детализация прав требования и обязательств", в пояснительной записке указываются значения показателей </w:t>
      </w:r>
      <w:hyperlink w:history="0" w:anchor="P31226" w:tooltip="Подраздел 2.26.">
        <w:r>
          <w:rPr>
            <w:sz w:val="24"/>
            <w:color w:val="0000ff"/>
          </w:rPr>
          <w:t xml:space="preserve">подраздела 2.26 раздела 2</w:t>
        </w:r>
      </w:hyperlink>
      <w:r>
        <w:rPr>
          <w:sz w:val="24"/>
        </w:rPr>
        <w:t xml:space="preserve"> отчетности по форме 0420155 по каждому денежному потоку в части прав требования и обязательств страховщика, отраженных совокупно по указанным аналитическим признакам.</w:t>
      </w:r>
    </w:p>
    <w:p>
      <w:pPr>
        <w:pStyle w:val="0"/>
        <w:spacing w:before="240" w:lineRule="auto"/>
        <w:ind w:firstLine="540"/>
        <w:jc w:val="both"/>
      </w:pPr>
      <w:r>
        <w:rPr>
          <w:sz w:val="24"/>
        </w:rPr>
        <w:t xml:space="preserve">20. По показателям </w:t>
      </w:r>
      <w:hyperlink w:history="0" w:anchor="P31292" w:tooltip="Подраздел 2.27.">
        <w:r>
          <w:rPr>
            <w:sz w:val="24"/>
            <w:color w:val="0000ff"/>
          </w:rPr>
          <w:t xml:space="preserve">подраздела 2.27 раздела 2</w:t>
        </w:r>
      </w:hyperlink>
      <w:r>
        <w:rPr>
          <w:sz w:val="24"/>
        </w:rPr>
        <w:t xml:space="preserve"> отчетности по форме 0420155 отражаются сведения о ретроспективном анализе достаточности оценки ожидаемой величины обязательств по резерву убытков (ДПУ) без учета дисконтирования по страховым случаям по договорам страхования, сострахования, входящего перестрахования, учитываемым в расчете указанной оценки и наступившим до указанного по группе аналитических признаков "Период расчета" последнего календарного дня каждого из 6 кварталов, предшествующих последнему кварталу отчетного периода.</w:t>
      </w:r>
    </w:p>
    <w:p>
      <w:pPr>
        <w:pStyle w:val="0"/>
        <w:spacing w:before="240" w:lineRule="auto"/>
        <w:ind w:firstLine="540"/>
        <w:jc w:val="both"/>
      </w:pPr>
      <w:r>
        <w:rPr>
          <w:sz w:val="24"/>
        </w:rPr>
        <w:t xml:space="preserve">Значения показателей </w:t>
      </w:r>
      <w:hyperlink w:history="0" w:anchor="P31292" w:tooltip="Подраздел 2.27.">
        <w:r>
          <w:rPr>
            <w:sz w:val="24"/>
            <w:color w:val="0000ff"/>
          </w:rPr>
          <w:t xml:space="preserve">подраздела 2.27 раздела 2</w:t>
        </w:r>
      </w:hyperlink>
      <w:r>
        <w:rPr>
          <w:sz w:val="24"/>
        </w:rPr>
        <w:t xml:space="preserve"> отчетности по форме 0420155 (за исключением показателя "Поступления по суброгациям, регрессам и от реализации годных остатков - брутто-перестрахование (нарастающим итогом)" </w:t>
      </w:r>
      <w:hyperlink w:history="0" w:anchor="P31326" w:tooltip="187">
        <w:r>
          <w:rPr>
            <w:sz w:val="24"/>
            <w:color w:val="0000ff"/>
          </w:rPr>
          <w:t xml:space="preserve">(строка 187)</w:t>
        </w:r>
      </w:hyperlink>
      <w:r>
        <w:rPr>
          <w:sz w:val="24"/>
        </w:rPr>
        <w:t xml:space="preserve"> указываются по договорам страхования, сострахования, перестрахования, относящимся к страхованию иному, чем страхование жизни, в разрезе учетных групп 1 - 17 и дополнительных учетных групп, входящих в состав указанных учетных групп (при наличии). Значение показателя "Поступления по суброгациям, регрессам и от реализации годных остатков - брутто-перестрахование (нарастающим итогом)" </w:t>
      </w:r>
      <w:hyperlink w:history="0" w:anchor="P31326" w:tooltip="187">
        <w:r>
          <w:rPr>
            <w:sz w:val="24"/>
            <w:color w:val="0000ff"/>
          </w:rPr>
          <w:t xml:space="preserve">(строка 187)</w:t>
        </w:r>
      </w:hyperlink>
      <w:r>
        <w:rPr>
          <w:sz w:val="24"/>
        </w:rPr>
        <w:t xml:space="preserve"> указывается по договорам страхования, сострахования, перестрахования, относящимся к страхованию иному, чем страхование жизни, в разрезе учетных групп 3 и 7 и дополнительных учетных групп, входящих в состав указанных учетных групп (при наличии).</w:t>
      </w:r>
    </w:p>
    <w:p>
      <w:pPr>
        <w:pStyle w:val="0"/>
        <w:spacing w:before="240" w:lineRule="auto"/>
        <w:ind w:firstLine="540"/>
        <w:jc w:val="both"/>
      </w:pPr>
      <w:r>
        <w:rPr>
          <w:sz w:val="24"/>
        </w:rPr>
        <w:t xml:space="preserve">Значения показателей "Оценка ожидаемой величины обязательств по резерву убытков (ДПУ) - брутто-перестрахование" </w:t>
      </w:r>
      <w:hyperlink w:history="0" w:anchor="P31294" w:tooltip="185">
        <w:r>
          <w:rPr>
            <w:sz w:val="24"/>
            <w:color w:val="0000ff"/>
          </w:rPr>
          <w:t xml:space="preserve">(строка 185)</w:t>
        </w:r>
      </w:hyperlink>
      <w:r>
        <w:rPr>
          <w:sz w:val="24"/>
        </w:rPr>
        <w:t xml:space="preserve">, "Избыток (недостаток) оценки ожидаемой величины обязательств по резерву убытков (ДПУ) - брутто-перестрахование (нарастающим итогом)" </w:t>
      </w:r>
      <w:hyperlink w:history="0" w:anchor="P31374" w:tooltip="190">
        <w:r>
          <w:rPr>
            <w:sz w:val="24"/>
            <w:color w:val="0000ff"/>
          </w:rPr>
          <w:t xml:space="preserve">(строка 190)</w:t>
        </w:r>
      </w:hyperlink>
      <w:r>
        <w:rPr>
          <w:sz w:val="24"/>
        </w:rPr>
        <w:t xml:space="preserve">, "Избыток (недостаток) оценки ожидаемой величины обязательств по резерву убытков (ДПУ) - брутто-перестрахование (нарастающим итогом), %" </w:t>
      </w:r>
      <w:hyperlink w:history="0" w:anchor="P31390" w:tooltip="191">
        <w:r>
          <w:rPr>
            <w:sz w:val="24"/>
            <w:color w:val="0000ff"/>
          </w:rPr>
          <w:t xml:space="preserve">(строка 191)</w:t>
        </w:r>
      </w:hyperlink>
      <w:r>
        <w:rPr>
          <w:sz w:val="24"/>
        </w:rPr>
        <w:t xml:space="preserve"> указываются по состоянию на дату, указанную по группе аналитических признаков "Период расчета".</w:t>
      </w:r>
    </w:p>
    <w:p>
      <w:pPr>
        <w:pStyle w:val="0"/>
        <w:spacing w:before="240" w:lineRule="auto"/>
        <w:ind w:firstLine="540"/>
        <w:jc w:val="both"/>
      </w:pPr>
      <w:r>
        <w:rPr>
          <w:sz w:val="24"/>
        </w:rPr>
        <w:t xml:space="preserve">Значения показателей "Страховые выплаты - брутто-перестрахование (нарастающим итогом)" </w:t>
      </w:r>
      <w:hyperlink w:history="0" w:anchor="P31310" w:tooltip="186">
        <w:r>
          <w:rPr>
            <w:sz w:val="24"/>
            <w:color w:val="0000ff"/>
          </w:rPr>
          <w:t xml:space="preserve">(строка 186)</w:t>
        </w:r>
      </w:hyperlink>
      <w:r>
        <w:rPr>
          <w:sz w:val="24"/>
        </w:rPr>
        <w:t xml:space="preserve">, "Поступления по суброгациям, регрессам и от реализации годных остатков - брутто-перестрахование (нарастающим итогом)" </w:t>
      </w:r>
      <w:hyperlink w:history="0" w:anchor="P31326" w:tooltip="187">
        <w:r>
          <w:rPr>
            <w:sz w:val="24"/>
            <w:color w:val="0000ff"/>
          </w:rPr>
          <w:t xml:space="preserve">(строка 187)</w:t>
        </w:r>
      </w:hyperlink>
      <w:r>
        <w:rPr>
          <w:sz w:val="24"/>
        </w:rPr>
        <w:t xml:space="preserve">, "Расходы на исполнение обязательств по страховым случаям, учитываемым в расчете оценки ожидаемой величины обязательств по резерву убытков (ДПУ), - брутто-перестрахование (нарастающим итогом)" </w:t>
      </w:r>
      <w:hyperlink w:history="0" w:anchor="P31342" w:tooltip="188">
        <w:r>
          <w:rPr>
            <w:sz w:val="24"/>
            <w:color w:val="0000ff"/>
          </w:rPr>
          <w:t xml:space="preserve">(строка 188)</w:t>
        </w:r>
      </w:hyperlink>
      <w:r>
        <w:rPr>
          <w:sz w:val="24"/>
        </w:rPr>
        <w:t xml:space="preserve">, "Переоцененный остаток оценки ожидаемой величины обязательств по резерву убытков (ДПУ) - брутто-перестрахование" </w:t>
      </w:r>
      <w:hyperlink w:history="0" w:anchor="P31358" w:tooltip="189">
        <w:r>
          <w:rPr>
            <w:sz w:val="24"/>
            <w:color w:val="0000ff"/>
          </w:rPr>
          <w:t xml:space="preserve">(строка 189)</w:t>
        </w:r>
      </w:hyperlink>
      <w:r>
        <w:rPr>
          <w:sz w:val="24"/>
        </w:rPr>
        <w:t xml:space="preserve"> указываются следующим образом:</w:t>
      </w:r>
    </w:p>
    <w:p>
      <w:pPr>
        <w:pStyle w:val="0"/>
        <w:spacing w:before="240" w:lineRule="auto"/>
        <w:ind w:firstLine="540"/>
        <w:jc w:val="both"/>
      </w:pPr>
      <w:r>
        <w:rPr>
          <w:sz w:val="24"/>
        </w:rPr>
        <w:t xml:space="preserve">по состоянию на отчетную дату и на конец каждого из 5 кварталов, предшествующих последнему кварталу отчетного периода, - по страховым случаям, наступившим до последнего календарного дня 6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4 кварталов, предшествующих последнему кварталу отчетного периода, - по страховым случаям, наступившим до последнего календарного дня 5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3 кварталов, предшествующих последнему кварталу отчетного периода, - по страховым случаям, наступившим до последнего календарного дня 4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2 кварталов, предшествующих последнему кварталу отчетного периода, - по страховым случаям, наступившим до последнего календарного дня 3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квартала, предшествующего последнему кварталу отчетного периода, - по страховым случаям, наступившим до последнего календарного дня 2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 по страховым случаям, наступившим до последнего календарного дня квартала, предшествующего последнему кварталу отчетного периода.</w:t>
      </w:r>
    </w:p>
    <w:p>
      <w:pPr>
        <w:pStyle w:val="0"/>
        <w:spacing w:before="240" w:lineRule="auto"/>
        <w:ind w:firstLine="540"/>
        <w:jc w:val="both"/>
      </w:pPr>
      <w:r>
        <w:rPr>
          <w:sz w:val="24"/>
        </w:rPr>
        <w:t xml:space="preserve">Значения показателей "Страховые выплаты - брутто-перестрахование (нарастающим итогом)" </w:t>
      </w:r>
      <w:hyperlink w:history="0" w:anchor="P31310" w:tooltip="186">
        <w:r>
          <w:rPr>
            <w:sz w:val="24"/>
            <w:color w:val="0000ff"/>
          </w:rPr>
          <w:t xml:space="preserve">(строка 186)</w:t>
        </w:r>
      </w:hyperlink>
      <w:r>
        <w:rPr>
          <w:sz w:val="24"/>
        </w:rPr>
        <w:t xml:space="preserve">, "Поступления по суброгациям, регрессам и от реализации годных остатков - брутто-перестрахование (нарастающим итогом)" </w:t>
      </w:r>
      <w:hyperlink w:history="0" w:anchor="P31326" w:tooltip="187">
        <w:r>
          <w:rPr>
            <w:sz w:val="24"/>
            <w:color w:val="0000ff"/>
          </w:rPr>
          <w:t xml:space="preserve">(строка 187)</w:t>
        </w:r>
      </w:hyperlink>
      <w:r>
        <w:rPr>
          <w:sz w:val="24"/>
        </w:rPr>
        <w:t xml:space="preserve">, "Расходы на исполнение обязательств по страховым случаям, учитываемым в расчете оценки ожидаемой величины обязательств по резерву убытков (ДПУ), - брутто-перестрахование (нарастающим итогом)" </w:t>
      </w:r>
      <w:hyperlink w:history="0" w:anchor="P31342" w:tooltip="188">
        <w:r>
          <w:rPr>
            <w:sz w:val="24"/>
            <w:color w:val="0000ff"/>
          </w:rPr>
          <w:t xml:space="preserve">(строка 188)</w:t>
        </w:r>
      </w:hyperlink>
      <w:r>
        <w:rPr>
          <w:sz w:val="24"/>
        </w:rPr>
        <w:t xml:space="preserve"> отражаются нарастающим итогом:</w:t>
      </w:r>
    </w:p>
    <w:p>
      <w:pPr>
        <w:pStyle w:val="0"/>
        <w:spacing w:before="240" w:lineRule="auto"/>
        <w:ind w:firstLine="540"/>
        <w:jc w:val="both"/>
      </w:pPr>
      <w:r>
        <w:rPr>
          <w:sz w:val="24"/>
        </w:rPr>
        <w:t xml:space="preserve">по состоянию на отчетную дату и на конец каждого из 5 кварталов, предшествующих последнему кварталу отчетного периода, - начиная с 5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4 кварталов, предшествующих последнему кварталу отчетного периода, - начиная с 4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3 кварталов, предшествующих последнему кварталу отчетного периода, - начиная с 3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2 кварталов, предшествующих последнему кварталу отчетного периода, - начиная с 2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квартала, предшествующего последнему кварталу отчетного периода, - начиная с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 начиная с последнего квартала отчетного периода.</w:t>
      </w:r>
    </w:p>
    <w:p>
      <w:pPr>
        <w:pStyle w:val="0"/>
        <w:spacing w:before="240" w:lineRule="auto"/>
        <w:ind w:firstLine="540"/>
        <w:jc w:val="both"/>
      </w:pPr>
      <w:r>
        <w:rPr>
          <w:sz w:val="24"/>
        </w:rPr>
        <w:t xml:space="preserve">Значения показателей "Страховые выплаты - брутто-перестрахование (нарастающим итогом)" </w:t>
      </w:r>
      <w:hyperlink w:history="0" w:anchor="P31310" w:tooltip="186">
        <w:r>
          <w:rPr>
            <w:sz w:val="24"/>
            <w:color w:val="0000ff"/>
          </w:rPr>
          <w:t xml:space="preserve">(строка 186)</w:t>
        </w:r>
      </w:hyperlink>
      <w:r>
        <w:rPr>
          <w:sz w:val="24"/>
        </w:rPr>
        <w:t xml:space="preserve"> и "Расходы на исполнение обязательств по страховым случаям, учитываемым в расчете оценки ожидаемой величины обязательств по резерву убытков (ДПУ), - брутто-перестрахование (нарастающим итогом)" </w:t>
      </w:r>
      <w:hyperlink w:history="0" w:anchor="P31342" w:tooltip="188">
        <w:r>
          <w:rPr>
            <w:sz w:val="24"/>
            <w:color w:val="0000ff"/>
          </w:rPr>
          <w:t xml:space="preserve">(строка 188)</w:t>
        </w:r>
      </w:hyperlink>
      <w:r>
        <w:rPr>
          <w:sz w:val="24"/>
        </w:rPr>
        <w:t xml:space="preserve"> указываются как положительные, без знака "-" (минус), за исключением случаев, когда показатель принимает отрицательное значение.</w:t>
      </w:r>
    </w:p>
    <w:p>
      <w:pPr>
        <w:pStyle w:val="0"/>
        <w:spacing w:before="240" w:lineRule="auto"/>
        <w:ind w:firstLine="540"/>
        <w:jc w:val="both"/>
      </w:pPr>
      <w:r>
        <w:rPr>
          <w:sz w:val="24"/>
        </w:rPr>
        <w:t xml:space="preserve">20.1. Значение показателя "Страховые выплаты - брутто-перестрахование (нарастающим итогом)" </w:t>
      </w:r>
      <w:hyperlink w:history="0" w:anchor="P31310" w:tooltip="186">
        <w:r>
          <w:rPr>
            <w:sz w:val="24"/>
            <w:color w:val="0000ff"/>
          </w:rPr>
          <w:t xml:space="preserve">(строка 186)</w:t>
        </w:r>
      </w:hyperlink>
      <w:r>
        <w:rPr>
          <w:sz w:val="24"/>
        </w:rPr>
        <w:t xml:space="preserve"> по страховым случаям, наступившим до даты, указанной по группе аналитических признаков "Период расчета", должно соответствовать сумме значений показателя "Оплаченные убытки (страховые выплаты) на конец каждого квартала (нарастающим итогом)" </w:t>
      </w:r>
      <w:hyperlink w:history="0" w:anchor="P29876" w:tooltip="65">
        <w:r>
          <w:rPr>
            <w:sz w:val="24"/>
            <w:color w:val="0000ff"/>
          </w:rPr>
          <w:t xml:space="preserve">(строка 65)</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w:t>
      </w:r>
    </w:p>
    <w:p>
      <w:pPr>
        <w:pStyle w:val="0"/>
        <w:spacing w:before="240" w:lineRule="auto"/>
        <w:ind w:firstLine="540"/>
        <w:jc w:val="both"/>
      </w:pPr>
      <w:r>
        <w:rPr>
          <w:sz w:val="24"/>
        </w:rPr>
        <w:t xml:space="preserve">20.2. Значение показателя "Поступления по суброгациям, регрессам и от реализации годных остатков - брутто-перестрахование (нарастающим итогом)" </w:t>
      </w:r>
      <w:hyperlink w:history="0" w:anchor="P31326" w:tooltip="187">
        <w:r>
          <w:rPr>
            <w:sz w:val="24"/>
            <w:color w:val="0000ff"/>
          </w:rPr>
          <w:t xml:space="preserve">(строка 187)</w:t>
        </w:r>
      </w:hyperlink>
      <w:r>
        <w:rPr>
          <w:sz w:val="24"/>
        </w:rPr>
        <w:t xml:space="preserve"> по страховым случаям, наступившим до даты, указанной по группе аналитических признаков "Период расчета", должно соответствовать сумме значений показателя "Суммы, полученные по суброгационным и регрессным требованиям, а также от реализации годных остатков, на конец каждого квартала (нарастающим итогом)" </w:t>
      </w:r>
      <w:hyperlink w:history="0" w:anchor="P30344" w:tooltip="116">
        <w:r>
          <w:rPr>
            <w:sz w:val="24"/>
            <w:color w:val="0000ff"/>
          </w:rPr>
          <w:t xml:space="preserve">(строка 116)</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w:t>
      </w:r>
    </w:p>
    <w:p>
      <w:pPr>
        <w:pStyle w:val="0"/>
        <w:spacing w:before="240" w:lineRule="auto"/>
        <w:ind w:firstLine="540"/>
        <w:jc w:val="both"/>
      </w:pPr>
      <w:r>
        <w:rPr>
          <w:sz w:val="24"/>
        </w:rPr>
        <w:t xml:space="preserve">20.3. Значение показателя "Переоцененный остаток оценки ожидаемой величины обязательств по резерву убытков (ДПУ) - брутто-перестрахование" </w:t>
      </w:r>
      <w:hyperlink w:history="0" w:anchor="P31358" w:tooltip="189">
        <w:r>
          <w:rPr>
            <w:sz w:val="24"/>
            <w:color w:val="0000ff"/>
          </w:rPr>
          <w:t xml:space="preserve">(строка 189)</w:t>
        </w:r>
      </w:hyperlink>
      <w:r>
        <w:rPr>
          <w:sz w:val="24"/>
        </w:rPr>
        <w:t xml:space="preserve"> по состоянию на отчетную дату по страховым случаям, наступившим до даты, указанной по группе аналитических признаков "Период расчета", должно соответствовать сумме значений показателя "Исходящие денежные потоки при оценке ожидаемой величины обязательств по резерву убытков (ДПУ) до дисконтирования" </w:t>
      </w:r>
      <w:hyperlink w:history="0" w:anchor="P30490" w:tooltip="123">
        <w:r>
          <w:rPr>
            <w:sz w:val="24"/>
            <w:color w:val="0000ff"/>
          </w:rPr>
          <w:t xml:space="preserve">(строка 123)</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за вычетом суммы значений показателя "Входящие денежные потоки при оценке ожидаемой величины обязательств по резерву убытков (ДПУ) до дисконтирования" </w:t>
      </w:r>
      <w:hyperlink w:history="0" w:anchor="P30468" w:tooltip="122">
        <w:r>
          <w:rPr>
            <w:sz w:val="24"/>
            <w:color w:val="0000ff"/>
          </w:rPr>
          <w:t xml:space="preserve">(строка 122)</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w:t>
      </w:r>
    </w:p>
    <w:p>
      <w:pPr>
        <w:pStyle w:val="0"/>
        <w:spacing w:before="240" w:lineRule="auto"/>
        <w:ind w:firstLine="540"/>
        <w:jc w:val="both"/>
      </w:pPr>
      <w:r>
        <w:rPr>
          <w:sz w:val="24"/>
        </w:rPr>
        <w:t xml:space="preserve">Значение показателя "Переоцененный остаток оценки ожидаемой величины обязательств по резерву убытков (ДПУ) - брутто-перестрахование" </w:t>
      </w:r>
      <w:hyperlink w:history="0" w:anchor="P31358" w:tooltip="189">
        <w:r>
          <w:rPr>
            <w:sz w:val="24"/>
            <w:color w:val="0000ff"/>
          </w:rPr>
          <w:t xml:space="preserve">(строка 189)</w:t>
        </w:r>
      </w:hyperlink>
      <w:r>
        <w:rPr>
          <w:sz w:val="24"/>
        </w:rPr>
        <w:t xml:space="preserve"> по состоянию на конец каждого из 5 кварталов, предшествующих последнему кварталу отчетного периода, по страховым случаям, наступившим до даты, указанной по группе аналитических признаков "Период расчета", должно соответствовать сумме значений показателя "Исходящие денежные потоки при оценке ожидаемой величины обязательств по резерву убытков (ДПУ) до дисконтирования" </w:t>
      </w:r>
      <w:hyperlink w:history="0" w:anchor="P30490" w:tooltip="123">
        <w:r>
          <w:rPr>
            <w:sz w:val="24"/>
            <w:color w:val="0000ff"/>
          </w:rPr>
          <w:t xml:space="preserve">(строка 123)</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за вычетом суммы значений показателя "Входящие денежные потоки при оценке ожидаемой величины обязательств по резерву убытков (ДПУ) до дисконтирования" </w:t>
      </w:r>
      <w:hyperlink w:history="0" w:anchor="P30468" w:tooltip="122">
        <w:r>
          <w:rPr>
            <w:sz w:val="24"/>
            <w:color w:val="0000ff"/>
          </w:rPr>
          <w:t xml:space="preserve">(строка 122)</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отчетности по </w:t>
      </w:r>
      <w:hyperlink w:history="0" w:anchor="P29159" w:tooltip="Отчетность по форме 0420155">
        <w:r>
          <w:rPr>
            <w:sz w:val="24"/>
            <w:color w:val="0000ff"/>
          </w:rPr>
          <w:t xml:space="preserve">форме 0420155</w:t>
        </w:r>
      </w:hyperlink>
      <w:r>
        <w:rPr>
          <w:sz w:val="24"/>
        </w:rPr>
        <w:t xml:space="preserve">, составленной за предыдущие отчетные периоды.</w:t>
      </w:r>
    </w:p>
    <w:p>
      <w:pPr>
        <w:pStyle w:val="0"/>
        <w:spacing w:before="240" w:lineRule="auto"/>
        <w:ind w:firstLine="540"/>
        <w:jc w:val="both"/>
      </w:pPr>
      <w:r>
        <w:rPr>
          <w:sz w:val="24"/>
        </w:rPr>
        <w:t xml:space="preserve">20.4. По показателю "Избыток (недостаток) оценки ожидаемой величины обязательств по резерву убытков (ДПУ) - брутто-перестрахование (нарастающим итогом)" </w:t>
      </w:r>
      <w:hyperlink w:history="0" w:anchor="P31374" w:tooltip="190">
        <w:r>
          <w:rPr>
            <w:sz w:val="24"/>
            <w:color w:val="0000ff"/>
          </w:rPr>
          <w:t xml:space="preserve">(строка 190)</w:t>
        </w:r>
      </w:hyperlink>
      <w:r>
        <w:rPr>
          <w:sz w:val="24"/>
        </w:rPr>
        <w:t xml:space="preserve"> указывается значение, рассчитанное как сумма значений показателей "Оценка ожидаемой величины обязательств по резерву убытков (ДПУ) - брутто-перестрахование" </w:t>
      </w:r>
      <w:hyperlink w:history="0" w:anchor="P31294" w:tooltip="185">
        <w:r>
          <w:rPr>
            <w:sz w:val="24"/>
            <w:color w:val="0000ff"/>
          </w:rPr>
          <w:t xml:space="preserve">(строка 185)</w:t>
        </w:r>
      </w:hyperlink>
      <w:r>
        <w:rPr>
          <w:sz w:val="24"/>
        </w:rPr>
        <w:t xml:space="preserve"> и "Поступления по суброгациям, регрессам и от реализации годных остатков - брутто-перестрахование (нарастающим итогом)" </w:t>
      </w:r>
      <w:hyperlink w:history="0" w:anchor="P31326" w:tooltip="187">
        <w:r>
          <w:rPr>
            <w:sz w:val="24"/>
            <w:color w:val="0000ff"/>
          </w:rPr>
          <w:t xml:space="preserve">(строка 187)</w:t>
        </w:r>
      </w:hyperlink>
      <w:r>
        <w:rPr>
          <w:sz w:val="24"/>
        </w:rPr>
        <w:t xml:space="preserve"> за вычетом суммы значений показателей "Страховые выплаты - брутто-перестрахование (нарастающим итогом)" </w:t>
      </w:r>
      <w:hyperlink w:history="0" w:anchor="P31310" w:tooltip="186">
        <w:r>
          <w:rPr>
            <w:sz w:val="24"/>
            <w:color w:val="0000ff"/>
          </w:rPr>
          <w:t xml:space="preserve">(строка 186)</w:t>
        </w:r>
      </w:hyperlink>
      <w:r>
        <w:rPr>
          <w:sz w:val="24"/>
        </w:rPr>
        <w:t xml:space="preserve">, "Расходы на исполнение обязательств по страховым случаям, учитываемым в расчете оценки ожидаемой величины обязательств по резерву убытков (ДПУ), - брутто-перестрахование (нарастающим итогом)" </w:t>
      </w:r>
      <w:hyperlink w:history="0" w:anchor="P31342" w:tooltip="188">
        <w:r>
          <w:rPr>
            <w:sz w:val="24"/>
            <w:color w:val="0000ff"/>
          </w:rPr>
          <w:t xml:space="preserve">(строка 188)</w:t>
        </w:r>
      </w:hyperlink>
      <w:r>
        <w:rPr>
          <w:sz w:val="24"/>
        </w:rPr>
        <w:t xml:space="preserve">, "Переоцененный остаток оценки ожидаемой величины обязательств по резерву убытков (ДПУ) - брутто-перестрахование" </w:t>
      </w:r>
      <w:hyperlink w:history="0" w:anchor="P31358" w:tooltip="189">
        <w:r>
          <w:rPr>
            <w:sz w:val="24"/>
            <w:color w:val="0000ff"/>
          </w:rPr>
          <w:t xml:space="preserve">(строка 189)</w:t>
        </w:r>
      </w:hyperlink>
      <w:r>
        <w:rPr>
          <w:sz w:val="24"/>
        </w:rPr>
        <w:t xml:space="preserve">.</w:t>
      </w:r>
    </w:p>
    <w:p>
      <w:pPr>
        <w:pStyle w:val="0"/>
        <w:spacing w:before="240" w:lineRule="auto"/>
        <w:ind w:firstLine="540"/>
        <w:jc w:val="both"/>
      </w:pPr>
      <w:r>
        <w:rPr>
          <w:sz w:val="24"/>
        </w:rPr>
        <w:t xml:space="preserve">20.5. По показателю "Избыток (недостаток) оценки ожидаемой величины обязательств по резерву убытков (ДПУ) - брутто-перестрахование (нарастающим итогом), %" </w:t>
      </w:r>
      <w:hyperlink w:history="0" w:anchor="P31390" w:tooltip="191">
        <w:r>
          <w:rPr>
            <w:sz w:val="24"/>
            <w:color w:val="0000ff"/>
          </w:rPr>
          <w:t xml:space="preserve">(строка 191)</w:t>
        </w:r>
      </w:hyperlink>
      <w:r>
        <w:rPr>
          <w:sz w:val="24"/>
        </w:rPr>
        <w:t xml:space="preserve"> указывается значение, рассчитанное как отношение значения показателя "Избыток (недостаток) оценки ожидаемой величины обязательств по резерву убытков (ДПУ) - брутто-перестрахование (нарастающим итогом)" </w:t>
      </w:r>
      <w:hyperlink w:history="0" w:anchor="P31374" w:tooltip="190">
        <w:r>
          <w:rPr>
            <w:sz w:val="24"/>
            <w:color w:val="0000ff"/>
          </w:rPr>
          <w:t xml:space="preserve">(строка 190)</w:t>
        </w:r>
      </w:hyperlink>
      <w:r>
        <w:rPr>
          <w:sz w:val="24"/>
        </w:rPr>
        <w:t xml:space="preserve"> к значению показателя "Оценка ожидаемой величины обязательств по резерву убытков (ДПУ) - брутто-перестрахование" </w:t>
      </w:r>
      <w:hyperlink w:history="0" w:anchor="P31294" w:tooltip="185">
        <w:r>
          <w:rPr>
            <w:sz w:val="24"/>
            <w:color w:val="0000ff"/>
          </w:rPr>
          <w:t xml:space="preserve">(строка 185)</w:t>
        </w:r>
      </w:hyperlink>
      <w:r>
        <w:rPr>
          <w:sz w:val="24"/>
        </w:rPr>
        <w:t xml:space="preserve">, умноженное на 100 процентов.</w:t>
      </w:r>
    </w:p>
    <w:p>
      <w:pPr>
        <w:pStyle w:val="0"/>
        <w:spacing w:before="240" w:lineRule="auto"/>
        <w:ind w:firstLine="540"/>
        <w:jc w:val="both"/>
      </w:pPr>
      <w:r>
        <w:rPr>
          <w:sz w:val="24"/>
        </w:rPr>
        <w:t xml:space="preserve">21. По показателям </w:t>
      </w:r>
      <w:hyperlink w:history="0" w:anchor="P31406" w:tooltip="Подраздел 2.28.">
        <w:r>
          <w:rPr>
            <w:sz w:val="24"/>
            <w:color w:val="0000ff"/>
          </w:rPr>
          <w:t xml:space="preserve">подраздела 2.28 раздела 2</w:t>
        </w:r>
      </w:hyperlink>
      <w:r>
        <w:rPr>
          <w:sz w:val="24"/>
        </w:rPr>
        <w:t xml:space="preserve"> отчетности по форме 0420155 отражаются сведения о ретроспективном анализе достаточности оценки ожидаемой величины обязательств по резерву убытков (ДПУ) без учета дисконтирования по страховым случаям по договорам страхования, сострахования, входящего перестрахования (за вычетом участия перестраховщиков (нетто-перестрахование), учитываемым в расчете указанной оценки и наступившим до указанного по группе аналитических признаков "Период расчета" последнего календарного дня каждого из 6 кварталов, предшествующих последнему кварталу отчетного периода.</w:t>
      </w:r>
    </w:p>
    <w:p>
      <w:pPr>
        <w:pStyle w:val="0"/>
        <w:spacing w:before="240" w:lineRule="auto"/>
        <w:ind w:firstLine="540"/>
        <w:jc w:val="both"/>
      </w:pPr>
      <w:r>
        <w:rPr>
          <w:sz w:val="24"/>
        </w:rPr>
        <w:t xml:space="preserve">Значения показателей </w:t>
      </w:r>
      <w:hyperlink w:history="0" w:anchor="P31406" w:tooltip="Подраздел 2.28.">
        <w:r>
          <w:rPr>
            <w:sz w:val="24"/>
            <w:color w:val="0000ff"/>
          </w:rPr>
          <w:t xml:space="preserve">подраздела 2.28 раздела 2</w:t>
        </w:r>
      </w:hyperlink>
      <w:r>
        <w:rPr>
          <w:sz w:val="24"/>
        </w:rPr>
        <w:t xml:space="preserve"> отчетности по форме 0420155 (за исключением показателя "Поступления по суброгациям, регрессам и от реализации годных остатков - нетто-перестрахование (нарастающим итогом)" </w:t>
      </w:r>
      <w:hyperlink w:history="0" w:anchor="P31440" w:tooltip="194">
        <w:r>
          <w:rPr>
            <w:sz w:val="24"/>
            <w:color w:val="0000ff"/>
          </w:rPr>
          <w:t xml:space="preserve">(строка 194)</w:t>
        </w:r>
      </w:hyperlink>
      <w:r>
        <w:rPr>
          <w:sz w:val="24"/>
        </w:rPr>
        <w:t xml:space="preserve"> указываются по договорам страхования, сострахования, перестрахования, относящимся к страхованию иному, чем страхование жизни, в разрезе учетных групп 1 - 17 и дополнительных учетных групп, входящих в состав указанных учетных групп (при наличии). Значение показателя "Поступления по суброгациям, регрессам и от реализации годных остатков - нетто-перестрахование (нарастающим итогом)" </w:t>
      </w:r>
      <w:hyperlink w:history="0" w:anchor="P31440" w:tooltip="194">
        <w:r>
          <w:rPr>
            <w:sz w:val="24"/>
            <w:color w:val="0000ff"/>
          </w:rPr>
          <w:t xml:space="preserve">(строка 194)</w:t>
        </w:r>
      </w:hyperlink>
      <w:r>
        <w:rPr>
          <w:sz w:val="24"/>
        </w:rPr>
        <w:t xml:space="preserve"> указывается по договорам страхования, сострахования, перестрахования, относящимся к страхованию иному, чем страхование жизни, в разрезе учетных групп 3 и 7 и дополнительных учетных групп, входящих в состав указанных учетных групп (при наличии).</w:t>
      </w:r>
    </w:p>
    <w:p>
      <w:pPr>
        <w:pStyle w:val="0"/>
        <w:spacing w:before="240" w:lineRule="auto"/>
        <w:ind w:firstLine="540"/>
        <w:jc w:val="both"/>
      </w:pPr>
      <w:r>
        <w:rPr>
          <w:sz w:val="24"/>
        </w:rPr>
        <w:t xml:space="preserve">Значения показателей "Оценка ожидаемой величины обязательств по резерву убытков (ДПУ) - нетто-перестрахование" </w:t>
      </w:r>
      <w:hyperlink w:history="0" w:anchor="P31408" w:tooltip="192">
        <w:r>
          <w:rPr>
            <w:sz w:val="24"/>
            <w:color w:val="0000ff"/>
          </w:rPr>
          <w:t xml:space="preserve">(строка 192)</w:t>
        </w:r>
      </w:hyperlink>
      <w:r>
        <w:rPr>
          <w:sz w:val="24"/>
        </w:rPr>
        <w:t xml:space="preserve">, "Избыток (недостаток) оценки ожидаемой величины обязательств по резерву убытков (ДПУ) - нетто-перестрахование (нарастающим итогом)" </w:t>
      </w:r>
      <w:hyperlink w:history="0" w:anchor="P31488" w:tooltip="197">
        <w:r>
          <w:rPr>
            <w:sz w:val="24"/>
            <w:color w:val="0000ff"/>
          </w:rPr>
          <w:t xml:space="preserve">(строка 197)</w:t>
        </w:r>
      </w:hyperlink>
      <w:r>
        <w:rPr>
          <w:sz w:val="24"/>
        </w:rPr>
        <w:t xml:space="preserve">, "Избыток (недостаток) оценки ожидаемой величины обязательств по резерву убытков (ДПУ) - нетто-перестрахование (нарастающим итогом), %" </w:t>
      </w:r>
      <w:hyperlink w:history="0" w:anchor="P31504" w:tooltip="198">
        <w:r>
          <w:rPr>
            <w:sz w:val="24"/>
            <w:color w:val="0000ff"/>
          </w:rPr>
          <w:t xml:space="preserve">(строка 198)</w:t>
        </w:r>
      </w:hyperlink>
      <w:r>
        <w:rPr>
          <w:sz w:val="24"/>
        </w:rPr>
        <w:t xml:space="preserve"> указываются по состоянию на дату, указанную по группе аналитических признаков "Период расчета".</w:t>
      </w:r>
    </w:p>
    <w:p>
      <w:pPr>
        <w:pStyle w:val="0"/>
        <w:spacing w:before="240" w:lineRule="auto"/>
        <w:ind w:firstLine="540"/>
        <w:jc w:val="both"/>
      </w:pPr>
      <w:r>
        <w:rPr>
          <w:sz w:val="24"/>
        </w:rPr>
        <w:t xml:space="preserve">Значения показателей "Страховые выплаты - нетто-перестрахование (нарастающим итогом)" </w:t>
      </w:r>
      <w:hyperlink w:history="0" w:anchor="P31424" w:tooltip="193">
        <w:r>
          <w:rPr>
            <w:sz w:val="24"/>
            <w:color w:val="0000ff"/>
          </w:rPr>
          <w:t xml:space="preserve">(строка 193)</w:t>
        </w:r>
      </w:hyperlink>
      <w:r>
        <w:rPr>
          <w:sz w:val="24"/>
        </w:rPr>
        <w:t xml:space="preserve">, "Поступления по суброгациям, регрессам и от реализации годных остатков - нетто-перестрахование (нарастающим итогом)" </w:t>
      </w:r>
      <w:hyperlink w:history="0" w:anchor="P31440" w:tooltip="194">
        <w:r>
          <w:rPr>
            <w:sz w:val="24"/>
            <w:color w:val="0000ff"/>
          </w:rPr>
          <w:t xml:space="preserve">(строка 194)</w:t>
        </w:r>
      </w:hyperlink>
      <w:r>
        <w:rPr>
          <w:sz w:val="24"/>
        </w:rPr>
        <w:t xml:space="preserve">, "Расходы на исполнение обязательств по страховым случаям, учитываемым в расчете оценки ожидаемой величины обязательств по резерву убытков (ДПУ), - нетто-перестрахование (нарастающим итогом)" </w:t>
      </w:r>
      <w:hyperlink w:history="0" w:anchor="P31456" w:tooltip="195">
        <w:r>
          <w:rPr>
            <w:sz w:val="24"/>
            <w:color w:val="0000ff"/>
          </w:rPr>
          <w:t xml:space="preserve">(строка 195)</w:t>
        </w:r>
      </w:hyperlink>
      <w:r>
        <w:rPr>
          <w:sz w:val="24"/>
        </w:rPr>
        <w:t xml:space="preserve">, "Переоцененный остаток оценки ожидаемой величины обязательств по резерву убытков (ДПУ) - нетто-перестрахование" </w:t>
      </w:r>
      <w:hyperlink w:history="0" w:anchor="P31472" w:tooltip="196">
        <w:r>
          <w:rPr>
            <w:sz w:val="24"/>
            <w:color w:val="0000ff"/>
          </w:rPr>
          <w:t xml:space="preserve">(строка 196)</w:t>
        </w:r>
      </w:hyperlink>
      <w:r>
        <w:rPr>
          <w:sz w:val="24"/>
        </w:rPr>
        <w:t xml:space="preserve"> указываются следующим образом:</w:t>
      </w:r>
    </w:p>
    <w:p>
      <w:pPr>
        <w:pStyle w:val="0"/>
        <w:spacing w:before="240" w:lineRule="auto"/>
        <w:ind w:firstLine="540"/>
        <w:jc w:val="both"/>
      </w:pPr>
      <w:r>
        <w:rPr>
          <w:sz w:val="24"/>
        </w:rPr>
        <w:t xml:space="preserve">по состоянию на отчетную дату и на конец каждого из 5 кварталов, предшествующих последнему кварталу отчетного периода, - по страховым случаям, наступившим до последнего календарного дня 6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4 кварталов, предшествующих последнему кварталу отчетного периода, - по страховым случаям, наступившим до последнего календарного дня 5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3 кварталов, предшествующих последнему кварталу отчетного периода, - по страховым случаям, наступившим до последнего календарного дня 4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2 кварталов, предшествующих последнему кварталу отчетного периода, - по страховым случаям, наступившим до последнего календарного дня 3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квартала, предшествующего последнему кварталу отчетного периода, - по страховым случаям, наступившим до последнего календарного дня 2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 по страховым случаям, наступившим до последнего календарного дня квартала, предшествующего последнему кварталу отчетного периода.</w:t>
      </w:r>
    </w:p>
    <w:p>
      <w:pPr>
        <w:pStyle w:val="0"/>
        <w:spacing w:before="240" w:lineRule="auto"/>
        <w:ind w:firstLine="540"/>
        <w:jc w:val="both"/>
      </w:pPr>
      <w:r>
        <w:rPr>
          <w:sz w:val="24"/>
        </w:rPr>
        <w:t xml:space="preserve">Значения показателей "Страховые выплаты - нетто-перестрахование (нарастающим итогом)" </w:t>
      </w:r>
      <w:hyperlink w:history="0" w:anchor="P31424" w:tooltip="193">
        <w:r>
          <w:rPr>
            <w:sz w:val="24"/>
            <w:color w:val="0000ff"/>
          </w:rPr>
          <w:t xml:space="preserve">(строка 193)</w:t>
        </w:r>
      </w:hyperlink>
      <w:r>
        <w:rPr>
          <w:sz w:val="24"/>
        </w:rPr>
        <w:t xml:space="preserve">, "Поступления по суброгациям, регрессам и от реализации годных остатков - нетто-перестрахование (нарастающим итогом)" </w:t>
      </w:r>
      <w:hyperlink w:history="0" w:anchor="P31440" w:tooltip="194">
        <w:r>
          <w:rPr>
            <w:sz w:val="24"/>
            <w:color w:val="0000ff"/>
          </w:rPr>
          <w:t xml:space="preserve">(строка 194)</w:t>
        </w:r>
      </w:hyperlink>
      <w:r>
        <w:rPr>
          <w:sz w:val="24"/>
        </w:rPr>
        <w:t xml:space="preserve">, "Расходы на исполнение обязательств по страховым случаям, учитываемым в расчете оценки ожидаемой величины обязательств по резерву убытков (ДПУ), - нетто-перестрахование (нарастающим итогом)" </w:t>
      </w:r>
      <w:hyperlink w:history="0" w:anchor="P31456" w:tooltip="195">
        <w:r>
          <w:rPr>
            <w:sz w:val="24"/>
            <w:color w:val="0000ff"/>
          </w:rPr>
          <w:t xml:space="preserve">(строка 195)</w:t>
        </w:r>
      </w:hyperlink>
      <w:r>
        <w:rPr>
          <w:sz w:val="24"/>
        </w:rPr>
        <w:t xml:space="preserve"> отражаются нарастающим итогом:</w:t>
      </w:r>
    </w:p>
    <w:p>
      <w:pPr>
        <w:pStyle w:val="0"/>
        <w:spacing w:before="240" w:lineRule="auto"/>
        <w:ind w:firstLine="540"/>
        <w:jc w:val="both"/>
      </w:pPr>
      <w:r>
        <w:rPr>
          <w:sz w:val="24"/>
        </w:rPr>
        <w:t xml:space="preserve">по состоянию на отчетную дату и на конец каждого из 5 кварталов, предшествующих последнему кварталу отчетного периода, - начиная с 5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4 кварталов, предшествующих последнему кварталу отчетного периода, - начиная с 4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3 кварталов, предшествующих последнему кварталу отчетного периода, - начиная с 3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каждого из 2 кварталов, предшествующих последнему кварталу отчетного периода, - начиная с 2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и на конец квартала, предшествующего последнему кварталу отчетного периода, - начиная с квартала, предшествующего последнему кварталу отчетного периода;</w:t>
      </w:r>
    </w:p>
    <w:p>
      <w:pPr>
        <w:pStyle w:val="0"/>
        <w:spacing w:before="240" w:lineRule="auto"/>
        <w:ind w:firstLine="540"/>
        <w:jc w:val="both"/>
      </w:pPr>
      <w:r>
        <w:rPr>
          <w:sz w:val="24"/>
        </w:rPr>
        <w:t xml:space="preserve">по состоянию на отчетную дату - начиная с последнего квартала отчетного периода.</w:t>
      </w:r>
    </w:p>
    <w:p>
      <w:pPr>
        <w:pStyle w:val="0"/>
        <w:spacing w:before="240" w:lineRule="auto"/>
        <w:ind w:firstLine="540"/>
        <w:jc w:val="both"/>
      </w:pPr>
      <w:r>
        <w:rPr>
          <w:sz w:val="24"/>
        </w:rPr>
        <w:t xml:space="preserve">Значения показателей "Страховые выплаты - нетто-перестрахование (нарастающим итогом)" </w:t>
      </w:r>
      <w:hyperlink w:history="0" w:anchor="P31424" w:tooltip="193">
        <w:r>
          <w:rPr>
            <w:sz w:val="24"/>
            <w:color w:val="0000ff"/>
          </w:rPr>
          <w:t xml:space="preserve">(строка 193)</w:t>
        </w:r>
      </w:hyperlink>
      <w:r>
        <w:rPr>
          <w:sz w:val="24"/>
        </w:rPr>
        <w:t xml:space="preserve"> и "Расходы на исполнение обязательств по страховым случаям, учитываемым в расчете оценки ожидаемой величины обязательств по резерву убытков (ДПУ), - нетто-перестрахование (нарастающим итогом)" </w:t>
      </w:r>
      <w:hyperlink w:history="0" w:anchor="P31456" w:tooltip="195">
        <w:r>
          <w:rPr>
            <w:sz w:val="24"/>
            <w:color w:val="0000ff"/>
          </w:rPr>
          <w:t xml:space="preserve">(строка 195)</w:t>
        </w:r>
      </w:hyperlink>
      <w:r>
        <w:rPr>
          <w:sz w:val="24"/>
        </w:rPr>
        <w:t xml:space="preserve"> указываются как положительные, без знака "-" (минус), за исключением случаев, когда показатель принимает отрицательное значение.</w:t>
      </w:r>
    </w:p>
    <w:p>
      <w:pPr>
        <w:pStyle w:val="0"/>
        <w:spacing w:before="240" w:lineRule="auto"/>
        <w:ind w:firstLine="540"/>
        <w:jc w:val="both"/>
      </w:pPr>
      <w:r>
        <w:rPr>
          <w:sz w:val="24"/>
        </w:rPr>
        <w:t xml:space="preserve">В случае если у страховщика нет договоров исходящего перестрахования, значения показателей </w:t>
      </w:r>
      <w:hyperlink w:history="0" w:anchor="P31406" w:tooltip="Подраздел 2.28.">
        <w:r>
          <w:rPr>
            <w:sz w:val="24"/>
            <w:color w:val="0000ff"/>
          </w:rPr>
          <w:t xml:space="preserve">подраздела 2.28 раздела 2</w:t>
        </w:r>
      </w:hyperlink>
      <w:r>
        <w:rPr>
          <w:sz w:val="24"/>
        </w:rPr>
        <w:t xml:space="preserve"> отчетности по форме 0420155 будут соответствовать значениям показателей </w:t>
      </w:r>
      <w:hyperlink w:history="0" w:anchor="P31292" w:tooltip="Подраздел 2.27.">
        <w:r>
          <w:rPr>
            <w:sz w:val="24"/>
            <w:color w:val="0000ff"/>
          </w:rPr>
          <w:t xml:space="preserve">подраздела 2.27 раздела 2</w:t>
        </w:r>
      </w:hyperlink>
      <w:r>
        <w:rPr>
          <w:sz w:val="24"/>
        </w:rPr>
        <w:t xml:space="preserve"> отчетности по форме 0420155.</w:t>
      </w:r>
    </w:p>
    <w:p>
      <w:pPr>
        <w:pStyle w:val="0"/>
        <w:spacing w:before="240" w:lineRule="auto"/>
        <w:ind w:firstLine="540"/>
        <w:jc w:val="both"/>
      </w:pPr>
      <w:r>
        <w:rPr>
          <w:sz w:val="24"/>
        </w:rPr>
        <w:t xml:space="preserve">21.1. Значение показателя "Страховые выплаты - нетто-перестрахование (нарастающим итогом)" </w:t>
      </w:r>
      <w:hyperlink w:history="0" w:anchor="P31424" w:tooltip="193">
        <w:r>
          <w:rPr>
            <w:sz w:val="24"/>
            <w:color w:val="0000ff"/>
          </w:rPr>
          <w:t xml:space="preserve">(строка 193)</w:t>
        </w:r>
      </w:hyperlink>
      <w:r>
        <w:rPr>
          <w:sz w:val="24"/>
        </w:rPr>
        <w:t xml:space="preserve"> по страховым случаям, наступившим до даты, указанной по группе аналитических признаков "Период расчета", должно соответствовать сумме значений показателя "Оплаченные убытки (страховые выплаты) на конец каждого квартала (нарастающим итогом)" </w:t>
      </w:r>
      <w:hyperlink w:history="0" w:anchor="P29876" w:tooltip="65">
        <w:r>
          <w:rPr>
            <w:sz w:val="24"/>
            <w:color w:val="0000ff"/>
          </w:rPr>
          <w:t xml:space="preserve">(строка 65)</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за вычетом суммы значений показателя "Доля перестраховщиков в оплаченных убытках (страховых выплатах) на конец каждого квартала (нарастающим итогом)" </w:t>
      </w:r>
      <w:hyperlink w:history="0" w:anchor="P29930" w:tooltip="68">
        <w:r>
          <w:rPr>
            <w:sz w:val="24"/>
            <w:color w:val="0000ff"/>
          </w:rPr>
          <w:t xml:space="preserve">(строка 68)</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w:t>
      </w:r>
    </w:p>
    <w:p>
      <w:pPr>
        <w:pStyle w:val="0"/>
        <w:spacing w:before="240" w:lineRule="auto"/>
        <w:ind w:firstLine="540"/>
        <w:jc w:val="both"/>
      </w:pPr>
      <w:r>
        <w:rPr>
          <w:sz w:val="24"/>
        </w:rPr>
        <w:t xml:space="preserve">21.2. Значение показателя "Переоцененный остаток оценки ожидаемой величины обязательств по резерву убытков (ДПУ) - нетто-перестрахование" </w:t>
      </w:r>
      <w:hyperlink w:history="0" w:anchor="P31472" w:tooltip="196">
        <w:r>
          <w:rPr>
            <w:sz w:val="24"/>
            <w:color w:val="0000ff"/>
          </w:rPr>
          <w:t xml:space="preserve">(строка 196)</w:t>
        </w:r>
      </w:hyperlink>
      <w:r>
        <w:rPr>
          <w:sz w:val="24"/>
        </w:rPr>
        <w:t xml:space="preserve"> по состоянию на отчетную дату по страховым случаям, наступившим до даты, указанной по группе аналитических признаков "Период расчета", должно соответствовать сумме значений показателя "Исходящие денежные потоки при оценке ожидаемой величины обязательств по резерву убытков (ДПУ) до дисконтирования" </w:t>
      </w:r>
      <w:hyperlink w:history="0" w:anchor="P30490" w:tooltip="123">
        <w:r>
          <w:rPr>
            <w:sz w:val="24"/>
            <w:color w:val="0000ff"/>
          </w:rPr>
          <w:t xml:space="preserve">(строка 123)</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за вычетом суммы значений показателя "Входящие денежные потоки при оценке ожидаемой величины обязательств по резерву убытков (ДПУ) до дисконтирования" </w:t>
      </w:r>
      <w:hyperlink w:history="0" w:anchor="P30468" w:tooltip="122">
        <w:r>
          <w:rPr>
            <w:sz w:val="24"/>
            <w:color w:val="0000ff"/>
          </w:rPr>
          <w:t xml:space="preserve">(строка 122)</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и суммы значений показателя "Входящие денежные потоки при оценке доли перестраховщиков в резерве убытков до дисконтирования" </w:t>
      </w:r>
      <w:hyperlink w:history="0" w:anchor="P30512" w:tooltip="124">
        <w:r>
          <w:rPr>
            <w:sz w:val="24"/>
            <w:color w:val="0000ff"/>
          </w:rPr>
          <w:t xml:space="preserve">(строка 124)</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увеличенной на сумму значений показателя "Исходящие денежные потоки при оценке доли перестраховщиков в резерве убытков до дисконтирования" </w:t>
      </w:r>
      <w:hyperlink w:history="0" w:anchor="P30534" w:tooltip="125">
        <w:r>
          <w:rPr>
            <w:sz w:val="24"/>
            <w:color w:val="0000ff"/>
          </w:rPr>
          <w:t xml:space="preserve">(строка 125)</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w:t>
      </w:r>
    </w:p>
    <w:p>
      <w:pPr>
        <w:pStyle w:val="0"/>
        <w:spacing w:before="240" w:lineRule="auto"/>
        <w:ind w:firstLine="540"/>
        <w:jc w:val="both"/>
      </w:pPr>
      <w:r>
        <w:rPr>
          <w:sz w:val="24"/>
        </w:rPr>
        <w:t xml:space="preserve">Значение показателя "Переоцененный остаток оценки ожидаемой величины обязательств по резерву убытков (ДПУ) - нетто-перестрахование" </w:t>
      </w:r>
      <w:hyperlink w:history="0" w:anchor="P31472" w:tooltip="196">
        <w:r>
          <w:rPr>
            <w:sz w:val="24"/>
            <w:color w:val="0000ff"/>
          </w:rPr>
          <w:t xml:space="preserve">(строка 196)</w:t>
        </w:r>
      </w:hyperlink>
      <w:r>
        <w:rPr>
          <w:sz w:val="24"/>
        </w:rPr>
        <w:t xml:space="preserve"> по состоянию на конец каждого из 5 кварталов, предшествующих последнему кварталу отчетного периода, по страховым случаям, наступившим до даты, указанной по группе аналитических признаков "Период расчета", должно соответствовать сумме значений показателя "Исходящие денежные потоки при оценке ожидаемой величины обязательств по резерву убытков (ДПУ) до дисконтирования" </w:t>
      </w:r>
      <w:hyperlink w:history="0" w:anchor="P30490" w:tooltip="123">
        <w:r>
          <w:rPr>
            <w:sz w:val="24"/>
            <w:color w:val="0000ff"/>
          </w:rPr>
          <w:t xml:space="preserve">(строка 123)</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за вычетом суммы значений показателя "Входящие денежные потоки при оценке ожидаемой величины обязательств по резерву убытков (ДПУ) до дисконтирования" </w:t>
      </w:r>
      <w:hyperlink w:history="0" w:anchor="P30468" w:tooltip="122">
        <w:r>
          <w:rPr>
            <w:sz w:val="24"/>
            <w:color w:val="0000ff"/>
          </w:rPr>
          <w:t xml:space="preserve">(строка 122)</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и суммы значений показателя "Входящие денежные потоки при оценке доли перестраховщиков в резерве убытков до дисконтирования" </w:t>
      </w:r>
      <w:hyperlink w:history="0" w:anchor="P30512" w:tooltip="124">
        <w:r>
          <w:rPr>
            <w:sz w:val="24"/>
            <w:color w:val="0000ff"/>
          </w:rPr>
          <w:t xml:space="preserve">(строка 124)</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увеличенной на сумму значений показателя "Исходящие денежные потоки при оценке доли перестраховщиков в резерве убытков до дисконтирования" </w:t>
      </w:r>
      <w:hyperlink w:history="0" w:anchor="P30534" w:tooltip="125">
        <w:r>
          <w:rPr>
            <w:sz w:val="24"/>
            <w:color w:val="0000ff"/>
          </w:rPr>
          <w:t xml:space="preserve">(строка 125)</w:t>
        </w:r>
      </w:hyperlink>
      <w:r>
        <w:rPr>
          <w:sz w:val="24"/>
        </w:rPr>
        <w:t xml:space="preserve"> по страховым случаям, наступившим до даты, указанной по группе аналитических признаков "Период (квартал и год) наступления страхового случая", соответствующей дате, указанной по группе аналитических признаков "Период расчета", отчетности по </w:t>
      </w:r>
      <w:hyperlink w:history="0" w:anchor="P29159" w:tooltip="Отчетность по форме 0420155">
        <w:r>
          <w:rPr>
            <w:sz w:val="24"/>
            <w:color w:val="0000ff"/>
          </w:rPr>
          <w:t xml:space="preserve">форме 0420155</w:t>
        </w:r>
      </w:hyperlink>
      <w:r>
        <w:rPr>
          <w:sz w:val="24"/>
        </w:rPr>
        <w:t xml:space="preserve">, составленной за предыдущие отчетные периоды.</w:t>
      </w:r>
    </w:p>
    <w:p>
      <w:pPr>
        <w:pStyle w:val="0"/>
        <w:spacing w:before="240" w:lineRule="auto"/>
        <w:ind w:firstLine="540"/>
        <w:jc w:val="both"/>
      </w:pPr>
      <w:r>
        <w:rPr>
          <w:sz w:val="24"/>
        </w:rPr>
        <w:t xml:space="preserve">21.3. По показателю "Избыток (недостаток) оценки ожидаемой величины обязательств по резерву убытков (ДПУ) - нетто-перестрахование (нарастающим итогом)" </w:t>
      </w:r>
      <w:hyperlink w:history="0" w:anchor="P31488" w:tooltip="197">
        <w:r>
          <w:rPr>
            <w:sz w:val="24"/>
            <w:color w:val="0000ff"/>
          </w:rPr>
          <w:t xml:space="preserve">(строка 197)</w:t>
        </w:r>
      </w:hyperlink>
      <w:r>
        <w:rPr>
          <w:sz w:val="24"/>
        </w:rPr>
        <w:t xml:space="preserve"> указывается значение, рассчитанное как сумма значений показателей "Оценка ожидаемой величины обязательств по резерву убытков (ДПУ) - нетто-перестрахование" </w:t>
      </w:r>
      <w:hyperlink w:history="0" w:anchor="P31408" w:tooltip="192">
        <w:r>
          <w:rPr>
            <w:sz w:val="24"/>
            <w:color w:val="0000ff"/>
          </w:rPr>
          <w:t xml:space="preserve">(строка 192)</w:t>
        </w:r>
      </w:hyperlink>
      <w:r>
        <w:rPr>
          <w:sz w:val="24"/>
        </w:rPr>
        <w:t xml:space="preserve"> и "Поступления по суброгациям, регрессам и от реализации годных остатков - нетто-перестрахование (нарастающим итогом)" </w:t>
      </w:r>
      <w:hyperlink w:history="0" w:anchor="P31440" w:tooltip="194">
        <w:r>
          <w:rPr>
            <w:sz w:val="24"/>
            <w:color w:val="0000ff"/>
          </w:rPr>
          <w:t xml:space="preserve">(строка 194)</w:t>
        </w:r>
      </w:hyperlink>
      <w:r>
        <w:rPr>
          <w:sz w:val="24"/>
        </w:rPr>
        <w:t xml:space="preserve"> за вычетом суммы значений показателей "Страховые выплаты - нетто-перестрахование (нарастающим итогом)" </w:t>
      </w:r>
      <w:hyperlink w:history="0" w:anchor="P31424" w:tooltip="193">
        <w:r>
          <w:rPr>
            <w:sz w:val="24"/>
            <w:color w:val="0000ff"/>
          </w:rPr>
          <w:t xml:space="preserve">(строка 193)</w:t>
        </w:r>
      </w:hyperlink>
      <w:r>
        <w:rPr>
          <w:sz w:val="24"/>
        </w:rPr>
        <w:t xml:space="preserve">, "Расходы на исполнение обязательств по страховым случаям, учитываемым в расчете оценки ожидаемой величины обязательств по резерву убытков (ДПУ), - нетто-перестрахование (нарастающим итогом)" </w:t>
      </w:r>
      <w:hyperlink w:history="0" w:anchor="P31456" w:tooltip="195">
        <w:r>
          <w:rPr>
            <w:sz w:val="24"/>
            <w:color w:val="0000ff"/>
          </w:rPr>
          <w:t xml:space="preserve">(строка 195)</w:t>
        </w:r>
      </w:hyperlink>
      <w:r>
        <w:rPr>
          <w:sz w:val="24"/>
        </w:rPr>
        <w:t xml:space="preserve">, "Переоцененный остаток оценки ожидаемой величины обязательств по резерву убытков (ДПУ) - нетто-перестрахование" </w:t>
      </w:r>
      <w:hyperlink w:history="0" w:anchor="P31472" w:tooltip="196">
        <w:r>
          <w:rPr>
            <w:sz w:val="24"/>
            <w:color w:val="0000ff"/>
          </w:rPr>
          <w:t xml:space="preserve">(строка 196)</w:t>
        </w:r>
      </w:hyperlink>
      <w:r>
        <w:rPr>
          <w:sz w:val="24"/>
        </w:rPr>
        <w:t xml:space="preserve">.</w:t>
      </w:r>
    </w:p>
    <w:p>
      <w:pPr>
        <w:pStyle w:val="0"/>
        <w:spacing w:before="240" w:lineRule="auto"/>
        <w:ind w:firstLine="540"/>
        <w:jc w:val="both"/>
      </w:pPr>
      <w:r>
        <w:rPr>
          <w:sz w:val="24"/>
        </w:rPr>
        <w:t xml:space="preserve">21.4. По показателю "Избыток (недостаток) оценки ожидаемой величины обязательств по резерву убытков (ДПУ) - нетто-перестрахование (нарастающим итогом), %" </w:t>
      </w:r>
      <w:hyperlink w:history="0" w:anchor="P31504" w:tooltip="198">
        <w:r>
          <w:rPr>
            <w:sz w:val="24"/>
            <w:color w:val="0000ff"/>
          </w:rPr>
          <w:t xml:space="preserve">(строка 198)</w:t>
        </w:r>
      </w:hyperlink>
      <w:r>
        <w:rPr>
          <w:sz w:val="24"/>
        </w:rPr>
        <w:t xml:space="preserve"> указывается значение, рассчитанное как отношение значения показателя "Избыток (недостаток) оценки ожидаемой величины обязательств по резерву убытков (ДПУ) - нетто-перестрахование (нарастающим итогом)" </w:t>
      </w:r>
      <w:hyperlink w:history="0" w:anchor="P31488" w:tooltip="197">
        <w:r>
          <w:rPr>
            <w:sz w:val="24"/>
            <w:color w:val="0000ff"/>
          </w:rPr>
          <w:t xml:space="preserve">(строка 197)</w:t>
        </w:r>
      </w:hyperlink>
      <w:r>
        <w:rPr>
          <w:sz w:val="24"/>
        </w:rPr>
        <w:t xml:space="preserve"> к значению показателя "Оценка ожидаемой величины обязательств по резерву убытков (ДПУ) - нетто-перестрахование" </w:t>
      </w:r>
      <w:hyperlink w:history="0" w:anchor="P31408" w:tooltip="192">
        <w:r>
          <w:rPr>
            <w:sz w:val="24"/>
            <w:color w:val="0000ff"/>
          </w:rPr>
          <w:t xml:space="preserve">(строка 192)</w:t>
        </w:r>
      </w:hyperlink>
      <w:r>
        <w:rPr>
          <w:sz w:val="24"/>
        </w:rPr>
        <w:t xml:space="preserve">, умноженное на 100 процентов.</w:t>
      </w:r>
    </w:p>
    <w:p>
      <w:pPr>
        <w:pStyle w:val="0"/>
        <w:spacing w:before="240" w:lineRule="auto"/>
        <w:ind w:firstLine="540"/>
        <w:jc w:val="both"/>
      </w:pPr>
      <w:r>
        <w:rPr>
          <w:sz w:val="24"/>
        </w:rPr>
        <w:t xml:space="preserve">22. По показателям </w:t>
      </w:r>
      <w:hyperlink w:history="0" w:anchor="P31520" w:tooltip="Подраздел 2.29.">
        <w:r>
          <w:rPr>
            <w:sz w:val="24"/>
            <w:color w:val="0000ff"/>
          </w:rPr>
          <w:t xml:space="preserve">подразделов 2.29</w:t>
        </w:r>
      </w:hyperlink>
      <w:r>
        <w:rPr>
          <w:sz w:val="24"/>
        </w:rPr>
        <w:t xml:space="preserve"> и </w:t>
      </w:r>
      <w:hyperlink w:history="0" w:anchor="P31534" w:tooltip="Подраздел 2.30.">
        <w:r>
          <w:rPr>
            <w:sz w:val="24"/>
            <w:color w:val="0000ff"/>
          </w:rPr>
          <w:t xml:space="preserve">2.30 раздела 2</w:t>
        </w:r>
      </w:hyperlink>
      <w:r>
        <w:rPr>
          <w:sz w:val="24"/>
        </w:rPr>
        <w:t xml:space="preserve"> отчетности по форме 0420155 страховщиком потерпевшего отражаются соответственно суммы выплат, осуществленных потерпевшим по их требованиям о прямом возмещении убытков, в соответствии с требованиями об оплате возмещенного вреда и количество указанных требований об оплате возмещенного вреда по учетной группе 3 (без учета дополнительного возмещения убытков потерпевшим, которое не требует осуществления расчетов страховщика причинителя вреда либо профессионального объединения страховщиков, созданного в соответствии со </w:t>
      </w:r>
      <w:hyperlink w:history="0" r:id="rId452"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статьей 24</w:t>
        </w:r>
      </w:hyperlink>
      <w:r>
        <w:rPr>
          <w:sz w:val="24"/>
        </w:rPr>
        <w:t xml:space="preserve"> Федерального закона N 40-ФЗ, со страховщиком потерпевшего в соответствии с соглашением о прямом возмещении убытков (далее - дополнительное возмещение убытков потерпевшим).</w:t>
      </w:r>
    </w:p>
    <w:p>
      <w:pPr>
        <w:pStyle w:val="0"/>
        <w:spacing w:before="240" w:lineRule="auto"/>
        <w:ind w:firstLine="540"/>
        <w:jc w:val="both"/>
      </w:pPr>
      <w:r>
        <w:rPr>
          <w:sz w:val="24"/>
        </w:rPr>
        <w:t xml:space="preserve">По показателям </w:t>
      </w:r>
      <w:hyperlink w:history="0" w:anchor="P31520" w:tooltip="Подраздел 2.29.">
        <w:r>
          <w:rPr>
            <w:sz w:val="24"/>
            <w:color w:val="0000ff"/>
          </w:rPr>
          <w:t xml:space="preserve">подразделов 2.29</w:t>
        </w:r>
      </w:hyperlink>
      <w:r>
        <w:rPr>
          <w:sz w:val="24"/>
        </w:rPr>
        <w:t xml:space="preserve"> и </w:t>
      </w:r>
      <w:hyperlink w:history="0" w:anchor="P31534" w:tooltip="Подраздел 2.30.">
        <w:r>
          <w:rPr>
            <w:sz w:val="24"/>
            <w:color w:val="0000ff"/>
          </w:rPr>
          <w:t xml:space="preserve">2.30 раздела 2</w:t>
        </w:r>
      </w:hyperlink>
      <w:r>
        <w:rPr>
          <w:sz w:val="24"/>
        </w:rPr>
        <w:t xml:space="preserve"> отчетности по форме 0420155 отражаются нарастающим итогом суммы выплат по прямому возмещению убытков в соответствии с требованиями об оплате возмещенного вреда и количество указанных требований по состоянию на отчетную дату и на конец каждого из 19 кварталов, предшествующих последнему кварталу отчетного периода, по страховым случаям,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сведения по таким страховым случаям указываются совокупно по аналитическому признаку "Предшествующие периоды").</w:t>
      </w:r>
    </w:p>
    <w:p>
      <w:pPr>
        <w:pStyle w:val="0"/>
        <w:spacing w:before="240" w:lineRule="auto"/>
        <w:ind w:firstLine="540"/>
        <w:jc w:val="both"/>
      </w:pPr>
      <w:r>
        <w:rPr>
          <w:sz w:val="24"/>
        </w:rPr>
        <w:t xml:space="preserve">Страховщик причинителя вреда показатели </w:t>
      </w:r>
      <w:hyperlink w:history="0" w:anchor="P31520" w:tooltip="Подраздел 2.29.">
        <w:r>
          <w:rPr>
            <w:sz w:val="24"/>
            <w:color w:val="0000ff"/>
          </w:rPr>
          <w:t xml:space="preserve">подразделов 2.29</w:t>
        </w:r>
      </w:hyperlink>
      <w:r>
        <w:rPr>
          <w:sz w:val="24"/>
        </w:rPr>
        <w:t xml:space="preserve"> и </w:t>
      </w:r>
      <w:hyperlink w:history="0" w:anchor="P31534" w:tooltip="Подраздел 2.30.">
        <w:r>
          <w:rPr>
            <w:sz w:val="24"/>
            <w:color w:val="0000ff"/>
          </w:rPr>
          <w:t xml:space="preserve">2.30 раздела 2</w:t>
        </w:r>
      </w:hyperlink>
      <w:r>
        <w:rPr>
          <w:sz w:val="24"/>
        </w:rPr>
        <w:t xml:space="preserve"> отчетности по форме 0420155 не формирует.</w:t>
      </w:r>
    </w:p>
    <w:p>
      <w:pPr>
        <w:pStyle w:val="0"/>
        <w:spacing w:before="240" w:lineRule="auto"/>
        <w:ind w:firstLine="540"/>
        <w:jc w:val="both"/>
      </w:pPr>
      <w:r>
        <w:rPr>
          <w:sz w:val="24"/>
        </w:rPr>
        <w:t xml:space="preserve">23. По показателям </w:t>
      </w:r>
      <w:hyperlink w:history="0" w:anchor="P31548" w:tooltip="Подраздел 2.31.">
        <w:r>
          <w:rPr>
            <w:sz w:val="24"/>
            <w:color w:val="0000ff"/>
          </w:rPr>
          <w:t xml:space="preserve">подразделов 2.31</w:t>
        </w:r>
      </w:hyperlink>
      <w:r>
        <w:rPr>
          <w:sz w:val="24"/>
        </w:rPr>
        <w:t xml:space="preserve"> и </w:t>
      </w:r>
      <w:hyperlink w:history="0" w:anchor="P31562" w:tooltip="Подраздел 2.32.">
        <w:r>
          <w:rPr>
            <w:sz w:val="24"/>
            <w:color w:val="0000ff"/>
          </w:rPr>
          <w:t xml:space="preserve">2.32 раздела 2</w:t>
        </w:r>
      </w:hyperlink>
      <w:r>
        <w:rPr>
          <w:sz w:val="24"/>
        </w:rPr>
        <w:t xml:space="preserve"> отчетности по форме 0420155 страховщиком потерпевшего отражаются соответственно суммы выплат, осуществленных потерпевшим по их требованиям о прямом возмещении убытков в рамках дополнительного возмещения убытков потерпевшим, и количество указанных требований по учетной группе 3.</w:t>
      </w:r>
    </w:p>
    <w:p>
      <w:pPr>
        <w:pStyle w:val="0"/>
        <w:spacing w:before="240" w:lineRule="auto"/>
        <w:ind w:firstLine="540"/>
        <w:jc w:val="both"/>
      </w:pPr>
      <w:r>
        <w:rPr>
          <w:sz w:val="24"/>
        </w:rPr>
        <w:t xml:space="preserve">По показателям </w:t>
      </w:r>
      <w:hyperlink w:history="0" w:anchor="P31548" w:tooltip="Подраздел 2.31.">
        <w:r>
          <w:rPr>
            <w:sz w:val="24"/>
            <w:color w:val="0000ff"/>
          </w:rPr>
          <w:t xml:space="preserve">подразделов 2.31</w:t>
        </w:r>
      </w:hyperlink>
      <w:r>
        <w:rPr>
          <w:sz w:val="24"/>
        </w:rPr>
        <w:t xml:space="preserve"> и </w:t>
      </w:r>
      <w:hyperlink w:history="0" w:anchor="P31562" w:tooltip="Подраздел 2.32.">
        <w:r>
          <w:rPr>
            <w:sz w:val="24"/>
            <w:color w:val="0000ff"/>
          </w:rPr>
          <w:t xml:space="preserve">2.32 раздела 2</w:t>
        </w:r>
      </w:hyperlink>
      <w:r>
        <w:rPr>
          <w:sz w:val="24"/>
        </w:rPr>
        <w:t xml:space="preserve"> отчетности по форме 0420155 отражаются нарастающим итогом суммы дополнительного возмещения убытков потерпевшему при осуществлении прямого возмещения убытков и количество требований о дополнительном возмещении убытков потерпевшему при осуществлении прямого возмещения убытков по состоянию на отчетную дату и на конец каждого из 19 кварталов, предшествующих последнему кварталу отчетного периода, по страховым случаям,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сведения по таким страховым случаям указываются совокупно по аналитическому признаку "Предшествующие периоды").</w:t>
      </w:r>
    </w:p>
    <w:p>
      <w:pPr>
        <w:pStyle w:val="0"/>
        <w:spacing w:before="240" w:lineRule="auto"/>
        <w:ind w:firstLine="540"/>
        <w:jc w:val="both"/>
      </w:pPr>
      <w:r>
        <w:rPr>
          <w:sz w:val="24"/>
        </w:rPr>
        <w:t xml:space="preserve">Страховщик причинителя вреда показатели </w:t>
      </w:r>
      <w:hyperlink w:history="0" w:anchor="P31548" w:tooltip="Подраздел 2.31.">
        <w:r>
          <w:rPr>
            <w:sz w:val="24"/>
            <w:color w:val="0000ff"/>
          </w:rPr>
          <w:t xml:space="preserve">подразделов 2.31</w:t>
        </w:r>
      </w:hyperlink>
      <w:r>
        <w:rPr>
          <w:sz w:val="24"/>
        </w:rPr>
        <w:t xml:space="preserve"> и </w:t>
      </w:r>
      <w:hyperlink w:history="0" w:anchor="P31562" w:tooltip="Подраздел 2.32.">
        <w:r>
          <w:rPr>
            <w:sz w:val="24"/>
            <w:color w:val="0000ff"/>
          </w:rPr>
          <w:t xml:space="preserve">2.32 раздела 2</w:t>
        </w:r>
      </w:hyperlink>
      <w:r>
        <w:rPr>
          <w:sz w:val="24"/>
        </w:rPr>
        <w:t xml:space="preserve"> отчетности по форме 0420155 не формирует.</w:t>
      </w:r>
    </w:p>
    <w:p>
      <w:pPr>
        <w:pStyle w:val="0"/>
        <w:spacing w:before="240" w:lineRule="auto"/>
        <w:ind w:firstLine="540"/>
        <w:jc w:val="both"/>
      </w:pPr>
      <w:r>
        <w:rPr>
          <w:sz w:val="24"/>
        </w:rPr>
        <w:t xml:space="preserve">24. По показателям </w:t>
      </w:r>
      <w:hyperlink w:history="0" w:anchor="P31576" w:tooltip="Подраздел 2.33.">
        <w:r>
          <w:rPr>
            <w:sz w:val="24"/>
            <w:color w:val="0000ff"/>
          </w:rPr>
          <w:t xml:space="preserve">подразделов 2.33</w:t>
        </w:r>
      </w:hyperlink>
      <w:r>
        <w:rPr>
          <w:sz w:val="24"/>
        </w:rPr>
        <w:t xml:space="preserve"> и </w:t>
      </w:r>
      <w:hyperlink w:history="0" w:anchor="P31590" w:tooltip="Подраздел 2.34.">
        <w:r>
          <w:rPr>
            <w:sz w:val="24"/>
            <w:color w:val="0000ff"/>
          </w:rPr>
          <w:t xml:space="preserve">2.34 раздела 2</w:t>
        </w:r>
      </w:hyperlink>
      <w:r>
        <w:rPr>
          <w:sz w:val="24"/>
        </w:rPr>
        <w:t xml:space="preserve"> отчетности по форме 0420155 страховщиком потерпевшего отражаются соответственно сумма поступивших денежных средств от страховщиков причинителей вреда либо профессионального объединения страховщиков, созданного в соответствии со </w:t>
      </w:r>
      <w:hyperlink w:history="0" r:id="rId453"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статьей 24</w:t>
        </w:r>
      </w:hyperlink>
      <w:r>
        <w:rPr>
          <w:sz w:val="24"/>
        </w:rPr>
        <w:t xml:space="preserve"> Федерального закона N 40-ФЗ, по требованиям об оплате возмещенного вреда и количество указанных требований по учетной группе 3.</w:t>
      </w:r>
    </w:p>
    <w:p>
      <w:pPr>
        <w:pStyle w:val="0"/>
        <w:spacing w:before="240" w:lineRule="auto"/>
        <w:ind w:firstLine="540"/>
        <w:jc w:val="both"/>
      </w:pPr>
      <w:r>
        <w:rPr>
          <w:sz w:val="24"/>
        </w:rPr>
        <w:t xml:space="preserve">По показателям </w:t>
      </w:r>
      <w:hyperlink w:history="0" w:anchor="P31576" w:tooltip="Подраздел 2.33.">
        <w:r>
          <w:rPr>
            <w:sz w:val="24"/>
            <w:color w:val="0000ff"/>
          </w:rPr>
          <w:t xml:space="preserve">подразделов 2.33</w:t>
        </w:r>
      </w:hyperlink>
      <w:r>
        <w:rPr>
          <w:sz w:val="24"/>
        </w:rPr>
        <w:t xml:space="preserve"> и </w:t>
      </w:r>
      <w:hyperlink w:history="0" w:anchor="P31590" w:tooltip="Подраздел 2.34.">
        <w:r>
          <w:rPr>
            <w:sz w:val="24"/>
            <w:color w:val="0000ff"/>
          </w:rPr>
          <w:t xml:space="preserve">2.34 раздела 2</w:t>
        </w:r>
      </w:hyperlink>
      <w:r>
        <w:rPr>
          <w:sz w:val="24"/>
        </w:rPr>
        <w:t xml:space="preserve"> отчетности по форме 0420155 отражаются нарастающим итогом суммы поступивших денежных средств по требованиям об оплате возмещенного вреда и количество указанных требований по состоянию на отчетную дату и на конец каждого из 19 кварталов, предшествующих последнему кварталу отчетного периода, по страховым случаям, которые наступили в последнем квартале отчетного периода либо за 19 и более кварталов, предшествующих последнему кварталу отчетного периода (с указанием последнего календарного дня квартала по группе аналитических признаков "Период (квартал и год) наступления страхового случая", за исключением страховых случаев, наступивших ранее 19 кварталов, предшествующих последнему кварталу отчетного периода, - сведения по таким страховым случаям указываются совокупно по аналитическому признаку "Предшествующие периоды").</w:t>
      </w:r>
    </w:p>
    <w:p>
      <w:pPr>
        <w:pStyle w:val="0"/>
        <w:spacing w:before="240" w:lineRule="auto"/>
        <w:ind w:firstLine="540"/>
        <w:jc w:val="both"/>
      </w:pPr>
      <w:r>
        <w:rPr>
          <w:sz w:val="24"/>
        </w:rPr>
        <w:t xml:space="preserve">Страховщик причинителя вреда показатели </w:t>
      </w:r>
      <w:hyperlink w:history="0" w:anchor="P31576" w:tooltip="Подраздел 2.33.">
        <w:r>
          <w:rPr>
            <w:sz w:val="24"/>
            <w:color w:val="0000ff"/>
          </w:rPr>
          <w:t xml:space="preserve">подразделов 2.33</w:t>
        </w:r>
      </w:hyperlink>
      <w:r>
        <w:rPr>
          <w:sz w:val="24"/>
        </w:rPr>
        <w:t xml:space="preserve"> и </w:t>
      </w:r>
      <w:hyperlink w:history="0" w:anchor="P31590" w:tooltip="Подраздел 2.34.">
        <w:r>
          <w:rPr>
            <w:sz w:val="24"/>
            <w:color w:val="0000ff"/>
          </w:rPr>
          <w:t xml:space="preserve">2.34 раздела 2</w:t>
        </w:r>
      </w:hyperlink>
      <w:r>
        <w:rPr>
          <w:sz w:val="24"/>
        </w:rPr>
        <w:t xml:space="preserve"> отчетности по форме 0420155 не формирует.</w:t>
      </w:r>
    </w:p>
    <w:p>
      <w:pPr>
        <w:pStyle w:val="0"/>
        <w:spacing w:before="240" w:lineRule="auto"/>
        <w:ind w:firstLine="540"/>
        <w:jc w:val="both"/>
      </w:pPr>
      <w:r>
        <w:rPr>
          <w:sz w:val="24"/>
        </w:rPr>
        <w:t xml:space="preserve">25. По показателям </w:t>
      </w:r>
      <w:hyperlink w:history="0" w:anchor="P31604" w:tooltip="Подраздел 2.35.">
        <w:r>
          <w:rPr>
            <w:sz w:val="24"/>
            <w:color w:val="0000ff"/>
          </w:rPr>
          <w:t xml:space="preserve">подраздела 2.35 раздела 2</w:t>
        </w:r>
      </w:hyperlink>
      <w:r>
        <w:rPr>
          <w:sz w:val="24"/>
        </w:rPr>
        <w:t xml:space="preserve"> отчетности по форме 0420155 отражаются сведения о денежных потоках при оценке страховых резервов по договорам страхования, сострахования, входящего перестрахования, относящимся к учетным группам 1 - 21 и дополнительным учетным группам, входящим в состав учетных групп 1 - 17 (при наличии), с учетом дисконтирования и вероятности реализации денежных потоков.</w:t>
      </w:r>
    </w:p>
    <w:p>
      <w:pPr>
        <w:pStyle w:val="0"/>
        <w:spacing w:before="240" w:lineRule="auto"/>
        <w:ind w:firstLine="540"/>
        <w:jc w:val="both"/>
      </w:pPr>
      <w:r>
        <w:rPr>
          <w:sz w:val="24"/>
        </w:rPr>
        <w:t xml:space="preserve">25.1. По показателю "Исходящие денежные потоки при оценке ДПП: расходы на заключение (аквизицию) договоров страхования, сострахования и входящего перестрахования" </w:t>
      </w:r>
      <w:hyperlink w:history="0" w:anchor="P31606" w:tooltip="205">
        <w:r>
          <w:rPr>
            <w:sz w:val="24"/>
            <w:color w:val="0000ff"/>
          </w:rPr>
          <w:t xml:space="preserve">(строка 205)</w:t>
        </w:r>
      </w:hyperlink>
      <w:r>
        <w:rPr>
          <w:sz w:val="24"/>
        </w:rPr>
        <w:t xml:space="preserve"> отражается величина исходящих денежных потоков при оценке ожидаемой величины обязательств по резерву премий (ДПП) по состоянию на отчетную дату в части расходов на заключение (аквизицию) договоров страхования, сострахования, входящего перестрахования, указанных в </w:t>
      </w:r>
      <w:hyperlink w:history="0" r:id="rId45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5.3.10 пункта 5.3</w:t>
        </w:r>
      </w:hyperlink>
      <w:r>
        <w:rPr>
          <w:sz w:val="24"/>
        </w:rPr>
        <w:t xml:space="preserve"> Положения Банка России N 858-П, включая отчисления в фонды компенсационных выплат.</w:t>
      </w:r>
    </w:p>
    <w:p>
      <w:pPr>
        <w:pStyle w:val="0"/>
        <w:spacing w:before="240" w:lineRule="auto"/>
        <w:ind w:firstLine="540"/>
        <w:jc w:val="both"/>
      </w:pPr>
      <w:r>
        <w:rPr>
          <w:sz w:val="24"/>
        </w:rPr>
        <w:t xml:space="preserve">25.2. По показателю "Исходящие денежные потоки при оценке ДПП: расходы на сопровождение договоров страхования, сострахования и входящего перестрахования" </w:t>
      </w:r>
      <w:hyperlink w:history="0" w:anchor="P31618" w:tooltip="206">
        <w:r>
          <w:rPr>
            <w:sz w:val="24"/>
            <w:color w:val="0000ff"/>
          </w:rPr>
          <w:t xml:space="preserve">(строка 206)</w:t>
        </w:r>
      </w:hyperlink>
      <w:r>
        <w:rPr>
          <w:sz w:val="24"/>
        </w:rPr>
        <w:t xml:space="preserve"> отражается величина исходящих денежных потоков при оценке ожидаемой величины обязательств по резерву премий (ДПП) по состоянию на отчетную дату в части расходов на сопровождение договоров страхования, сострахования, входящего перестрахования, указанных в </w:t>
      </w:r>
      <w:hyperlink w:history="0" r:id="rId45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5.3.11 пункта 5.3</w:t>
        </w:r>
      </w:hyperlink>
      <w:r>
        <w:rPr>
          <w:sz w:val="24"/>
        </w:rPr>
        <w:t xml:space="preserve"> Положения Банка России N 858-П.</w:t>
      </w:r>
    </w:p>
    <w:p>
      <w:pPr>
        <w:pStyle w:val="0"/>
        <w:spacing w:before="240" w:lineRule="auto"/>
        <w:ind w:firstLine="540"/>
        <w:jc w:val="both"/>
      </w:pPr>
      <w:r>
        <w:rPr>
          <w:sz w:val="24"/>
        </w:rPr>
        <w:t xml:space="preserve">25.3. По показателю "Исходящие денежные потоки при оценке ДПП: расходы на исполнение обязательств страховщика по страховым случаям" </w:t>
      </w:r>
      <w:hyperlink w:history="0" w:anchor="P31630" w:tooltip="207">
        <w:r>
          <w:rPr>
            <w:sz w:val="24"/>
            <w:color w:val="0000ff"/>
          </w:rPr>
          <w:t xml:space="preserve">(строка 207)</w:t>
        </w:r>
      </w:hyperlink>
      <w:r>
        <w:rPr>
          <w:sz w:val="24"/>
        </w:rPr>
        <w:t xml:space="preserve"> отражается величина исходящих денежных потоков при оценке ожидаемой величины обязательств по резерву премий (ДПП) по состоянию на отчетную дату в части расходов на исполнение обязательств страховщика по страховым случаям, указанных в </w:t>
      </w:r>
      <w:hyperlink w:history="0" r:id="rId45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5.3.12 пункта 5.3</w:t>
        </w:r>
      </w:hyperlink>
      <w:r>
        <w:rPr>
          <w:sz w:val="24"/>
        </w:rPr>
        <w:t xml:space="preserve"> Положения Банка России N 858-П.</w:t>
      </w:r>
    </w:p>
    <w:p>
      <w:pPr>
        <w:pStyle w:val="0"/>
        <w:spacing w:before="240" w:lineRule="auto"/>
        <w:ind w:firstLine="540"/>
        <w:jc w:val="both"/>
      </w:pPr>
      <w:r>
        <w:rPr>
          <w:sz w:val="24"/>
        </w:rPr>
        <w:t xml:space="preserve">25.4. По показателю "Прочие исходящие денежные потоки при оценке ДПП" </w:t>
      </w:r>
      <w:hyperlink w:history="0" w:anchor="P31642" w:tooltip="208">
        <w:r>
          <w:rPr>
            <w:sz w:val="24"/>
            <w:color w:val="0000ff"/>
          </w:rPr>
          <w:t xml:space="preserve">(строка 208)</w:t>
        </w:r>
      </w:hyperlink>
      <w:r>
        <w:rPr>
          <w:sz w:val="24"/>
        </w:rPr>
        <w:t xml:space="preserve"> отражается величина прочих исходящих денежных потоков при оценке ожидаемой величины обязательств по резерву премий (ДПП) по состоянию на отчетную дату.</w:t>
      </w:r>
    </w:p>
    <w:p>
      <w:pPr>
        <w:pStyle w:val="0"/>
        <w:spacing w:before="240" w:lineRule="auto"/>
        <w:ind w:firstLine="540"/>
        <w:jc w:val="both"/>
      </w:pPr>
      <w:r>
        <w:rPr>
          <w:sz w:val="24"/>
        </w:rPr>
        <w:t xml:space="preserve">25.5. По показателю "Входящие денежные потоки при оценке ДПП в части поступлений страховых премий (взносов)" </w:t>
      </w:r>
      <w:hyperlink w:history="0" w:anchor="P31654" w:tooltip="209">
        <w:r>
          <w:rPr>
            <w:sz w:val="24"/>
            <w:color w:val="0000ff"/>
          </w:rPr>
          <w:t xml:space="preserve">(строка 209)</w:t>
        </w:r>
      </w:hyperlink>
      <w:r>
        <w:rPr>
          <w:sz w:val="24"/>
        </w:rPr>
        <w:t xml:space="preserve"> отражается величина входящих денежных потоков при оценке ожидаемой величины обязательств по резерву премий (ДПП) по состоянию на отчетную дату в части поступлений страховых премий (взносов) по договорам страхования, сострахования, входящего перестрахования.</w:t>
      </w:r>
    </w:p>
    <w:p>
      <w:pPr>
        <w:pStyle w:val="0"/>
        <w:spacing w:before="240" w:lineRule="auto"/>
        <w:ind w:firstLine="540"/>
        <w:jc w:val="both"/>
      </w:pPr>
      <w:r>
        <w:rPr>
          <w:sz w:val="24"/>
        </w:rPr>
        <w:t xml:space="preserve">25.6. По показателю "Входящие денежные потоки при оценке ДПП в части поступлений по суброгациям, регрессам и от реализации годных остатков" </w:t>
      </w:r>
      <w:hyperlink w:history="0" w:anchor="P31666" w:tooltip="210">
        <w:r>
          <w:rPr>
            <w:sz w:val="24"/>
            <w:color w:val="0000ff"/>
          </w:rPr>
          <w:t xml:space="preserve">(строка 210)</w:t>
        </w:r>
      </w:hyperlink>
      <w:r>
        <w:rPr>
          <w:sz w:val="24"/>
        </w:rPr>
        <w:t xml:space="preserve"> отражается величина входящих денежных потоков при оценке ожидаемой величины обязательств по резерву премий (ДПП) по состоянию на отчетную дату в части поступлений по суброгациям, регрессам и от реализации годных остатков.</w:t>
      </w:r>
    </w:p>
    <w:p>
      <w:pPr>
        <w:pStyle w:val="0"/>
        <w:spacing w:before="240" w:lineRule="auto"/>
        <w:ind w:firstLine="540"/>
        <w:jc w:val="both"/>
      </w:pPr>
      <w:r>
        <w:rPr>
          <w:sz w:val="24"/>
        </w:rPr>
        <w:t xml:space="preserve">25.7. По показателю "Прочие входящие денежные потоки при оценке ДПП" </w:t>
      </w:r>
      <w:hyperlink w:history="0" w:anchor="P31678" w:tooltip="211">
        <w:r>
          <w:rPr>
            <w:sz w:val="24"/>
            <w:color w:val="0000ff"/>
          </w:rPr>
          <w:t xml:space="preserve">(строка 211)</w:t>
        </w:r>
      </w:hyperlink>
      <w:r>
        <w:rPr>
          <w:sz w:val="24"/>
        </w:rPr>
        <w:t xml:space="preserve"> отражается величина прочих входящих денежных потоков при оценке ожидаемой величины обязательств по резерву премий (ДПП) по состоянию на отчетную дату.</w:t>
      </w:r>
    </w:p>
    <w:p>
      <w:pPr>
        <w:pStyle w:val="0"/>
        <w:spacing w:before="240" w:lineRule="auto"/>
        <w:ind w:firstLine="540"/>
        <w:jc w:val="both"/>
      </w:pPr>
      <w:r>
        <w:rPr>
          <w:sz w:val="24"/>
        </w:rPr>
        <w:t xml:space="preserve">25.8. По показателю "Исходящие денежные потоки при оценке ДПУ: расходы на исполнение обязательств страховщика по страховым случаям" </w:t>
      </w:r>
      <w:hyperlink w:history="0" w:anchor="P31690" w:tooltip="212">
        <w:r>
          <w:rPr>
            <w:sz w:val="24"/>
            <w:color w:val="0000ff"/>
          </w:rPr>
          <w:t xml:space="preserve">(строка 212)</w:t>
        </w:r>
      </w:hyperlink>
      <w:r>
        <w:rPr>
          <w:sz w:val="24"/>
        </w:rPr>
        <w:t xml:space="preserve"> отражается величина исходящих денежных потоков при оценке ожидаемой величины обязательств по резерву убытков (ДПУ) по состоянию на отчетную дату в части расходов на исполнение обязательств страховщика по страховым случаям, указанных в </w:t>
      </w:r>
      <w:hyperlink w:history="0" r:id="rId45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5.3.12 пункта 5.3</w:t>
        </w:r>
      </w:hyperlink>
      <w:r>
        <w:rPr>
          <w:sz w:val="24"/>
        </w:rPr>
        <w:t xml:space="preserve"> Положения Банка России N 858-П.</w:t>
      </w:r>
    </w:p>
    <w:p>
      <w:pPr>
        <w:pStyle w:val="0"/>
        <w:spacing w:before="240" w:lineRule="auto"/>
        <w:ind w:firstLine="540"/>
        <w:jc w:val="both"/>
      </w:pPr>
      <w:r>
        <w:rPr>
          <w:sz w:val="24"/>
        </w:rPr>
        <w:t xml:space="preserve">25.9. По показателю "Исходящие денежные потоки при оценке РПВУ: расходы на исполнение обязательств по прямому возмещению убытков" </w:t>
      </w:r>
      <w:hyperlink w:history="0" w:anchor="P31702" w:tooltip="213">
        <w:r>
          <w:rPr>
            <w:sz w:val="24"/>
            <w:color w:val="0000ff"/>
          </w:rPr>
          <w:t xml:space="preserve">(строка 213)</w:t>
        </w:r>
      </w:hyperlink>
      <w:r>
        <w:rPr>
          <w:sz w:val="24"/>
        </w:rPr>
        <w:t xml:space="preserve"> отражается величина исходящих денежных потоков при оценке резерва по прямому возмещению убытков (РПВУ) по состоянию на отчетную дату в части расходов на исполнение обязательств по прямому возмещению убытков.</w:t>
      </w:r>
    </w:p>
    <w:p>
      <w:pPr>
        <w:pStyle w:val="0"/>
        <w:spacing w:before="240" w:lineRule="auto"/>
        <w:ind w:firstLine="540"/>
        <w:jc w:val="both"/>
      </w:pPr>
      <w:r>
        <w:rPr>
          <w:sz w:val="24"/>
        </w:rPr>
        <w:t xml:space="preserve">26. По показателям "Фамилия актуария, осуществившего расчет страховых резервов и доли перестраховщиков в них" </w:t>
      </w:r>
      <w:hyperlink w:history="0" w:anchor="P31715" w:tooltip="214">
        <w:r>
          <w:rPr>
            <w:sz w:val="24"/>
            <w:color w:val="0000ff"/>
          </w:rPr>
          <w:t xml:space="preserve">(строка 214)</w:t>
        </w:r>
      </w:hyperlink>
      <w:r>
        <w:rPr>
          <w:sz w:val="24"/>
        </w:rPr>
        <w:t xml:space="preserve">, "Имя актуария, осуществившего расчет страховых резервов и доли перестраховщиков в них" </w:t>
      </w:r>
      <w:hyperlink w:history="0" w:anchor="P31719" w:tooltip="215">
        <w:r>
          <w:rPr>
            <w:sz w:val="24"/>
            <w:color w:val="0000ff"/>
          </w:rPr>
          <w:t xml:space="preserve">(строка 215)</w:t>
        </w:r>
      </w:hyperlink>
      <w:r>
        <w:rPr>
          <w:sz w:val="24"/>
        </w:rPr>
        <w:t xml:space="preserve"> и "Отчество (при наличии) актуария, осуществившего расчет страховых резервов и доли перестраховщиков в них" </w:t>
      </w:r>
      <w:hyperlink w:history="0" w:anchor="P31723" w:tooltip="216">
        <w:r>
          <w:rPr>
            <w:sz w:val="24"/>
            <w:color w:val="0000ff"/>
          </w:rPr>
          <w:t xml:space="preserve">(строка 216)</w:t>
        </w:r>
      </w:hyperlink>
      <w:r>
        <w:rPr>
          <w:sz w:val="24"/>
        </w:rPr>
        <w:t xml:space="preserve"> указываются соответственно фамилия, имя, отчество (при наличии) актуария, на основании актуарных расчетов которого страховщик осуществил расчет страховых резервов и доли перестраховщиков в них по состоянию на отчетную дату в соответствии с </w:t>
      </w:r>
      <w:hyperlink w:history="0" r:id="rId45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первым подпункта 5.1.1 пункта 5.1</w:t>
        </w:r>
      </w:hyperlink>
      <w:r>
        <w:rPr>
          <w:sz w:val="24"/>
        </w:rPr>
        <w:t xml:space="preserve"> Положения Банка России N 858-П.</w:t>
      </w:r>
    </w:p>
    <w:p>
      <w:pPr>
        <w:pStyle w:val="0"/>
        <w:spacing w:before="240" w:lineRule="auto"/>
        <w:ind w:firstLine="540"/>
        <w:jc w:val="both"/>
      </w:pPr>
      <w:r>
        <w:rPr>
          <w:sz w:val="24"/>
        </w:rPr>
        <w:t xml:space="preserve">В отчетности по </w:t>
      </w:r>
      <w:hyperlink w:history="0" w:anchor="P29159" w:tooltip="Отчетность по форме 0420155">
        <w:r>
          <w:rPr>
            <w:sz w:val="24"/>
            <w:color w:val="0000ff"/>
          </w:rPr>
          <w:t xml:space="preserve">форме 0420155</w:t>
        </w:r>
      </w:hyperlink>
      <w:r>
        <w:rPr>
          <w:sz w:val="24"/>
        </w:rPr>
        <w:t xml:space="preserve">, составляемой по состоянию на 31 декабря и представляемой страховщиком в Банк России в течение 10 рабочих дней, по показателям "Фамилия актуария, осуществившего расчет страховых резервов и доли перестраховщиков в них" </w:t>
      </w:r>
      <w:hyperlink w:history="0" w:anchor="P31715" w:tooltip="214">
        <w:r>
          <w:rPr>
            <w:sz w:val="24"/>
            <w:color w:val="0000ff"/>
          </w:rPr>
          <w:t xml:space="preserve">(строка 214)</w:t>
        </w:r>
      </w:hyperlink>
      <w:r>
        <w:rPr>
          <w:sz w:val="24"/>
        </w:rPr>
        <w:t xml:space="preserve">, "Имя актуария, осуществившего расчет страховых резервов и доли перестраховщиков в них" </w:t>
      </w:r>
      <w:hyperlink w:history="0" w:anchor="P31719" w:tooltip="215">
        <w:r>
          <w:rPr>
            <w:sz w:val="24"/>
            <w:color w:val="0000ff"/>
          </w:rPr>
          <w:t xml:space="preserve">(строка 215)</w:t>
        </w:r>
      </w:hyperlink>
      <w:r>
        <w:rPr>
          <w:sz w:val="24"/>
        </w:rPr>
        <w:t xml:space="preserve"> и "Отчество (при наличии) актуария, осуществившего расчет страховых резервов и доли перестраховщиков в них" </w:t>
      </w:r>
      <w:hyperlink w:history="0" w:anchor="P31723" w:tooltip="216">
        <w:r>
          <w:rPr>
            <w:sz w:val="24"/>
            <w:color w:val="0000ff"/>
          </w:rPr>
          <w:t xml:space="preserve">(строка 216)</w:t>
        </w:r>
      </w:hyperlink>
      <w:r>
        <w:rPr>
          <w:sz w:val="24"/>
        </w:rPr>
        <w:t xml:space="preserve"> могут быть указаны сведения об актуарии, не являющемся ответственным актуарием, в случае, если актуарное заключение, подготовленное по итогам проведения обязательного актуарного оценивания деятельности страховщика, составлено после истечения указанных 10 рабочих дней.</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1933" w:name="P31933"/>
    <w:bookmarkEnd w:id="31933"/>
    <w:p>
      <w:pPr>
        <w:pStyle w:val="0"/>
        <w:jc w:val="center"/>
      </w:pPr>
      <w:r>
        <w:rPr>
          <w:sz w:val="24"/>
        </w:rPr>
        <w:t xml:space="preserve">Отчетность по форме 0420156</w:t>
      </w:r>
    </w:p>
    <w:p>
      <w:pPr>
        <w:pStyle w:val="0"/>
        <w:jc w:val="center"/>
      </w:pPr>
      <w:r>
        <w:rPr>
          <w:sz w:val="24"/>
        </w:rPr>
        <w:t xml:space="preserve">"Отчет о платежеспособности страховщика"</w:t>
      </w:r>
    </w:p>
    <w:p>
      <w:pPr>
        <w:pStyle w:val="0"/>
        <w:ind w:firstLine="540"/>
        <w:jc w:val="both"/>
      </w:pPr>
      <w:r>
        <w:rPr>
          <w:sz w:val="24"/>
        </w:rPr>
      </w:r>
    </w:p>
    <w:p>
      <w:pPr>
        <w:pStyle w:val="0"/>
        <w:jc w:val="right"/>
      </w:pPr>
      <w:r>
        <w:rPr>
          <w:sz w:val="24"/>
        </w:rPr>
        <w:t xml:space="preserve">Код формы по </w:t>
      </w:r>
      <w:hyperlink w:history="0" r:id="rId45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2454" w:tooltip="&lt;1&gt; Общероссийский классификатор управленческой документации.">
        <w:r>
          <w:rPr>
            <w:sz w:val="24"/>
            <w:color w:val="0000ff"/>
          </w:rPr>
          <w:t xml:space="preserve">&lt;1&gt;</w:t>
        </w:r>
      </w:hyperlink>
      <w:r>
        <w:rPr>
          <w:sz w:val="24"/>
        </w:rPr>
        <w:t xml:space="preserve"> 0420156</w:t>
      </w:r>
    </w:p>
    <w:p>
      <w:pPr>
        <w:pStyle w:val="0"/>
        <w:ind w:firstLine="540"/>
        <w:jc w:val="both"/>
      </w:pPr>
      <w:r>
        <w:rPr>
          <w:sz w:val="24"/>
        </w:rPr>
      </w:r>
    </w:p>
    <w:p>
      <w:pPr>
        <w:pStyle w:val="0"/>
        <w:jc w:val="right"/>
      </w:pPr>
      <w:r>
        <w:rPr>
          <w:sz w:val="24"/>
        </w:rPr>
        <w:t xml:space="preserve">Месячная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45"/>
        <w:gridCol w:w="596"/>
        <w:gridCol w:w="1767"/>
        <w:gridCol w:w="2608"/>
        <w:gridCol w:w="2948"/>
      </w:tblGrid>
      <w:tr>
        <w:tc>
          <w:tcPr>
            <w:tcW w:w="907" w:type="dxa"/>
          </w:tcPr>
          <w:p>
            <w:pPr>
              <w:pStyle w:val="0"/>
              <w:jc w:val="center"/>
            </w:pPr>
            <w:r>
              <w:rPr>
                <w:sz w:val="24"/>
              </w:rPr>
              <w:t xml:space="preserve">Номер строки</w:t>
            </w:r>
          </w:p>
        </w:tc>
        <w:tc>
          <w:tcPr>
            <w:gridSpan w:val="3"/>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3"/>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152" w:type="dxa"/>
            <w:tcBorders>
              <w:left w:val="single" w:sz="4"/>
            </w:tcBorders>
          </w:tcPr>
          <w:bookmarkStart w:id="31948" w:name="P31948"/>
          <w:bookmarkEnd w:id="31948"/>
          <w:p>
            <w:pPr>
              <w:pStyle w:val="0"/>
              <w:outlineLvl w:val="3"/>
            </w:pPr>
            <w:r>
              <w:rPr>
                <w:sz w:val="24"/>
              </w:rPr>
              <w:t xml:space="preserve">Раздел 1.</w:t>
            </w:r>
          </w:p>
        </w:tc>
        <w:tc>
          <w:tcPr>
            <w:gridSpan w:val="4"/>
            <w:tcW w:w="7919" w:type="dxa"/>
            <w:tcBorders>
              <w:right w:val="single" w:sz="4"/>
            </w:tcBorders>
          </w:tcPr>
          <w:p>
            <w:pPr>
              <w:pStyle w:val="0"/>
            </w:pPr>
            <w:r>
              <w:rPr>
                <w:sz w:val="24"/>
              </w:rPr>
              <w:t xml:space="preserve">Расчет нормативного соотношения собственных средств (капитала) и принятых обязательств</w:t>
            </w:r>
          </w:p>
        </w:tc>
      </w:tr>
      <w:tr>
        <w:tc>
          <w:tcPr>
            <w:tcW w:w="907" w:type="dxa"/>
          </w:tcPr>
          <w:bookmarkStart w:id="31950" w:name="P31950"/>
          <w:bookmarkEnd w:id="31950"/>
          <w:p>
            <w:pPr>
              <w:pStyle w:val="0"/>
            </w:pPr>
            <w:r>
              <w:rPr>
                <w:sz w:val="24"/>
              </w:rPr>
              <w:t xml:space="preserve">1</w:t>
            </w:r>
          </w:p>
        </w:tc>
        <w:tc>
          <w:tcPr>
            <w:gridSpan w:val="3"/>
            <w:tcW w:w="2608" w:type="dxa"/>
          </w:tcPr>
          <w:p>
            <w:pPr>
              <w:pStyle w:val="0"/>
            </w:pPr>
            <w:r>
              <w:rPr>
                <w:sz w:val="24"/>
              </w:rPr>
              <w:t xml:space="preserve">Собственные средства (капитал)</w:t>
            </w:r>
          </w:p>
        </w:tc>
        <w:tc>
          <w:tcPr>
            <w:tcW w:w="2608" w:type="dxa"/>
          </w:tcPr>
          <w:p>
            <w:pPr>
              <w:pStyle w:val="0"/>
            </w:pPr>
            <w:r>
              <w:rPr>
                <w:sz w:val="24"/>
              </w:rPr>
            </w:r>
          </w:p>
        </w:tc>
        <w:tc>
          <w:tcPr>
            <w:tcW w:w="2948" w:type="dxa"/>
          </w:tcPr>
          <w:p>
            <w:pPr>
              <w:pStyle w:val="0"/>
            </w:pPr>
            <w:r>
              <w:rPr>
                <w:sz w:val="24"/>
              </w:rPr>
              <w:t xml:space="preserve">ins-dic:Ss_Itogo</w:t>
            </w:r>
          </w:p>
        </w:tc>
      </w:tr>
      <w:tr>
        <w:tc>
          <w:tcPr>
            <w:tcW w:w="907" w:type="dxa"/>
          </w:tcPr>
          <w:bookmarkStart w:id="31954" w:name="P31954"/>
          <w:bookmarkEnd w:id="31954"/>
          <w:p>
            <w:pPr>
              <w:pStyle w:val="0"/>
            </w:pPr>
            <w:r>
              <w:rPr>
                <w:sz w:val="24"/>
              </w:rPr>
              <w:t xml:space="preserve">2</w:t>
            </w:r>
          </w:p>
        </w:tc>
        <w:tc>
          <w:tcPr>
            <w:gridSpan w:val="3"/>
            <w:tcW w:w="2608" w:type="dxa"/>
          </w:tcPr>
          <w:p>
            <w:pPr>
              <w:pStyle w:val="0"/>
            </w:pPr>
            <w:r>
              <w:rPr>
                <w:sz w:val="24"/>
              </w:rPr>
              <w:t xml:space="preserve">Полученные страховой организацией субординированные займы</w:t>
            </w:r>
          </w:p>
        </w:tc>
        <w:tc>
          <w:tcPr>
            <w:tcW w:w="2608" w:type="dxa"/>
          </w:tcPr>
          <w:p>
            <w:pPr>
              <w:pStyle w:val="0"/>
            </w:pPr>
            <w:r>
              <w:rPr>
                <w:sz w:val="24"/>
              </w:rPr>
            </w:r>
          </w:p>
        </w:tc>
        <w:tc>
          <w:tcPr>
            <w:tcW w:w="2948" w:type="dxa"/>
          </w:tcPr>
          <w:p>
            <w:pPr>
              <w:pStyle w:val="0"/>
            </w:pPr>
            <w:r>
              <w:rPr>
                <w:sz w:val="24"/>
              </w:rPr>
              <w:t xml:space="preserve">ins-dic:Subordinzajmy_Faktmarzha</w:t>
            </w:r>
          </w:p>
        </w:tc>
      </w:tr>
      <w:tr>
        <w:tc>
          <w:tcPr>
            <w:tcW w:w="907" w:type="dxa"/>
          </w:tcPr>
          <w:bookmarkStart w:id="31958" w:name="P31958"/>
          <w:bookmarkEnd w:id="31958"/>
          <w:p>
            <w:pPr>
              <w:pStyle w:val="0"/>
            </w:pPr>
            <w:r>
              <w:rPr>
                <w:sz w:val="24"/>
              </w:rPr>
              <w:t xml:space="preserve">3</w:t>
            </w:r>
          </w:p>
        </w:tc>
        <w:tc>
          <w:tcPr>
            <w:gridSpan w:val="3"/>
            <w:tcW w:w="2608" w:type="dxa"/>
          </w:tcPr>
          <w:p>
            <w:pPr>
              <w:pStyle w:val="0"/>
            </w:pPr>
            <w:r>
              <w:rPr>
                <w:sz w:val="24"/>
              </w:rPr>
              <w:t xml:space="preserve">Минимальный размер уставного капитала</w:t>
            </w:r>
          </w:p>
        </w:tc>
        <w:tc>
          <w:tcPr>
            <w:tcW w:w="2608" w:type="dxa"/>
          </w:tcPr>
          <w:p>
            <w:pPr>
              <w:pStyle w:val="0"/>
            </w:pPr>
            <w:r>
              <w:rPr>
                <w:sz w:val="24"/>
              </w:rPr>
            </w:r>
          </w:p>
        </w:tc>
        <w:tc>
          <w:tcPr>
            <w:tcW w:w="2948" w:type="dxa"/>
          </w:tcPr>
          <w:p>
            <w:pPr>
              <w:pStyle w:val="0"/>
            </w:pPr>
            <w:r>
              <w:rPr>
                <w:sz w:val="24"/>
              </w:rPr>
              <w:t xml:space="preserve">ins-dic:Minuk</w:t>
            </w:r>
          </w:p>
        </w:tc>
      </w:tr>
      <w:tr>
        <w:tc>
          <w:tcPr>
            <w:tcW w:w="907" w:type="dxa"/>
          </w:tcPr>
          <w:bookmarkStart w:id="31962" w:name="P31962"/>
          <w:bookmarkEnd w:id="31962"/>
          <w:p>
            <w:pPr>
              <w:pStyle w:val="0"/>
            </w:pPr>
            <w:r>
              <w:rPr>
                <w:sz w:val="24"/>
              </w:rPr>
              <w:t xml:space="preserve">4</w:t>
            </w:r>
          </w:p>
        </w:tc>
        <w:tc>
          <w:tcPr>
            <w:gridSpan w:val="3"/>
            <w:tcW w:w="2608" w:type="dxa"/>
          </w:tcPr>
          <w:p>
            <w:pPr>
              <w:pStyle w:val="0"/>
            </w:pPr>
            <w:r>
              <w:rPr>
                <w:sz w:val="24"/>
              </w:rPr>
              <w:t xml:space="preserve">Минимальный размер собственных средств (капитала)</w:t>
            </w:r>
          </w:p>
        </w:tc>
        <w:tc>
          <w:tcPr>
            <w:tcW w:w="2608" w:type="dxa"/>
          </w:tcPr>
          <w:p>
            <w:pPr>
              <w:pStyle w:val="0"/>
            </w:pPr>
            <w:r>
              <w:rPr>
                <w:sz w:val="24"/>
              </w:rPr>
            </w:r>
          </w:p>
        </w:tc>
        <w:tc>
          <w:tcPr>
            <w:tcW w:w="2948" w:type="dxa"/>
          </w:tcPr>
          <w:p>
            <w:pPr>
              <w:pStyle w:val="0"/>
            </w:pPr>
            <w:r>
              <w:rPr>
                <w:sz w:val="24"/>
              </w:rPr>
              <w:t xml:space="preserve">ins-dic:MinRazmerSobSrKap</w:t>
            </w:r>
          </w:p>
        </w:tc>
      </w:tr>
      <w:tr>
        <w:tc>
          <w:tcPr>
            <w:tcW w:w="907" w:type="dxa"/>
          </w:tcPr>
          <w:bookmarkStart w:id="31966" w:name="P31966"/>
          <w:bookmarkEnd w:id="31966"/>
          <w:p>
            <w:pPr>
              <w:pStyle w:val="0"/>
            </w:pPr>
            <w:r>
              <w:rPr>
                <w:sz w:val="24"/>
              </w:rPr>
              <w:t xml:space="preserve">5</w:t>
            </w:r>
          </w:p>
        </w:tc>
        <w:tc>
          <w:tcPr>
            <w:gridSpan w:val="3"/>
            <w:tcW w:w="2608" w:type="dxa"/>
          </w:tcPr>
          <w:p>
            <w:pPr>
              <w:pStyle w:val="0"/>
            </w:pPr>
            <w:r>
              <w:rPr>
                <w:sz w:val="24"/>
              </w:rPr>
              <w:t xml:space="preserve">Нормативный размер маржи платежеспособности</w:t>
            </w:r>
          </w:p>
        </w:tc>
        <w:tc>
          <w:tcPr>
            <w:tcW w:w="2608" w:type="dxa"/>
          </w:tcPr>
          <w:p>
            <w:pPr>
              <w:pStyle w:val="0"/>
            </w:pPr>
            <w:r>
              <w:rPr>
                <w:sz w:val="24"/>
              </w:rPr>
            </w:r>
          </w:p>
        </w:tc>
        <w:tc>
          <w:tcPr>
            <w:tcW w:w="2948" w:type="dxa"/>
          </w:tcPr>
          <w:p>
            <w:pPr>
              <w:pStyle w:val="0"/>
            </w:pPr>
            <w:r>
              <w:rPr>
                <w:sz w:val="24"/>
              </w:rPr>
              <w:t xml:space="preserve">ins-dic:Normativmarzhiplatezh</w:t>
            </w:r>
          </w:p>
        </w:tc>
      </w:tr>
      <w:tr>
        <w:tc>
          <w:tcPr>
            <w:tcW w:w="907" w:type="dxa"/>
          </w:tcPr>
          <w:bookmarkStart w:id="31970" w:name="P31970"/>
          <w:bookmarkEnd w:id="31970"/>
          <w:p>
            <w:pPr>
              <w:pStyle w:val="0"/>
            </w:pPr>
            <w:r>
              <w:rPr>
                <w:sz w:val="24"/>
              </w:rPr>
              <w:t xml:space="preserve">6</w:t>
            </w:r>
          </w:p>
        </w:tc>
        <w:tc>
          <w:tcPr>
            <w:gridSpan w:val="3"/>
            <w:tcW w:w="2608" w:type="dxa"/>
          </w:tcPr>
          <w:p>
            <w:pPr>
              <w:pStyle w:val="0"/>
            </w:pPr>
            <w:r>
              <w:rPr>
                <w:sz w:val="24"/>
              </w:rPr>
              <w:t xml:space="preserve">Нормативный размер маржи платежеспособности по страхованию жизни</w:t>
            </w:r>
          </w:p>
        </w:tc>
        <w:tc>
          <w:tcPr>
            <w:tcW w:w="2608" w:type="dxa"/>
          </w:tcPr>
          <w:p>
            <w:pPr>
              <w:pStyle w:val="0"/>
            </w:pPr>
            <w:r>
              <w:rPr>
                <w:sz w:val="24"/>
              </w:rPr>
            </w:r>
          </w:p>
        </w:tc>
        <w:tc>
          <w:tcPr>
            <w:tcW w:w="2948" w:type="dxa"/>
          </w:tcPr>
          <w:p>
            <w:pPr>
              <w:pStyle w:val="0"/>
            </w:pPr>
            <w:r>
              <w:rPr>
                <w:sz w:val="24"/>
              </w:rPr>
              <w:t xml:space="preserve">ins-dic:Normatrazmmarzhi_Normatmarzhaszh</w:t>
            </w:r>
          </w:p>
        </w:tc>
      </w:tr>
      <w:tr>
        <w:tc>
          <w:tcPr>
            <w:tcW w:w="907" w:type="dxa"/>
          </w:tcPr>
          <w:bookmarkStart w:id="31974" w:name="P31974"/>
          <w:bookmarkEnd w:id="31974"/>
          <w:p>
            <w:pPr>
              <w:pStyle w:val="0"/>
            </w:pPr>
            <w:r>
              <w:rPr>
                <w:sz w:val="24"/>
              </w:rPr>
              <w:t xml:space="preserve">7</w:t>
            </w:r>
          </w:p>
        </w:tc>
        <w:tc>
          <w:tcPr>
            <w:gridSpan w:val="3"/>
            <w:tcW w:w="2608" w:type="dxa"/>
          </w:tcPr>
          <w:p>
            <w:pPr>
              <w:pStyle w:val="0"/>
            </w:pPr>
            <w:r>
              <w:rPr>
                <w:sz w:val="24"/>
              </w:rPr>
              <w:t xml:space="preserve">Нормативный размер маржи платежеспособности по страхованию иному, чем страхование жизни</w:t>
            </w:r>
          </w:p>
        </w:tc>
        <w:tc>
          <w:tcPr>
            <w:tcW w:w="2608" w:type="dxa"/>
          </w:tcPr>
          <w:p>
            <w:pPr>
              <w:pStyle w:val="0"/>
            </w:pPr>
            <w:r>
              <w:rPr>
                <w:sz w:val="24"/>
              </w:rPr>
            </w:r>
          </w:p>
        </w:tc>
        <w:tc>
          <w:tcPr>
            <w:tcW w:w="2948" w:type="dxa"/>
          </w:tcPr>
          <w:p>
            <w:pPr>
              <w:pStyle w:val="0"/>
            </w:pPr>
            <w:r>
              <w:rPr>
                <w:sz w:val="24"/>
              </w:rPr>
              <w:t xml:space="preserve">ins-dic:Normatrazmmarzhi_Normatmarzhainoestrax</w:t>
            </w:r>
          </w:p>
        </w:tc>
      </w:tr>
      <w:tr>
        <w:tc>
          <w:tcPr>
            <w:tcW w:w="907" w:type="dxa"/>
          </w:tcPr>
          <w:bookmarkStart w:id="31978" w:name="P31978"/>
          <w:bookmarkEnd w:id="31978"/>
          <w:p>
            <w:pPr>
              <w:pStyle w:val="0"/>
            </w:pPr>
            <w:r>
              <w:rPr>
                <w:sz w:val="24"/>
              </w:rPr>
              <w:t xml:space="preserve">8</w:t>
            </w:r>
          </w:p>
        </w:tc>
        <w:tc>
          <w:tcPr>
            <w:gridSpan w:val="3"/>
            <w:tcW w:w="2608" w:type="dxa"/>
          </w:tcPr>
          <w:p>
            <w:pPr>
              <w:pStyle w:val="0"/>
            </w:pPr>
            <w:r>
              <w:rPr>
                <w:sz w:val="24"/>
              </w:rPr>
              <w:t xml:space="preserve">Первый показатель (N</w:t>
            </w:r>
            <w:r>
              <w:rPr>
                <w:sz w:val="24"/>
                <w:vertAlign w:val="subscript"/>
              </w:rPr>
              <w:t xml:space="preserve">1</w:t>
            </w:r>
            <w:r>
              <w:rPr>
                <w:sz w:val="24"/>
              </w:rPr>
              <w:t xml:space="preserve">)</w:t>
            </w:r>
          </w:p>
        </w:tc>
        <w:tc>
          <w:tcPr>
            <w:tcW w:w="2608" w:type="dxa"/>
          </w:tcPr>
          <w:p>
            <w:pPr>
              <w:pStyle w:val="0"/>
            </w:pPr>
            <w:r>
              <w:rPr>
                <w:sz w:val="24"/>
              </w:rPr>
            </w:r>
          </w:p>
        </w:tc>
        <w:tc>
          <w:tcPr>
            <w:tcW w:w="2948" w:type="dxa"/>
          </w:tcPr>
          <w:p>
            <w:pPr>
              <w:pStyle w:val="0"/>
            </w:pPr>
            <w:r>
              <w:rPr>
                <w:sz w:val="24"/>
              </w:rPr>
              <w:t xml:space="preserve">ins-dic:Pervpok_Raschetpervpok</w:t>
            </w:r>
          </w:p>
        </w:tc>
      </w:tr>
      <w:tr>
        <w:tc>
          <w:tcPr>
            <w:tcW w:w="907" w:type="dxa"/>
          </w:tcPr>
          <w:bookmarkStart w:id="31982" w:name="P31982"/>
          <w:bookmarkEnd w:id="31982"/>
          <w:p>
            <w:pPr>
              <w:pStyle w:val="0"/>
            </w:pPr>
            <w:r>
              <w:rPr>
                <w:sz w:val="24"/>
              </w:rPr>
              <w:t xml:space="preserve">9</w:t>
            </w:r>
          </w:p>
        </w:tc>
        <w:tc>
          <w:tcPr>
            <w:gridSpan w:val="3"/>
            <w:tcW w:w="2608" w:type="dxa"/>
          </w:tcPr>
          <w:p>
            <w:pPr>
              <w:pStyle w:val="0"/>
            </w:pPr>
            <w:r>
              <w:rPr>
                <w:sz w:val="24"/>
              </w:rPr>
              <w:t xml:space="preserve">Второй показатель (N</w:t>
            </w:r>
            <w:r>
              <w:rPr>
                <w:sz w:val="24"/>
                <w:vertAlign w:val="subscript"/>
              </w:rPr>
              <w:t xml:space="preserve">2</w:t>
            </w:r>
            <w:r>
              <w:rPr>
                <w:sz w:val="24"/>
              </w:rPr>
              <w:t xml:space="preserve">)</w:t>
            </w:r>
          </w:p>
        </w:tc>
        <w:tc>
          <w:tcPr>
            <w:tcW w:w="2608" w:type="dxa"/>
          </w:tcPr>
          <w:p>
            <w:pPr>
              <w:pStyle w:val="0"/>
            </w:pPr>
            <w:r>
              <w:rPr>
                <w:sz w:val="24"/>
              </w:rPr>
            </w:r>
          </w:p>
        </w:tc>
        <w:tc>
          <w:tcPr>
            <w:tcW w:w="2948" w:type="dxa"/>
          </w:tcPr>
          <w:p>
            <w:pPr>
              <w:pStyle w:val="0"/>
            </w:pPr>
            <w:r>
              <w:rPr>
                <w:sz w:val="24"/>
              </w:rPr>
              <w:t xml:space="preserve">ins-dic:Vtorojpok_Raschetvtorpok</w:t>
            </w:r>
          </w:p>
        </w:tc>
      </w:tr>
      <w:tr>
        <w:tc>
          <w:tcPr>
            <w:tcW w:w="907" w:type="dxa"/>
          </w:tcPr>
          <w:bookmarkStart w:id="31986" w:name="P31986"/>
          <w:bookmarkEnd w:id="31986"/>
          <w:p>
            <w:pPr>
              <w:pStyle w:val="0"/>
            </w:pPr>
            <w:r>
              <w:rPr>
                <w:sz w:val="24"/>
              </w:rPr>
              <w:t xml:space="preserve">10</w:t>
            </w:r>
          </w:p>
        </w:tc>
        <w:tc>
          <w:tcPr>
            <w:gridSpan w:val="3"/>
            <w:tcW w:w="2608" w:type="dxa"/>
          </w:tcPr>
          <w:p>
            <w:pPr>
              <w:pStyle w:val="0"/>
            </w:pPr>
            <w:r>
              <w:rPr>
                <w:sz w:val="24"/>
              </w:rPr>
              <w:t xml:space="preserve">Третий показатель (N</w:t>
            </w:r>
            <w:r>
              <w:rPr>
                <w:sz w:val="24"/>
                <w:vertAlign w:val="subscript"/>
              </w:rPr>
              <w:t xml:space="preserve">3</w:t>
            </w:r>
            <w:r>
              <w:rPr>
                <w:sz w:val="24"/>
              </w:rPr>
              <w:t xml:space="preserve">)</w:t>
            </w:r>
          </w:p>
        </w:tc>
        <w:tc>
          <w:tcPr>
            <w:tcW w:w="2608" w:type="dxa"/>
          </w:tcPr>
          <w:p>
            <w:pPr>
              <w:pStyle w:val="0"/>
            </w:pPr>
            <w:r>
              <w:rPr>
                <w:sz w:val="24"/>
              </w:rPr>
            </w:r>
          </w:p>
        </w:tc>
        <w:tc>
          <w:tcPr>
            <w:tcW w:w="2948" w:type="dxa"/>
          </w:tcPr>
          <w:p>
            <w:pPr>
              <w:pStyle w:val="0"/>
            </w:pPr>
            <w:r>
              <w:rPr>
                <w:sz w:val="24"/>
              </w:rPr>
              <w:t xml:space="preserve">ins-dic:Tretijpok_Raschettretpok</w:t>
            </w:r>
          </w:p>
        </w:tc>
      </w:tr>
      <w:tr>
        <w:tc>
          <w:tcPr>
            <w:tcW w:w="907" w:type="dxa"/>
          </w:tcPr>
          <w:bookmarkStart w:id="31990" w:name="P31990"/>
          <w:bookmarkEnd w:id="31990"/>
          <w:p>
            <w:pPr>
              <w:pStyle w:val="0"/>
            </w:pPr>
            <w:r>
              <w:rPr>
                <w:sz w:val="24"/>
              </w:rPr>
              <w:t xml:space="preserve">11</w:t>
            </w:r>
          </w:p>
        </w:tc>
        <w:tc>
          <w:tcPr>
            <w:gridSpan w:val="3"/>
            <w:tcW w:w="2608" w:type="dxa"/>
          </w:tcPr>
          <w:p>
            <w:pPr>
              <w:pStyle w:val="0"/>
            </w:pPr>
            <w:r>
              <w:rPr>
                <w:sz w:val="24"/>
              </w:rPr>
              <w:t xml:space="preserve">Четвертый показатель (N</w:t>
            </w:r>
            <w:r>
              <w:rPr>
                <w:sz w:val="24"/>
                <w:vertAlign w:val="subscript"/>
              </w:rPr>
              <w:t xml:space="preserve">4</w:t>
            </w:r>
            <w:r>
              <w:rPr>
                <w:sz w:val="24"/>
              </w:rPr>
              <w:t xml:space="preserve">)</w:t>
            </w:r>
          </w:p>
        </w:tc>
        <w:tc>
          <w:tcPr>
            <w:tcW w:w="2608" w:type="dxa"/>
          </w:tcPr>
          <w:p>
            <w:pPr>
              <w:pStyle w:val="0"/>
            </w:pPr>
            <w:r>
              <w:rPr>
                <w:sz w:val="24"/>
              </w:rPr>
            </w:r>
          </w:p>
        </w:tc>
        <w:tc>
          <w:tcPr>
            <w:tcW w:w="2948" w:type="dxa"/>
          </w:tcPr>
          <w:p>
            <w:pPr>
              <w:pStyle w:val="0"/>
            </w:pPr>
            <w:r>
              <w:rPr>
                <w:sz w:val="24"/>
              </w:rPr>
              <w:t xml:space="preserve">ins-dic:Chetvertyjpok_Raschettretpok</w:t>
            </w:r>
          </w:p>
        </w:tc>
      </w:tr>
      <w:tr>
        <w:tc>
          <w:tcPr>
            <w:tcW w:w="907" w:type="dxa"/>
          </w:tcPr>
          <w:bookmarkStart w:id="31994" w:name="P31994"/>
          <w:bookmarkEnd w:id="31994"/>
          <w:p>
            <w:pPr>
              <w:pStyle w:val="0"/>
            </w:pPr>
            <w:r>
              <w:rPr>
                <w:sz w:val="24"/>
              </w:rPr>
              <w:t xml:space="preserve">12</w:t>
            </w:r>
          </w:p>
        </w:tc>
        <w:tc>
          <w:tcPr>
            <w:gridSpan w:val="3"/>
            <w:tcW w:w="2608" w:type="dxa"/>
          </w:tcPr>
          <w:p>
            <w:pPr>
              <w:pStyle w:val="0"/>
            </w:pPr>
            <w:r>
              <w:rPr>
                <w:sz w:val="24"/>
              </w:rPr>
              <w:t xml:space="preserve">Корректировка нормативного размера маржи платежеспособности (туроператоры)</w:t>
            </w:r>
          </w:p>
        </w:tc>
        <w:tc>
          <w:tcPr>
            <w:tcW w:w="2608" w:type="dxa"/>
          </w:tcPr>
          <w:p>
            <w:pPr>
              <w:pStyle w:val="0"/>
            </w:pPr>
            <w:r>
              <w:rPr>
                <w:sz w:val="24"/>
              </w:rPr>
            </w:r>
          </w:p>
        </w:tc>
        <w:tc>
          <w:tcPr>
            <w:tcW w:w="2948" w:type="dxa"/>
          </w:tcPr>
          <w:p>
            <w:pPr>
              <w:pStyle w:val="0"/>
            </w:pPr>
            <w:r>
              <w:rPr>
                <w:sz w:val="24"/>
              </w:rPr>
              <w:t xml:space="preserve">ins-dic:Raschetvel_Raschetnormatrazmmarzhiplatezhesposzastrturoper</w:t>
            </w:r>
          </w:p>
        </w:tc>
      </w:tr>
      <w:tr>
        <w:tc>
          <w:tcPr>
            <w:tcW w:w="907" w:type="dxa"/>
          </w:tcPr>
          <w:bookmarkStart w:id="31998" w:name="P31998"/>
          <w:bookmarkEnd w:id="31998"/>
          <w:p>
            <w:pPr>
              <w:pStyle w:val="0"/>
            </w:pPr>
            <w:r>
              <w:rPr>
                <w:sz w:val="24"/>
              </w:rPr>
              <w:t xml:space="preserve">13</w:t>
            </w:r>
          </w:p>
        </w:tc>
        <w:tc>
          <w:tcPr>
            <w:gridSpan w:val="3"/>
            <w:tcW w:w="2608" w:type="dxa"/>
          </w:tcPr>
          <w:p>
            <w:pPr>
              <w:pStyle w:val="0"/>
            </w:pPr>
            <w:r>
              <w:rPr>
                <w:sz w:val="24"/>
              </w:rPr>
              <w:t xml:space="preserve">Оценка влияния рисков на собственные средства (капитал)</w:t>
            </w:r>
          </w:p>
        </w:tc>
        <w:tc>
          <w:tcPr>
            <w:tcW w:w="2608" w:type="dxa"/>
          </w:tcPr>
          <w:p>
            <w:pPr>
              <w:pStyle w:val="0"/>
            </w:pPr>
            <w:r>
              <w:rPr>
                <w:sz w:val="24"/>
              </w:rPr>
            </w:r>
          </w:p>
        </w:tc>
        <w:tc>
          <w:tcPr>
            <w:tcW w:w="2948" w:type="dxa"/>
          </w:tcPr>
          <w:p>
            <w:pPr>
              <w:pStyle w:val="0"/>
            </w:pPr>
            <w:r>
              <w:rPr>
                <w:sz w:val="24"/>
              </w:rPr>
              <w:t xml:space="preserve">ins-dic:OczRiskSS</w:t>
            </w:r>
          </w:p>
        </w:tc>
      </w:tr>
      <w:tr>
        <w:tc>
          <w:tcPr>
            <w:tcW w:w="907" w:type="dxa"/>
          </w:tcPr>
          <w:bookmarkStart w:id="32002" w:name="P32002"/>
          <w:bookmarkEnd w:id="32002"/>
          <w:p>
            <w:pPr>
              <w:pStyle w:val="0"/>
            </w:pPr>
            <w:r>
              <w:rPr>
                <w:sz w:val="24"/>
              </w:rPr>
              <w:t xml:space="preserve">14</w:t>
            </w:r>
          </w:p>
        </w:tc>
        <w:tc>
          <w:tcPr>
            <w:gridSpan w:val="3"/>
            <w:tcW w:w="2608" w:type="dxa"/>
          </w:tcPr>
          <w:p>
            <w:pPr>
              <w:pStyle w:val="0"/>
            </w:pPr>
            <w:r>
              <w:rPr>
                <w:sz w:val="24"/>
              </w:rPr>
              <w:t xml:space="preserve">Оценка риска 1</w:t>
            </w:r>
          </w:p>
        </w:tc>
        <w:tc>
          <w:tcPr>
            <w:tcW w:w="2608" w:type="dxa"/>
          </w:tcPr>
          <w:p>
            <w:pPr>
              <w:pStyle w:val="0"/>
            </w:pPr>
            <w:r>
              <w:rPr>
                <w:sz w:val="24"/>
              </w:rPr>
            </w:r>
          </w:p>
        </w:tc>
        <w:tc>
          <w:tcPr>
            <w:tcW w:w="2948" w:type="dxa"/>
          </w:tcPr>
          <w:p>
            <w:pPr>
              <w:pStyle w:val="0"/>
            </w:pPr>
            <w:r>
              <w:rPr>
                <w:sz w:val="24"/>
              </w:rPr>
              <w:t xml:space="preserve">ins-dic:OczRisk1</w:t>
            </w:r>
          </w:p>
        </w:tc>
      </w:tr>
      <w:tr>
        <w:tc>
          <w:tcPr>
            <w:tcW w:w="907" w:type="dxa"/>
          </w:tcPr>
          <w:bookmarkStart w:id="32006" w:name="P32006"/>
          <w:bookmarkEnd w:id="32006"/>
          <w:p>
            <w:pPr>
              <w:pStyle w:val="0"/>
            </w:pPr>
            <w:r>
              <w:rPr>
                <w:sz w:val="24"/>
              </w:rPr>
              <w:t xml:space="preserve">15</w:t>
            </w:r>
          </w:p>
        </w:tc>
        <w:tc>
          <w:tcPr>
            <w:gridSpan w:val="3"/>
            <w:tcW w:w="2608" w:type="dxa"/>
          </w:tcPr>
          <w:p>
            <w:pPr>
              <w:pStyle w:val="0"/>
            </w:pPr>
            <w:r>
              <w:rPr>
                <w:sz w:val="24"/>
              </w:rPr>
              <w:t xml:space="preserve">Оценка концентрационного риска</w:t>
            </w:r>
          </w:p>
        </w:tc>
        <w:tc>
          <w:tcPr>
            <w:tcW w:w="2608" w:type="dxa"/>
          </w:tcPr>
          <w:p>
            <w:pPr>
              <w:pStyle w:val="0"/>
            </w:pPr>
            <w:r>
              <w:rPr>
                <w:sz w:val="24"/>
              </w:rPr>
            </w:r>
          </w:p>
        </w:tc>
        <w:tc>
          <w:tcPr>
            <w:tcW w:w="2948" w:type="dxa"/>
          </w:tcPr>
          <w:p>
            <w:pPr>
              <w:pStyle w:val="0"/>
            </w:pPr>
            <w:r>
              <w:rPr>
                <w:sz w:val="24"/>
              </w:rPr>
              <w:t xml:space="preserve">ins-dic:OczKonczRisk</w:t>
            </w:r>
          </w:p>
        </w:tc>
      </w:tr>
      <w:tr>
        <w:tc>
          <w:tcPr>
            <w:tcW w:w="907" w:type="dxa"/>
          </w:tcPr>
          <w:bookmarkStart w:id="32010" w:name="P32010"/>
          <w:bookmarkEnd w:id="32010"/>
          <w:p>
            <w:pPr>
              <w:pStyle w:val="0"/>
            </w:pPr>
            <w:r>
              <w:rPr>
                <w:sz w:val="24"/>
              </w:rPr>
              <w:t xml:space="preserve">16</w:t>
            </w:r>
          </w:p>
        </w:tc>
        <w:tc>
          <w:tcPr>
            <w:gridSpan w:val="3"/>
            <w:tcW w:w="2608" w:type="dxa"/>
          </w:tcPr>
          <w:p>
            <w:pPr>
              <w:pStyle w:val="0"/>
            </w:pPr>
            <w:r>
              <w:rPr>
                <w:sz w:val="24"/>
              </w:rPr>
              <w:t xml:space="preserve">Оценка риска изменения кредитного спреда</w:t>
            </w:r>
          </w:p>
        </w:tc>
        <w:tc>
          <w:tcPr>
            <w:tcW w:w="2608" w:type="dxa"/>
          </w:tcPr>
          <w:p>
            <w:pPr>
              <w:pStyle w:val="0"/>
            </w:pPr>
            <w:r>
              <w:rPr>
                <w:sz w:val="24"/>
              </w:rPr>
            </w:r>
          </w:p>
        </w:tc>
        <w:tc>
          <w:tcPr>
            <w:tcW w:w="2948" w:type="dxa"/>
          </w:tcPr>
          <w:p>
            <w:pPr>
              <w:pStyle w:val="0"/>
            </w:pPr>
            <w:r>
              <w:rPr>
                <w:sz w:val="24"/>
              </w:rPr>
              <w:t xml:space="preserve">ins-dic:OczRiskIzmKredSpred</w:t>
            </w:r>
          </w:p>
        </w:tc>
      </w:tr>
      <w:tr>
        <w:tc>
          <w:tcPr>
            <w:tcW w:w="907" w:type="dxa"/>
          </w:tcPr>
          <w:bookmarkStart w:id="32014" w:name="P32014"/>
          <w:bookmarkEnd w:id="32014"/>
          <w:p>
            <w:pPr>
              <w:pStyle w:val="0"/>
            </w:pPr>
            <w:r>
              <w:rPr>
                <w:sz w:val="24"/>
              </w:rPr>
              <w:t xml:space="preserve">17</w:t>
            </w:r>
          </w:p>
        </w:tc>
        <w:tc>
          <w:tcPr>
            <w:gridSpan w:val="3"/>
            <w:tcW w:w="2608" w:type="dxa"/>
          </w:tcPr>
          <w:p>
            <w:pPr>
              <w:pStyle w:val="0"/>
            </w:pPr>
            <w:r>
              <w:rPr>
                <w:sz w:val="24"/>
              </w:rPr>
              <w:t xml:space="preserve">Оценка риска изменения процентных ставок</w:t>
            </w:r>
          </w:p>
        </w:tc>
        <w:tc>
          <w:tcPr>
            <w:tcW w:w="2608" w:type="dxa"/>
          </w:tcPr>
          <w:p>
            <w:pPr>
              <w:pStyle w:val="0"/>
            </w:pPr>
            <w:r>
              <w:rPr>
                <w:sz w:val="24"/>
              </w:rPr>
            </w:r>
          </w:p>
        </w:tc>
        <w:tc>
          <w:tcPr>
            <w:tcW w:w="2948" w:type="dxa"/>
          </w:tcPr>
          <w:p>
            <w:pPr>
              <w:pStyle w:val="0"/>
            </w:pPr>
            <w:r>
              <w:rPr>
                <w:sz w:val="24"/>
              </w:rPr>
              <w:t xml:space="preserve">ins-dic:OczRiskProczStav</w:t>
            </w:r>
          </w:p>
        </w:tc>
      </w:tr>
      <w:tr>
        <w:tc>
          <w:tcPr>
            <w:tcW w:w="907" w:type="dxa"/>
          </w:tcPr>
          <w:bookmarkStart w:id="32018" w:name="P32018"/>
          <w:bookmarkEnd w:id="32018"/>
          <w:p>
            <w:pPr>
              <w:pStyle w:val="0"/>
            </w:pPr>
            <w:r>
              <w:rPr>
                <w:sz w:val="24"/>
              </w:rPr>
              <w:t xml:space="preserve">18</w:t>
            </w:r>
          </w:p>
        </w:tc>
        <w:tc>
          <w:tcPr>
            <w:gridSpan w:val="3"/>
            <w:tcW w:w="2608" w:type="dxa"/>
          </w:tcPr>
          <w:p>
            <w:pPr>
              <w:pStyle w:val="0"/>
            </w:pPr>
            <w:r>
              <w:rPr>
                <w:sz w:val="24"/>
              </w:rPr>
              <w:t xml:space="preserve">Оценка риска изменения стоимости акций</w:t>
            </w:r>
          </w:p>
        </w:tc>
        <w:tc>
          <w:tcPr>
            <w:tcW w:w="2608" w:type="dxa"/>
          </w:tcPr>
          <w:p>
            <w:pPr>
              <w:pStyle w:val="0"/>
            </w:pPr>
            <w:r>
              <w:rPr>
                <w:sz w:val="24"/>
              </w:rPr>
            </w:r>
          </w:p>
        </w:tc>
        <w:tc>
          <w:tcPr>
            <w:tcW w:w="2948" w:type="dxa"/>
          </w:tcPr>
          <w:p>
            <w:pPr>
              <w:pStyle w:val="0"/>
            </w:pPr>
            <w:r>
              <w:rPr>
                <w:sz w:val="24"/>
              </w:rPr>
              <w:t xml:space="preserve">ins-dic:OczRiskIzmStoimAkcz</w:t>
            </w:r>
          </w:p>
        </w:tc>
      </w:tr>
      <w:tr>
        <w:tc>
          <w:tcPr>
            <w:tcW w:w="907" w:type="dxa"/>
          </w:tcPr>
          <w:bookmarkStart w:id="32022" w:name="P32022"/>
          <w:bookmarkEnd w:id="32022"/>
          <w:p>
            <w:pPr>
              <w:pStyle w:val="0"/>
            </w:pPr>
            <w:r>
              <w:rPr>
                <w:sz w:val="24"/>
              </w:rPr>
              <w:t xml:space="preserve">19</w:t>
            </w:r>
          </w:p>
        </w:tc>
        <w:tc>
          <w:tcPr>
            <w:gridSpan w:val="3"/>
            <w:tcW w:w="2608" w:type="dxa"/>
          </w:tcPr>
          <w:p>
            <w:pPr>
              <w:pStyle w:val="0"/>
            </w:pPr>
            <w:r>
              <w:rPr>
                <w:sz w:val="24"/>
              </w:rPr>
              <w:t xml:space="preserve">Оценка риска изменения валютного курса</w:t>
            </w:r>
          </w:p>
        </w:tc>
        <w:tc>
          <w:tcPr>
            <w:tcW w:w="2608" w:type="dxa"/>
          </w:tcPr>
          <w:p>
            <w:pPr>
              <w:pStyle w:val="0"/>
            </w:pPr>
            <w:r>
              <w:rPr>
                <w:sz w:val="24"/>
              </w:rPr>
            </w:r>
          </w:p>
        </w:tc>
        <w:tc>
          <w:tcPr>
            <w:tcW w:w="2948" w:type="dxa"/>
          </w:tcPr>
          <w:p>
            <w:pPr>
              <w:pStyle w:val="0"/>
            </w:pPr>
            <w:r>
              <w:rPr>
                <w:sz w:val="24"/>
              </w:rPr>
              <w:t xml:space="preserve">ins-dic:OczRiskValKurs</w:t>
            </w:r>
          </w:p>
        </w:tc>
      </w:tr>
      <w:tr>
        <w:tc>
          <w:tcPr>
            <w:tcW w:w="907" w:type="dxa"/>
          </w:tcPr>
          <w:bookmarkStart w:id="32026" w:name="P32026"/>
          <w:bookmarkEnd w:id="32026"/>
          <w:p>
            <w:pPr>
              <w:pStyle w:val="0"/>
            </w:pPr>
            <w:r>
              <w:rPr>
                <w:sz w:val="24"/>
              </w:rPr>
              <w:t xml:space="preserve">20</w:t>
            </w:r>
          </w:p>
        </w:tc>
        <w:tc>
          <w:tcPr>
            <w:gridSpan w:val="3"/>
            <w:tcW w:w="2608" w:type="dxa"/>
          </w:tcPr>
          <w:p>
            <w:pPr>
              <w:pStyle w:val="0"/>
            </w:pPr>
            <w:r>
              <w:rPr>
                <w:sz w:val="24"/>
              </w:rPr>
              <w:t xml:space="preserve">Оценка риска изменения цен на недвижимость</w:t>
            </w:r>
          </w:p>
        </w:tc>
        <w:tc>
          <w:tcPr>
            <w:tcW w:w="2608" w:type="dxa"/>
          </w:tcPr>
          <w:p>
            <w:pPr>
              <w:pStyle w:val="0"/>
            </w:pPr>
            <w:r>
              <w:rPr>
                <w:sz w:val="24"/>
              </w:rPr>
            </w:r>
          </w:p>
        </w:tc>
        <w:tc>
          <w:tcPr>
            <w:tcW w:w="2948" w:type="dxa"/>
          </w:tcPr>
          <w:p>
            <w:pPr>
              <w:pStyle w:val="0"/>
            </w:pPr>
            <w:r>
              <w:rPr>
                <w:sz w:val="24"/>
              </w:rPr>
              <w:t xml:space="preserve">ins-dic:OczRiskIzmCzenNedv</w:t>
            </w:r>
          </w:p>
        </w:tc>
      </w:tr>
      <w:tr>
        <w:tc>
          <w:tcPr>
            <w:tcW w:w="907" w:type="dxa"/>
          </w:tcPr>
          <w:bookmarkStart w:id="32030" w:name="P32030"/>
          <w:bookmarkEnd w:id="32030"/>
          <w:p>
            <w:pPr>
              <w:pStyle w:val="0"/>
            </w:pPr>
            <w:r>
              <w:rPr>
                <w:sz w:val="24"/>
              </w:rPr>
              <w:t xml:space="preserve">21</w:t>
            </w:r>
          </w:p>
        </w:tc>
        <w:tc>
          <w:tcPr>
            <w:gridSpan w:val="3"/>
            <w:tcW w:w="2608" w:type="dxa"/>
          </w:tcPr>
          <w:p>
            <w:pPr>
              <w:pStyle w:val="0"/>
            </w:pPr>
            <w:r>
              <w:rPr>
                <w:sz w:val="24"/>
              </w:rPr>
              <w:t xml:space="preserve">Оценка риска изменения цен на иные активы</w:t>
            </w:r>
          </w:p>
        </w:tc>
        <w:tc>
          <w:tcPr>
            <w:tcW w:w="2608" w:type="dxa"/>
          </w:tcPr>
          <w:p>
            <w:pPr>
              <w:pStyle w:val="0"/>
            </w:pPr>
            <w:r>
              <w:rPr>
                <w:sz w:val="24"/>
              </w:rPr>
            </w:r>
          </w:p>
        </w:tc>
        <w:tc>
          <w:tcPr>
            <w:tcW w:w="2948" w:type="dxa"/>
          </w:tcPr>
          <w:p>
            <w:pPr>
              <w:pStyle w:val="0"/>
            </w:pPr>
            <w:r>
              <w:rPr>
                <w:sz w:val="24"/>
              </w:rPr>
              <w:t xml:space="preserve">ins-dic:OczRiskIzmCzenInAkt</w:t>
            </w:r>
          </w:p>
        </w:tc>
      </w:tr>
      <w:tr>
        <w:tc>
          <w:tcPr>
            <w:tcW w:w="907" w:type="dxa"/>
          </w:tcPr>
          <w:bookmarkStart w:id="32034" w:name="P32034"/>
          <w:bookmarkEnd w:id="32034"/>
          <w:p>
            <w:pPr>
              <w:pStyle w:val="0"/>
            </w:pPr>
            <w:r>
              <w:rPr>
                <w:sz w:val="24"/>
              </w:rPr>
              <w:t xml:space="preserve">22</w:t>
            </w:r>
          </w:p>
        </w:tc>
        <w:tc>
          <w:tcPr>
            <w:gridSpan w:val="3"/>
            <w:tcW w:w="2608" w:type="dxa"/>
          </w:tcPr>
          <w:p>
            <w:pPr>
              <w:pStyle w:val="0"/>
            </w:pPr>
            <w:r>
              <w:rPr>
                <w:sz w:val="24"/>
              </w:rPr>
              <w:t xml:space="preserve">Оценка риска 2</w:t>
            </w:r>
          </w:p>
        </w:tc>
        <w:tc>
          <w:tcPr>
            <w:tcW w:w="2608" w:type="dxa"/>
          </w:tcPr>
          <w:p>
            <w:pPr>
              <w:pStyle w:val="0"/>
            </w:pPr>
            <w:r>
              <w:rPr>
                <w:sz w:val="24"/>
              </w:rPr>
            </w:r>
          </w:p>
        </w:tc>
        <w:tc>
          <w:tcPr>
            <w:tcW w:w="2948" w:type="dxa"/>
          </w:tcPr>
          <w:p>
            <w:pPr>
              <w:pStyle w:val="0"/>
            </w:pPr>
            <w:r>
              <w:rPr>
                <w:sz w:val="24"/>
              </w:rPr>
              <w:t xml:space="preserve">ins-dic:OczKredRisk2</w:t>
            </w:r>
          </w:p>
        </w:tc>
      </w:tr>
      <w:tr>
        <w:tc>
          <w:tcPr>
            <w:tcW w:w="907" w:type="dxa"/>
          </w:tcPr>
          <w:bookmarkStart w:id="32038" w:name="P32038"/>
          <w:bookmarkEnd w:id="32038"/>
          <w:p>
            <w:pPr>
              <w:pStyle w:val="0"/>
            </w:pPr>
            <w:r>
              <w:rPr>
                <w:sz w:val="24"/>
              </w:rPr>
              <w:t xml:space="preserve">23</w:t>
            </w:r>
          </w:p>
        </w:tc>
        <w:tc>
          <w:tcPr>
            <w:gridSpan w:val="3"/>
            <w:tcW w:w="2608" w:type="dxa"/>
          </w:tcPr>
          <w:p>
            <w:pPr>
              <w:pStyle w:val="0"/>
            </w:pPr>
            <w:r>
              <w:rPr>
                <w:sz w:val="24"/>
              </w:rPr>
              <w:t xml:space="preserve">Суммарная стоимость прав требования для определения оценки риска 2 (R * 2credit)</w:t>
            </w:r>
          </w:p>
        </w:tc>
        <w:tc>
          <w:tcPr>
            <w:tcW w:w="2608" w:type="dxa"/>
          </w:tcPr>
          <w:p>
            <w:pPr>
              <w:pStyle w:val="0"/>
            </w:pPr>
            <w:r>
              <w:rPr>
                <w:sz w:val="24"/>
              </w:rPr>
            </w:r>
          </w:p>
        </w:tc>
        <w:tc>
          <w:tcPr>
            <w:tcW w:w="2948" w:type="dxa"/>
          </w:tcPr>
          <w:p>
            <w:pPr>
              <w:pStyle w:val="0"/>
            </w:pPr>
            <w:r>
              <w:rPr>
                <w:sz w:val="24"/>
              </w:rPr>
              <w:t xml:space="preserve">ins-dic:SumStPravTrebDlyaOprOczRiska2R2credit</w:t>
            </w:r>
          </w:p>
        </w:tc>
      </w:tr>
      <w:tr>
        <w:tc>
          <w:tcPr>
            <w:tcW w:w="907" w:type="dxa"/>
          </w:tcPr>
          <w:bookmarkStart w:id="32042" w:name="P32042"/>
          <w:bookmarkEnd w:id="32042"/>
          <w:p>
            <w:pPr>
              <w:pStyle w:val="0"/>
            </w:pPr>
            <w:r>
              <w:rPr>
                <w:sz w:val="24"/>
              </w:rPr>
              <w:t xml:space="preserve">24</w:t>
            </w:r>
          </w:p>
        </w:tc>
        <w:tc>
          <w:tcPr>
            <w:gridSpan w:val="3"/>
            <w:tcW w:w="2608" w:type="dxa"/>
          </w:tcPr>
          <w:p>
            <w:pPr>
              <w:pStyle w:val="0"/>
            </w:pPr>
            <w:r>
              <w:rPr>
                <w:sz w:val="24"/>
              </w:rPr>
              <w:t xml:space="preserve">Оценка операционного риска</w:t>
            </w:r>
          </w:p>
        </w:tc>
        <w:tc>
          <w:tcPr>
            <w:tcW w:w="2608" w:type="dxa"/>
          </w:tcPr>
          <w:p>
            <w:pPr>
              <w:pStyle w:val="0"/>
            </w:pPr>
            <w:r>
              <w:rPr>
                <w:sz w:val="24"/>
              </w:rPr>
            </w:r>
          </w:p>
        </w:tc>
        <w:tc>
          <w:tcPr>
            <w:tcW w:w="2948" w:type="dxa"/>
          </w:tcPr>
          <w:p>
            <w:pPr>
              <w:pStyle w:val="0"/>
            </w:pPr>
            <w:r>
              <w:rPr>
                <w:sz w:val="24"/>
              </w:rPr>
              <w:t xml:space="preserve">ins-dic:OczenkaOperRiska</w:t>
            </w:r>
          </w:p>
        </w:tc>
      </w:tr>
      <w:tr>
        <w:tc>
          <w:tcPr>
            <w:tcW w:w="907" w:type="dxa"/>
          </w:tcPr>
          <w:bookmarkStart w:id="32046" w:name="P32046"/>
          <w:bookmarkEnd w:id="32046"/>
          <w:p>
            <w:pPr>
              <w:pStyle w:val="0"/>
            </w:pPr>
            <w:r>
              <w:rPr>
                <w:sz w:val="24"/>
              </w:rPr>
              <w:t xml:space="preserve">25</w:t>
            </w:r>
          </w:p>
        </w:tc>
        <w:tc>
          <w:tcPr>
            <w:gridSpan w:val="3"/>
            <w:tcW w:w="2608" w:type="dxa"/>
          </w:tcPr>
          <w:p>
            <w:pPr>
              <w:pStyle w:val="0"/>
            </w:pPr>
            <w:r>
              <w:rPr>
                <w:sz w:val="24"/>
              </w:rPr>
              <w:t xml:space="preserve">Нормативное соотношение собственных средств (капитала) и принятых обязательств</w:t>
            </w:r>
          </w:p>
        </w:tc>
        <w:tc>
          <w:tcPr>
            <w:tcW w:w="2608" w:type="dxa"/>
          </w:tcPr>
          <w:p>
            <w:pPr>
              <w:pStyle w:val="0"/>
            </w:pPr>
            <w:r>
              <w:rPr>
                <w:sz w:val="24"/>
              </w:rPr>
            </w:r>
          </w:p>
        </w:tc>
        <w:tc>
          <w:tcPr>
            <w:tcW w:w="2948" w:type="dxa"/>
          </w:tcPr>
          <w:p>
            <w:pPr>
              <w:pStyle w:val="0"/>
            </w:pPr>
            <w:r>
              <w:rPr>
                <w:sz w:val="24"/>
              </w:rPr>
              <w:t xml:space="preserve">ins-dic:NormSootn</w:t>
            </w:r>
          </w:p>
        </w:tc>
      </w:tr>
      <w:tr>
        <w:tc>
          <w:tcPr>
            <w:tcW w:w="907" w:type="dxa"/>
          </w:tcPr>
          <w:bookmarkStart w:id="32050" w:name="P32050"/>
          <w:bookmarkEnd w:id="32050"/>
          <w:p>
            <w:pPr>
              <w:pStyle w:val="0"/>
            </w:pPr>
            <w:r>
              <w:rPr>
                <w:sz w:val="24"/>
              </w:rPr>
              <w:t xml:space="preserve">26</w:t>
            </w:r>
          </w:p>
        </w:tc>
        <w:tc>
          <w:tcPr>
            <w:gridSpan w:val="3"/>
            <w:tcW w:w="2608" w:type="dxa"/>
          </w:tcPr>
          <w:p>
            <w:pPr>
              <w:pStyle w:val="0"/>
            </w:pPr>
            <w:r>
              <w:rPr>
                <w:sz w:val="24"/>
              </w:rPr>
              <w:t xml:space="preserve">Расчет остаточных стоимостей полученных страховой организацией субординированных займов</w:t>
            </w:r>
          </w:p>
        </w:tc>
        <w:tc>
          <w:tcPr>
            <w:tcW w:w="2608" w:type="dxa"/>
          </w:tcPr>
          <w:p>
            <w:pPr>
              <w:pStyle w:val="0"/>
            </w:pPr>
            <w:r>
              <w:rPr>
                <w:sz w:val="24"/>
              </w:rPr>
            </w:r>
          </w:p>
        </w:tc>
        <w:tc>
          <w:tcPr>
            <w:tcW w:w="2948" w:type="dxa"/>
          </w:tcPr>
          <w:p>
            <w:pPr>
              <w:pStyle w:val="0"/>
            </w:pPr>
            <w:r>
              <w:rPr>
                <w:sz w:val="24"/>
              </w:rPr>
              <w:t xml:space="preserve">ins-dic:RaschOstatStoimPoluchSOSubordZajmov</w:t>
            </w:r>
          </w:p>
        </w:tc>
      </w:tr>
      <w:tr>
        <w:tc>
          <w:tcPr>
            <w:tcW w:w="907" w:type="dxa"/>
          </w:tcPr>
          <w:bookmarkStart w:id="32054" w:name="P32054"/>
          <w:bookmarkEnd w:id="32054"/>
          <w:p>
            <w:pPr>
              <w:pStyle w:val="0"/>
            </w:pPr>
            <w:r>
              <w:rPr>
                <w:sz w:val="24"/>
              </w:rPr>
              <w:t xml:space="preserve">27</w:t>
            </w:r>
          </w:p>
        </w:tc>
        <w:tc>
          <w:tcPr>
            <w:gridSpan w:val="3"/>
            <w:tcW w:w="2608" w:type="dxa"/>
          </w:tcPr>
          <w:p>
            <w:pPr>
              <w:pStyle w:val="0"/>
            </w:pPr>
            <w:r>
              <w:rPr>
                <w:sz w:val="24"/>
              </w:rPr>
              <w:t xml:space="preserve">Дата принятия последнего решения о выплате дивидендов (распределении прибыли)</w:t>
            </w:r>
          </w:p>
        </w:tc>
        <w:tc>
          <w:tcPr>
            <w:tcW w:w="2608" w:type="dxa"/>
          </w:tcPr>
          <w:p>
            <w:pPr>
              <w:pStyle w:val="0"/>
            </w:pPr>
            <w:r>
              <w:rPr>
                <w:sz w:val="24"/>
              </w:rPr>
            </w:r>
          </w:p>
        </w:tc>
        <w:tc>
          <w:tcPr>
            <w:tcW w:w="2948" w:type="dxa"/>
          </w:tcPr>
          <w:p>
            <w:pPr>
              <w:pStyle w:val="0"/>
            </w:pPr>
            <w:r>
              <w:rPr>
                <w:sz w:val="24"/>
              </w:rPr>
              <w:t xml:space="preserve">ins-dic:DataPrinyatPoslReshOVyplDivRasprPr</w:t>
            </w:r>
          </w:p>
        </w:tc>
      </w:tr>
      <w:tr>
        <w:tblPrEx>
          <w:tblBorders>
            <w:insideV w:val="nil"/>
          </w:tblBorders>
        </w:tblPrEx>
        <w:tc>
          <w:tcPr>
            <w:gridSpan w:val="2"/>
            <w:tcW w:w="1152" w:type="dxa"/>
            <w:tcBorders>
              <w:left w:val="single" w:sz="4"/>
            </w:tcBorders>
          </w:tcPr>
          <w:p>
            <w:pPr>
              <w:pStyle w:val="0"/>
              <w:outlineLvl w:val="3"/>
            </w:pPr>
            <w:r>
              <w:rPr>
                <w:sz w:val="24"/>
              </w:rPr>
              <w:t xml:space="preserve">Раздел 2.</w:t>
            </w:r>
          </w:p>
        </w:tc>
        <w:tc>
          <w:tcPr>
            <w:gridSpan w:val="4"/>
            <w:tcW w:w="7919" w:type="dxa"/>
            <w:tcBorders>
              <w:right w:val="single" w:sz="4"/>
            </w:tcBorders>
          </w:tcPr>
          <w:p>
            <w:pPr>
              <w:pStyle w:val="0"/>
            </w:pPr>
            <w:r>
              <w:rPr>
                <w:sz w:val="24"/>
              </w:rPr>
              <w:t xml:space="preserve">Расчет нормативного размера маржи платежеспособности</w:t>
            </w:r>
          </w:p>
        </w:tc>
      </w:tr>
      <w:tr>
        <w:tblPrEx>
          <w:tblBorders>
            <w:insideV w:val="nil"/>
          </w:tblBorders>
        </w:tblPrEx>
        <w:tc>
          <w:tcPr>
            <w:gridSpan w:val="3"/>
            <w:tcW w:w="1748" w:type="dxa"/>
            <w:tcBorders>
              <w:left w:val="single" w:sz="4"/>
            </w:tcBorders>
          </w:tcPr>
          <w:bookmarkStart w:id="32060" w:name="P32060"/>
          <w:bookmarkEnd w:id="32060"/>
          <w:p>
            <w:pPr>
              <w:pStyle w:val="0"/>
              <w:outlineLvl w:val="4"/>
            </w:pPr>
            <w:r>
              <w:rPr>
                <w:sz w:val="24"/>
              </w:rPr>
              <w:t xml:space="preserve">Подраздел 2.1.</w:t>
            </w:r>
          </w:p>
        </w:tc>
        <w:tc>
          <w:tcPr>
            <w:gridSpan w:val="3"/>
            <w:tcW w:w="7323" w:type="dxa"/>
            <w:tcBorders>
              <w:right w:val="single" w:sz="4"/>
            </w:tcBorders>
          </w:tcPr>
          <w:p>
            <w:pPr>
              <w:pStyle w:val="0"/>
            </w:pPr>
            <w:r>
              <w:rPr>
                <w:sz w:val="24"/>
              </w:rPr>
              <w:t xml:space="preserve">Расчет нормативного размера маржи платежеспособности по страхованию жизни</w:t>
            </w:r>
          </w:p>
        </w:tc>
      </w:tr>
      <w:tr>
        <w:tc>
          <w:tcPr>
            <w:tcW w:w="907" w:type="dxa"/>
          </w:tcPr>
          <w:bookmarkStart w:id="32062" w:name="P32062"/>
          <w:bookmarkEnd w:id="32062"/>
          <w:p>
            <w:pPr>
              <w:pStyle w:val="0"/>
            </w:pPr>
            <w:r>
              <w:rPr>
                <w:sz w:val="24"/>
              </w:rPr>
              <w:t xml:space="preserve">28</w:t>
            </w:r>
          </w:p>
        </w:tc>
        <w:tc>
          <w:tcPr>
            <w:gridSpan w:val="3"/>
            <w:tcW w:w="2608" w:type="dxa"/>
          </w:tcPr>
          <w:p>
            <w:pPr>
              <w:pStyle w:val="0"/>
            </w:pPr>
            <w:r>
              <w:rPr>
                <w:sz w:val="24"/>
              </w:rPr>
              <w:t xml:space="preserve">Риск смертности</w:t>
            </w:r>
          </w:p>
        </w:tc>
        <w:tc>
          <w:tcPr>
            <w:tcW w:w="2608" w:type="dxa"/>
          </w:tcPr>
          <w:p>
            <w:pPr>
              <w:pStyle w:val="0"/>
            </w:pPr>
            <w:r>
              <w:rPr>
                <w:sz w:val="24"/>
              </w:rPr>
            </w:r>
          </w:p>
        </w:tc>
        <w:tc>
          <w:tcPr>
            <w:tcW w:w="2948" w:type="dxa"/>
          </w:tcPr>
          <w:p>
            <w:pPr>
              <w:pStyle w:val="0"/>
            </w:pPr>
            <w:r>
              <w:rPr>
                <w:sz w:val="24"/>
              </w:rPr>
              <w:t xml:space="preserve">ins-dic:RiskSmertnosti</w:t>
            </w:r>
          </w:p>
        </w:tc>
      </w:tr>
      <w:tr>
        <w:tc>
          <w:tcPr>
            <w:tcW w:w="907" w:type="dxa"/>
          </w:tcPr>
          <w:p>
            <w:pPr>
              <w:pStyle w:val="0"/>
            </w:pPr>
            <w:r>
              <w:rPr>
                <w:sz w:val="24"/>
              </w:rPr>
              <w:t xml:space="preserve">28.1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070" w:name="P32070"/>
          <w:bookmarkEnd w:id="32070"/>
          <w:p>
            <w:pPr>
              <w:pStyle w:val="0"/>
            </w:pPr>
            <w:r>
              <w:rPr>
                <w:sz w:val="24"/>
              </w:rPr>
              <w:t xml:space="preserve">29</w:t>
            </w:r>
          </w:p>
        </w:tc>
        <w:tc>
          <w:tcPr>
            <w:gridSpan w:val="3"/>
            <w:tcW w:w="2608" w:type="dxa"/>
          </w:tcPr>
          <w:p>
            <w:pPr>
              <w:pStyle w:val="0"/>
            </w:pPr>
            <w:r>
              <w:rPr>
                <w:sz w:val="24"/>
              </w:rPr>
              <w:t xml:space="preserve">Риск долголетия</w:t>
            </w:r>
          </w:p>
        </w:tc>
        <w:tc>
          <w:tcPr>
            <w:tcW w:w="2608" w:type="dxa"/>
          </w:tcPr>
          <w:p>
            <w:pPr>
              <w:pStyle w:val="0"/>
            </w:pPr>
            <w:r>
              <w:rPr>
                <w:sz w:val="24"/>
              </w:rPr>
            </w:r>
          </w:p>
        </w:tc>
        <w:tc>
          <w:tcPr>
            <w:tcW w:w="2948" w:type="dxa"/>
          </w:tcPr>
          <w:p>
            <w:pPr>
              <w:pStyle w:val="0"/>
            </w:pPr>
            <w:r>
              <w:rPr>
                <w:sz w:val="24"/>
              </w:rPr>
              <w:t xml:space="preserve">ins-dic:RiskDolgoletiya</w:t>
            </w:r>
          </w:p>
        </w:tc>
      </w:tr>
      <w:tr>
        <w:tc>
          <w:tcPr>
            <w:tcW w:w="907" w:type="dxa"/>
          </w:tcPr>
          <w:p>
            <w:pPr>
              <w:pStyle w:val="0"/>
            </w:pPr>
            <w:r>
              <w:rPr>
                <w:sz w:val="24"/>
              </w:rPr>
              <w:t xml:space="preserve">29.1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078" w:name="P32078"/>
          <w:bookmarkEnd w:id="32078"/>
          <w:p>
            <w:pPr>
              <w:pStyle w:val="0"/>
            </w:pPr>
            <w:r>
              <w:rPr>
                <w:sz w:val="24"/>
              </w:rPr>
              <w:t xml:space="preserve">30</w:t>
            </w:r>
          </w:p>
        </w:tc>
        <w:tc>
          <w:tcPr>
            <w:gridSpan w:val="3"/>
            <w:tcW w:w="2608" w:type="dxa"/>
          </w:tcPr>
          <w:p>
            <w:pPr>
              <w:pStyle w:val="0"/>
            </w:pPr>
            <w:r>
              <w:rPr>
                <w:sz w:val="24"/>
              </w:rPr>
              <w:t xml:space="preserve">Риск расходов на ведение дела</w:t>
            </w:r>
          </w:p>
        </w:tc>
        <w:tc>
          <w:tcPr>
            <w:tcW w:w="2608" w:type="dxa"/>
          </w:tcPr>
          <w:p>
            <w:pPr>
              <w:pStyle w:val="0"/>
            </w:pPr>
            <w:r>
              <w:rPr>
                <w:sz w:val="24"/>
              </w:rPr>
            </w:r>
          </w:p>
        </w:tc>
        <w:tc>
          <w:tcPr>
            <w:tcW w:w="2948" w:type="dxa"/>
          </w:tcPr>
          <w:p>
            <w:pPr>
              <w:pStyle w:val="0"/>
            </w:pPr>
            <w:r>
              <w:rPr>
                <w:sz w:val="24"/>
              </w:rPr>
              <w:t xml:space="preserve">ins-dic:RiskRasxodov</w:t>
            </w:r>
          </w:p>
        </w:tc>
      </w:tr>
      <w:tr>
        <w:tc>
          <w:tcPr>
            <w:tcW w:w="907" w:type="dxa"/>
          </w:tcPr>
          <w:p>
            <w:pPr>
              <w:pStyle w:val="0"/>
            </w:pPr>
            <w:r>
              <w:rPr>
                <w:sz w:val="24"/>
              </w:rPr>
              <w:t xml:space="preserve">30.1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086" w:name="P32086"/>
          <w:bookmarkEnd w:id="32086"/>
          <w:p>
            <w:pPr>
              <w:pStyle w:val="0"/>
            </w:pPr>
            <w:r>
              <w:rPr>
                <w:sz w:val="24"/>
              </w:rPr>
              <w:t xml:space="preserve">31</w:t>
            </w:r>
          </w:p>
        </w:tc>
        <w:tc>
          <w:tcPr>
            <w:gridSpan w:val="3"/>
            <w:tcW w:w="2608" w:type="dxa"/>
          </w:tcPr>
          <w:p>
            <w:pPr>
              <w:pStyle w:val="0"/>
            </w:pPr>
            <w:r>
              <w:rPr>
                <w:sz w:val="24"/>
              </w:rPr>
              <w:t xml:space="preserve">Риск досрочного прекращения договоров или изменения их условий</w:t>
            </w:r>
          </w:p>
        </w:tc>
        <w:tc>
          <w:tcPr>
            <w:tcW w:w="2608" w:type="dxa"/>
          </w:tcPr>
          <w:p>
            <w:pPr>
              <w:pStyle w:val="0"/>
            </w:pPr>
            <w:r>
              <w:rPr>
                <w:sz w:val="24"/>
              </w:rPr>
            </w:r>
          </w:p>
        </w:tc>
        <w:tc>
          <w:tcPr>
            <w:tcW w:w="2948" w:type="dxa"/>
          </w:tcPr>
          <w:p>
            <w:pPr>
              <w:pStyle w:val="0"/>
            </w:pPr>
            <w:r>
              <w:rPr>
                <w:sz w:val="24"/>
              </w:rPr>
              <w:t xml:space="preserve">ins-dic:RiskDosrochnogoPrekrDogIliIzmIxUsiov</w:t>
            </w:r>
          </w:p>
        </w:tc>
      </w:tr>
      <w:tr>
        <w:tc>
          <w:tcPr>
            <w:tcW w:w="907" w:type="dxa"/>
          </w:tcPr>
          <w:p>
            <w:pPr>
              <w:pStyle w:val="0"/>
            </w:pPr>
            <w:r>
              <w:rPr>
                <w:sz w:val="24"/>
              </w:rPr>
              <w:t xml:space="preserve">31.1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094" w:name="P32094"/>
          <w:bookmarkEnd w:id="32094"/>
          <w:p>
            <w:pPr>
              <w:pStyle w:val="0"/>
            </w:pPr>
            <w:r>
              <w:rPr>
                <w:sz w:val="24"/>
              </w:rPr>
              <w:t xml:space="preserve">32</w:t>
            </w:r>
          </w:p>
        </w:tc>
        <w:tc>
          <w:tcPr>
            <w:gridSpan w:val="3"/>
            <w:tcW w:w="2608" w:type="dxa"/>
          </w:tcPr>
          <w:p>
            <w:pPr>
              <w:pStyle w:val="0"/>
            </w:pPr>
            <w:r>
              <w:rPr>
                <w:sz w:val="24"/>
              </w:rPr>
              <w:t xml:space="preserve">Величина LapseRisk</w:t>
            </w:r>
            <w:r>
              <w:rPr>
                <w:sz w:val="24"/>
                <w:vertAlign w:val="subscript"/>
              </w:rPr>
              <w:t xml:space="preserve">1</w:t>
            </w:r>
            <w:r>
              <w:rPr>
                <w:sz w:val="24"/>
              </w:rPr>
              <w:t xml:space="preserve"> (увеличение)</w:t>
            </w:r>
          </w:p>
        </w:tc>
        <w:tc>
          <w:tcPr>
            <w:tcW w:w="2608" w:type="dxa"/>
          </w:tcPr>
          <w:p>
            <w:pPr>
              <w:pStyle w:val="0"/>
            </w:pPr>
            <w:r>
              <w:rPr>
                <w:sz w:val="24"/>
              </w:rPr>
            </w:r>
          </w:p>
        </w:tc>
        <w:tc>
          <w:tcPr>
            <w:tcW w:w="2948" w:type="dxa"/>
          </w:tcPr>
          <w:p>
            <w:pPr>
              <w:pStyle w:val="0"/>
            </w:pPr>
            <w:r>
              <w:rPr>
                <w:sz w:val="24"/>
              </w:rPr>
              <w:t xml:space="preserve">ins-dic:VelichinaLapserisk1Uvelich</w:t>
            </w:r>
          </w:p>
        </w:tc>
      </w:tr>
      <w:tr>
        <w:tc>
          <w:tcPr>
            <w:tcW w:w="907" w:type="dxa"/>
          </w:tcPr>
          <w:p>
            <w:pPr>
              <w:pStyle w:val="0"/>
            </w:pPr>
            <w:r>
              <w:rPr>
                <w:sz w:val="24"/>
              </w:rPr>
              <w:t xml:space="preserve">32.1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02" w:name="P32102"/>
          <w:bookmarkEnd w:id="32102"/>
          <w:p>
            <w:pPr>
              <w:pStyle w:val="0"/>
            </w:pPr>
            <w:r>
              <w:rPr>
                <w:sz w:val="24"/>
              </w:rPr>
              <w:t xml:space="preserve">33</w:t>
            </w:r>
          </w:p>
        </w:tc>
        <w:tc>
          <w:tcPr>
            <w:gridSpan w:val="3"/>
            <w:tcW w:w="2608" w:type="dxa"/>
          </w:tcPr>
          <w:p>
            <w:pPr>
              <w:pStyle w:val="0"/>
            </w:pPr>
            <w:r>
              <w:rPr>
                <w:sz w:val="24"/>
              </w:rPr>
              <w:t xml:space="preserve">Величина LapseRisk</w:t>
            </w:r>
            <w:r>
              <w:rPr>
                <w:sz w:val="24"/>
                <w:vertAlign w:val="subscript"/>
              </w:rPr>
              <w:t xml:space="preserve">1</w:t>
            </w:r>
            <w:r>
              <w:rPr>
                <w:sz w:val="24"/>
              </w:rPr>
              <w:t xml:space="preserve"> (уменьшение)</w:t>
            </w:r>
          </w:p>
        </w:tc>
        <w:tc>
          <w:tcPr>
            <w:tcW w:w="2608" w:type="dxa"/>
          </w:tcPr>
          <w:p>
            <w:pPr>
              <w:pStyle w:val="0"/>
            </w:pPr>
            <w:r>
              <w:rPr>
                <w:sz w:val="24"/>
              </w:rPr>
            </w:r>
          </w:p>
        </w:tc>
        <w:tc>
          <w:tcPr>
            <w:tcW w:w="2948" w:type="dxa"/>
          </w:tcPr>
          <w:p>
            <w:pPr>
              <w:pStyle w:val="0"/>
            </w:pPr>
            <w:r>
              <w:rPr>
                <w:sz w:val="24"/>
              </w:rPr>
              <w:t xml:space="preserve">ins-dic:VelichinaLapserisk1Umensh</w:t>
            </w:r>
          </w:p>
        </w:tc>
      </w:tr>
      <w:tr>
        <w:tc>
          <w:tcPr>
            <w:tcW w:w="907" w:type="dxa"/>
          </w:tcPr>
          <w:p>
            <w:pPr>
              <w:pStyle w:val="0"/>
            </w:pPr>
            <w:r>
              <w:rPr>
                <w:sz w:val="24"/>
              </w:rPr>
              <w:t xml:space="preserve">33.1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dim-int:PerechenUchct_Grupp_Axis</w:t>
            </w:r>
          </w:p>
        </w:tc>
      </w:tr>
      <w:tr>
        <w:tc>
          <w:tcPr>
            <w:tcW w:w="907" w:type="dxa"/>
          </w:tcPr>
          <w:bookmarkStart w:id="32110" w:name="P32110"/>
          <w:bookmarkEnd w:id="32110"/>
          <w:p>
            <w:pPr>
              <w:pStyle w:val="0"/>
            </w:pPr>
            <w:r>
              <w:rPr>
                <w:sz w:val="24"/>
              </w:rPr>
              <w:t xml:space="preserve">34</w:t>
            </w:r>
          </w:p>
        </w:tc>
        <w:tc>
          <w:tcPr>
            <w:gridSpan w:val="3"/>
            <w:tcW w:w="2608" w:type="dxa"/>
          </w:tcPr>
          <w:p>
            <w:pPr>
              <w:pStyle w:val="0"/>
            </w:pPr>
            <w:r>
              <w:rPr>
                <w:sz w:val="24"/>
              </w:rPr>
              <w:t xml:space="preserve">Величина LapseRisk</w:t>
            </w:r>
            <w:r>
              <w:rPr>
                <w:sz w:val="24"/>
                <w:vertAlign w:val="subscript"/>
              </w:rPr>
              <w:t xml:space="preserve">2</w:t>
            </w:r>
          </w:p>
        </w:tc>
        <w:tc>
          <w:tcPr>
            <w:tcW w:w="2608" w:type="dxa"/>
          </w:tcPr>
          <w:p>
            <w:pPr>
              <w:pStyle w:val="0"/>
            </w:pPr>
            <w:r>
              <w:rPr>
                <w:sz w:val="24"/>
              </w:rPr>
            </w:r>
          </w:p>
        </w:tc>
        <w:tc>
          <w:tcPr>
            <w:tcW w:w="2948" w:type="dxa"/>
          </w:tcPr>
          <w:p>
            <w:pPr>
              <w:pStyle w:val="0"/>
            </w:pPr>
            <w:r>
              <w:rPr>
                <w:sz w:val="24"/>
              </w:rPr>
              <w:t xml:space="preserve">ins-dic:VelichinaLapserisk2</w:t>
            </w:r>
          </w:p>
        </w:tc>
      </w:tr>
      <w:tr>
        <w:tc>
          <w:tcPr>
            <w:tcW w:w="907" w:type="dxa"/>
          </w:tcPr>
          <w:p>
            <w:pPr>
              <w:pStyle w:val="0"/>
            </w:pPr>
            <w:r>
              <w:rPr>
                <w:sz w:val="24"/>
              </w:rPr>
              <w:t xml:space="preserve">34.1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18" w:name="P32118"/>
          <w:bookmarkEnd w:id="32118"/>
          <w:p>
            <w:pPr>
              <w:pStyle w:val="0"/>
            </w:pPr>
            <w:r>
              <w:rPr>
                <w:sz w:val="24"/>
              </w:rPr>
              <w:t xml:space="preserve">35</w:t>
            </w:r>
          </w:p>
        </w:tc>
        <w:tc>
          <w:tcPr>
            <w:gridSpan w:val="3"/>
            <w:tcW w:w="2608" w:type="dxa"/>
          </w:tcPr>
          <w:p>
            <w:pPr>
              <w:pStyle w:val="0"/>
            </w:pPr>
            <w:r>
              <w:rPr>
                <w:sz w:val="24"/>
              </w:rPr>
              <w:t xml:space="preserve">Прочие риски</w:t>
            </w:r>
          </w:p>
        </w:tc>
        <w:tc>
          <w:tcPr>
            <w:tcW w:w="2608" w:type="dxa"/>
          </w:tcPr>
          <w:p>
            <w:pPr>
              <w:pStyle w:val="0"/>
            </w:pPr>
            <w:r>
              <w:rPr>
                <w:sz w:val="24"/>
              </w:rPr>
            </w:r>
          </w:p>
        </w:tc>
        <w:tc>
          <w:tcPr>
            <w:tcW w:w="2948" w:type="dxa"/>
          </w:tcPr>
          <w:p>
            <w:pPr>
              <w:pStyle w:val="0"/>
            </w:pPr>
            <w:r>
              <w:rPr>
                <w:sz w:val="24"/>
              </w:rPr>
              <w:t xml:space="preserve">ins-dic:ProchieRiski</w:t>
            </w:r>
          </w:p>
        </w:tc>
      </w:tr>
      <w:tr>
        <w:tc>
          <w:tcPr>
            <w:tcW w:w="907" w:type="dxa"/>
          </w:tcPr>
          <w:p>
            <w:pPr>
              <w:pStyle w:val="0"/>
            </w:pPr>
            <w:r>
              <w:rPr>
                <w:sz w:val="24"/>
              </w:rPr>
              <w:t xml:space="preserve">35.1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26" w:name="P32126"/>
          <w:bookmarkEnd w:id="32126"/>
          <w:p>
            <w:pPr>
              <w:pStyle w:val="0"/>
            </w:pPr>
            <w:r>
              <w:rPr>
                <w:sz w:val="24"/>
              </w:rPr>
              <w:t xml:space="preserve">36</w:t>
            </w:r>
          </w:p>
        </w:tc>
        <w:tc>
          <w:tcPr>
            <w:gridSpan w:val="3"/>
            <w:tcW w:w="2608" w:type="dxa"/>
          </w:tcPr>
          <w:p>
            <w:pPr>
              <w:pStyle w:val="0"/>
            </w:pPr>
            <w:r>
              <w:rPr>
                <w:sz w:val="24"/>
              </w:rPr>
              <w:t xml:space="preserve">Вспомогательная величина (Кж)</w:t>
            </w:r>
          </w:p>
        </w:tc>
        <w:tc>
          <w:tcPr>
            <w:tcW w:w="2608" w:type="dxa"/>
          </w:tcPr>
          <w:p>
            <w:pPr>
              <w:pStyle w:val="0"/>
            </w:pPr>
            <w:r>
              <w:rPr>
                <w:sz w:val="24"/>
              </w:rPr>
            </w:r>
          </w:p>
        </w:tc>
        <w:tc>
          <w:tcPr>
            <w:tcW w:w="2948" w:type="dxa"/>
          </w:tcPr>
          <w:p>
            <w:pPr>
              <w:pStyle w:val="0"/>
            </w:pPr>
            <w:r>
              <w:rPr>
                <w:sz w:val="24"/>
              </w:rPr>
              <w:t xml:space="preserve">ins-dic:Popravkoef_Normatmarzhaszh</w:t>
            </w:r>
          </w:p>
        </w:tc>
      </w:tr>
      <w:tr>
        <w:tc>
          <w:tcPr>
            <w:tcW w:w="907" w:type="dxa"/>
          </w:tcPr>
          <w:p>
            <w:pPr>
              <w:pStyle w:val="0"/>
            </w:pPr>
            <w:r>
              <w:rPr>
                <w:sz w:val="24"/>
              </w:rPr>
              <w:t xml:space="preserve">36.1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34" w:name="P32134"/>
          <w:bookmarkEnd w:id="32134"/>
          <w:p>
            <w:pPr>
              <w:pStyle w:val="0"/>
            </w:pPr>
            <w:r>
              <w:rPr>
                <w:sz w:val="24"/>
              </w:rPr>
              <w:t xml:space="preserve">37</w:t>
            </w:r>
          </w:p>
        </w:tc>
        <w:tc>
          <w:tcPr>
            <w:gridSpan w:val="3"/>
            <w:tcW w:w="2608" w:type="dxa"/>
          </w:tcPr>
          <w:p>
            <w:pPr>
              <w:pStyle w:val="0"/>
            </w:pPr>
            <w:r>
              <w:rPr>
                <w:sz w:val="24"/>
              </w:rPr>
              <w:t xml:space="preserve">Доля перестраховщиков в резерве премий (ДДПП)</w:t>
            </w:r>
          </w:p>
        </w:tc>
        <w:tc>
          <w:tcPr>
            <w:tcW w:w="2608" w:type="dxa"/>
          </w:tcPr>
          <w:p>
            <w:pPr>
              <w:pStyle w:val="0"/>
            </w:pPr>
            <w:r>
              <w:rPr>
                <w:sz w:val="24"/>
              </w:rPr>
            </w:r>
          </w:p>
        </w:tc>
        <w:tc>
          <w:tcPr>
            <w:tcW w:w="2948" w:type="dxa"/>
          </w:tcPr>
          <w:p>
            <w:pPr>
              <w:pStyle w:val="0"/>
            </w:pPr>
            <w:r>
              <w:rPr>
                <w:sz w:val="24"/>
              </w:rPr>
              <w:t xml:space="preserve">ins-dic:DolyaPrstrVOcenkeOgidVelObyazRezervPr_DDPP</w:t>
            </w:r>
          </w:p>
        </w:tc>
      </w:tr>
      <w:tr>
        <w:tc>
          <w:tcPr>
            <w:tcW w:w="907" w:type="dxa"/>
          </w:tcPr>
          <w:p>
            <w:pPr>
              <w:pStyle w:val="0"/>
            </w:pPr>
            <w:r>
              <w:rPr>
                <w:sz w:val="24"/>
              </w:rPr>
              <w:t xml:space="preserve">37.1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42" w:name="P32142"/>
          <w:bookmarkEnd w:id="32142"/>
          <w:p>
            <w:pPr>
              <w:pStyle w:val="0"/>
            </w:pPr>
            <w:r>
              <w:rPr>
                <w:sz w:val="24"/>
              </w:rPr>
              <w:t xml:space="preserve">38</w:t>
            </w:r>
          </w:p>
        </w:tc>
        <w:tc>
          <w:tcPr>
            <w:gridSpan w:val="3"/>
            <w:tcW w:w="2608" w:type="dxa"/>
          </w:tcPr>
          <w:p>
            <w:pPr>
              <w:pStyle w:val="0"/>
            </w:pPr>
            <w:r>
              <w:rPr>
                <w:sz w:val="24"/>
              </w:rPr>
              <w:t xml:space="preserve">Доля перестраховщиков в резерве убытков (ДДПУ)</w:t>
            </w:r>
          </w:p>
        </w:tc>
        <w:tc>
          <w:tcPr>
            <w:tcW w:w="2608" w:type="dxa"/>
          </w:tcPr>
          <w:p>
            <w:pPr>
              <w:pStyle w:val="0"/>
            </w:pPr>
            <w:r>
              <w:rPr>
                <w:sz w:val="24"/>
              </w:rPr>
            </w:r>
          </w:p>
        </w:tc>
        <w:tc>
          <w:tcPr>
            <w:tcW w:w="2948" w:type="dxa"/>
          </w:tcPr>
          <w:p>
            <w:pPr>
              <w:pStyle w:val="0"/>
            </w:pPr>
            <w:r>
              <w:rPr>
                <w:sz w:val="24"/>
              </w:rPr>
              <w:t xml:space="preserve">ins-dic:DolyaPrstrVOcenkeOgidVelUbyt_DDPU</w:t>
            </w:r>
          </w:p>
        </w:tc>
      </w:tr>
      <w:tr>
        <w:tc>
          <w:tcPr>
            <w:tcW w:w="907" w:type="dxa"/>
          </w:tcPr>
          <w:p>
            <w:pPr>
              <w:pStyle w:val="0"/>
            </w:pPr>
            <w:r>
              <w:rPr>
                <w:sz w:val="24"/>
              </w:rPr>
              <w:t xml:space="preserve">38.1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blPrEx>
          <w:tblBorders>
            <w:insideV w:val="nil"/>
          </w:tblBorders>
        </w:tblPrEx>
        <w:tc>
          <w:tcPr>
            <w:gridSpan w:val="3"/>
            <w:tcW w:w="1748" w:type="dxa"/>
            <w:tcBorders>
              <w:left w:val="single" w:sz="4"/>
            </w:tcBorders>
          </w:tcPr>
          <w:bookmarkStart w:id="32150" w:name="P32150"/>
          <w:bookmarkEnd w:id="32150"/>
          <w:p>
            <w:pPr>
              <w:pStyle w:val="0"/>
              <w:outlineLvl w:val="4"/>
            </w:pPr>
            <w:r>
              <w:rPr>
                <w:sz w:val="24"/>
              </w:rPr>
              <w:t xml:space="preserve">Подраздел 2.2.</w:t>
            </w:r>
          </w:p>
        </w:tc>
        <w:tc>
          <w:tcPr>
            <w:gridSpan w:val="3"/>
            <w:tcW w:w="7323" w:type="dxa"/>
            <w:tcBorders>
              <w:right w:val="single" w:sz="4"/>
            </w:tcBorders>
          </w:tcPr>
          <w:p>
            <w:pPr>
              <w:pStyle w:val="0"/>
            </w:pPr>
            <w:r>
              <w:rPr>
                <w:sz w:val="24"/>
              </w:rPr>
              <w:t xml:space="preserve">Расчет нормативного размера маржи платежеспособности по страхованию иному, чем страхование жизни</w:t>
            </w:r>
          </w:p>
        </w:tc>
      </w:tr>
      <w:tr>
        <w:tc>
          <w:tcPr>
            <w:tcW w:w="907" w:type="dxa"/>
          </w:tcPr>
          <w:bookmarkStart w:id="32152" w:name="P32152"/>
          <w:bookmarkEnd w:id="32152"/>
          <w:p>
            <w:pPr>
              <w:pStyle w:val="0"/>
            </w:pPr>
            <w:r>
              <w:rPr>
                <w:sz w:val="24"/>
              </w:rPr>
              <w:t xml:space="preserve">39</w:t>
            </w:r>
          </w:p>
        </w:tc>
        <w:tc>
          <w:tcPr>
            <w:gridSpan w:val="3"/>
            <w:tcW w:w="2608" w:type="dxa"/>
          </w:tcPr>
          <w:p>
            <w:pPr>
              <w:pStyle w:val="0"/>
            </w:pPr>
            <w:r>
              <w:rPr>
                <w:sz w:val="24"/>
              </w:rPr>
              <w:t xml:space="preserve">Первый показатель</w:t>
            </w:r>
          </w:p>
        </w:tc>
        <w:tc>
          <w:tcPr>
            <w:tcW w:w="2608" w:type="dxa"/>
          </w:tcPr>
          <w:p>
            <w:pPr>
              <w:pStyle w:val="0"/>
            </w:pPr>
            <w:r>
              <w:rPr>
                <w:sz w:val="24"/>
              </w:rPr>
            </w:r>
          </w:p>
        </w:tc>
        <w:tc>
          <w:tcPr>
            <w:tcW w:w="2948" w:type="dxa"/>
          </w:tcPr>
          <w:p>
            <w:pPr>
              <w:pStyle w:val="0"/>
            </w:pPr>
            <w:r>
              <w:rPr>
                <w:sz w:val="24"/>
              </w:rPr>
              <w:t xml:space="preserve">ins-dic:PervPok_Raschet_NRMP_NZh</w:t>
            </w:r>
          </w:p>
        </w:tc>
      </w:tr>
      <w:tr>
        <w:tc>
          <w:tcPr>
            <w:tcW w:w="907" w:type="dxa"/>
          </w:tcPr>
          <w:p>
            <w:pPr>
              <w:pStyle w:val="0"/>
            </w:pPr>
            <w:r>
              <w:rPr>
                <w:sz w:val="24"/>
              </w:rPr>
              <w:t xml:space="preserve">39.1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60" w:name="P32160"/>
          <w:bookmarkEnd w:id="32160"/>
          <w:p>
            <w:pPr>
              <w:pStyle w:val="0"/>
            </w:pPr>
            <w:r>
              <w:rPr>
                <w:sz w:val="24"/>
              </w:rPr>
              <w:t xml:space="preserve">40</w:t>
            </w:r>
          </w:p>
        </w:tc>
        <w:tc>
          <w:tcPr>
            <w:gridSpan w:val="3"/>
            <w:tcW w:w="2608" w:type="dxa"/>
          </w:tcPr>
          <w:p>
            <w:pPr>
              <w:pStyle w:val="0"/>
            </w:pPr>
            <w:r>
              <w:rPr>
                <w:sz w:val="24"/>
              </w:rPr>
              <w:t xml:space="preserve">Второй показатель</w:t>
            </w:r>
          </w:p>
        </w:tc>
        <w:tc>
          <w:tcPr>
            <w:tcW w:w="2608" w:type="dxa"/>
          </w:tcPr>
          <w:p>
            <w:pPr>
              <w:pStyle w:val="0"/>
            </w:pPr>
            <w:r>
              <w:rPr>
                <w:sz w:val="24"/>
              </w:rPr>
            </w:r>
          </w:p>
        </w:tc>
        <w:tc>
          <w:tcPr>
            <w:tcW w:w="2948" w:type="dxa"/>
          </w:tcPr>
          <w:p>
            <w:pPr>
              <w:pStyle w:val="0"/>
            </w:pPr>
            <w:r>
              <w:rPr>
                <w:sz w:val="24"/>
              </w:rPr>
              <w:t xml:space="preserve">ins-dic:VtorPok_Raschet_NRMP_NZh</w:t>
            </w:r>
          </w:p>
        </w:tc>
      </w:tr>
      <w:tr>
        <w:tc>
          <w:tcPr>
            <w:tcW w:w="907" w:type="dxa"/>
          </w:tcPr>
          <w:p>
            <w:pPr>
              <w:pStyle w:val="0"/>
            </w:pPr>
            <w:r>
              <w:rPr>
                <w:sz w:val="24"/>
              </w:rPr>
              <w:t xml:space="preserve">40.1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68" w:name="P32168"/>
          <w:bookmarkEnd w:id="32168"/>
          <w:p>
            <w:pPr>
              <w:pStyle w:val="0"/>
            </w:pPr>
            <w:r>
              <w:rPr>
                <w:sz w:val="24"/>
              </w:rPr>
              <w:t xml:space="preserve">41</w:t>
            </w:r>
          </w:p>
        </w:tc>
        <w:tc>
          <w:tcPr>
            <w:gridSpan w:val="3"/>
            <w:tcW w:w="2608" w:type="dxa"/>
          </w:tcPr>
          <w:p>
            <w:pPr>
              <w:pStyle w:val="0"/>
            </w:pPr>
            <w:r>
              <w:rPr>
                <w:sz w:val="24"/>
              </w:rPr>
              <w:t xml:space="preserve">Поправочный коэффициент</w:t>
            </w:r>
          </w:p>
        </w:tc>
        <w:tc>
          <w:tcPr>
            <w:tcW w:w="2608" w:type="dxa"/>
          </w:tcPr>
          <w:p>
            <w:pPr>
              <w:pStyle w:val="0"/>
            </w:pPr>
            <w:r>
              <w:rPr>
                <w:sz w:val="24"/>
              </w:rPr>
            </w:r>
          </w:p>
        </w:tc>
        <w:tc>
          <w:tcPr>
            <w:tcW w:w="2948" w:type="dxa"/>
          </w:tcPr>
          <w:p>
            <w:pPr>
              <w:pStyle w:val="0"/>
            </w:pPr>
            <w:r>
              <w:rPr>
                <w:sz w:val="24"/>
              </w:rPr>
              <w:t xml:space="preserve">ins-dic:PopravKoef_Raschet_NRMP_NZh</w:t>
            </w:r>
          </w:p>
        </w:tc>
      </w:tr>
      <w:tr>
        <w:tc>
          <w:tcPr>
            <w:tcW w:w="907" w:type="dxa"/>
          </w:tcPr>
          <w:p>
            <w:pPr>
              <w:pStyle w:val="0"/>
            </w:pPr>
            <w:r>
              <w:rPr>
                <w:sz w:val="24"/>
              </w:rPr>
              <w:t xml:space="preserve">41.1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76" w:name="P32176"/>
          <w:bookmarkEnd w:id="32176"/>
          <w:p>
            <w:pPr>
              <w:pStyle w:val="0"/>
            </w:pPr>
            <w:r>
              <w:rPr>
                <w:sz w:val="24"/>
              </w:rPr>
              <w:t xml:space="preserve">42</w:t>
            </w:r>
          </w:p>
        </w:tc>
        <w:tc>
          <w:tcPr>
            <w:gridSpan w:val="3"/>
            <w:tcW w:w="2608" w:type="dxa"/>
          </w:tcPr>
          <w:p>
            <w:pPr>
              <w:pStyle w:val="0"/>
            </w:pPr>
            <w:r>
              <w:rPr>
                <w:sz w:val="24"/>
              </w:rPr>
              <w:t xml:space="preserve">Страховые премии с учетом периодов действия страхового покрытия</w:t>
            </w:r>
          </w:p>
        </w:tc>
        <w:tc>
          <w:tcPr>
            <w:tcW w:w="2608" w:type="dxa"/>
          </w:tcPr>
          <w:p>
            <w:pPr>
              <w:pStyle w:val="0"/>
            </w:pPr>
            <w:r>
              <w:rPr>
                <w:sz w:val="24"/>
              </w:rPr>
            </w:r>
          </w:p>
        </w:tc>
        <w:tc>
          <w:tcPr>
            <w:tcW w:w="2948" w:type="dxa"/>
          </w:tcPr>
          <w:p>
            <w:pPr>
              <w:pStyle w:val="0"/>
            </w:pPr>
            <w:r>
              <w:rPr>
                <w:sz w:val="24"/>
              </w:rPr>
              <w:t xml:space="preserve">ins-dic:StraxPremSUchPeriodDejstvStraxPokryt</w:t>
            </w:r>
          </w:p>
        </w:tc>
      </w:tr>
      <w:tr>
        <w:tc>
          <w:tcPr>
            <w:tcW w:w="907" w:type="dxa"/>
          </w:tcPr>
          <w:p>
            <w:pPr>
              <w:pStyle w:val="0"/>
            </w:pPr>
            <w:r>
              <w:rPr>
                <w:sz w:val="24"/>
              </w:rPr>
              <w:t xml:space="preserve">42.1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84" w:name="P32184"/>
          <w:bookmarkEnd w:id="32184"/>
          <w:p>
            <w:pPr>
              <w:pStyle w:val="0"/>
            </w:pPr>
            <w:r>
              <w:rPr>
                <w:sz w:val="24"/>
              </w:rPr>
              <w:t xml:space="preserve">43</w:t>
            </w:r>
          </w:p>
        </w:tc>
        <w:tc>
          <w:tcPr>
            <w:gridSpan w:val="3"/>
            <w:tcW w:w="2608" w:type="dxa"/>
          </w:tcPr>
          <w:p>
            <w:pPr>
              <w:pStyle w:val="0"/>
            </w:pPr>
            <w:r>
              <w:rPr>
                <w:sz w:val="24"/>
              </w:rPr>
              <w:t xml:space="preserve">Доля рынка, %</w:t>
            </w:r>
          </w:p>
        </w:tc>
        <w:tc>
          <w:tcPr>
            <w:tcW w:w="2608" w:type="dxa"/>
          </w:tcPr>
          <w:p>
            <w:pPr>
              <w:pStyle w:val="0"/>
            </w:pPr>
            <w:r>
              <w:rPr>
                <w:sz w:val="24"/>
              </w:rPr>
            </w:r>
          </w:p>
        </w:tc>
        <w:tc>
          <w:tcPr>
            <w:tcW w:w="2948" w:type="dxa"/>
          </w:tcPr>
          <w:p>
            <w:pPr>
              <w:pStyle w:val="0"/>
            </w:pPr>
            <w:r>
              <w:rPr>
                <w:sz w:val="24"/>
              </w:rPr>
              <w:t xml:space="preserve">ins-dic:DolyaRynkaProczent</w:t>
            </w:r>
          </w:p>
        </w:tc>
      </w:tr>
      <w:tr>
        <w:tc>
          <w:tcPr>
            <w:tcW w:w="907" w:type="dxa"/>
          </w:tcPr>
          <w:p>
            <w:pPr>
              <w:pStyle w:val="0"/>
            </w:pPr>
            <w:r>
              <w:rPr>
                <w:sz w:val="24"/>
              </w:rPr>
              <w:t xml:space="preserve">43.1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192" w:name="P32192"/>
          <w:bookmarkEnd w:id="32192"/>
          <w:p>
            <w:pPr>
              <w:pStyle w:val="0"/>
            </w:pPr>
            <w:r>
              <w:rPr>
                <w:sz w:val="24"/>
              </w:rPr>
              <w:t xml:space="preserve">44</w:t>
            </w:r>
          </w:p>
        </w:tc>
        <w:tc>
          <w:tcPr>
            <w:gridSpan w:val="3"/>
            <w:tcW w:w="2608" w:type="dxa"/>
          </w:tcPr>
          <w:p>
            <w:pPr>
              <w:pStyle w:val="0"/>
            </w:pPr>
            <w:r>
              <w:rPr>
                <w:sz w:val="24"/>
              </w:rPr>
              <w:t xml:space="preserve">Коэффициент дополнительных требований в зависимости от доли рынка (X</w:t>
            </w:r>
            <w:r>
              <w:rPr>
                <w:sz w:val="24"/>
                <w:vertAlign w:val="subscript"/>
              </w:rPr>
              <w:t xml:space="preserve">3</w:t>
            </w:r>
            <w:r>
              <w:rPr>
                <w:sz w:val="24"/>
              </w:rPr>
              <w:t xml:space="preserve">), %</w:t>
            </w:r>
          </w:p>
        </w:tc>
        <w:tc>
          <w:tcPr>
            <w:tcW w:w="2608" w:type="dxa"/>
          </w:tcPr>
          <w:p>
            <w:pPr>
              <w:pStyle w:val="0"/>
            </w:pPr>
            <w:r>
              <w:rPr>
                <w:sz w:val="24"/>
              </w:rPr>
            </w:r>
          </w:p>
        </w:tc>
        <w:tc>
          <w:tcPr>
            <w:tcW w:w="2948" w:type="dxa"/>
          </w:tcPr>
          <w:p>
            <w:pPr>
              <w:pStyle w:val="0"/>
            </w:pPr>
            <w:r>
              <w:rPr>
                <w:sz w:val="24"/>
              </w:rPr>
              <w:t xml:space="preserve">ins-dic:KoeffDopTrebVZavisOtDoliRynkaX3Proczent</w:t>
            </w:r>
          </w:p>
        </w:tc>
      </w:tr>
      <w:tr>
        <w:tc>
          <w:tcPr>
            <w:tcW w:w="907" w:type="dxa"/>
          </w:tcPr>
          <w:p>
            <w:pPr>
              <w:pStyle w:val="0"/>
            </w:pPr>
            <w:r>
              <w:rPr>
                <w:sz w:val="24"/>
              </w:rPr>
              <w:t xml:space="preserve">44.1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00" w:name="P32200"/>
          <w:bookmarkEnd w:id="32200"/>
          <w:p>
            <w:pPr>
              <w:pStyle w:val="0"/>
            </w:pPr>
            <w:r>
              <w:rPr>
                <w:sz w:val="24"/>
              </w:rPr>
              <w:t xml:space="preserve">45</w:t>
            </w:r>
          </w:p>
        </w:tc>
        <w:tc>
          <w:tcPr>
            <w:gridSpan w:val="3"/>
            <w:tcW w:w="2608" w:type="dxa"/>
          </w:tcPr>
          <w:p>
            <w:pPr>
              <w:pStyle w:val="0"/>
            </w:pPr>
            <w:r>
              <w:rPr>
                <w:sz w:val="24"/>
              </w:rPr>
              <w:t xml:space="preserve">Страховые выплаты</w:t>
            </w:r>
          </w:p>
        </w:tc>
        <w:tc>
          <w:tcPr>
            <w:tcW w:w="2608" w:type="dxa"/>
          </w:tcPr>
          <w:p>
            <w:pPr>
              <w:pStyle w:val="0"/>
            </w:pPr>
            <w:r>
              <w:rPr>
                <w:sz w:val="24"/>
              </w:rPr>
            </w:r>
          </w:p>
        </w:tc>
        <w:tc>
          <w:tcPr>
            <w:tcW w:w="2948" w:type="dxa"/>
          </w:tcPr>
          <w:p>
            <w:pPr>
              <w:pStyle w:val="0"/>
            </w:pPr>
            <w:r>
              <w:rPr>
                <w:sz w:val="24"/>
              </w:rPr>
              <w:t xml:space="preserve">ins-dic:FactProizStraxvyplaty</w:t>
            </w:r>
          </w:p>
        </w:tc>
      </w:tr>
      <w:tr>
        <w:tc>
          <w:tcPr>
            <w:tcW w:w="907" w:type="dxa"/>
          </w:tcPr>
          <w:p>
            <w:pPr>
              <w:pStyle w:val="0"/>
            </w:pPr>
            <w:r>
              <w:rPr>
                <w:sz w:val="24"/>
              </w:rPr>
              <w:t xml:space="preserve">45.1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08" w:name="P32208"/>
          <w:bookmarkEnd w:id="32208"/>
          <w:p>
            <w:pPr>
              <w:pStyle w:val="0"/>
            </w:pPr>
            <w:r>
              <w:rPr>
                <w:sz w:val="24"/>
              </w:rPr>
              <w:t xml:space="preserve">46</w:t>
            </w:r>
          </w:p>
        </w:tc>
        <w:tc>
          <w:tcPr>
            <w:gridSpan w:val="3"/>
            <w:tcW w:w="2608" w:type="dxa"/>
          </w:tcPr>
          <w:p>
            <w:pPr>
              <w:pStyle w:val="0"/>
            </w:pPr>
            <w:r>
              <w:rPr>
                <w:sz w:val="24"/>
              </w:rPr>
              <w:t xml:space="preserve">Страховые выплаты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ins-dic:PolPrichKPoluchStrVypDogIsxPstrZaklVOtnObyazProizStrVyp</w:t>
            </w:r>
          </w:p>
        </w:tc>
      </w:tr>
      <w:tr>
        <w:tc>
          <w:tcPr>
            <w:tcW w:w="907" w:type="dxa"/>
          </w:tcPr>
          <w:p>
            <w:pPr>
              <w:pStyle w:val="0"/>
            </w:pPr>
            <w:r>
              <w:rPr>
                <w:sz w:val="24"/>
              </w:rPr>
              <w:t xml:space="preserve">46.1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16" w:name="P32216"/>
          <w:bookmarkEnd w:id="32216"/>
          <w:p>
            <w:pPr>
              <w:pStyle w:val="0"/>
            </w:pPr>
            <w:r>
              <w:rPr>
                <w:sz w:val="24"/>
              </w:rPr>
              <w:t xml:space="preserve">47</w:t>
            </w:r>
          </w:p>
        </w:tc>
        <w:tc>
          <w:tcPr>
            <w:gridSpan w:val="3"/>
            <w:tcW w:w="2608" w:type="dxa"/>
          </w:tcPr>
          <w:p>
            <w:pPr>
              <w:pStyle w:val="0"/>
            </w:pPr>
            <w:r>
              <w:rPr>
                <w:sz w:val="24"/>
              </w:rPr>
              <w:t xml:space="preserve">Расходы на исполнение обязательств по страховым случаям</w:t>
            </w:r>
          </w:p>
        </w:tc>
        <w:tc>
          <w:tcPr>
            <w:tcW w:w="2608" w:type="dxa"/>
          </w:tcPr>
          <w:p>
            <w:pPr>
              <w:pStyle w:val="0"/>
            </w:pPr>
            <w:r>
              <w:rPr>
                <w:sz w:val="24"/>
              </w:rPr>
            </w:r>
          </w:p>
        </w:tc>
        <w:tc>
          <w:tcPr>
            <w:tcW w:w="2948" w:type="dxa"/>
          </w:tcPr>
          <w:p>
            <w:pPr>
              <w:pStyle w:val="0"/>
            </w:pPr>
            <w:r>
              <w:rPr>
                <w:sz w:val="24"/>
              </w:rPr>
              <w:t xml:space="preserve">ins-dic:RasxNaIspObyazPoStraxSluchPltzhsp</w:t>
            </w:r>
          </w:p>
        </w:tc>
      </w:tr>
      <w:tr>
        <w:tc>
          <w:tcPr>
            <w:tcW w:w="907" w:type="dxa"/>
          </w:tcPr>
          <w:p>
            <w:pPr>
              <w:pStyle w:val="0"/>
            </w:pPr>
            <w:r>
              <w:rPr>
                <w:sz w:val="24"/>
              </w:rPr>
              <w:t xml:space="preserve">47.1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dim-int:Perechen_Uchet_GruppAxis</w:t>
            </w:r>
          </w:p>
        </w:tc>
      </w:tr>
      <w:tr>
        <w:tc>
          <w:tcPr>
            <w:tcW w:w="907" w:type="dxa"/>
          </w:tcPr>
          <w:bookmarkStart w:id="32224" w:name="P32224"/>
          <w:bookmarkEnd w:id="32224"/>
          <w:p>
            <w:pPr>
              <w:pStyle w:val="0"/>
            </w:pPr>
            <w:r>
              <w:rPr>
                <w:sz w:val="24"/>
              </w:rPr>
              <w:t xml:space="preserve">48</w:t>
            </w:r>
          </w:p>
        </w:tc>
        <w:tc>
          <w:tcPr>
            <w:gridSpan w:val="3"/>
            <w:tcW w:w="2608" w:type="dxa"/>
          </w:tcPr>
          <w:p>
            <w:pPr>
              <w:pStyle w:val="0"/>
            </w:pPr>
            <w:r>
              <w:rPr>
                <w:sz w:val="24"/>
              </w:rPr>
              <w:t xml:space="preserve">Доля перестраховщиков в расходах на исполнение обязательств по страховым случаям</w:t>
            </w:r>
          </w:p>
        </w:tc>
        <w:tc>
          <w:tcPr>
            <w:tcW w:w="2608" w:type="dxa"/>
          </w:tcPr>
          <w:p>
            <w:pPr>
              <w:pStyle w:val="0"/>
            </w:pPr>
            <w:r>
              <w:rPr>
                <w:sz w:val="24"/>
              </w:rPr>
            </w:r>
          </w:p>
        </w:tc>
        <w:tc>
          <w:tcPr>
            <w:tcW w:w="2948" w:type="dxa"/>
          </w:tcPr>
          <w:p>
            <w:pPr>
              <w:pStyle w:val="0"/>
            </w:pPr>
            <w:r>
              <w:rPr>
                <w:sz w:val="24"/>
              </w:rPr>
              <w:t xml:space="preserve">ins-dic:VozmPerestrFactPonesRasxNaIspolObayzat</w:t>
            </w:r>
          </w:p>
        </w:tc>
      </w:tr>
      <w:tr>
        <w:tc>
          <w:tcPr>
            <w:tcW w:w="907" w:type="dxa"/>
          </w:tcPr>
          <w:p>
            <w:pPr>
              <w:pStyle w:val="0"/>
            </w:pPr>
            <w:r>
              <w:rPr>
                <w:sz w:val="24"/>
              </w:rPr>
              <w:t xml:space="preserve">48.1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32" w:name="P32232"/>
          <w:bookmarkEnd w:id="32232"/>
          <w:p>
            <w:pPr>
              <w:pStyle w:val="0"/>
            </w:pPr>
            <w:r>
              <w:rPr>
                <w:sz w:val="24"/>
              </w:rPr>
              <w:t xml:space="preserve">49</w:t>
            </w:r>
          </w:p>
        </w:tc>
        <w:tc>
          <w:tcPr>
            <w:gridSpan w:val="3"/>
            <w:tcW w:w="2608" w:type="dxa"/>
          </w:tcPr>
          <w:p>
            <w:pPr>
              <w:pStyle w:val="0"/>
            </w:pPr>
            <w:r>
              <w:rPr>
                <w:sz w:val="24"/>
              </w:rPr>
              <w:t xml:space="preserve">Поступления по суброгациям, регрессам и от реализации годных остатков</w:t>
            </w:r>
          </w:p>
        </w:tc>
        <w:tc>
          <w:tcPr>
            <w:tcW w:w="2608" w:type="dxa"/>
          </w:tcPr>
          <w:p>
            <w:pPr>
              <w:pStyle w:val="0"/>
            </w:pPr>
            <w:r>
              <w:rPr>
                <w:sz w:val="24"/>
              </w:rPr>
            </w:r>
          </w:p>
        </w:tc>
        <w:tc>
          <w:tcPr>
            <w:tcW w:w="2948" w:type="dxa"/>
          </w:tcPr>
          <w:p>
            <w:pPr>
              <w:pStyle w:val="0"/>
            </w:pPr>
            <w:r>
              <w:rPr>
                <w:sz w:val="24"/>
              </w:rPr>
              <w:t xml:space="preserve">ins-dic:SumPoluchPoSubroRegrTrebGodnOstNarastItog</w:t>
            </w:r>
          </w:p>
        </w:tc>
      </w:tr>
      <w:tr>
        <w:tc>
          <w:tcPr>
            <w:tcW w:w="907" w:type="dxa"/>
          </w:tcPr>
          <w:p>
            <w:pPr>
              <w:pStyle w:val="0"/>
            </w:pPr>
            <w:r>
              <w:rPr>
                <w:sz w:val="24"/>
              </w:rPr>
              <w:t xml:space="preserve">49.1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40" w:name="P32240"/>
          <w:bookmarkEnd w:id="32240"/>
          <w:p>
            <w:pPr>
              <w:pStyle w:val="0"/>
            </w:pPr>
            <w:r>
              <w:rPr>
                <w:sz w:val="24"/>
              </w:rPr>
              <w:t xml:space="preserve">50</w:t>
            </w:r>
          </w:p>
        </w:tc>
        <w:tc>
          <w:tcPr>
            <w:gridSpan w:val="3"/>
            <w:tcW w:w="2608" w:type="dxa"/>
          </w:tcPr>
          <w:p>
            <w:pPr>
              <w:pStyle w:val="0"/>
            </w:pPr>
            <w:r>
              <w:rPr>
                <w:sz w:val="24"/>
              </w:rPr>
              <w:t xml:space="preserve">Доля перестраховщиков в поступлениях по суброгациям, регрессам и от реализации годных остатков</w:t>
            </w:r>
          </w:p>
        </w:tc>
        <w:tc>
          <w:tcPr>
            <w:tcW w:w="2608" w:type="dxa"/>
          </w:tcPr>
          <w:p>
            <w:pPr>
              <w:pStyle w:val="0"/>
            </w:pPr>
            <w:r>
              <w:rPr>
                <w:sz w:val="24"/>
              </w:rPr>
            </w:r>
          </w:p>
        </w:tc>
        <w:tc>
          <w:tcPr>
            <w:tcW w:w="2948" w:type="dxa"/>
          </w:tcPr>
          <w:p>
            <w:pPr>
              <w:pStyle w:val="0"/>
            </w:pPr>
            <w:r>
              <w:rPr>
                <w:sz w:val="24"/>
              </w:rPr>
              <w:t xml:space="preserve">ins-dic:DolyaPerestrPostSubrogRegrRealGodnOst</w:t>
            </w:r>
          </w:p>
        </w:tc>
      </w:tr>
      <w:tr>
        <w:tc>
          <w:tcPr>
            <w:tcW w:w="907" w:type="dxa"/>
          </w:tcPr>
          <w:p>
            <w:pPr>
              <w:pStyle w:val="0"/>
            </w:pPr>
            <w:r>
              <w:rPr>
                <w:sz w:val="24"/>
              </w:rPr>
              <w:t xml:space="preserve">50.1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48" w:name="P32248"/>
          <w:bookmarkEnd w:id="32248"/>
          <w:p>
            <w:pPr>
              <w:pStyle w:val="0"/>
            </w:pPr>
            <w:r>
              <w:rPr>
                <w:sz w:val="24"/>
              </w:rPr>
              <w:t xml:space="preserve">51</w:t>
            </w:r>
          </w:p>
        </w:tc>
        <w:tc>
          <w:tcPr>
            <w:gridSpan w:val="3"/>
            <w:tcW w:w="2608" w:type="dxa"/>
          </w:tcPr>
          <w:p>
            <w:pPr>
              <w:pStyle w:val="0"/>
            </w:pPr>
            <w:r>
              <w:rPr>
                <w:sz w:val="24"/>
              </w:rPr>
              <w:t xml:space="preserve">Оценка ожидаемой величины обязательств по резерву убытков (ДПУ)</w:t>
            </w:r>
          </w:p>
        </w:tc>
        <w:tc>
          <w:tcPr>
            <w:tcW w:w="2608" w:type="dxa"/>
          </w:tcPr>
          <w:p>
            <w:pPr>
              <w:pStyle w:val="0"/>
            </w:pPr>
            <w:r>
              <w:rPr>
                <w:sz w:val="24"/>
              </w:rPr>
            </w:r>
          </w:p>
        </w:tc>
        <w:tc>
          <w:tcPr>
            <w:tcW w:w="2948" w:type="dxa"/>
          </w:tcPr>
          <w:p>
            <w:pPr>
              <w:pStyle w:val="0"/>
            </w:pPr>
            <w:r>
              <w:rPr>
                <w:sz w:val="24"/>
              </w:rPr>
              <w:t xml:space="preserve">ins-dic:RezervUbytkovOczenkaOzhidVelichinyObyazPoRU_DPU</w:t>
            </w:r>
          </w:p>
        </w:tc>
      </w:tr>
      <w:tr>
        <w:tc>
          <w:tcPr>
            <w:tcW w:w="907" w:type="dxa"/>
          </w:tcPr>
          <w:p>
            <w:pPr>
              <w:pStyle w:val="0"/>
            </w:pPr>
            <w:r>
              <w:rPr>
                <w:sz w:val="24"/>
              </w:rPr>
              <w:t xml:space="preserve">51.1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56" w:name="P32256"/>
          <w:bookmarkEnd w:id="32256"/>
          <w:p>
            <w:pPr>
              <w:pStyle w:val="0"/>
            </w:pPr>
            <w:r>
              <w:rPr>
                <w:sz w:val="24"/>
              </w:rPr>
              <w:t xml:space="preserve">52</w:t>
            </w:r>
          </w:p>
        </w:tc>
        <w:tc>
          <w:tcPr>
            <w:gridSpan w:val="3"/>
            <w:tcW w:w="2608" w:type="dxa"/>
          </w:tcPr>
          <w:p>
            <w:pPr>
              <w:pStyle w:val="0"/>
            </w:pPr>
            <w:r>
              <w:rPr>
                <w:sz w:val="24"/>
              </w:rPr>
              <w:t xml:space="preserve">Доля перестраховщиков в резерве убытков (ДДПУ)</w:t>
            </w:r>
          </w:p>
        </w:tc>
        <w:tc>
          <w:tcPr>
            <w:tcW w:w="2608" w:type="dxa"/>
          </w:tcPr>
          <w:p>
            <w:pPr>
              <w:pStyle w:val="0"/>
            </w:pPr>
            <w:r>
              <w:rPr>
                <w:sz w:val="24"/>
              </w:rPr>
            </w:r>
          </w:p>
        </w:tc>
        <w:tc>
          <w:tcPr>
            <w:tcW w:w="2948" w:type="dxa"/>
          </w:tcPr>
          <w:p>
            <w:pPr>
              <w:pStyle w:val="0"/>
            </w:pPr>
            <w:r>
              <w:rPr>
                <w:sz w:val="24"/>
              </w:rPr>
              <w:t xml:space="preserve">ins-dic:DolyaPrstrVOcenkeOgidVelUbyt_DDPU</w:t>
            </w:r>
          </w:p>
        </w:tc>
      </w:tr>
      <w:tr>
        <w:tc>
          <w:tcPr>
            <w:tcW w:w="907" w:type="dxa"/>
          </w:tcPr>
          <w:p>
            <w:pPr>
              <w:pStyle w:val="0"/>
            </w:pPr>
            <w:r>
              <w:rPr>
                <w:sz w:val="24"/>
              </w:rPr>
              <w:t xml:space="preserve">52.1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64" w:name="P32264"/>
          <w:bookmarkEnd w:id="32264"/>
          <w:p>
            <w:pPr>
              <w:pStyle w:val="0"/>
            </w:pPr>
            <w:r>
              <w:rPr>
                <w:sz w:val="24"/>
              </w:rPr>
              <w:t xml:space="preserve">53</w:t>
            </w:r>
          </w:p>
        </w:tc>
        <w:tc>
          <w:tcPr>
            <w:gridSpan w:val="3"/>
            <w:tcW w:w="2608" w:type="dxa"/>
          </w:tcPr>
          <w:p>
            <w:pPr>
              <w:pStyle w:val="0"/>
            </w:pPr>
            <w:r>
              <w:rPr>
                <w:sz w:val="24"/>
              </w:rPr>
              <w:t xml:space="preserve">Резерв по прямому возмещению убытков (РПВУ)</w:t>
            </w:r>
          </w:p>
        </w:tc>
        <w:tc>
          <w:tcPr>
            <w:tcW w:w="2608" w:type="dxa"/>
          </w:tcPr>
          <w:p>
            <w:pPr>
              <w:pStyle w:val="0"/>
            </w:pPr>
            <w:r>
              <w:rPr>
                <w:sz w:val="24"/>
              </w:rPr>
            </w:r>
          </w:p>
        </w:tc>
        <w:tc>
          <w:tcPr>
            <w:tcW w:w="2948" w:type="dxa"/>
          </w:tcPr>
          <w:p>
            <w:pPr>
              <w:pStyle w:val="0"/>
            </w:pPr>
            <w:r>
              <w:rPr>
                <w:sz w:val="24"/>
              </w:rPr>
              <w:t xml:space="preserve">ins-dic:RezervPoPryamVozmeshhUbytkov_RPVU</w:t>
            </w:r>
          </w:p>
        </w:tc>
      </w:tr>
      <w:tr>
        <w:tc>
          <w:tcPr>
            <w:tcW w:w="907" w:type="dxa"/>
          </w:tcPr>
          <w:p>
            <w:pPr>
              <w:pStyle w:val="0"/>
            </w:pPr>
            <w:r>
              <w:rPr>
                <w:sz w:val="24"/>
              </w:rPr>
              <w:t xml:space="preserve">53.1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72" w:name="P32272"/>
          <w:bookmarkEnd w:id="32272"/>
          <w:p>
            <w:pPr>
              <w:pStyle w:val="0"/>
            </w:pPr>
            <w:r>
              <w:rPr>
                <w:sz w:val="24"/>
              </w:rPr>
              <w:t xml:space="preserve">54</w:t>
            </w:r>
          </w:p>
        </w:tc>
        <w:tc>
          <w:tcPr>
            <w:gridSpan w:val="3"/>
            <w:tcW w:w="2608" w:type="dxa"/>
          </w:tcPr>
          <w:p>
            <w:pPr>
              <w:pStyle w:val="0"/>
            </w:pPr>
            <w:r>
              <w:rPr>
                <w:sz w:val="24"/>
              </w:rPr>
              <w:t xml:space="preserve">Доля перестраховщиков в резерве по прямому возмещению убытков (ДРПВУ)</w:t>
            </w:r>
          </w:p>
        </w:tc>
        <w:tc>
          <w:tcPr>
            <w:tcW w:w="2608" w:type="dxa"/>
          </w:tcPr>
          <w:p>
            <w:pPr>
              <w:pStyle w:val="0"/>
            </w:pPr>
            <w:r>
              <w:rPr>
                <w:sz w:val="24"/>
              </w:rPr>
            </w:r>
          </w:p>
        </w:tc>
        <w:tc>
          <w:tcPr>
            <w:tcW w:w="2948" w:type="dxa"/>
          </w:tcPr>
          <w:p>
            <w:pPr>
              <w:pStyle w:val="0"/>
            </w:pPr>
            <w:r>
              <w:rPr>
                <w:sz w:val="24"/>
              </w:rPr>
              <w:t xml:space="preserve">ins-dic:DolyaPerestrVRPVU</w:t>
            </w:r>
          </w:p>
        </w:tc>
      </w:tr>
      <w:tr>
        <w:tc>
          <w:tcPr>
            <w:tcW w:w="907" w:type="dxa"/>
          </w:tcPr>
          <w:p>
            <w:pPr>
              <w:pStyle w:val="0"/>
            </w:pPr>
            <w:r>
              <w:rPr>
                <w:sz w:val="24"/>
              </w:rPr>
              <w:t xml:space="preserve">54.1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80" w:name="P32280"/>
          <w:bookmarkEnd w:id="32280"/>
          <w:p>
            <w:pPr>
              <w:pStyle w:val="0"/>
            </w:pPr>
            <w:r>
              <w:rPr>
                <w:sz w:val="24"/>
              </w:rPr>
              <w:t xml:space="preserve">55</w:t>
            </w:r>
          </w:p>
        </w:tc>
        <w:tc>
          <w:tcPr>
            <w:gridSpan w:val="3"/>
            <w:tcW w:w="2608" w:type="dxa"/>
          </w:tcPr>
          <w:p>
            <w:pPr>
              <w:pStyle w:val="0"/>
            </w:pPr>
            <w:r>
              <w:rPr>
                <w:sz w:val="24"/>
              </w:rPr>
              <w:t xml:space="preserve">Права требования по суброгациям и регрессам и годные остатки</w:t>
            </w:r>
          </w:p>
        </w:tc>
        <w:tc>
          <w:tcPr>
            <w:tcW w:w="2608" w:type="dxa"/>
          </w:tcPr>
          <w:p>
            <w:pPr>
              <w:pStyle w:val="0"/>
            </w:pPr>
            <w:r>
              <w:rPr>
                <w:sz w:val="24"/>
              </w:rPr>
            </w:r>
          </w:p>
        </w:tc>
        <w:tc>
          <w:tcPr>
            <w:tcW w:w="2948" w:type="dxa"/>
          </w:tcPr>
          <w:p>
            <w:pPr>
              <w:pStyle w:val="0"/>
            </w:pPr>
            <w:r>
              <w:rPr>
                <w:sz w:val="24"/>
              </w:rPr>
              <w:t xml:space="preserve">ins-dic:PravaTrebPoSubrlRegrTrebIPoluchZastrImushIGodnOst</w:t>
            </w:r>
          </w:p>
        </w:tc>
      </w:tr>
      <w:tr>
        <w:tc>
          <w:tcPr>
            <w:tcW w:w="907" w:type="dxa"/>
          </w:tcPr>
          <w:p>
            <w:pPr>
              <w:pStyle w:val="0"/>
            </w:pPr>
            <w:r>
              <w:rPr>
                <w:sz w:val="24"/>
              </w:rPr>
              <w:t xml:space="preserve">55.1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88" w:name="P32288"/>
          <w:bookmarkEnd w:id="32288"/>
          <w:p>
            <w:pPr>
              <w:pStyle w:val="0"/>
            </w:pPr>
            <w:r>
              <w:rPr>
                <w:sz w:val="24"/>
              </w:rPr>
              <w:t xml:space="preserve">56</w:t>
            </w:r>
          </w:p>
        </w:tc>
        <w:tc>
          <w:tcPr>
            <w:gridSpan w:val="3"/>
            <w:tcW w:w="2608" w:type="dxa"/>
          </w:tcPr>
          <w:p>
            <w:pPr>
              <w:pStyle w:val="0"/>
            </w:pPr>
            <w:r>
              <w:rPr>
                <w:sz w:val="24"/>
              </w:rPr>
              <w:t xml:space="preserve">Доля перестраховщиков в правах требования по суброгациям и регрессам и годных остатках</w:t>
            </w:r>
          </w:p>
        </w:tc>
        <w:tc>
          <w:tcPr>
            <w:tcW w:w="2608" w:type="dxa"/>
          </w:tcPr>
          <w:p>
            <w:pPr>
              <w:pStyle w:val="0"/>
            </w:pPr>
            <w:r>
              <w:rPr>
                <w:sz w:val="24"/>
              </w:rPr>
            </w:r>
          </w:p>
        </w:tc>
        <w:tc>
          <w:tcPr>
            <w:tcW w:w="2948" w:type="dxa"/>
          </w:tcPr>
          <w:p>
            <w:pPr>
              <w:pStyle w:val="0"/>
            </w:pPr>
            <w:r>
              <w:rPr>
                <w:sz w:val="24"/>
              </w:rPr>
              <w:t xml:space="preserve">ins-dic:DolPrstrVVelPravTrebStrPoSubrIRegrIVVelStAktiv</w:t>
            </w:r>
          </w:p>
        </w:tc>
      </w:tr>
      <w:tr>
        <w:tc>
          <w:tcPr>
            <w:tcW w:w="907" w:type="dxa"/>
          </w:tcPr>
          <w:p>
            <w:pPr>
              <w:pStyle w:val="0"/>
            </w:pPr>
            <w:r>
              <w:rPr>
                <w:sz w:val="24"/>
              </w:rPr>
              <w:t xml:space="preserve">56.1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296" w:name="P32296"/>
          <w:bookmarkEnd w:id="32296"/>
          <w:p>
            <w:pPr>
              <w:pStyle w:val="0"/>
            </w:pPr>
            <w:r>
              <w:rPr>
                <w:sz w:val="24"/>
              </w:rPr>
              <w:t xml:space="preserve">57</w:t>
            </w:r>
          </w:p>
        </w:tc>
        <w:tc>
          <w:tcPr>
            <w:gridSpan w:val="3"/>
            <w:tcW w:w="2608" w:type="dxa"/>
          </w:tcPr>
          <w:p>
            <w:pPr>
              <w:pStyle w:val="0"/>
            </w:pPr>
            <w:r>
              <w:rPr>
                <w:sz w:val="24"/>
              </w:rPr>
              <w:t xml:space="preserve">Вспомогательная величина СтР</w:t>
            </w:r>
          </w:p>
        </w:tc>
        <w:tc>
          <w:tcPr>
            <w:tcW w:w="2608" w:type="dxa"/>
          </w:tcPr>
          <w:p>
            <w:pPr>
              <w:pStyle w:val="0"/>
            </w:pPr>
            <w:r>
              <w:rPr>
                <w:sz w:val="24"/>
              </w:rPr>
            </w:r>
          </w:p>
        </w:tc>
        <w:tc>
          <w:tcPr>
            <w:tcW w:w="2948" w:type="dxa"/>
          </w:tcPr>
          <w:p>
            <w:pPr>
              <w:pStyle w:val="0"/>
            </w:pPr>
            <w:r>
              <w:rPr>
                <w:sz w:val="24"/>
              </w:rPr>
              <w:t xml:space="preserve">ins-dic:StR3</w:t>
            </w:r>
          </w:p>
        </w:tc>
      </w:tr>
      <w:tr>
        <w:tc>
          <w:tcPr>
            <w:tcW w:w="907" w:type="dxa"/>
          </w:tcPr>
          <w:p>
            <w:pPr>
              <w:pStyle w:val="0"/>
            </w:pPr>
            <w:r>
              <w:rPr>
                <w:sz w:val="24"/>
              </w:rPr>
              <w:t xml:space="preserve">57.1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304" w:name="P32304"/>
          <w:bookmarkEnd w:id="32304"/>
          <w:p>
            <w:pPr>
              <w:pStyle w:val="0"/>
            </w:pPr>
            <w:r>
              <w:rPr>
                <w:sz w:val="24"/>
              </w:rPr>
              <w:t xml:space="preserve">58</w:t>
            </w:r>
          </w:p>
        </w:tc>
        <w:tc>
          <w:tcPr>
            <w:gridSpan w:val="3"/>
            <w:tcW w:w="2608" w:type="dxa"/>
          </w:tcPr>
          <w:p>
            <w:pPr>
              <w:pStyle w:val="0"/>
            </w:pPr>
            <w:r>
              <w:rPr>
                <w:sz w:val="24"/>
              </w:rPr>
              <w:t xml:space="preserve">Вспомогательная величина СР</w:t>
            </w:r>
          </w:p>
        </w:tc>
        <w:tc>
          <w:tcPr>
            <w:tcW w:w="2608" w:type="dxa"/>
          </w:tcPr>
          <w:p>
            <w:pPr>
              <w:pStyle w:val="0"/>
            </w:pPr>
            <w:r>
              <w:rPr>
                <w:sz w:val="24"/>
              </w:rPr>
            </w:r>
          </w:p>
        </w:tc>
        <w:tc>
          <w:tcPr>
            <w:tcW w:w="2948" w:type="dxa"/>
          </w:tcPr>
          <w:p>
            <w:pPr>
              <w:pStyle w:val="0"/>
            </w:pPr>
            <w:r>
              <w:rPr>
                <w:sz w:val="24"/>
              </w:rPr>
              <w:t xml:space="preserve">ins-dic:VelichinaCP</w:t>
            </w:r>
          </w:p>
        </w:tc>
      </w:tr>
      <w:tr>
        <w:tc>
          <w:tcPr>
            <w:tcW w:w="907" w:type="dxa"/>
          </w:tcPr>
          <w:p>
            <w:pPr>
              <w:pStyle w:val="0"/>
            </w:pPr>
            <w:r>
              <w:rPr>
                <w:sz w:val="24"/>
              </w:rPr>
              <w:t xml:space="preserve">58.1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312" w:name="P32312"/>
          <w:bookmarkEnd w:id="32312"/>
          <w:p>
            <w:pPr>
              <w:pStyle w:val="0"/>
            </w:pPr>
            <w:r>
              <w:rPr>
                <w:sz w:val="24"/>
              </w:rPr>
              <w:t xml:space="preserve">59</w:t>
            </w:r>
          </w:p>
        </w:tc>
        <w:tc>
          <w:tcPr>
            <w:gridSpan w:val="3"/>
            <w:tcW w:w="2608" w:type="dxa"/>
          </w:tcPr>
          <w:p>
            <w:pPr>
              <w:pStyle w:val="0"/>
            </w:pPr>
            <w:r>
              <w:rPr>
                <w:sz w:val="24"/>
              </w:rPr>
              <w:t xml:space="preserve">Максимальная страховая сумма по договорам страхования ответственности арбитражного управляющего (Smax)</w:t>
            </w:r>
          </w:p>
        </w:tc>
        <w:tc>
          <w:tcPr>
            <w:tcW w:w="2608" w:type="dxa"/>
          </w:tcPr>
          <w:p>
            <w:pPr>
              <w:pStyle w:val="0"/>
            </w:pPr>
            <w:r>
              <w:rPr>
                <w:sz w:val="24"/>
              </w:rPr>
            </w:r>
          </w:p>
        </w:tc>
        <w:tc>
          <w:tcPr>
            <w:tcW w:w="2948" w:type="dxa"/>
          </w:tcPr>
          <w:p>
            <w:pPr>
              <w:pStyle w:val="0"/>
            </w:pPr>
            <w:r>
              <w:rPr>
                <w:sz w:val="24"/>
              </w:rPr>
              <w:t xml:space="preserve">ins-dic:MaxStrSummaPoDogStrOtvetstvArbitrazhnUpravlSmax</w:t>
            </w:r>
          </w:p>
        </w:tc>
      </w:tr>
      <w:tr>
        <w:tc>
          <w:tcPr>
            <w:tcW w:w="907" w:type="dxa"/>
          </w:tcPr>
          <w:p>
            <w:pPr>
              <w:pStyle w:val="0"/>
            </w:pPr>
            <w:r>
              <w:rPr>
                <w:sz w:val="24"/>
              </w:rPr>
              <w:t xml:space="preserve">59.1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2320" w:name="P32320"/>
          <w:bookmarkEnd w:id="32320"/>
          <w:p>
            <w:pPr>
              <w:pStyle w:val="0"/>
            </w:pPr>
            <w:r>
              <w:rPr>
                <w:sz w:val="24"/>
              </w:rPr>
              <w:t xml:space="preserve">60</w:t>
            </w:r>
          </w:p>
        </w:tc>
        <w:tc>
          <w:tcPr>
            <w:gridSpan w:val="3"/>
            <w:tcW w:w="2608" w:type="dxa"/>
          </w:tcPr>
          <w:p>
            <w:pPr>
              <w:pStyle w:val="0"/>
            </w:pPr>
            <w:r>
              <w:rPr>
                <w:sz w:val="24"/>
              </w:rPr>
              <w:t xml:space="preserve">Показатель SS</w:t>
            </w:r>
          </w:p>
        </w:tc>
        <w:tc>
          <w:tcPr>
            <w:tcW w:w="2608" w:type="dxa"/>
          </w:tcPr>
          <w:p>
            <w:pPr>
              <w:pStyle w:val="0"/>
            </w:pPr>
            <w:r>
              <w:rPr>
                <w:sz w:val="24"/>
              </w:rPr>
            </w:r>
          </w:p>
        </w:tc>
        <w:tc>
          <w:tcPr>
            <w:tcW w:w="2948" w:type="dxa"/>
          </w:tcPr>
          <w:p>
            <w:pPr>
              <w:pStyle w:val="0"/>
            </w:pPr>
            <w:r>
              <w:rPr>
                <w:sz w:val="24"/>
              </w:rPr>
              <w:t xml:space="preserve">ins-dic:PokazatelSS</w:t>
            </w:r>
          </w:p>
        </w:tc>
      </w:tr>
      <w:tr>
        <w:tc>
          <w:tcPr>
            <w:tcW w:w="907" w:type="dxa"/>
          </w:tcPr>
          <w:p>
            <w:pPr>
              <w:pStyle w:val="0"/>
            </w:pPr>
            <w:r>
              <w:rPr>
                <w:sz w:val="24"/>
              </w:rPr>
              <w:t xml:space="preserve">60.1</w:t>
            </w:r>
          </w:p>
        </w:tc>
        <w:tc>
          <w:tcPr>
            <w:gridSpan w:val="3"/>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blPrEx>
          <w:tblBorders>
            <w:insideV w:val="nil"/>
          </w:tblBorders>
        </w:tblPrEx>
        <w:tc>
          <w:tcPr>
            <w:gridSpan w:val="2"/>
            <w:tcW w:w="1152" w:type="dxa"/>
            <w:tcBorders>
              <w:left w:val="single" w:sz="4"/>
            </w:tcBorders>
          </w:tcPr>
          <w:bookmarkStart w:id="32328" w:name="P32328"/>
          <w:bookmarkEnd w:id="32328"/>
          <w:p>
            <w:pPr>
              <w:pStyle w:val="0"/>
              <w:outlineLvl w:val="3"/>
            </w:pPr>
            <w:r>
              <w:rPr>
                <w:sz w:val="24"/>
              </w:rPr>
              <w:t xml:space="preserve">Раздел 3.</w:t>
            </w:r>
          </w:p>
        </w:tc>
        <w:tc>
          <w:tcPr>
            <w:gridSpan w:val="4"/>
            <w:tcW w:w="7919" w:type="dxa"/>
            <w:tcBorders>
              <w:right w:val="single" w:sz="4"/>
            </w:tcBorders>
          </w:tcPr>
          <w:p>
            <w:pPr>
              <w:pStyle w:val="0"/>
            </w:pPr>
            <w:r>
              <w:rPr>
                <w:sz w:val="24"/>
              </w:rPr>
              <w:t xml:space="preserve">Оценка риска 2</w:t>
            </w:r>
          </w:p>
        </w:tc>
      </w:tr>
      <w:tr>
        <w:tc>
          <w:tcPr>
            <w:tcW w:w="907" w:type="dxa"/>
          </w:tcPr>
          <w:bookmarkStart w:id="32330" w:name="P32330"/>
          <w:bookmarkEnd w:id="32330"/>
          <w:p>
            <w:pPr>
              <w:pStyle w:val="0"/>
            </w:pPr>
            <w:r>
              <w:rPr>
                <w:sz w:val="24"/>
              </w:rPr>
              <w:t xml:space="preserve">61</w:t>
            </w:r>
          </w:p>
        </w:tc>
        <w:tc>
          <w:tcPr>
            <w:gridSpan w:val="3"/>
            <w:tcW w:w="2608" w:type="dxa"/>
          </w:tcPr>
          <w:p>
            <w:pPr>
              <w:pStyle w:val="0"/>
            </w:pPr>
            <w:r>
              <w:rPr>
                <w:sz w:val="24"/>
              </w:rPr>
              <w:t xml:space="preserve">Пороговое значение K1 по концентрации на обязанное лицо, в процентах от активов</w:t>
            </w:r>
          </w:p>
        </w:tc>
        <w:tc>
          <w:tcPr>
            <w:tcW w:w="2608" w:type="dxa"/>
          </w:tcPr>
          <w:p>
            <w:pPr>
              <w:pStyle w:val="0"/>
            </w:pPr>
            <w:r>
              <w:rPr>
                <w:sz w:val="24"/>
              </w:rPr>
            </w:r>
          </w:p>
        </w:tc>
        <w:tc>
          <w:tcPr>
            <w:tcW w:w="2948" w:type="dxa"/>
          </w:tcPr>
          <w:p>
            <w:pPr>
              <w:pStyle w:val="0"/>
            </w:pPr>
            <w:r>
              <w:rPr>
                <w:sz w:val="24"/>
              </w:rPr>
              <w:t xml:space="preserve">ins-dic:PorZnKoncz</w:t>
            </w:r>
          </w:p>
        </w:tc>
      </w:tr>
      <w:tr>
        <w:tc>
          <w:tcPr>
            <w:tcW w:w="907" w:type="dxa"/>
          </w:tcPr>
          <w:p>
            <w:pPr>
              <w:pStyle w:val="0"/>
            </w:pPr>
            <w:r>
              <w:rPr>
                <w:sz w:val="24"/>
              </w:rPr>
              <w:t xml:space="preserve">61.1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38" w:name="P32338"/>
          <w:bookmarkEnd w:id="32338"/>
          <w:p>
            <w:pPr>
              <w:pStyle w:val="0"/>
            </w:pPr>
            <w:r>
              <w:rPr>
                <w:sz w:val="24"/>
              </w:rPr>
              <w:t xml:space="preserve">62</w:t>
            </w:r>
          </w:p>
        </w:tc>
        <w:tc>
          <w:tcPr>
            <w:gridSpan w:val="3"/>
            <w:tcW w:w="2608" w:type="dxa"/>
          </w:tcPr>
          <w:p>
            <w:pPr>
              <w:pStyle w:val="0"/>
            </w:pPr>
            <w:r>
              <w:rPr>
                <w:sz w:val="24"/>
              </w:rPr>
              <w:t xml:space="preserve">Пороговое значение K1 по концентрации на обязанное лицо, в рублях</w:t>
            </w:r>
          </w:p>
        </w:tc>
        <w:tc>
          <w:tcPr>
            <w:tcW w:w="2608" w:type="dxa"/>
          </w:tcPr>
          <w:p>
            <w:pPr>
              <w:pStyle w:val="0"/>
            </w:pPr>
            <w:r>
              <w:rPr>
                <w:sz w:val="24"/>
              </w:rPr>
            </w:r>
          </w:p>
        </w:tc>
        <w:tc>
          <w:tcPr>
            <w:tcW w:w="2948" w:type="dxa"/>
          </w:tcPr>
          <w:p>
            <w:pPr>
              <w:pStyle w:val="0"/>
            </w:pPr>
            <w:r>
              <w:rPr>
                <w:sz w:val="24"/>
              </w:rPr>
              <w:t xml:space="preserve">ins-dic:PorogZnachK1KonczentrNaObyazLiczoRub</w:t>
            </w:r>
          </w:p>
        </w:tc>
      </w:tr>
      <w:tr>
        <w:tc>
          <w:tcPr>
            <w:tcW w:w="907" w:type="dxa"/>
          </w:tcPr>
          <w:p>
            <w:pPr>
              <w:pStyle w:val="0"/>
            </w:pPr>
            <w:r>
              <w:rPr>
                <w:sz w:val="24"/>
              </w:rPr>
              <w:t xml:space="preserve">62.1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46" w:name="P32346"/>
          <w:bookmarkEnd w:id="32346"/>
          <w:p>
            <w:pPr>
              <w:pStyle w:val="0"/>
            </w:pPr>
            <w:r>
              <w:rPr>
                <w:sz w:val="24"/>
              </w:rPr>
              <w:t xml:space="preserve">63</w:t>
            </w:r>
          </w:p>
        </w:tc>
        <w:tc>
          <w:tcPr>
            <w:gridSpan w:val="3"/>
            <w:tcW w:w="2608" w:type="dxa"/>
          </w:tcPr>
          <w:p>
            <w:pPr>
              <w:pStyle w:val="0"/>
            </w:pPr>
            <w:r>
              <w:rPr>
                <w:sz w:val="24"/>
              </w:rPr>
              <w:t xml:space="preserve">Пороговое значение K2 по концентрации на обязанное лицо, в процентах от активов</w:t>
            </w:r>
          </w:p>
        </w:tc>
        <w:tc>
          <w:tcPr>
            <w:tcW w:w="2608" w:type="dxa"/>
          </w:tcPr>
          <w:p>
            <w:pPr>
              <w:pStyle w:val="0"/>
            </w:pPr>
            <w:r>
              <w:rPr>
                <w:sz w:val="24"/>
              </w:rPr>
            </w:r>
          </w:p>
        </w:tc>
        <w:tc>
          <w:tcPr>
            <w:tcW w:w="2948" w:type="dxa"/>
          </w:tcPr>
          <w:p>
            <w:pPr>
              <w:pStyle w:val="0"/>
            </w:pPr>
            <w:r>
              <w:rPr>
                <w:sz w:val="24"/>
              </w:rPr>
              <w:t xml:space="preserve">ins-dic:PorogZnachK2PoKonczNaObyazLiczoProczentOtAkt</w:t>
            </w:r>
          </w:p>
        </w:tc>
      </w:tr>
      <w:tr>
        <w:tc>
          <w:tcPr>
            <w:tcW w:w="907" w:type="dxa"/>
          </w:tcPr>
          <w:p>
            <w:pPr>
              <w:pStyle w:val="0"/>
            </w:pPr>
            <w:r>
              <w:rPr>
                <w:sz w:val="24"/>
              </w:rPr>
              <w:t xml:space="preserve">63.1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54" w:name="P32354"/>
          <w:bookmarkEnd w:id="32354"/>
          <w:p>
            <w:pPr>
              <w:pStyle w:val="0"/>
            </w:pPr>
            <w:r>
              <w:rPr>
                <w:sz w:val="24"/>
              </w:rPr>
              <w:t xml:space="preserve">64</w:t>
            </w:r>
          </w:p>
        </w:tc>
        <w:tc>
          <w:tcPr>
            <w:gridSpan w:val="3"/>
            <w:tcW w:w="2608" w:type="dxa"/>
          </w:tcPr>
          <w:p>
            <w:pPr>
              <w:pStyle w:val="0"/>
            </w:pPr>
            <w:r>
              <w:rPr>
                <w:sz w:val="24"/>
              </w:rPr>
              <w:t xml:space="preserve">Пороговое значение K2 по концентрации на обязанное лицо, в рублях</w:t>
            </w:r>
          </w:p>
        </w:tc>
        <w:tc>
          <w:tcPr>
            <w:tcW w:w="2608" w:type="dxa"/>
          </w:tcPr>
          <w:p>
            <w:pPr>
              <w:pStyle w:val="0"/>
            </w:pPr>
            <w:r>
              <w:rPr>
                <w:sz w:val="24"/>
              </w:rPr>
            </w:r>
          </w:p>
        </w:tc>
        <w:tc>
          <w:tcPr>
            <w:tcW w:w="2948" w:type="dxa"/>
          </w:tcPr>
          <w:p>
            <w:pPr>
              <w:pStyle w:val="0"/>
            </w:pPr>
            <w:r>
              <w:rPr>
                <w:sz w:val="24"/>
              </w:rPr>
              <w:t xml:space="preserve">ins-dic:PorogZnachK2PoKonczentrNaObyazLiczoRub</w:t>
            </w:r>
          </w:p>
        </w:tc>
      </w:tr>
      <w:tr>
        <w:tc>
          <w:tcPr>
            <w:tcW w:w="907" w:type="dxa"/>
          </w:tcPr>
          <w:p>
            <w:pPr>
              <w:pStyle w:val="0"/>
            </w:pPr>
            <w:r>
              <w:rPr>
                <w:sz w:val="24"/>
              </w:rPr>
              <w:t xml:space="preserve">64.1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62" w:name="P32362"/>
          <w:bookmarkEnd w:id="32362"/>
          <w:p>
            <w:pPr>
              <w:pStyle w:val="0"/>
            </w:pPr>
            <w:r>
              <w:rPr>
                <w:sz w:val="24"/>
              </w:rPr>
              <w:t xml:space="preserve">65</w:t>
            </w:r>
          </w:p>
        </w:tc>
        <w:tc>
          <w:tcPr>
            <w:gridSpan w:val="3"/>
            <w:tcW w:w="2608" w:type="dxa"/>
          </w:tcPr>
          <w:p>
            <w:pPr>
              <w:pStyle w:val="0"/>
            </w:pPr>
            <w:r>
              <w:rPr>
                <w:sz w:val="24"/>
              </w:rPr>
              <w:t xml:space="preserve">Значение эпсилон для оценки риска 2</w:t>
            </w:r>
          </w:p>
        </w:tc>
        <w:tc>
          <w:tcPr>
            <w:tcW w:w="2608" w:type="dxa"/>
          </w:tcPr>
          <w:p>
            <w:pPr>
              <w:pStyle w:val="0"/>
            </w:pPr>
            <w:r>
              <w:rPr>
                <w:sz w:val="24"/>
              </w:rPr>
            </w:r>
          </w:p>
        </w:tc>
        <w:tc>
          <w:tcPr>
            <w:tcW w:w="2948" w:type="dxa"/>
          </w:tcPr>
          <w:p>
            <w:pPr>
              <w:pStyle w:val="0"/>
            </w:pPr>
            <w:r>
              <w:rPr>
                <w:sz w:val="24"/>
              </w:rPr>
              <w:t xml:space="preserve">ins-dic:EpsilonRisk2</w:t>
            </w:r>
          </w:p>
        </w:tc>
      </w:tr>
      <w:tr>
        <w:tc>
          <w:tcPr>
            <w:tcW w:w="907" w:type="dxa"/>
          </w:tcPr>
          <w:p>
            <w:pPr>
              <w:pStyle w:val="0"/>
            </w:pPr>
            <w:r>
              <w:rPr>
                <w:sz w:val="24"/>
              </w:rPr>
              <w:t xml:space="preserve">65.1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70" w:name="P32370"/>
          <w:bookmarkEnd w:id="32370"/>
          <w:p>
            <w:pPr>
              <w:pStyle w:val="0"/>
            </w:pPr>
            <w:r>
              <w:rPr>
                <w:sz w:val="24"/>
              </w:rPr>
              <w:t xml:space="preserve">66</w:t>
            </w:r>
          </w:p>
        </w:tc>
        <w:tc>
          <w:tcPr>
            <w:gridSpan w:val="3"/>
            <w:tcW w:w="2608" w:type="dxa"/>
          </w:tcPr>
          <w:p>
            <w:pPr>
              <w:pStyle w:val="0"/>
            </w:pPr>
            <w:r>
              <w:rPr>
                <w:sz w:val="24"/>
              </w:rPr>
              <w:t xml:space="preserve">Количество итераций</w:t>
            </w:r>
          </w:p>
        </w:tc>
        <w:tc>
          <w:tcPr>
            <w:tcW w:w="2608" w:type="dxa"/>
          </w:tcPr>
          <w:p>
            <w:pPr>
              <w:pStyle w:val="0"/>
            </w:pPr>
            <w:r>
              <w:rPr>
                <w:sz w:val="24"/>
              </w:rPr>
            </w:r>
          </w:p>
        </w:tc>
        <w:tc>
          <w:tcPr>
            <w:tcW w:w="2948" w:type="dxa"/>
          </w:tcPr>
          <w:p>
            <w:pPr>
              <w:pStyle w:val="0"/>
            </w:pPr>
            <w:r>
              <w:rPr>
                <w:sz w:val="24"/>
              </w:rPr>
              <w:t xml:space="preserve">ins-dic:KolIter</w:t>
            </w:r>
          </w:p>
        </w:tc>
      </w:tr>
      <w:tr>
        <w:tc>
          <w:tcPr>
            <w:tcW w:w="907" w:type="dxa"/>
          </w:tcPr>
          <w:p>
            <w:pPr>
              <w:pStyle w:val="0"/>
            </w:pPr>
            <w:r>
              <w:rPr>
                <w:sz w:val="24"/>
              </w:rPr>
              <w:t xml:space="preserve">66.1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78" w:name="P32378"/>
          <w:bookmarkEnd w:id="32378"/>
          <w:p>
            <w:pPr>
              <w:pStyle w:val="0"/>
            </w:pPr>
            <w:r>
              <w:rPr>
                <w:sz w:val="24"/>
              </w:rPr>
              <w:t xml:space="preserve">67</w:t>
            </w:r>
          </w:p>
        </w:tc>
        <w:tc>
          <w:tcPr>
            <w:gridSpan w:val="3"/>
            <w:tcW w:w="2608" w:type="dxa"/>
          </w:tcPr>
          <w:p>
            <w:pPr>
              <w:pStyle w:val="0"/>
            </w:pPr>
            <w:r>
              <w:rPr>
                <w:sz w:val="24"/>
              </w:rPr>
              <w:t xml:space="preserve">Влияние риска 2</w:t>
            </w:r>
          </w:p>
        </w:tc>
        <w:tc>
          <w:tcPr>
            <w:tcW w:w="2608" w:type="dxa"/>
          </w:tcPr>
          <w:p>
            <w:pPr>
              <w:pStyle w:val="0"/>
            </w:pPr>
            <w:r>
              <w:rPr>
                <w:sz w:val="24"/>
              </w:rPr>
            </w:r>
          </w:p>
        </w:tc>
        <w:tc>
          <w:tcPr>
            <w:tcW w:w="2948" w:type="dxa"/>
          </w:tcPr>
          <w:p>
            <w:pPr>
              <w:pStyle w:val="0"/>
            </w:pPr>
            <w:r>
              <w:rPr>
                <w:sz w:val="24"/>
              </w:rPr>
              <w:t xml:space="preserve">ins-dic:VlKredRisk2</w:t>
            </w:r>
          </w:p>
        </w:tc>
      </w:tr>
      <w:tr>
        <w:tc>
          <w:tcPr>
            <w:tcW w:w="907" w:type="dxa"/>
          </w:tcPr>
          <w:p>
            <w:pPr>
              <w:pStyle w:val="0"/>
            </w:pPr>
            <w:r>
              <w:rPr>
                <w:sz w:val="24"/>
              </w:rPr>
              <w:t xml:space="preserve">67.1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86" w:name="P32386"/>
          <w:bookmarkEnd w:id="32386"/>
          <w:p>
            <w:pPr>
              <w:pStyle w:val="0"/>
            </w:pPr>
            <w:r>
              <w:rPr>
                <w:sz w:val="24"/>
              </w:rPr>
              <w:t xml:space="preserve">68</w:t>
            </w:r>
          </w:p>
        </w:tc>
        <w:tc>
          <w:tcPr>
            <w:gridSpan w:val="3"/>
            <w:tcW w:w="2608" w:type="dxa"/>
          </w:tcPr>
          <w:p>
            <w:pPr>
              <w:pStyle w:val="0"/>
            </w:pPr>
            <w:r>
              <w:rPr>
                <w:sz w:val="24"/>
              </w:rPr>
              <w:t xml:space="preserve">Количество обязанных лиц</w:t>
            </w:r>
          </w:p>
        </w:tc>
        <w:tc>
          <w:tcPr>
            <w:tcW w:w="2608" w:type="dxa"/>
          </w:tcPr>
          <w:p>
            <w:pPr>
              <w:pStyle w:val="0"/>
            </w:pPr>
            <w:r>
              <w:rPr>
                <w:sz w:val="24"/>
              </w:rPr>
            </w:r>
          </w:p>
        </w:tc>
        <w:tc>
          <w:tcPr>
            <w:tcW w:w="2948" w:type="dxa"/>
          </w:tcPr>
          <w:p>
            <w:pPr>
              <w:pStyle w:val="0"/>
            </w:pPr>
            <w:r>
              <w:rPr>
                <w:sz w:val="24"/>
              </w:rPr>
              <w:t xml:space="preserve">ins-dic:KolObyazLicz</w:t>
            </w:r>
          </w:p>
        </w:tc>
      </w:tr>
      <w:tr>
        <w:tc>
          <w:tcPr>
            <w:tcW w:w="907" w:type="dxa"/>
          </w:tcPr>
          <w:p>
            <w:pPr>
              <w:pStyle w:val="0"/>
            </w:pPr>
            <w:r>
              <w:rPr>
                <w:sz w:val="24"/>
              </w:rPr>
              <w:t xml:space="preserve">68.1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bookmarkStart w:id="32394" w:name="P32394"/>
          <w:bookmarkEnd w:id="32394"/>
          <w:p>
            <w:pPr>
              <w:pStyle w:val="0"/>
            </w:pPr>
            <w:r>
              <w:rPr>
                <w:sz w:val="24"/>
              </w:rPr>
              <w:t xml:space="preserve">69</w:t>
            </w:r>
          </w:p>
        </w:tc>
        <w:tc>
          <w:tcPr>
            <w:gridSpan w:val="3"/>
            <w:tcW w:w="2608" w:type="dxa"/>
          </w:tcPr>
          <w:p>
            <w:pPr>
              <w:pStyle w:val="0"/>
            </w:pPr>
            <w:r>
              <w:rPr>
                <w:sz w:val="24"/>
              </w:rPr>
              <w:t xml:space="preserve">Суммарная стоимость активов в категории</w:t>
            </w:r>
          </w:p>
        </w:tc>
        <w:tc>
          <w:tcPr>
            <w:tcW w:w="2608" w:type="dxa"/>
          </w:tcPr>
          <w:p>
            <w:pPr>
              <w:pStyle w:val="0"/>
            </w:pPr>
            <w:r>
              <w:rPr>
                <w:sz w:val="24"/>
              </w:rPr>
            </w:r>
          </w:p>
        </w:tc>
        <w:tc>
          <w:tcPr>
            <w:tcW w:w="2948" w:type="dxa"/>
          </w:tcPr>
          <w:p>
            <w:pPr>
              <w:pStyle w:val="0"/>
            </w:pPr>
            <w:r>
              <w:rPr>
                <w:sz w:val="24"/>
              </w:rPr>
              <w:t xml:space="preserve">ins-dic:SumStAktKatKntrOczRisk2</w:t>
            </w:r>
          </w:p>
        </w:tc>
      </w:tr>
      <w:tr>
        <w:tc>
          <w:tcPr>
            <w:tcW w:w="907" w:type="dxa"/>
          </w:tcPr>
          <w:p>
            <w:pPr>
              <w:pStyle w:val="0"/>
            </w:pPr>
            <w:r>
              <w:rPr>
                <w:sz w:val="24"/>
              </w:rPr>
              <w:t xml:space="preserve">69.1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blPrEx>
          <w:tblBorders>
            <w:insideV w:val="nil"/>
          </w:tblBorders>
        </w:tblPrEx>
        <w:tc>
          <w:tcPr>
            <w:gridSpan w:val="3"/>
            <w:tcW w:w="1748" w:type="dxa"/>
            <w:tcBorders>
              <w:left w:val="single" w:sz="4"/>
            </w:tcBorders>
          </w:tcPr>
          <w:bookmarkStart w:id="32402" w:name="P32402"/>
          <w:bookmarkEnd w:id="32402"/>
          <w:p>
            <w:pPr>
              <w:pStyle w:val="0"/>
              <w:outlineLvl w:val="4"/>
            </w:pPr>
            <w:r>
              <w:rPr>
                <w:sz w:val="24"/>
              </w:rPr>
              <w:t xml:space="preserve">Подраздел 3.1.</w:t>
            </w:r>
          </w:p>
        </w:tc>
        <w:tc>
          <w:tcPr>
            <w:gridSpan w:val="3"/>
            <w:tcW w:w="7323" w:type="dxa"/>
            <w:tcBorders>
              <w:right w:val="single" w:sz="4"/>
            </w:tcBorders>
          </w:tcPr>
          <w:p>
            <w:pPr>
              <w:pStyle w:val="0"/>
            </w:pPr>
            <w:r>
              <w:rPr>
                <w:sz w:val="24"/>
              </w:rPr>
              <w:t xml:space="preserve">Оценка риска 2, определенная по второй - пятой категориям контрагентов</w:t>
            </w:r>
          </w:p>
        </w:tc>
      </w:tr>
      <w:tr>
        <w:tc>
          <w:tcPr>
            <w:tcW w:w="907" w:type="dxa"/>
          </w:tcPr>
          <w:bookmarkStart w:id="32404" w:name="P32404"/>
          <w:bookmarkEnd w:id="32404"/>
          <w:p>
            <w:pPr>
              <w:pStyle w:val="0"/>
            </w:pPr>
            <w:r>
              <w:rPr>
                <w:sz w:val="24"/>
              </w:rPr>
              <w:t xml:space="preserve">70</w:t>
            </w:r>
          </w:p>
        </w:tc>
        <w:tc>
          <w:tcPr>
            <w:gridSpan w:val="3"/>
            <w:tcW w:w="2608" w:type="dxa"/>
          </w:tcPr>
          <w:p>
            <w:pPr>
              <w:pStyle w:val="0"/>
            </w:pPr>
            <w:r>
              <w:rPr>
                <w:sz w:val="24"/>
              </w:rPr>
              <w:t xml:space="preserve">Сумма максимальных концентраций на обязанное лицо по количеству дефолтов</w:t>
            </w:r>
          </w:p>
        </w:tc>
        <w:tc>
          <w:tcPr>
            <w:tcW w:w="2608" w:type="dxa"/>
          </w:tcPr>
          <w:p>
            <w:pPr>
              <w:pStyle w:val="0"/>
            </w:pPr>
            <w:r>
              <w:rPr>
                <w:sz w:val="24"/>
              </w:rPr>
            </w:r>
          </w:p>
        </w:tc>
        <w:tc>
          <w:tcPr>
            <w:tcW w:w="2948" w:type="dxa"/>
          </w:tcPr>
          <w:p>
            <w:pPr>
              <w:pStyle w:val="0"/>
            </w:pPr>
            <w:r>
              <w:rPr>
                <w:sz w:val="24"/>
              </w:rPr>
              <w:t xml:space="preserve">ins-dic:SummaMaksKonczentrNaObyazannoeLiczoPoKolDefoltov</w:t>
            </w:r>
          </w:p>
        </w:tc>
      </w:tr>
      <w:tr>
        <w:tc>
          <w:tcPr>
            <w:tcW w:w="907" w:type="dxa"/>
          </w:tcPr>
          <w:p>
            <w:pPr>
              <w:pStyle w:val="0"/>
            </w:pPr>
            <w:r>
              <w:rPr>
                <w:sz w:val="24"/>
              </w:rPr>
              <w:t xml:space="preserve">70.1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70.2</w:t>
            </w:r>
          </w:p>
        </w:tc>
        <w:tc>
          <w:tcPr>
            <w:gridSpan w:val="3"/>
            <w:tcW w:w="2608" w:type="dxa"/>
          </w:tcPr>
          <w:p>
            <w:pPr>
              <w:pStyle w:val="0"/>
            </w:pPr>
            <w:r>
              <w:rPr>
                <w:sz w:val="24"/>
              </w:rPr>
            </w:r>
          </w:p>
        </w:tc>
        <w:tc>
          <w:tcPr>
            <w:tcW w:w="2608" w:type="dxa"/>
          </w:tcPr>
          <w:p>
            <w:pPr>
              <w:pStyle w:val="0"/>
            </w:pPr>
            <w:r>
              <w:rPr>
                <w:sz w:val="24"/>
              </w:rPr>
              <w:t xml:space="preserve">Номер группы</w:t>
            </w:r>
          </w:p>
        </w:tc>
        <w:tc>
          <w:tcPr>
            <w:tcW w:w="2948" w:type="dxa"/>
          </w:tcPr>
          <w:p>
            <w:pPr>
              <w:pStyle w:val="0"/>
            </w:pPr>
            <w:r>
              <w:rPr>
                <w:sz w:val="24"/>
              </w:rPr>
              <w:t xml:space="preserve">dim-mt:NomGrTaxis</w:t>
            </w:r>
          </w:p>
        </w:tc>
      </w:tr>
      <w:tr>
        <w:tc>
          <w:tcPr>
            <w:tcW w:w="907" w:type="dxa"/>
          </w:tcPr>
          <w:bookmarkStart w:id="32416" w:name="P32416"/>
          <w:bookmarkEnd w:id="32416"/>
          <w:p>
            <w:pPr>
              <w:pStyle w:val="0"/>
            </w:pPr>
            <w:r>
              <w:rPr>
                <w:sz w:val="24"/>
              </w:rPr>
              <w:t xml:space="preserve">71</w:t>
            </w:r>
          </w:p>
        </w:tc>
        <w:tc>
          <w:tcPr>
            <w:gridSpan w:val="3"/>
            <w:tcW w:w="2608" w:type="dxa"/>
          </w:tcPr>
          <w:p>
            <w:pPr>
              <w:pStyle w:val="0"/>
            </w:pPr>
            <w:r>
              <w:rPr>
                <w:sz w:val="24"/>
              </w:rPr>
              <w:t xml:space="preserve">Сумма концентраций на обязанное лицо</w:t>
            </w:r>
          </w:p>
        </w:tc>
        <w:tc>
          <w:tcPr>
            <w:tcW w:w="2608" w:type="dxa"/>
          </w:tcPr>
          <w:p>
            <w:pPr>
              <w:pStyle w:val="0"/>
            </w:pPr>
            <w:r>
              <w:rPr>
                <w:sz w:val="24"/>
              </w:rPr>
            </w:r>
          </w:p>
        </w:tc>
        <w:tc>
          <w:tcPr>
            <w:tcW w:w="2948" w:type="dxa"/>
          </w:tcPr>
          <w:p>
            <w:pPr>
              <w:pStyle w:val="0"/>
            </w:pPr>
            <w:r>
              <w:rPr>
                <w:sz w:val="24"/>
              </w:rPr>
              <w:t xml:space="preserve">ins-dic:SumGrKonczObLicz</w:t>
            </w:r>
          </w:p>
        </w:tc>
      </w:tr>
      <w:tr>
        <w:tc>
          <w:tcPr>
            <w:tcW w:w="907" w:type="dxa"/>
          </w:tcPr>
          <w:p>
            <w:pPr>
              <w:pStyle w:val="0"/>
            </w:pPr>
            <w:r>
              <w:rPr>
                <w:sz w:val="24"/>
              </w:rPr>
              <w:t xml:space="preserve">71.1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71.2</w:t>
            </w:r>
          </w:p>
        </w:tc>
        <w:tc>
          <w:tcPr>
            <w:gridSpan w:val="3"/>
            <w:tcW w:w="2608" w:type="dxa"/>
          </w:tcPr>
          <w:p>
            <w:pPr>
              <w:pStyle w:val="0"/>
            </w:pPr>
            <w:r>
              <w:rPr>
                <w:sz w:val="24"/>
              </w:rPr>
            </w:r>
          </w:p>
        </w:tc>
        <w:tc>
          <w:tcPr>
            <w:tcW w:w="2608" w:type="dxa"/>
          </w:tcPr>
          <w:p>
            <w:pPr>
              <w:pStyle w:val="0"/>
            </w:pPr>
            <w:r>
              <w:rPr>
                <w:sz w:val="24"/>
              </w:rPr>
              <w:t xml:space="preserve">Номер группы</w:t>
            </w:r>
          </w:p>
        </w:tc>
        <w:tc>
          <w:tcPr>
            <w:tcW w:w="2948" w:type="dxa"/>
          </w:tcPr>
          <w:p>
            <w:pPr>
              <w:pStyle w:val="0"/>
            </w:pPr>
            <w:r>
              <w:rPr>
                <w:sz w:val="24"/>
              </w:rPr>
              <w:t xml:space="preserve">dim-int:NomGrTaxis</w:t>
            </w:r>
          </w:p>
        </w:tc>
      </w:tr>
      <w:tr>
        <w:tc>
          <w:tcPr>
            <w:tcW w:w="907" w:type="dxa"/>
          </w:tcPr>
          <w:bookmarkStart w:id="32428" w:name="P32428"/>
          <w:bookmarkEnd w:id="32428"/>
          <w:p>
            <w:pPr>
              <w:pStyle w:val="0"/>
            </w:pPr>
            <w:r>
              <w:rPr>
                <w:sz w:val="24"/>
              </w:rPr>
              <w:t xml:space="preserve">72</w:t>
            </w:r>
          </w:p>
        </w:tc>
        <w:tc>
          <w:tcPr>
            <w:gridSpan w:val="3"/>
            <w:tcW w:w="2608" w:type="dxa"/>
          </w:tcPr>
          <w:p>
            <w:pPr>
              <w:pStyle w:val="0"/>
            </w:pPr>
            <w:r>
              <w:rPr>
                <w:sz w:val="24"/>
              </w:rPr>
              <w:t xml:space="preserve">Суммарная доля стоимости акций в совокупной стоимости активов</w:t>
            </w:r>
          </w:p>
        </w:tc>
        <w:tc>
          <w:tcPr>
            <w:tcW w:w="2608" w:type="dxa"/>
          </w:tcPr>
          <w:p>
            <w:pPr>
              <w:pStyle w:val="0"/>
            </w:pPr>
            <w:r>
              <w:rPr>
                <w:sz w:val="24"/>
              </w:rPr>
            </w:r>
          </w:p>
        </w:tc>
        <w:tc>
          <w:tcPr>
            <w:tcW w:w="2948" w:type="dxa"/>
          </w:tcPr>
          <w:p>
            <w:pPr>
              <w:pStyle w:val="0"/>
            </w:pPr>
            <w:r>
              <w:rPr>
                <w:sz w:val="24"/>
              </w:rPr>
              <w:t xml:space="preserve">ins-dic:SumDolStAkczKonvSubZajm</w:t>
            </w:r>
          </w:p>
        </w:tc>
      </w:tr>
      <w:tr>
        <w:tc>
          <w:tcPr>
            <w:tcW w:w="907" w:type="dxa"/>
          </w:tcPr>
          <w:p>
            <w:pPr>
              <w:pStyle w:val="0"/>
            </w:pPr>
            <w:r>
              <w:rPr>
                <w:sz w:val="24"/>
              </w:rPr>
              <w:t xml:space="preserve">72.1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72.2</w:t>
            </w:r>
          </w:p>
        </w:tc>
        <w:tc>
          <w:tcPr>
            <w:gridSpan w:val="3"/>
            <w:tcW w:w="2608" w:type="dxa"/>
          </w:tcPr>
          <w:p>
            <w:pPr>
              <w:pStyle w:val="0"/>
            </w:pPr>
            <w:r>
              <w:rPr>
                <w:sz w:val="24"/>
              </w:rPr>
            </w:r>
          </w:p>
        </w:tc>
        <w:tc>
          <w:tcPr>
            <w:tcW w:w="2608" w:type="dxa"/>
          </w:tcPr>
          <w:p>
            <w:pPr>
              <w:pStyle w:val="0"/>
            </w:pPr>
            <w:r>
              <w:rPr>
                <w:sz w:val="24"/>
              </w:rPr>
              <w:t xml:space="preserve">Номер группы</w:t>
            </w:r>
          </w:p>
        </w:tc>
        <w:tc>
          <w:tcPr>
            <w:tcW w:w="2948" w:type="dxa"/>
          </w:tcPr>
          <w:p>
            <w:pPr>
              <w:pStyle w:val="0"/>
            </w:pPr>
            <w:r>
              <w:rPr>
                <w:sz w:val="24"/>
              </w:rPr>
              <w:t xml:space="preserve">dim-int:NomGrTaxis</w:t>
            </w:r>
          </w:p>
        </w:tc>
      </w:tr>
      <w:tr>
        <w:tc>
          <w:tcPr>
            <w:tcW w:w="907" w:type="dxa"/>
          </w:tcPr>
          <w:bookmarkStart w:id="32440" w:name="P32440"/>
          <w:bookmarkEnd w:id="32440"/>
          <w:p>
            <w:pPr>
              <w:pStyle w:val="0"/>
            </w:pPr>
            <w:r>
              <w:rPr>
                <w:sz w:val="24"/>
              </w:rPr>
              <w:t xml:space="preserve">73</w:t>
            </w:r>
          </w:p>
        </w:tc>
        <w:tc>
          <w:tcPr>
            <w:gridSpan w:val="3"/>
            <w:tcW w:w="2608" w:type="dxa"/>
          </w:tcPr>
          <w:p>
            <w:pPr>
              <w:pStyle w:val="0"/>
            </w:pPr>
            <w:r>
              <w:rPr>
                <w:sz w:val="24"/>
              </w:rPr>
              <w:t xml:space="preserve">Количество дефолтов</w:t>
            </w:r>
          </w:p>
        </w:tc>
        <w:tc>
          <w:tcPr>
            <w:tcW w:w="2608" w:type="dxa"/>
          </w:tcPr>
          <w:p>
            <w:pPr>
              <w:pStyle w:val="0"/>
            </w:pPr>
            <w:r>
              <w:rPr>
                <w:sz w:val="24"/>
              </w:rPr>
            </w:r>
          </w:p>
        </w:tc>
        <w:tc>
          <w:tcPr>
            <w:tcW w:w="2948" w:type="dxa"/>
          </w:tcPr>
          <w:p>
            <w:pPr>
              <w:pStyle w:val="0"/>
            </w:pPr>
            <w:r>
              <w:rPr>
                <w:sz w:val="24"/>
              </w:rPr>
              <w:t xml:space="preserve">ins-dic:KolDefolt</w:t>
            </w:r>
          </w:p>
        </w:tc>
      </w:tr>
      <w:tr>
        <w:tc>
          <w:tcPr>
            <w:tcW w:w="907" w:type="dxa"/>
          </w:tcPr>
          <w:p>
            <w:pPr>
              <w:pStyle w:val="0"/>
            </w:pPr>
            <w:r>
              <w:rPr>
                <w:sz w:val="24"/>
              </w:rPr>
              <w:t xml:space="preserve">73.1</w:t>
            </w:r>
          </w:p>
        </w:tc>
        <w:tc>
          <w:tcPr>
            <w:gridSpan w:val="3"/>
            <w:tcW w:w="2608" w:type="dxa"/>
          </w:tcPr>
          <w:p>
            <w:pPr>
              <w:pStyle w:val="0"/>
            </w:pPr>
            <w:r>
              <w:rPr>
                <w:sz w:val="24"/>
              </w:rPr>
            </w:r>
          </w:p>
        </w:tc>
        <w:tc>
          <w:tcPr>
            <w:tcW w:w="2608" w:type="dxa"/>
          </w:tcPr>
          <w:p>
            <w:pPr>
              <w:pStyle w:val="0"/>
            </w:pPr>
            <w:r>
              <w:rPr>
                <w:sz w:val="24"/>
              </w:rPr>
              <w:t xml:space="preserve">Категория контрагентов для оценки риска 2</w:t>
            </w:r>
          </w:p>
        </w:tc>
        <w:tc>
          <w:tcPr>
            <w:tcW w:w="2948" w:type="dxa"/>
          </w:tcPr>
          <w:p>
            <w:pPr>
              <w:pStyle w:val="0"/>
            </w:pPr>
            <w:r>
              <w:rPr>
                <w:sz w:val="24"/>
              </w:rPr>
              <w:t xml:space="preserve">dim-int:KatKontrOczRisk2Axis</w:t>
            </w:r>
          </w:p>
        </w:tc>
      </w:tr>
      <w:tr>
        <w:tc>
          <w:tcPr>
            <w:tcW w:w="907" w:type="dxa"/>
          </w:tcPr>
          <w:p>
            <w:pPr>
              <w:pStyle w:val="0"/>
            </w:pPr>
            <w:r>
              <w:rPr>
                <w:sz w:val="24"/>
              </w:rPr>
              <w:t xml:space="preserve">73.2</w:t>
            </w:r>
          </w:p>
        </w:tc>
        <w:tc>
          <w:tcPr>
            <w:gridSpan w:val="3"/>
            <w:tcW w:w="2608" w:type="dxa"/>
          </w:tcPr>
          <w:p>
            <w:pPr>
              <w:pStyle w:val="0"/>
            </w:pPr>
            <w:r>
              <w:rPr>
                <w:sz w:val="24"/>
              </w:rPr>
            </w:r>
          </w:p>
        </w:tc>
        <w:tc>
          <w:tcPr>
            <w:tcW w:w="2608" w:type="dxa"/>
          </w:tcPr>
          <w:p>
            <w:pPr>
              <w:pStyle w:val="0"/>
            </w:pPr>
            <w:r>
              <w:rPr>
                <w:sz w:val="24"/>
              </w:rPr>
              <w:t xml:space="preserve">Номер группы</w:t>
            </w:r>
          </w:p>
        </w:tc>
        <w:tc>
          <w:tcPr>
            <w:tcW w:w="2948" w:type="dxa"/>
          </w:tcPr>
          <w:p>
            <w:pPr>
              <w:pStyle w:val="0"/>
            </w:pPr>
            <w:r>
              <w:rPr>
                <w:sz w:val="24"/>
              </w:rPr>
              <w:t xml:space="preserve">dim-int:NomGrTaxis</w:t>
            </w:r>
          </w:p>
        </w:tc>
      </w:tr>
    </w:tbl>
    <w:p>
      <w:pPr>
        <w:pStyle w:val="0"/>
        <w:ind w:firstLine="540"/>
        <w:jc w:val="both"/>
      </w:pPr>
      <w:r>
        <w:rPr>
          <w:sz w:val="24"/>
        </w:rPr>
      </w:r>
    </w:p>
    <w:p>
      <w:pPr>
        <w:pStyle w:val="0"/>
        <w:ind w:firstLine="540"/>
        <w:jc w:val="both"/>
      </w:pPr>
      <w:r>
        <w:rPr>
          <w:sz w:val="24"/>
        </w:rPr>
        <w:t xml:space="preserve">--------------------------------</w:t>
      </w:r>
    </w:p>
    <w:bookmarkStart w:id="32454" w:name="P32454"/>
    <w:bookmarkEnd w:id="32454"/>
    <w:p>
      <w:pPr>
        <w:pStyle w:val="0"/>
        <w:spacing w:before="240" w:lineRule="auto"/>
        <w:ind w:firstLine="540"/>
        <w:jc w:val="both"/>
      </w:pPr>
      <w:r>
        <w:rPr>
          <w:sz w:val="24"/>
        </w:rPr>
        <w:t xml:space="preserve">&lt;1&gt; Общероссийский </w:t>
      </w:r>
      <w:hyperlink w:history="0" r:id="rId46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0420156 "Отчет</w:t>
      </w:r>
    </w:p>
    <w:p>
      <w:pPr>
        <w:pStyle w:val="0"/>
        <w:jc w:val="center"/>
      </w:pPr>
      <w:r>
        <w:rPr>
          <w:sz w:val="24"/>
        </w:rPr>
        <w:t xml:space="preserve">о платежеспособности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1933" w:tooltip="Отчетность по форме 0420156">
        <w:r>
          <w:rPr>
            <w:sz w:val="24"/>
            <w:color w:val="0000ff"/>
          </w:rPr>
          <w:t xml:space="preserve">форме 0420156</w:t>
        </w:r>
      </w:hyperlink>
      <w:r>
        <w:rPr>
          <w:sz w:val="24"/>
        </w:rPr>
        <w:t xml:space="preserve"> "Отчет о платежеспособности страховщика" (далее - отчетность по форме 0420156) составляется страховщиком (за исключением иностранной страховой организации) посредством формирования предусмотренных в ней показателей ежемесячно за календарный месяц (далее - отчетный период) по состоянию на последний календарный день отчетного периода включительно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Страховая медицинская организация, осуществляющая деятельность исключительно в сфере обязательного медицинского страхования, формирует показатели </w:t>
      </w:r>
      <w:hyperlink w:history="0" w:anchor="P31948" w:tooltip="Раздел 1.">
        <w:r>
          <w:rPr>
            <w:sz w:val="24"/>
            <w:color w:val="0000ff"/>
          </w:rPr>
          <w:t xml:space="preserve">разделов 1</w:t>
        </w:r>
      </w:hyperlink>
      <w:r>
        <w:rPr>
          <w:sz w:val="24"/>
        </w:rPr>
        <w:t xml:space="preserve"> и </w:t>
      </w:r>
      <w:hyperlink w:history="0" w:anchor="P32328" w:tooltip="Раздел 3.">
        <w:r>
          <w:rPr>
            <w:sz w:val="24"/>
            <w:color w:val="0000ff"/>
          </w:rPr>
          <w:t xml:space="preserve">3</w:t>
        </w:r>
      </w:hyperlink>
      <w:r>
        <w:rPr>
          <w:sz w:val="24"/>
        </w:rPr>
        <w:t xml:space="preserve"> отчетности по форме 0420156.</w:t>
      </w:r>
    </w:p>
    <w:p>
      <w:pPr>
        <w:pStyle w:val="0"/>
        <w:spacing w:before="240" w:lineRule="auto"/>
        <w:ind w:firstLine="540"/>
        <w:jc w:val="both"/>
      </w:pPr>
      <w:r>
        <w:rPr>
          <w:sz w:val="24"/>
        </w:rPr>
        <w:t xml:space="preserve">Требования настоящих Порядка и сроков в отношении отражения в отчетности по </w:t>
      </w:r>
      <w:hyperlink w:history="0" w:anchor="P31933" w:tooltip="Отчетность по форме 0420156">
        <w:r>
          <w:rPr>
            <w:sz w:val="24"/>
            <w:color w:val="0000ff"/>
          </w:rPr>
          <w:t xml:space="preserve">форме 0420156</w:t>
        </w:r>
      </w:hyperlink>
      <w:r>
        <w:rPr>
          <w:sz w:val="24"/>
        </w:rPr>
        <w:t xml:space="preserve"> сведений об операциях с перестраховщиками распространяются также на акционерное общество "Российское агентство по страхованию экспортных кредитов и инвестиций" в случае, если страховщик заключал с указанным акционерным обществом в соответствии с </w:t>
      </w:r>
      <w:hyperlink w:history="0" r:id="rId461"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договоры перестрахования, в которых страховщик выступает перестрахователем (далее - договоры исходящего перестрахования).</w:t>
      </w:r>
    </w:p>
    <w:p>
      <w:pPr>
        <w:pStyle w:val="0"/>
        <w:spacing w:before="240" w:lineRule="auto"/>
        <w:ind w:firstLine="540"/>
        <w:jc w:val="both"/>
      </w:pPr>
      <w:r>
        <w:rPr>
          <w:sz w:val="24"/>
        </w:rPr>
        <w:t xml:space="preserve">2. По показателям отчетности по </w:t>
      </w:r>
      <w:hyperlink w:history="0" w:anchor="P31933" w:tooltip="Отчетность по форме 0420156">
        <w:r>
          <w:rPr>
            <w:sz w:val="24"/>
            <w:color w:val="0000ff"/>
          </w:rPr>
          <w:t xml:space="preserve">форме 0420156</w:t>
        </w:r>
      </w:hyperlink>
      <w:r>
        <w:rPr>
          <w:sz w:val="24"/>
        </w:rPr>
        <w:t xml:space="preserve"> указываются сведения о расчете нормативного соотношения собственных средств (капитала) и принятых обязательств страховщика на конец отчетного периода в соответствии с </w:t>
      </w:r>
      <w:hyperlink w:history="0" r:id="rId46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6</w:t>
        </w:r>
      </w:hyperlink>
      <w:r>
        <w:rPr>
          <w:sz w:val="24"/>
        </w:rPr>
        <w:t xml:space="preserve"> Положения Банка России от 17 июня 2025 года N 858-П "О требованиях к финансовой устойчивости и платежеспособности страховщиков" &lt;1&gt; (далее - Положение Банка России N 858-П).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27 августа 2025 года, регистрационный N 83340.</w:t>
      </w:r>
    </w:p>
    <w:p>
      <w:pPr>
        <w:pStyle w:val="0"/>
        <w:ind w:firstLine="540"/>
        <w:jc w:val="both"/>
      </w:pPr>
      <w:r>
        <w:rPr>
          <w:sz w:val="24"/>
        </w:rPr>
      </w:r>
    </w:p>
    <w:p>
      <w:pPr>
        <w:pStyle w:val="0"/>
        <w:ind w:firstLine="540"/>
        <w:jc w:val="both"/>
      </w:pPr>
      <w:r>
        <w:rPr>
          <w:sz w:val="24"/>
        </w:rPr>
        <w:t xml:space="preserve">3. По показателю "Собственные средства (капитал)" </w:t>
      </w:r>
      <w:hyperlink w:history="0" w:anchor="P31950" w:tooltip="1">
        <w:r>
          <w:rPr>
            <w:sz w:val="24"/>
            <w:color w:val="0000ff"/>
          </w:rPr>
          <w:t xml:space="preserve">(строка 1)</w:t>
        </w:r>
      </w:hyperlink>
      <w:r>
        <w:rPr>
          <w:sz w:val="24"/>
        </w:rPr>
        <w:t xml:space="preserve"> указывается величина собственных средств (капитала) (К), определенная в соответствии с </w:t>
      </w:r>
      <w:hyperlink w:history="0" r:id="rId46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главой 1</w:t>
        </w:r>
      </w:hyperlink>
      <w:r>
        <w:rPr>
          <w:sz w:val="24"/>
        </w:rPr>
        <w:t xml:space="preserve"> Положения Банка России N 858-П.</w:t>
      </w:r>
    </w:p>
    <w:p>
      <w:pPr>
        <w:pStyle w:val="0"/>
        <w:spacing w:before="240" w:lineRule="auto"/>
        <w:ind w:firstLine="540"/>
        <w:jc w:val="both"/>
      </w:pPr>
      <w:r>
        <w:rPr>
          <w:sz w:val="24"/>
        </w:rPr>
        <w:t xml:space="preserve">4. По показателю "Полученные страховой организацией субординированные займы" </w:t>
      </w:r>
      <w:hyperlink w:history="0" w:anchor="P31954" w:tooltip="2">
        <w:r>
          <w:rPr>
            <w:sz w:val="24"/>
            <w:color w:val="0000ff"/>
          </w:rPr>
          <w:t xml:space="preserve">(строка 2)</w:t>
        </w:r>
      </w:hyperlink>
      <w:r>
        <w:rPr>
          <w:sz w:val="24"/>
        </w:rPr>
        <w:t xml:space="preserve"> указывается остаточная стоимость полученных страховой организацией субординированных займов (СЗ), определенная в соответствии с </w:t>
      </w:r>
      <w:hyperlink w:history="0" r:id="rId46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6.2</w:t>
        </w:r>
      </w:hyperlink>
      <w:r>
        <w:rPr>
          <w:sz w:val="24"/>
        </w:rPr>
        <w:t xml:space="preserve"> Положения Банка России N 858-П с соблюдением </w:t>
      </w:r>
      <w:hyperlink w:history="0" r:id="rId46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пункта 4.3 статьи 25</w:t>
        </w:r>
      </w:hyperlink>
      <w:r>
        <w:rPr>
          <w:sz w:val="24"/>
        </w:rPr>
        <w:t xml:space="preserve"> Закона Российской Федерации от 27 ноября 1992 года N 4015-I "Об организации страхового дела в Российской Федерации" (далее - Закон Российской Федерации N 4015-I).</w:t>
      </w:r>
    </w:p>
    <w:p>
      <w:pPr>
        <w:pStyle w:val="0"/>
        <w:spacing w:before="240" w:lineRule="auto"/>
        <w:ind w:firstLine="540"/>
        <w:jc w:val="both"/>
      </w:pPr>
      <w:r>
        <w:rPr>
          <w:sz w:val="24"/>
        </w:rPr>
        <w:t xml:space="preserve">Значение показателя "Полученные страховой организацией субординированные займы" </w:t>
      </w:r>
      <w:hyperlink w:history="0" w:anchor="P31954" w:tooltip="2">
        <w:r>
          <w:rPr>
            <w:sz w:val="24"/>
            <w:color w:val="0000ff"/>
          </w:rPr>
          <w:t xml:space="preserve">(строка 2)</w:t>
        </w:r>
      </w:hyperlink>
      <w:r>
        <w:rPr>
          <w:sz w:val="24"/>
        </w:rPr>
        <w:t xml:space="preserve"> указывается в случае, если страховая организация учитывает в соответствии с </w:t>
      </w:r>
      <w:hyperlink w:history="0" r:id="rId466"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4.3 статьи 25</w:t>
        </w:r>
      </w:hyperlink>
      <w:r>
        <w:rPr>
          <w:sz w:val="24"/>
        </w:rPr>
        <w:t xml:space="preserve"> Закона Российской Федерации N 4015-I полученные ею субординированные займы при расчете нормативного соотношения собственных средств (капитала) и принятых обязательств. При этом страховая организация по показателю "Расчет остаточных стоимостей полученных страховой организацией субординированных займов" </w:t>
      </w:r>
      <w:hyperlink w:history="0" w:anchor="P32050" w:tooltip="26">
        <w:r>
          <w:rPr>
            <w:sz w:val="24"/>
            <w:color w:val="0000ff"/>
          </w:rPr>
          <w:t xml:space="preserve">(строка 26)</w:t>
        </w:r>
      </w:hyperlink>
      <w:r>
        <w:rPr>
          <w:sz w:val="24"/>
        </w:rPr>
        <w:t xml:space="preserve"> должна указать сведения о расчете остаточных стоимостей полученных ею субординированных займов (по каждому полученному субординированному займу).</w:t>
      </w:r>
    </w:p>
    <w:p>
      <w:pPr>
        <w:pStyle w:val="0"/>
        <w:spacing w:before="240" w:lineRule="auto"/>
        <w:ind w:firstLine="540"/>
        <w:jc w:val="both"/>
      </w:pPr>
      <w:r>
        <w:rPr>
          <w:sz w:val="24"/>
        </w:rPr>
        <w:t xml:space="preserve">В случае если страховая организация не учитывает в соответствии с </w:t>
      </w:r>
      <w:hyperlink w:history="0" r:id="rId467"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4.3 статьи 25</w:t>
        </w:r>
      </w:hyperlink>
      <w:r>
        <w:rPr>
          <w:sz w:val="24"/>
        </w:rPr>
        <w:t xml:space="preserve"> Закона Российской Федерации N 4015-I полученные ею субординированные займы при расчете нормативного соотношения собственных средств (капитала) и принятых обязательств, показатель "Полученные страховой организацией субординированные займы" </w:t>
      </w:r>
      <w:hyperlink w:history="0" w:anchor="P31954" w:tooltip="2">
        <w:r>
          <w:rPr>
            <w:sz w:val="24"/>
            <w:color w:val="0000ff"/>
          </w:rPr>
          <w:t xml:space="preserve">(строка 2)</w:t>
        </w:r>
      </w:hyperlink>
      <w:r>
        <w:rPr>
          <w:sz w:val="24"/>
        </w:rPr>
        <w:t xml:space="preserve"> не формируется.</w:t>
      </w:r>
    </w:p>
    <w:p>
      <w:pPr>
        <w:pStyle w:val="0"/>
        <w:spacing w:before="240" w:lineRule="auto"/>
        <w:ind w:firstLine="540"/>
        <w:jc w:val="both"/>
      </w:pPr>
      <w:r>
        <w:rPr>
          <w:sz w:val="24"/>
        </w:rPr>
        <w:t xml:space="preserve">5. По показателю "Минимальный размер уставного капитала" </w:t>
      </w:r>
      <w:hyperlink w:history="0" w:anchor="P31958" w:tooltip="3">
        <w:r>
          <w:rPr>
            <w:sz w:val="24"/>
            <w:color w:val="0000ff"/>
          </w:rPr>
          <w:t xml:space="preserve">(строка 3)</w:t>
        </w:r>
      </w:hyperlink>
      <w:r>
        <w:rPr>
          <w:sz w:val="24"/>
        </w:rPr>
        <w:t xml:space="preserve"> страховой организацией указывается минимальный размер уставного капитала страховой организации (МРУК), определенный в соответствии с </w:t>
      </w:r>
      <w:hyperlink w:history="0" r:id="rId468"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3 статьи 25</w:t>
        </w:r>
      </w:hyperlink>
      <w:r>
        <w:rPr>
          <w:sz w:val="24"/>
        </w:rPr>
        <w:t xml:space="preserve"> Закона Российской Федерации N 4015-I.</w:t>
      </w:r>
    </w:p>
    <w:p>
      <w:pPr>
        <w:pStyle w:val="0"/>
        <w:spacing w:before="240" w:lineRule="auto"/>
        <w:ind w:firstLine="540"/>
        <w:jc w:val="both"/>
      </w:pPr>
      <w:r>
        <w:rPr>
          <w:sz w:val="24"/>
        </w:rPr>
        <w:t xml:space="preserve">Общество взаимного страхования показатель "Минимальный размер уставного капитала" </w:t>
      </w:r>
      <w:hyperlink w:history="0" w:anchor="P31958" w:tooltip="3">
        <w:r>
          <w:rPr>
            <w:sz w:val="24"/>
            <w:color w:val="0000ff"/>
          </w:rPr>
          <w:t xml:space="preserve">(строка 3)</w:t>
        </w:r>
      </w:hyperlink>
      <w:r>
        <w:rPr>
          <w:sz w:val="24"/>
        </w:rPr>
        <w:t xml:space="preserve"> не формирует.</w:t>
      </w:r>
    </w:p>
    <w:p>
      <w:pPr>
        <w:pStyle w:val="0"/>
        <w:spacing w:before="240" w:lineRule="auto"/>
        <w:ind w:firstLine="540"/>
        <w:jc w:val="both"/>
      </w:pPr>
      <w:r>
        <w:rPr>
          <w:sz w:val="24"/>
        </w:rPr>
        <w:t xml:space="preserve">6. По показателю "Минимальный размер собственных средств (капитала)" </w:t>
      </w:r>
      <w:hyperlink w:history="0" w:anchor="P31962" w:tooltip="4">
        <w:r>
          <w:rPr>
            <w:sz w:val="24"/>
            <w:color w:val="0000ff"/>
          </w:rPr>
          <w:t xml:space="preserve">(строка 4)</w:t>
        </w:r>
      </w:hyperlink>
      <w:r>
        <w:rPr>
          <w:sz w:val="24"/>
        </w:rPr>
        <w:t xml:space="preserve"> обществом взаимного страхования указывается минимальный размер собственных средств (капитала) общества взаимного страхования, определенный в соответствии с </w:t>
      </w:r>
      <w:hyperlink w:history="0" r:id="rId46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3.2 статьи 25</w:t>
        </w:r>
      </w:hyperlink>
      <w:r>
        <w:rPr>
          <w:sz w:val="24"/>
        </w:rPr>
        <w:t xml:space="preserve"> Закона Российской Федерации N 4015-I.</w:t>
      </w:r>
    </w:p>
    <w:p>
      <w:pPr>
        <w:pStyle w:val="0"/>
        <w:spacing w:before="240" w:lineRule="auto"/>
        <w:ind w:firstLine="540"/>
        <w:jc w:val="both"/>
      </w:pPr>
      <w:r>
        <w:rPr>
          <w:sz w:val="24"/>
        </w:rPr>
        <w:t xml:space="preserve">Страховая организация показатель "Минимальный размер собственных средств (капитала)" </w:t>
      </w:r>
      <w:hyperlink w:history="0" w:anchor="P31962" w:tooltip="4">
        <w:r>
          <w:rPr>
            <w:sz w:val="24"/>
            <w:color w:val="0000ff"/>
          </w:rPr>
          <w:t xml:space="preserve">(строка 4)</w:t>
        </w:r>
      </w:hyperlink>
      <w:r>
        <w:rPr>
          <w:sz w:val="24"/>
        </w:rPr>
        <w:t xml:space="preserve"> не формирует.</w:t>
      </w:r>
    </w:p>
    <w:p>
      <w:pPr>
        <w:pStyle w:val="0"/>
        <w:spacing w:before="240" w:lineRule="auto"/>
        <w:ind w:firstLine="540"/>
        <w:jc w:val="both"/>
      </w:pPr>
      <w:r>
        <w:rPr>
          <w:sz w:val="24"/>
        </w:rPr>
        <w:t xml:space="preserve">7. По показателю "Нормативный размер маржи платежеспособности" </w:t>
      </w:r>
      <w:hyperlink w:history="0" w:anchor="P31966" w:tooltip="5">
        <w:r>
          <w:rPr>
            <w:sz w:val="24"/>
            <w:color w:val="0000ff"/>
          </w:rPr>
          <w:t xml:space="preserve">(строка 5)</w:t>
        </w:r>
      </w:hyperlink>
      <w:r>
        <w:rPr>
          <w:sz w:val="24"/>
        </w:rPr>
        <w:t xml:space="preserve"> указывается нормативный размер маржи платежеспособности (НРМП), определенный в соответствии с </w:t>
      </w:r>
      <w:hyperlink w:history="0" r:id="rId47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6.3</w:t>
        </w:r>
      </w:hyperlink>
      <w:r>
        <w:rPr>
          <w:sz w:val="24"/>
        </w:rPr>
        <w:t xml:space="preserve"> Положения Банка России N 858-П.</w:t>
      </w:r>
    </w:p>
    <w:p>
      <w:pPr>
        <w:pStyle w:val="0"/>
        <w:spacing w:before="240" w:lineRule="auto"/>
        <w:ind w:firstLine="540"/>
        <w:jc w:val="both"/>
      </w:pPr>
      <w:r>
        <w:rPr>
          <w:sz w:val="24"/>
        </w:rPr>
        <w:t xml:space="preserve">8. По показателю "Нормативный размер маржи платежеспособности по страхованию жизни" </w:t>
      </w:r>
      <w:hyperlink w:history="0" w:anchor="P31970" w:tooltip="6">
        <w:r>
          <w:rPr>
            <w:sz w:val="24"/>
            <w:color w:val="0000ff"/>
          </w:rPr>
          <w:t xml:space="preserve">(строка 6)</w:t>
        </w:r>
      </w:hyperlink>
      <w:r>
        <w:rPr>
          <w:sz w:val="24"/>
        </w:rPr>
        <w:t xml:space="preserve"> указывается нормативный размер маржи платежеспособности по страхованию жизни (N</w:t>
      </w:r>
      <w:r>
        <w:rPr>
          <w:sz w:val="24"/>
          <w:vertAlign w:val="subscript"/>
        </w:rPr>
        <w:t xml:space="preserve">ж</w:t>
      </w:r>
      <w:r>
        <w:rPr>
          <w:sz w:val="24"/>
        </w:rPr>
        <w:t xml:space="preserve">), определенный в соответствии с </w:t>
      </w:r>
      <w:hyperlink w:history="0" r:id="rId47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6.3.1 пункта 6.3</w:t>
        </w:r>
      </w:hyperlink>
      <w:r>
        <w:rPr>
          <w:sz w:val="24"/>
        </w:rPr>
        <w:t xml:space="preserve"> Положения Банка России N 858-П.</w:t>
      </w:r>
    </w:p>
    <w:p>
      <w:pPr>
        <w:pStyle w:val="0"/>
        <w:spacing w:before="240" w:lineRule="auto"/>
        <w:ind w:firstLine="540"/>
        <w:jc w:val="both"/>
      </w:pPr>
      <w:r>
        <w:rPr>
          <w:sz w:val="24"/>
        </w:rPr>
        <w:t xml:space="preserve">9. По показателю "Нормативный размер маржи платежеспособности по страхованию иному, чем страхование жизни" </w:t>
      </w:r>
      <w:hyperlink w:history="0" w:anchor="P31974" w:tooltip="7">
        <w:r>
          <w:rPr>
            <w:sz w:val="24"/>
            <w:color w:val="0000ff"/>
          </w:rPr>
          <w:t xml:space="preserve">(строка 7)</w:t>
        </w:r>
      </w:hyperlink>
      <w:r>
        <w:rPr>
          <w:sz w:val="24"/>
        </w:rPr>
        <w:t xml:space="preserve"> указывается нормативный размер маржи платежеспособности по страхованию иному, чем страхование жизни (N), определенный по формуле в соответствии с </w:t>
      </w:r>
      <w:hyperlink w:history="0" r:id="rId47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6.3.2 пункта 6.3</w:t>
        </w:r>
      </w:hyperlink>
      <w:r>
        <w:rPr>
          <w:sz w:val="24"/>
        </w:rPr>
        <w:t xml:space="preserve"> Положения Банка России N 858-П.</w:t>
      </w:r>
    </w:p>
    <w:p>
      <w:pPr>
        <w:pStyle w:val="0"/>
        <w:spacing w:before="240" w:lineRule="auto"/>
        <w:ind w:firstLine="540"/>
        <w:jc w:val="both"/>
      </w:pPr>
      <w:r>
        <w:rPr>
          <w:sz w:val="24"/>
        </w:rPr>
        <w:t xml:space="preserve">10. По показателю "Первый показатель (N</w:t>
      </w:r>
      <w:r>
        <w:rPr>
          <w:sz w:val="24"/>
          <w:vertAlign w:val="subscript"/>
        </w:rPr>
        <w:t xml:space="preserve">1</w:t>
      </w:r>
      <w:r>
        <w:rPr>
          <w:sz w:val="24"/>
        </w:rPr>
        <w:t xml:space="preserve">)" </w:t>
      </w:r>
      <w:hyperlink w:history="0" w:anchor="P31978" w:tooltip="8">
        <w:r>
          <w:rPr>
            <w:sz w:val="24"/>
            <w:color w:val="0000ff"/>
          </w:rPr>
          <w:t xml:space="preserve">(строка 8)</w:t>
        </w:r>
      </w:hyperlink>
      <w:r>
        <w:rPr>
          <w:sz w:val="24"/>
        </w:rPr>
        <w:t xml:space="preserve"> указывается значение первого показателя (N</w:t>
      </w:r>
      <w:r>
        <w:rPr>
          <w:sz w:val="24"/>
          <w:vertAlign w:val="subscript"/>
        </w:rPr>
        <w:t xml:space="preserve">1</w:t>
      </w:r>
      <w:r>
        <w:rPr>
          <w:sz w:val="24"/>
        </w:rPr>
        <w:t xml:space="preserve">), рассчитанное по формуле в соответствии с </w:t>
      </w:r>
      <w:hyperlink w:history="0" r:id="rId47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вторым подпункта 6.3.2.1 пункта 6.3</w:t>
        </w:r>
      </w:hyperlink>
      <w:r>
        <w:rPr>
          <w:sz w:val="24"/>
        </w:rPr>
        <w:t xml:space="preserve"> Положения Банка России N 858-П.</w:t>
      </w:r>
    </w:p>
    <w:p>
      <w:pPr>
        <w:pStyle w:val="0"/>
        <w:spacing w:before="240" w:lineRule="auto"/>
        <w:ind w:firstLine="540"/>
        <w:jc w:val="both"/>
      </w:pPr>
      <w:r>
        <w:rPr>
          <w:sz w:val="24"/>
        </w:rPr>
        <w:t xml:space="preserve">11. По показателю "Второй показатель (N</w:t>
      </w:r>
      <w:r>
        <w:rPr>
          <w:sz w:val="24"/>
          <w:vertAlign w:val="subscript"/>
        </w:rPr>
        <w:t xml:space="preserve">2</w:t>
      </w:r>
      <w:r>
        <w:rPr>
          <w:sz w:val="24"/>
        </w:rPr>
        <w:t xml:space="preserve">)" </w:t>
      </w:r>
      <w:hyperlink w:history="0" w:anchor="P31982" w:tooltip="9">
        <w:r>
          <w:rPr>
            <w:sz w:val="24"/>
            <w:color w:val="0000ff"/>
          </w:rPr>
          <w:t xml:space="preserve">(строка 9)</w:t>
        </w:r>
      </w:hyperlink>
      <w:r>
        <w:rPr>
          <w:sz w:val="24"/>
        </w:rPr>
        <w:t xml:space="preserve"> указывается значение второго показателя (N</w:t>
      </w:r>
      <w:r>
        <w:rPr>
          <w:sz w:val="24"/>
          <w:vertAlign w:val="subscript"/>
        </w:rPr>
        <w:t xml:space="preserve">2</w:t>
      </w:r>
      <w:r>
        <w:rPr>
          <w:sz w:val="24"/>
        </w:rPr>
        <w:t xml:space="preserve">), определенное по формуле в соответствии с </w:t>
      </w:r>
      <w:hyperlink w:history="0" r:id="rId47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вторым подпункта 6.3.2.2 пункта 6.3</w:t>
        </w:r>
      </w:hyperlink>
      <w:r>
        <w:rPr>
          <w:sz w:val="24"/>
        </w:rPr>
        <w:t xml:space="preserve"> Положения Банка России N 858-П.</w:t>
      </w:r>
    </w:p>
    <w:p>
      <w:pPr>
        <w:pStyle w:val="0"/>
        <w:spacing w:before="240" w:lineRule="auto"/>
        <w:ind w:firstLine="540"/>
        <w:jc w:val="both"/>
      </w:pPr>
      <w:r>
        <w:rPr>
          <w:sz w:val="24"/>
        </w:rPr>
        <w:t xml:space="preserve">12. По показателю "Третий показатель (N</w:t>
      </w:r>
      <w:r>
        <w:rPr>
          <w:sz w:val="24"/>
          <w:vertAlign w:val="subscript"/>
        </w:rPr>
        <w:t xml:space="preserve">3</w:t>
      </w:r>
      <w:r>
        <w:rPr>
          <w:sz w:val="24"/>
        </w:rPr>
        <w:t xml:space="preserve">)" </w:t>
      </w:r>
      <w:hyperlink w:history="0" w:anchor="P31986" w:tooltip="10">
        <w:r>
          <w:rPr>
            <w:sz w:val="24"/>
            <w:color w:val="0000ff"/>
          </w:rPr>
          <w:t xml:space="preserve">(строка 10)</w:t>
        </w:r>
      </w:hyperlink>
      <w:r>
        <w:rPr>
          <w:sz w:val="24"/>
        </w:rPr>
        <w:t xml:space="preserve"> указывается значение третьего показателя (N</w:t>
      </w:r>
      <w:r>
        <w:rPr>
          <w:sz w:val="24"/>
          <w:vertAlign w:val="subscript"/>
        </w:rPr>
        <w:t xml:space="preserve">3</w:t>
      </w:r>
      <w:r>
        <w:rPr>
          <w:sz w:val="24"/>
        </w:rPr>
        <w:t xml:space="preserve">), рассчитанное в соответствии с </w:t>
      </w:r>
      <w:hyperlink w:history="0" r:id="rId47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6.3.2.3 пункта 6.3</w:t>
        </w:r>
      </w:hyperlink>
      <w:r>
        <w:rPr>
          <w:sz w:val="24"/>
        </w:rPr>
        <w:t xml:space="preserve"> Положения Банка России N 858-П.</w:t>
      </w:r>
    </w:p>
    <w:p>
      <w:pPr>
        <w:pStyle w:val="0"/>
        <w:spacing w:before="240" w:lineRule="auto"/>
        <w:ind w:firstLine="540"/>
        <w:jc w:val="both"/>
      </w:pPr>
      <w:r>
        <w:rPr>
          <w:sz w:val="24"/>
        </w:rPr>
        <w:t xml:space="preserve">13. По показателю "Четвертый показатель (N</w:t>
      </w:r>
      <w:r>
        <w:rPr>
          <w:sz w:val="24"/>
          <w:vertAlign w:val="subscript"/>
        </w:rPr>
        <w:t xml:space="preserve">4</w:t>
      </w:r>
      <w:r>
        <w:rPr>
          <w:sz w:val="24"/>
        </w:rPr>
        <w:t xml:space="preserve">)" </w:t>
      </w:r>
      <w:hyperlink w:history="0" w:anchor="P31990" w:tooltip="11">
        <w:r>
          <w:rPr>
            <w:sz w:val="24"/>
            <w:color w:val="0000ff"/>
          </w:rPr>
          <w:t xml:space="preserve">(строка 11)</w:t>
        </w:r>
      </w:hyperlink>
      <w:r>
        <w:rPr>
          <w:sz w:val="24"/>
        </w:rPr>
        <w:t xml:space="preserve"> указывается значение четвертого показателя (N</w:t>
      </w:r>
      <w:r>
        <w:rPr>
          <w:sz w:val="24"/>
          <w:vertAlign w:val="subscript"/>
        </w:rPr>
        <w:t xml:space="preserve">4</w:t>
      </w:r>
      <w:r>
        <w:rPr>
          <w:sz w:val="24"/>
        </w:rPr>
        <w:t xml:space="preserve">), определенное по формуле в соответствии с </w:t>
      </w:r>
      <w:hyperlink w:history="0" r:id="rId47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6.3.2.6 пункта 6.3</w:t>
        </w:r>
      </w:hyperlink>
      <w:r>
        <w:rPr>
          <w:sz w:val="24"/>
        </w:rPr>
        <w:t xml:space="preserve"> Положения Банка России N 858-П.</w:t>
      </w:r>
    </w:p>
    <w:p>
      <w:pPr>
        <w:pStyle w:val="0"/>
        <w:spacing w:before="240" w:lineRule="auto"/>
        <w:ind w:firstLine="540"/>
        <w:jc w:val="both"/>
      </w:pPr>
      <w:r>
        <w:rPr>
          <w:sz w:val="24"/>
        </w:rPr>
        <w:t xml:space="preserve">14. По показателю "Корректировка нормативного размера маржи платежеспособности (туроператоры)" </w:t>
      </w:r>
      <w:hyperlink w:history="0" w:anchor="P31994" w:tooltip="12">
        <w:r>
          <w:rPr>
            <w:sz w:val="24"/>
            <w:color w:val="0000ff"/>
          </w:rPr>
          <w:t xml:space="preserve">(строка 12)</w:t>
        </w:r>
      </w:hyperlink>
      <w:r>
        <w:rPr>
          <w:sz w:val="24"/>
        </w:rPr>
        <w:t xml:space="preserve"> указывается сумма рассчитанных в отношении каждого туроператора превышений совокупного объема ответственности нетто-перестрахования по всем действующим на конец отчетного периода договорам страхования ответственности туроператора, осуществляемого страховой организацией в соответствии с Федеральным </w:t>
      </w:r>
      <w:hyperlink w:history="0" r:id="rId477"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законом</w:t>
        </w:r>
      </w:hyperlink>
      <w:r>
        <w:rPr>
          <w:sz w:val="24"/>
        </w:rPr>
        <w:t xml:space="preserve"> от 24 ноября 1996 года N 132-ФЗ "Об основах туристской деятельности в Российской Федерации" (в отношении каждого отдельного туроператора), над показателем, равным 10 процентам от величины собственных средств (капитала), указанной по показателю "Собственные средства (капитал)" </w:t>
      </w:r>
      <w:hyperlink w:history="0" w:anchor="P31950" w:tooltip="1">
        <w:r>
          <w:rPr>
            <w:sz w:val="24"/>
            <w:color w:val="0000ff"/>
          </w:rPr>
          <w:t xml:space="preserve">(строка 1)</w:t>
        </w:r>
      </w:hyperlink>
      <w:r>
        <w:rPr>
          <w:sz w:val="24"/>
        </w:rPr>
        <w:t xml:space="preserve">, на которую увеличивается нормативный размер маржи платежеспособности в соответствии с </w:t>
      </w:r>
      <w:hyperlink w:history="0" r:id="rId47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6.3.3 пункта 6.3</w:t>
        </w:r>
      </w:hyperlink>
      <w:r>
        <w:rPr>
          <w:sz w:val="24"/>
        </w:rPr>
        <w:t xml:space="preserve"> Положения Банка России N 858-П.</w:t>
      </w:r>
    </w:p>
    <w:p>
      <w:pPr>
        <w:pStyle w:val="0"/>
        <w:spacing w:before="240" w:lineRule="auto"/>
        <w:ind w:firstLine="540"/>
        <w:jc w:val="both"/>
      </w:pPr>
      <w:r>
        <w:rPr>
          <w:sz w:val="24"/>
        </w:rPr>
        <w:t xml:space="preserve">15. По показателю "Оценка влияния рисков на собственные средства (капитал)" </w:t>
      </w:r>
      <w:hyperlink w:history="0" w:anchor="P31998" w:tooltip="13">
        <w:r>
          <w:rPr>
            <w:sz w:val="24"/>
            <w:color w:val="0000ff"/>
          </w:rPr>
          <w:t xml:space="preserve">(строка 13)</w:t>
        </w:r>
      </w:hyperlink>
      <w:r>
        <w:rPr>
          <w:sz w:val="24"/>
        </w:rPr>
        <w:t xml:space="preserve"> указывается величина оценки влияния рисков на собственные средства (капитал) (РК), определенная в соответствии с </w:t>
      </w:r>
      <w:hyperlink w:history="0" r:id="rId47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пунктами 6.4</w:t>
        </w:r>
      </w:hyperlink>
      <w:r>
        <w:rPr>
          <w:sz w:val="24"/>
        </w:rPr>
        <w:t xml:space="preserve"> и </w:t>
      </w:r>
      <w:hyperlink w:history="0" r:id="rId48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6.5</w:t>
        </w:r>
      </w:hyperlink>
      <w:r>
        <w:rPr>
          <w:sz w:val="24"/>
        </w:rPr>
        <w:t xml:space="preserve"> Положения Банка России N 858-П.</w:t>
      </w:r>
    </w:p>
    <w:p>
      <w:pPr>
        <w:pStyle w:val="0"/>
        <w:spacing w:before="240" w:lineRule="auto"/>
        <w:ind w:firstLine="540"/>
        <w:jc w:val="both"/>
      </w:pPr>
      <w:r>
        <w:rPr>
          <w:sz w:val="24"/>
        </w:rPr>
        <w:t xml:space="preserve">16. По показателю "Оценка риска 1" </w:t>
      </w:r>
      <w:hyperlink w:history="0" w:anchor="P32002" w:tooltip="14">
        <w:r>
          <w:rPr>
            <w:sz w:val="24"/>
            <w:color w:val="0000ff"/>
          </w:rPr>
          <w:t xml:space="preserve">(строка 14)</w:t>
        </w:r>
      </w:hyperlink>
      <w:r>
        <w:rPr>
          <w:sz w:val="24"/>
        </w:rPr>
        <w:t xml:space="preserve"> указывается величина оценки риска 1 (R</w:t>
      </w:r>
      <w:r>
        <w:rPr>
          <w:sz w:val="24"/>
          <w:vertAlign w:val="subscript"/>
        </w:rPr>
        <w:t xml:space="preserve">1</w:t>
      </w:r>
      <w:r>
        <w:rPr>
          <w:sz w:val="24"/>
        </w:rPr>
        <w:t xml:space="preserve">), определенная в соответствии с </w:t>
      </w:r>
      <w:hyperlink w:history="0" r:id="rId48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6.5.1 пункта 6.5</w:t>
        </w:r>
      </w:hyperlink>
      <w:r>
        <w:rPr>
          <w:sz w:val="24"/>
        </w:rPr>
        <w:t xml:space="preserve"> Положения Банка России N 858-П.</w:t>
      </w:r>
    </w:p>
    <w:p>
      <w:pPr>
        <w:pStyle w:val="0"/>
        <w:spacing w:before="240" w:lineRule="auto"/>
        <w:ind w:firstLine="540"/>
        <w:jc w:val="both"/>
      </w:pPr>
      <w:r>
        <w:rPr>
          <w:sz w:val="24"/>
        </w:rPr>
        <w:t xml:space="preserve">17. По показателю "Оценка концентрационного риска" </w:t>
      </w:r>
      <w:hyperlink w:history="0" w:anchor="P32006" w:tooltip="15">
        <w:r>
          <w:rPr>
            <w:sz w:val="24"/>
            <w:color w:val="0000ff"/>
          </w:rPr>
          <w:t xml:space="preserve">(строка 15)</w:t>
        </w:r>
      </w:hyperlink>
      <w:r>
        <w:rPr>
          <w:sz w:val="24"/>
        </w:rPr>
        <w:t xml:space="preserve"> указывается величина оценки концентрационного риска (R</w:t>
      </w:r>
      <w:r>
        <w:rPr>
          <w:sz w:val="24"/>
          <w:vertAlign w:val="subscript"/>
        </w:rPr>
        <w:t xml:space="preserve">1conc</w:t>
      </w:r>
      <w:r>
        <w:rPr>
          <w:sz w:val="24"/>
        </w:rPr>
        <w:t xml:space="preserve">), определенная в соответствии с </w:t>
      </w:r>
      <w:hyperlink w:history="0" r:id="rId48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18. По показателю "Оценка риска изменения кредитного спреда" </w:t>
      </w:r>
      <w:hyperlink w:history="0" w:anchor="P32010" w:tooltip="16">
        <w:r>
          <w:rPr>
            <w:sz w:val="24"/>
            <w:color w:val="0000ff"/>
          </w:rPr>
          <w:t xml:space="preserve">(строка 16)</w:t>
        </w:r>
      </w:hyperlink>
      <w:r>
        <w:rPr>
          <w:sz w:val="24"/>
        </w:rPr>
        <w:t xml:space="preserve"> указывается величина оценки риска изменения кредитного спреда (R</w:t>
      </w:r>
      <w:r>
        <w:rPr>
          <w:sz w:val="24"/>
          <w:vertAlign w:val="subscript"/>
        </w:rPr>
        <w:t xml:space="preserve">1spread</w:t>
      </w:r>
      <w:r>
        <w:rPr>
          <w:sz w:val="24"/>
        </w:rPr>
        <w:t xml:space="preserve">) определенная в соответствии с </w:t>
      </w:r>
      <w:hyperlink w:history="0" r:id="rId48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2</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19. По показателю "Оценка риска изменения процентных ставок" </w:t>
      </w:r>
      <w:hyperlink w:history="0" w:anchor="P32014" w:tooltip="17">
        <w:r>
          <w:rPr>
            <w:sz w:val="24"/>
            <w:color w:val="0000ff"/>
          </w:rPr>
          <w:t xml:space="preserve">(строка 17)</w:t>
        </w:r>
      </w:hyperlink>
      <w:r>
        <w:rPr>
          <w:sz w:val="24"/>
        </w:rPr>
        <w:t xml:space="preserve"> указывается величина оценки риска изменения процентных ставок (R</w:t>
      </w:r>
      <w:r>
        <w:rPr>
          <w:sz w:val="24"/>
          <w:vertAlign w:val="subscript"/>
        </w:rPr>
        <w:t xml:space="preserve">1 interest rate</w:t>
      </w:r>
      <w:r>
        <w:rPr>
          <w:sz w:val="24"/>
        </w:rPr>
        <w:t xml:space="preserve">), определенная в соответствии с </w:t>
      </w:r>
      <w:hyperlink w:history="0" r:id="rId48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3</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20. По показателю "Оценка риска изменения стоимости акций" </w:t>
      </w:r>
      <w:hyperlink w:history="0" w:anchor="P32018" w:tooltip="18">
        <w:r>
          <w:rPr>
            <w:sz w:val="24"/>
            <w:color w:val="0000ff"/>
          </w:rPr>
          <w:t xml:space="preserve">(строка 18)</w:t>
        </w:r>
      </w:hyperlink>
      <w:r>
        <w:rPr>
          <w:sz w:val="24"/>
        </w:rPr>
        <w:t xml:space="preserve"> указывается величина оценки риска изменения стоимости акций (R</w:t>
      </w:r>
      <w:r>
        <w:rPr>
          <w:sz w:val="24"/>
          <w:vertAlign w:val="subscript"/>
        </w:rPr>
        <w:t xml:space="preserve">1 equity</w:t>
      </w:r>
      <w:r>
        <w:rPr>
          <w:sz w:val="24"/>
        </w:rPr>
        <w:t xml:space="preserve">), определенная в соответствии с </w:t>
      </w:r>
      <w:hyperlink w:history="0" r:id="rId48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21. По показателю "Оценка риска изменения валютного курса" </w:t>
      </w:r>
      <w:hyperlink w:history="0" w:anchor="P32022" w:tooltip="19">
        <w:r>
          <w:rPr>
            <w:sz w:val="24"/>
            <w:color w:val="0000ff"/>
          </w:rPr>
          <w:t xml:space="preserve">(строка 19)</w:t>
        </w:r>
      </w:hyperlink>
      <w:r>
        <w:rPr>
          <w:sz w:val="24"/>
        </w:rPr>
        <w:t xml:space="preserve"> указывается величина оценки риска изменения валютного курса (R</w:t>
      </w:r>
      <w:r>
        <w:rPr>
          <w:sz w:val="24"/>
          <w:vertAlign w:val="subscript"/>
        </w:rPr>
        <w:t xml:space="preserve">1currency</w:t>
      </w:r>
      <w:r>
        <w:rPr>
          <w:sz w:val="24"/>
        </w:rPr>
        <w:t xml:space="preserve">), определенная в соответствии с </w:t>
      </w:r>
      <w:hyperlink w:history="0" r:id="rId48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7</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22. По показателю "Оценка риска изменения цен на недвижимость" </w:t>
      </w:r>
      <w:hyperlink w:history="0" w:anchor="P32026" w:tooltip="20">
        <w:r>
          <w:rPr>
            <w:sz w:val="24"/>
            <w:color w:val="0000ff"/>
          </w:rPr>
          <w:t xml:space="preserve">(строка 20)</w:t>
        </w:r>
      </w:hyperlink>
      <w:r>
        <w:rPr>
          <w:sz w:val="24"/>
        </w:rPr>
        <w:t xml:space="preserve"> указывается величина оценки риска изменения цен на недвижимость (R</w:t>
      </w:r>
      <w:r>
        <w:rPr>
          <w:sz w:val="24"/>
          <w:vertAlign w:val="subscript"/>
        </w:rPr>
        <w:t xml:space="preserve">1property</w:t>
      </w:r>
      <w:r>
        <w:rPr>
          <w:sz w:val="24"/>
        </w:rPr>
        <w:t xml:space="preserve">), определенная в соответствии с </w:t>
      </w:r>
      <w:hyperlink w:history="0" r:id="rId48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5</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23. По показателю "Оценка риска изменения цен на иные активы" </w:t>
      </w:r>
      <w:hyperlink w:history="0" w:anchor="P32030" w:tooltip="21">
        <w:r>
          <w:rPr>
            <w:sz w:val="24"/>
            <w:color w:val="0000ff"/>
          </w:rPr>
          <w:t xml:space="preserve">(строка 21)</w:t>
        </w:r>
      </w:hyperlink>
      <w:r>
        <w:rPr>
          <w:sz w:val="24"/>
        </w:rPr>
        <w:t xml:space="preserve"> указывается величина оценки риска изменения стоимости активов, риск изменения стоимости которых не подлежит определению в рамках оценки влияния рисков изменения кредитного спреда, процентных ставок, стоимости акций и цен на недвижимость (R</w:t>
      </w:r>
      <w:r>
        <w:rPr>
          <w:sz w:val="24"/>
          <w:vertAlign w:val="subscript"/>
        </w:rPr>
        <w:t xml:space="preserve">1 commodity</w:t>
      </w:r>
      <w:r>
        <w:rPr>
          <w:sz w:val="24"/>
        </w:rPr>
        <w:t xml:space="preserve">), определенная в соответствии с </w:t>
      </w:r>
      <w:hyperlink w:history="0" r:id="rId48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6</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24. По показателю "Оценка риска 2" </w:t>
      </w:r>
      <w:hyperlink w:history="0" w:anchor="P32034" w:tooltip="22">
        <w:r>
          <w:rPr>
            <w:sz w:val="24"/>
            <w:color w:val="0000ff"/>
          </w:rPr>
          <w:t xml:space="preserve">(строка 22)</w:t>
        </w:r>
      </w:hyperlink>
      <w:r>
        <w:rPr>
          <w:sz w:val="24"/>
        </w:rPr>
        <w:t xml:space="preserve"> указывается величина оценки риска 2 (R</w:t>
      </w:r>
      <w:r>
        <w:rPr>
          <w:sz w:val="24"/>
          <w:vertAlign w:val="subscript"/>
        </w:rPr>
        <w:t xml:space="preserve">2</w:t>
      </w:r>
      <w:r>
        <w:rPr>
          <w:sz w:val="24"/>
        </w:rPr>
        <w:t xml:space="preserve">), определенная в соответствии с </w:t>
      </w:r>
      <w:hyperlink w:history="0" r:id="rId48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пунктами 8</w:t>
        </w:r>
      </w:hyperlink>
      <w:r>
        <w:rPr>
          <w:sz w:val="24"/>
        </w:rPr>
        <w:t xml:space="preserve"> - </w:t>
      </w:r>
      <w:hyperlink w:history="0" r:id="rId49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11</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25. По показателю "Суммарная стоимость прав требования для определения оценки риска 2 (R*2credit)" </w:t>
      </w:r>
      <w:hyperlink w:history="0" w:anchor="P32038" w:tooltip="23">
        <w:r>
          <w:rPr>
            <w:sz w:val="24"/>
            <w:color w:val="0000ff"/>
          </w:rPr>
          <w:t xml:space="preserve">(строка 23)</w:t>
        </w:r>
      </w:hyperlink>
      <w:r>
        <w:rPr>
          <w:sz w:val="24"/>
        </w:rPr>
        <w:t xml:space="preserve"> указывается значение показателя R*</w:t>
      </w:r>
      <w:r>
        <w:rPr>
          <w:sz w:val="24"/>
          <w:vertAlign w:val="subscript"/>
        </w:rPr>
        <w:t xml:space="preserve">2credit</w:t>
      </w:r>
      <w:r>
        <w:rPr>
          <w:sz w:val="24"/>
        </w:rPr>
        <w:t xml:space="preserve">, определенное в соответствии с </w:t>
      </w:r>
      <w:hyperlink w:history="0" r:id="rId49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шестым пункта 8</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26. По показателю "Оценка операционного риска" </w:t>
      </w:r>
      <w:hyperlink w:history="0" w:anchor="P32042" w:tooltip="24">
        <w:r>
          <w:rPr>
            <w:sz w:val="24"/>
            <w:color w:val="0000ff"/>
          </w:rPr>
          <w:t xml:space="preserve">(строка 24)</w:t>
        </w:r>
      </w:hyperlink>
      <w:r>
        <w:rPr>
          <w:sz w:val="24"/>
        </w:rPr>
        <w:t xml:space="preserve"> указывается величина оценки операционного риска (ОР), определенная в соответствии с </w:t>
      </w:r>
      <w:hyperlink w:history="0" r:id="rId49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6.6</w:t>
        </w:r>
      </w:hyperlink>
      <w:r>
        <w:rPr>
          <w:sz w:val="24"/>
        </w:rPr>
        <w:t xml:space="preserve"> Положения Банка России N 858-П.</w:t>
      </w:r>
    </w:p>
    <w:p>
      <w:pPr>
        <w:pStyle w:val="0"/>
        <w:spacing w:before="240" w:lineRule="auto"/>
        <w:ind w:firstLine="540"/>
        <w:jc w:val="both"/>
      </w:pPr>
      <w:r>
        <w:rPr>
          <w:sz w:val="24"/>
        </w:rPr>
        <w:t xml:space="preserve">27. По показателю "Нормативное соотношение собственных средств (капитала) и принятых обязательств" </w:t>
      </w:r>
      <w:hyperlink w:history="0" w:anchor="P32046" w:tooltip="25">
        <w:r>
          <w:rPr>
            <w:sz w:val="24"/>
            <w:color w:val="0000ff"/>
          </w:rPr>
          <w:t xml:space="preserve">(строка 25)</w:t>
        </w:r>
      </w:hyperlink>
      <w:r>
        <w:rPr>
          <w:sz w:val="24"/>
        </w:rPr>
        <w:t xml:space="preserve"> указывается значение нормативного соотношения собственных средств (капитала) и принятых обязательств (НС), рассчитанное по формуле в соответствии с </w:t>
      </w:r>
      <w:hyperlink w:history="0" r:id="rId49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6.1</w:t>
        </w:r>
      </w:hyperlink>
      <w:r>
        <w:rPr>
          <w:sz w:val="24"/>
        </w:rPr>
        <w:t xml:space="preserve"> Положения Банка России N 858-П.</w:t>
      </w:r>
    </w:p>
    <w:p>
      <w:pPr>
        <w:pStyle w:val="0"/>
        <w:spacing w:before="240" w:lineRule="auto"/>
        <w:ind w:firstLine="540"/>
        <w:jc w:val="both"/>
      </w:pPr>
      <w:r>
        <w:rPr>
          <w:sz w:val="24"/>
        </w:rPr>
        <w:t xml:space="preserve">28. По показателю "Дата принятия последнего решения о выплате дивидендов (распределении прибыли)" </w:t>
      </w:r>
      <w:hyperlink w:history="0" w:anchor="P32054" w:tooltip="27">
        <w:r>
          <w:rPr>
            <w:sz w:val="24"/>
            <w:color w:val="0000ff"/>
          </w:rPr>
          <w:t xml:space="preserve">(строка 27)</w:t>
        </w:r>
      </w:hyperlink>
      <w:r>
        <w:rPr>
          <w:sz w:val="24"/>
        </w:rPr>
        <w:t xml:space="preserve"> указывается дата принятия страховой организацией последнего решения о выплате дивидендов (распределении прибыли).</w:t>
      </w:r>
    </w:p>
    <w:p>
      <w:pPr>
        <w:pStyle w:val="0"/>
        <w:spacing w:before="240" w:lineRule="auto"/>
        <w:ind w:firstLine="540"/>
        <w:jc w:val="both"/>
      </w:pPr>
      <w:r>
        <w:rPr>
          <w:sz w:val="24"/>
        </w:rPr>
        <w:t xml:space="preserve">В случае если страховой организацией не принималось решение о выплате дивидендов (распределении прибыли), по показателю "Дата принятия последнего решения о выплате дивидендов (распределении прибыли)" </w:t>
      </w:r>
      <w:hyperlink w:history="0" w:anchor="P32054" w:tooltip="27">
        <w:r>
          <w:rPr>
            <w:sz w:val="24"/>
            <w:color w:val="0000ff"/>
          </w:rPr>
          <w:t xml:space="preserve">(строка 27)</w:t>
        </w:r>
      </w:hyperlink>
      <w:r>
        <w:rPr>
          <w:sz w:val="24"/>
        </w:rPr>
        <w:t xml:space="preserve"> указывается значение 0001-01-01.</w:t>
      </w:r>
    </w:p>
    <w:p>
      <w:pPr>
        <w:pStyle w:val="0"/>
        <w:spacing w:before="240" w:lineRule="auto"/>
        <w:ind w:firstLine="540"/>
        <w:jc w:val="both"/>
      </w:pPr>
      <w:r>
        <w:rPr>
          <w:sz w:val="24"/>
        </w:rPr>
        <w:t xml:space="preserve">29. По показателям </w:t>
      </w:r>
      <w:hyperlink w:history="0" w:anchor="P32060" w:tooltip="Подраздел 2.1.">
        <w:r>
          <w:rPr>
            <w:sz w:val="24"/>
            <w:color w:val="0000ff"/>
          </w:rPr>
          <w:t xml:space="preserve">подраздела 2.1 раздела 2</w:t>
        </w:r>
      </w:hyperlink>
      <w:r>
        <w:rPr>
          <w:sz w:val="24"/>
        </w:rPr>
        <w:t xml:space="preserve"> отчетности по форме 0420156 указываются данные, используемые для расчета нормативного размера маржи платежеспособности по страхованию жизни (N</w:t>
      </w:r>
      <w:r>
        <w:rPr>
          <w:sz w:val="24"/>
          <w:vertAlign w:val="subscript"/>
        </w:rPr>
        <w:t xml:space="preserve">ж</w:t>
      </w:r>
      <w:r>
        <w:rPr>
          <w:sz w:val="24"/>
        </w:rPr>
        <w:t xml:space="preserve">), указанного по показателю "Нормативный размер маржи платежеспособности по страхованию жизни" </w:t>
      </w:r>
      <w:hyperlink w:history="0" w:anchor="P31970" w:tooltip="6">
        <w:r>
          <w:rPr>
            <w:sz w:val="24"/>
            <w:color w:val="0000ff"/>
          </w:rPr>
          <w:t xml:space="preserve">(строка 6)</w:t>
        </w:r>
      </w:hyperlink>
      <w:r>
        <w:rPr>
          <w:sz w:val="24"/>
        </w:rPr>
        <w:t xml:space="preserve">.</w:t>
      </w:r>
    </w:p>
    <w:p>
      <w:pPr>
        <w:pStyle w:val="0"/>
        <w:spacing w:before="240" w:lineRule="auto"/>
        <w:ind w:firstLine="540"/>
        <w:jc w:val="both"/>
      </w:pPr>
      <w:r>
        <w:rPr>
          <w:sz w:val="24"/>
        </w:rPr>
        <w:t xml:space="preserve">Показатели </w:t>
      </w:r>
      <w:hyperlink w:history="0" w:anchor="P32060" w:tooltip="Подраздел 2.1.">
        <w:r>
          <w:rPr>
            <w:sz w:val="24"/>
            <w:color w:val="0000ff"/>
          </w:rPr>
          <w:t xml:space="preserve">подраздела 2.1 раздела 2</w:t>
        </w:r>
      </w:hyperlink>
      <w:r>
        <w:rPr>
          <w:sz w:val="24"/>
        </w:rPr>
        <w:t xml:space="preserve"> отчетности по форме 0420156 указываются в разрезе учетных групп, предусмотренных </w:t>
      </w:r>
      <w:hyperlink w:history="0" r:id="rId49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5.1.4 пункта 5.1</w:t>
        </w:r>
      </w:hyperlink>
      <w:r>
        <w:rPr>
          <w:sz w:val="24"/>
        </w:rPr>
        <w:t xml:space="preserve"> Положения Банка России N 858-П (по соответствующим аналитическим признакам группы аналитических признаков "Перечень учетных групп").</w:t>
      </w:r>
    </w:p>
    <w:p>
      <w:pPr>
        <w:pStyle w:val="0"/>
        <w:spacing w:before="240" w:lineRule="auto"/>
        <w:ind w:firstLine="540"/>
        <w:jc w:val="both"/>
      </w:pPr>
      <w:r>
        <w:rPr>
          <w:sz w:val="24"/>
        </w:rPr>
        <w:t xml:space="preserve">29.1. По показателю "Риск смертности" </w:t>
      </w:r>
      <w:hyperlink w:history="0" w:anchor="P32062" w:tooltip="28">
        <w:r>
          <w:rPr>
            <w:sz w:val="24"/>
            <w:color w:val="0000ff"/>
          </w:rPr>
          <w:t xml:space="preserve">(строка 28)</w:t>
        </w:r>
      </w:hyperlink>
      <w:r>
        <w:rPr>
          <w:sz w:val="24"/>
        </w:rPr>
        <w:t xml:space="preserve"> для учетных групп 18 - 20 указывается величина оценки риска смертности (ТК</w:t>
      </w:r>
      <w:r>
        <w:rPr>
          <w:sz w:val="24"/>
          <w:vertAlign w:val="subscript"/>
        </w:rPr>
        <w:t xml:space="preserve">смертность</w:t>
      </w:r>
      <w:r>
        <w:rPr>
          <w:sz w:val="24"/>
        </w:rPr>
        <w:t xml:space="preserve">), определенная в соответствии с </w:t>
      </w:r>
      <w:hyperlink w:history="0" r:id="rId49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6.3.1.1 пункта 6.3</w:t>
        </w:r>
      </w:hyperlink>
      <w:r>
        <w:rPr>
          <w:sz w:val="24"/>
        </w:rPr>
        <w:t xml:space="preserve"> Положения Банка России N 858-П по учетным группам 18 - 20.</w:t>
      </w:r>
    </w:p>
    <w:p>
      <w:pPr>
        <w:pStyle w:val="0"/>
        <w:spacing w:before="240" w:lineRule="auto"/>
        <w:ind w:firstLine="540"/>
        <w:jc w:val="both"/>
      </w:pPr>
      <w:r>
        <w:rPr>
          <w:sz w:val="24"/>
        </w:rPr>
        <w:t xml:space="preserve">Для учетной группы 21 показатель "Риск смертности" </w:t>
      </w:r>
      <w:hyperlink w:history="0" w:anchor="P32062" w:tooltip="28">
        <w:r>
          <w:rPr>
            <w:sz w:val="24"/>
            <w:color w:val="0000ff"/>
          </w:rPr>
          <w:t xml:space="preserve">(строка 28)</w:t>
        </w:r>
      </w:hyperlink>
      <w:r>
        <w:rPr>
          <w:sz w:val="24"/>
        </w:rPr>
        <w:t xml:space="preserve"> не формируется.</w:t>
      </w:r>
    </w:p>
    <w:p>
      <w:pPr>
        <w:pStyle w:val="0"/>
        <w:spacing w:before="240" w:lineRule="auto"/>
        <w:ind w:firstLine="540"/>
        <w:jc w:val="both"/>
      </w:pPr>
      <w:r>
        <w:rPr>
          <w:sz w:val="24"/>
        </w:rPr>
        <w:t xml:space="preserve">29.2. По показателю "Риск долголетия" </w:t>
      </w:r>
      <w:hyperlink w:history="0" w:anchor="P32070" w:tooltip="29">
        <w:r>
          <w:rPr>
            <w:sz w:val="24"/>
            <w:color w:val="0000ff"/>
          </w:rPr>
          <w:t xml:space="preserve">(строка 29)</w:t>
        </w:r>
      </w:hyperlink>
      <w:r>
        <w:rPr>
          <w:sz w:val="24"/>
        </w:rPr>
        <w:t xml:space="preserve"> для учетных групп 18 - 20 указывается величина оценки риска долголетия (ТК</w:t>
      </w:r>
      <w:r>
        <w:rPr>
          <w:sz w:val="24"/>
          <w:vertAlign w:val="subscript"/>
        </w:rPr>
        <w:t xml:space="preserve">долголетие</w:t>
      </w:r>
      <w:r>
        <w:rPr>
          <w:sz w:val="24"/>
        </w:rPr>
        <w:t xml:space="preserve">), определенная в соответствии с </w:t>
      </w:r>
      <w:hyperlink w:history="0" r:id="rId49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6.3.1.2 пункта 6.3</w:t>
        </w:r>
      </w:hyperlink>
      <w:r>
        <w:rPr>
          <w:sz w:val="24"/>
        </w:rPr>
        <w:t xml:space="preserve"> Положения Банка России N 858-П по учетным группам 18 - 20.</w:t>
      </w:r>
    </w:p>
    <w:p>
      <w:pPr>
        <w:pStyle w:val="0"/>
        <w:spacing w:before="240" w:lineRule="auto"/>
        <w:ind w:firstLine="540"/>
        <w:jc w:val="both"/>
      </w:pPr>
      <w:r>
        <w:rPr>
          <w:sz w:val="24"/>
        </w:rPr>
        <w:t xml:space="preserve">Для учетной группы 21 показатель "Риск долголетия" </w:t>
      </w:r>
      <w:hyperlink w:history="0" w:anchor="P32070" w:tooltip="29">
        <w:r>
          <w:rPr>
            <w:sz w:val="24"/>
            <w:color w:val="0000ff"/>
          </w:rPr>
          <w:t xml:space="preserve">(строка 29)</w:t>
        </w:r>
      </w:hyperlink>
      <w:r>
        <w:rPr>
          <w:sz w:val="24"/>
        </w:rPr>
        <w:t xml:space="preserve"> не формируется.</w:t>
      </w:r>
    </w:p>
    <w:p>
      <w:pPr>
        <w:pStyle w:val="0"/>
        <w:spacing w:before="240" w:lineRule="auto"/>
        <w:ind w:firstLine="540"/>
        <w:jc w:val="both"/>
      </w:pPr>
      <w:r>
        <w:rPr>
          <w:sz w:val="24"/>
        </w:rPr>
        <w:t xml:space="preserve">29.3. По показателю "Риск расходов на ведение дела" </w:t>
      </w:r>
      <w:hyperlink w:history="0" w:anchor="P32078" w:tooltip="30">
        <w:r>
          <w:rPr>
            <w:sz w:val="24"/>
            <w:color w:val="0000ff"/>
          </w:rPr>
          <w:t xml:space="preserve">(строка 30)</w:t>
        </w:r>
      </w:hyperlink>
      <w:r>
        <w:rPr>
          <w:sz w:val="24"/>
        </w:rPr>
        <w:t xml:space="preserve"> для учетных групп 18 - 21 указывается величина оценки риска расходов на ведение дела (ТК</w:t>
      </w:r>
      <w:r>
        <w:rPr>
          <w:sz w:val="24"/>
          <w:vertAlign w:val="subscript"/>
        </w:rPr>
        <w:t xml:space="preserve">расходы</w:t>
      </w:r>
      <w:r>
        <w:rPr>
          <w:sz w:val="24"/>
        </w:rPr>
        <w:t xml:space="preserve">), определенная в соответствии с </w:t>
      </w:r>
      <w:hyperlink w:history="0" r:id="rId49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6.3.1.3 пункта 6.3</w:t>
        </w:r>
      </w:hyperlink>
      <w:r>
        <w:rPr>
          <w:sz w:val="24"/>
        </w:rPr>
        <w:t xml:space="preserve"> Положения Банка России N 858-П по учетным группам 18 - 21.</w:t>
      </w:r>
    </w:p>
    <w:p>
      <w:pPr>
        <w:pStyle w:val="0"/>
        <w:spacing w:before="240" w:lineRule="auto"/>
        <w:ind w:firstLine="540"/>
        <w:jc w:val="both"/>
      </w:pPr>
      <w:r>
        <w:rPr>
          <w:sz w:val="24"/>
        </w:rPr>
        <w:t xml:space="preserve">29.4. По показателю "Риск досрочного прекращения договоров или изменения их условий" </w:t>
      </w:r>
      <w:hyperlink w:history="0" w:anchor="P32086" w:tooltip="31">
        <w:r>
          <w:rPr>
            <w:sz w:val="24"/>
            <w:color w:val="0000ff"/>
          </w:rPr>
          <w:t xml:space="preserve">(строка 31)</w:t>
        </w:r>
      </w:hyperlink>
      <w:r>
        <w:rPr>
          <w:sz w:val="24"/>
        </w:rPr>
        <w:t xml:space="preserve"> для учетных групп 18 - 21 указывается величина оценки риска досрочного прекращения договоров страхования, сострахования и договоров перестрахования, в которых страховая организация выступает перестраховщиком (далее - договоры входящего перестрахования), или изменения их условий (ТК</w:t>
      </w:r>
      <w:r>
        <w:rPr>
          <w:sz w:val="24"/>
          <w:vertAlign w:val="subscript"/>
        </w:rPr>
        <w:t xml:space="preserve">прекращение</w:t>
      </w:r>
      <w:r>
        <w:rPr>
          <w:sz w:val="24"/>
        </w:rPr>
        <w:t xml:space="preserve">), определенная в соответствии с </w:t>
      </w:r>
      <w:hyperlink w:history="0" r:id="rId49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6.3.1.4 пункта 6.3</w:t>
        </w:r>
      </w:hyperlink>
      <w:r>
        <w:rPr>
          <w:sz w:val="24"/>
        </w:rPr>
        <w:t xml:space="preserve"> Положения Банка России N 858-П по учетным группам 18 - 21.</w:t>
      </w:r>
    </w:p>
    <w:p>
      <w:pPr>
        <w:pStyle w:val="0"/>
        <w:spacing w:before="240" w:lineRule="auto"/>
        <w:ind w:firstLine="540"/>
        <w:jc w:val="both"/>
      </w:pPr>
      <w:r>
        <w:rPr>
          <w:sz w:val="24"/>
        </w:rPr>
        <w:t xml:space="preserve">29.5. По показателю "Величина LapseRisk</w:t>
      </w:r>
      <w:r>
        <w:rPr>
          <w:sz w:val="24"/>
          <w:vertAlign w:val="subscript"/>
        </w:rPr>
        <w:t xml:space="preserve">1</w:t>
      </w:r>
      <w:r>
        <w:rPr>
          <w:sz w:val="24"/>
        </w:rPr>
        <w:t xml:space="preserve"> (увеличение)" </w:t>
      </w:r>
      <w:hyperlink w:history="0" w:anchor="P32094" w:tooltip="32">
        <w:r>
          <w:rPr>
            <w:sz w:val="24"/>
            <w:color w:val="0000ff"/>
          </w:rPr>
          <w:t xml:space="preserve">(строка 32)</w:t>
        </w:r>
      </w:hyperlink>
      <w:r>
        <w:rPr>
          <w:sz w:val="24"/>
        </w:rPr>
        <w:t xml:space="preserve"> для учетных групп 18 - 21 указывается величина </w:t>
      </w:r>
      <w:r>
        <w:rPr>
          <w:position w:val="-10"/>
        </w:rPr>
        <w:drawing>
          <wp:inline distT="0" distB="0" distL="0" distR="0">
            <wp:extent cx="9486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948690" cy="285750"/>
                    </a:xfrm>
                    <a:prstGeom prst="rect">
                      <a:avLst/>
                    </a:prstGeom>
                    <a:noFill/>
                    <a:ln>
                      <a:noFill/>
                    </a:ln>
                  </pic:spPr>
                </pic:pic>
              </a:graphicData>
            </a:graphic>
          </wp:inline>
        </w:drawing>
      </w:r>
      <w:r>
        <w:rPr>
          <w:sz w:val="24"/>
        </w:rPr>
        <w:t xml:space="preserve">, определенная в соответствии с </w:t>
      </w:r>
      <w:hyperlink w:history="0" r:id="rId50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14</w:t>
        </w:r>
      </w:hyperlink>
      <w:r>
        <w:rPr>
          <w:sz w:val="24"/>
        </w:rPr>
        <w:t xml:space="preserve"> приложения 1 к Положению Банка России N 858-П по учетным группам 18 - 21.</w:t>
      </w:r>
    </w:p>
    <w:p>
      <w:pPr>
        <w:pStyle w:val="0"/>
        <w:spacing w:before="240" w:lineRule="auto"/>
        <w:ind w:firstLine="540"/>
        <w:jc w:val="both"/>
      </w:pPr>
      <w:r>
        <w:rPr>
          <w:sz w:val="24"/>
        </w:rPr>
        <w:t xml:space="preserve">29.6. По показателю "Величина LapseRisk</w:t>
      </w:r>
      <w:r>
        <w:rPr>
          <w:sz w:val="24"/>
          <w:vertAlign w:val="subscript"/>
        </w:rPr>
        <w:t xml:space="preserve">1</w:t>
      </w:r>
      <w:r>
        <w:rPr>
          <w:sz w:val="24"/>
        </w:rPr>
        <w:t xml:space="preserve"> (уменьшение)" </w:t>
      </w:r>
      <w:hyperlink w:history="0" w:anchor="P32102" w:tooltip="33">
        <w:r>
          <w:rPr>
            <w:sz w:val="24"/>
            <w:color w:val="0000ff"/>
          </w:rPr>
          <w:t xml:space="preserve">(строка 33)</w:t>
        </w:r>
      </w:hyperlink>
      <w:r>
        <w:rPr>
          <w:sz w:val="24"/>
        </w:rPr>
        <w:t xml:space="preserve"> для учетных групп 18 - 21 указывается величина </w:t>
      </w:r>
      <w:r>
        <w:rPr>
          <w:position w:val="-10"/>
        </w:rPr>
        <w:drawing>
          <wp:inline distT="0" distB="0" distL="0" distR="0">
            <wp:extent cx="10629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1062990" cy="285750"/>
                    </a:xfrm>
                    <a:prstGeom prst="rect">
                      <a:avLst/>
                    </a:prstGeom>
                    <a:noFill/>
                    <a:ln>
                      <a:noFill/>
                    </a:ln>
                  </pic:spPr>
                </pic:pic>
              </a:graphicData>
            </a:graphic>
          </wp:inline>
        </w:drawing>
      </w:r>
      <w:r>
        <w:rPr>
          <w:sz w:val="24"/>
        </w:rPr>
        <w:t xml:space="preserve">, определенная в соответствии с </w:t>
      </w:r>
      <w:hyperlink w:history="0" r:id="rId50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14</w:t>
        </w:r>
      </w:hyperlink>
      <w:r>
        <w:rPr>
          <w:sz w:val="24"/>
        </w:rPr>
        <w:t xml:space="preserve"> приложения 1 к Положению Банка России N 858-П по учетным группам 18 - 21.</w:t>
      </w:r>
    </w:p>
    <w:p>
      <w:pPr>
        <w:pStyle w:val="0"/>
        <w:spacing w:before="240" w:lineRule="auto"/>
        <w:ind w:firstLine="540"/>
        <w:jc w:val="both"/>
      </w:pPr>
      <w:r>
        <w:rPr>
          <w:sz w:val="24"/>
        </w:rPr>
        <w:t xml:space="preserve">29.7. По показателю "Величина LapseRisk</w:t>
      </w:r>
      <w:r>
        <w:rPr>
          <w:sz w:val="24"/>
          <w:vertAlign w:val="subscript"/>
        </w:rPr>
        <w:t xml:space="preserve">2</w:t>
      </w:r>
      <w:r>
        <w:rPr>
          <w:sz w:val="24"/>
        </w:rPr>
        <w:t xml:space="preserve">" </w:t>
      </w:r>
      <w:hyperlink w:history="0" w:anchor="P32110" w:tooltip="34">
        <w:r>
          <w:rPr>
            <w:sz w:val="24"/>
            <w:color w:val="0000ff"/>
          </w:rPr>
          <w:t xml:space="preserve">(строка 34)</w:t>
        </w:r>
      </w:hyperlink>
      <w:r>
        <w:rPr>
          <w:sz w:val="24"/>
        </w:rPr>
        <w:t xml:space="preserve"> для учетных групп 18 - 21 указывается величина LapseRisk</w:t>
      </w:r>
      <w:r>
        <w:rPr>
          <w:sz w:val="24"/>
          <w:vertAlign w:val="subscript"/>
        </w:rPr>
        <w:t xml:space="preserve">2</w:t>
      </w:r>
      <w:r>
        <w:rPr>
          <w:sz w:val="24"/>
        </w:rPr>
        <w:t xml:space="preserve">, определенная в соответствии с </w:t>
      </w:r>
      <w:hyperlink w:history="0" r:id="rId50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15</w:t>
        </w:r>
      </w:hyperlink>
      <w:r>
        <w:rPr>
          <w:sz w:val="24"/>
        </w:rPr>
        <w:t xml:space="preserve"> приложения 1 к Положению Банка России N 858-П по учетным группам 18 - 21.</w:t>
      </w:r>
    </w:p>
    <w:p>
      <w:pPr>
        <w:pStyle w:val="0"/>
        <w:spacing w:before="240" w:lineRule="auto"/>
        <w:ind w:firstLine="540"/>
        <w:jc w:val="both"/>
      </w:pPr>
      <w:r>
        <w:rPr>
          <w:sz w:val="24"/>
        </w:rPr>
        <w:t xml:space="preserve">29.8. По показателю "Прочие риски" </w:t>
      </w:r>
      <w:hyperlink w:history="0" w:anchor="P32118" w:tooltip="35">
        <w:r>
          <w:rPr>
            <w:sz w:val="24"/>
            <w:color w:val="0000ff"/>
          </w:rPr>
          <w:t xml:space="preserve">(строка 35)</w:t>
        </w:r>
      </w:hyperlink>
      <w:r>
        <w:rPr>
          <w:sz w:val="24"/>
        </w:rPr>
        <w:t xml:space="preserve"> указывается величина оценки рисков по учетной группе 21 (ТК</w:t>
      </w:r>
      <w:r>
        <w:rPr>
          <w:sz w:val="24"/>
          <w:vertAlign w:val="subscript"/>
        </w:rPr>
        <w:t xml:space="preserve">прочие риски</w:t>
      </w:r>
      <w:r>
        <w:rPr>
          <w:sz w:val="24"/>
        </w:rPr>
        <w:t xml:space="preserve">), определенная в соответствии с </w:t>
      </w:r>
      <w:hyperlink w:history="0" r:id="rId50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6.3.1.5 пункта 6.3</w:t>
        </w:r>
      </w:hyperlink>
      <w:r>
        <w:rPr>
          <w:sz w:val="24"/>
        </w:rPr>
        <w:t xml:space="preserve"> Положения Банка России N 858-П.</w:t>
      </w:r>
    </w:p>
    <w:p>
      <w:pPr>
        <w:pStyle w:val="0"/>
        <w:spacing w:before="240" w:lineRule="auto"/>
        <w:ind w:firstLine="540"/>
        <w:jc w:val="both"/>
      </w:pPr>
      <w:r>
        <w:rPr>
          <w:sz w:val="24"/>
        </w:rPr>
        <w:t xml:space="preserve">Для учетных групп 18 - 20 показатель "Прочие риски" </w:t>
      </w:r>
      <w:hyperlink w:history="0" w:anchor="P32118" w:tooltip="35">
        <w:r>
          <w:rPr>
            <w:sz w:val="24"/>
            <w:color w:val="0000ff"/>
          </w:rPr>
          <w:t xml:space="preserve">(строка 35)</w:t>
        </w:r>
      </w:hyperlink>
      <w:r>
        <w:rPr>
          <w:sz w:val="24"/>
        </w:rPr>
        <w:t xml:space="preserve"> не формируется.</w:t>
      </w:r>
    </w:p>
    <w:p>
      <w:pPr>
        <w:pStyle w:val="0"/>
        <w:spacing w:before="240" w:lineRule="auto"/>
        <w:ind w:firstLine="540"/>
        <w:jc w:val="both"/>
      </w:pPr>
      <w:r>
        <w:rPr>
          <w:sz w:val="24"/>
        </w:rPr>
        <w:t xml:space="preserve">29.9. По показателю "Вспомогательная величина (Кж)" </w:t>
      </w:r>
      <w:hyperlink w:history="0" w:anchor="P32126" w:tooltip="36">
        <w:r>
          <w:rPr>
            <w:sz w:val="24"/>
            <w:color w:val="0000ff"/>
          </w:rPr>
          <w:t xml:space="preserve">(строка 36)</w:t>
        </w:r>
      </w:hyperlink>
      <w:r>
        <w:rPr>
          <w:sz w:val="24"/>
        </w:rPr>
        <w:t xml:space="preserve"> для учетной группы 21 указывается вспомогательная величина (Кж), определенная по формуле в соответствии с </w:t>
      </w:r>
      <w:hyperlink w:history="0" r:id="rId50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шестым</w:t>
        </w:r>
      </w:hyperlink>
      <w:r>
        <w:rPr>
          <w:sz w:val="24"/>
        </w:rPr>
        <w:t xml:space="preserve"> - </w:t>
      </w:r>
      <w:hyperlink w:history="0" r:id="rId50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девятым подпункта 6.3.1.5 пункта 6.3</w:t>
        </w:r>
      </w:hyperlink>
      <w:r>
        <w:rPr>
          <w:sz w:val="24"/>
        </w:rPr>
        <w:t xml:space="preserve"> Положения Банка России N 858-П. Данные указываются с точностью до двух знаков после запятой.</w:t>
      </w:r>
    </w:p>
    <w:p>
      <w:pPr>
        <w:pStyle w:val="0"/>
        <w:spacing w:before="240" w:lineRule="auto"/>
        <w:ind w:firstLine="540"/>
        <w:jc w:val="both"/>
      </w:pPr>
      <w:r>
        <w:rPr>
          <w:sz w:val="24"/>
        </w:rPr>
        <w:t xml:space="preserve">Для учетных групп 18 - 20 показатель "Вспомогательная величина (Кж)" </w:t>
      </w:r>
      <w:hyperlink w:history="0" w:anchor="P32126" w:tooltip="36">
        <w:r>
          <w:rPr>
            <w:sz w:val="24"/>
            <w:color w:val="0000ff"/>
          </w:rPr>
          <w:t xml:space="preserve">(строка 36)</w:t>
        </w:r>
      </w:hyperlink>
      <w:r>
        <w:rPr>
          <w:sz w:val="24"/>
        </w:rPr>
        <w:t xml:space="preserve"> не формируется.</w:t>
      </w:r>
    </w:p>
    <w:p>
      <w:pPr>
        <w:pStyle w:val="0"/>
        <w:spacing w:before="240" w:lineRule="auto"/>
        <w:ind w:firstLine="540"/>
        <w:jc w:val="both"/>
      </w:pPr>
      <w:r>
        <w:rPr>
          <w:sz w:val="24"/>
        </w:rPr>
        <w:t xml:space="preserve">29.10. По показателю "Доля перестраховщиков в резерве премий (ДДПП)" </w:t>
      </w:r>
      <w:hyperlink w:history="0" w:anchor="P32134" w:tooltip="37">
        <w:r>
          <w:rPr>
            <w:sz w:val="24"/>
            <w:color w:val="0000ff"/>
          </w:rPr>
          <w:t xml:space="preserve">(строка 37)</w:t>
        </w:r>
      </w:hyperlink>
      <w:r>
        <w:rPr>
          <w:sz w:val="24"/>
        </w:rPr>
        <w:t xml:space="preserve"> для учетной группы 21 указывается величина доли перестраховщиков в резерве премий (ДДПП) по договорам исходящего перестрахования, которые признаны передающими страховой риск в соответствии с </w:t>
      </w:r>
      <w:hyperlink w:history="0" r:id="rId50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6.3.4 пункта 6.3</w:t>
        </w:r>
      </w:hyperlink>
      <w:r>
        <w:rPr>
          <w:sz w:val="24"/>
        </w:rPr>
        <w:t xml:space="preserve"> Положения Банка России N 858-П, рассчитанная в соответствии с </w:t>
      </w:r>
      <w:hyperlink w:history="0" r:id="rId50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5.6</w:t>
        </w:r>
      </w:hyperlink>
      <w:r>
        <w:rPr>
          <w:sz w:val="24"/>
        </w:rPr>
        <w:t xml:space="preserve"> Положения Банка России N 858-П на конец отчетного периода.</w:t>
      </w:r>
    </w:p>
    <w:p>
      <w:pPr>
        <w:pStyle w:val="0"/>
        <w:spacing w:before="240" w:lineRule="auto"/>
        <w:ind w:firstLine="540"/>
        <w:jc w:val="both"/>
      </w:pPr>
      <w:r>
        <w:rPr>
          <w:sz w:val="24"/>
        </w:rPr>
        <w:t xml:space="preserve">Для учетных групп 18 - 20 показатель "Доля перестраховщиков в резерве премий (ДДПП)" </w:t>
      </w:r>
      <w:hyperlink w:history="0" w:anchor="P32134" w:tooltip="37">
        <w:r>
          <w:rPr>
            <w:sz w:val="24"/>
            <w:color w:val="0000ff"/>
          </w:rPr>
          <w:t xml:space="preserve">(строка 37)</w:t>
        </w:r>
      </w:hyperlink>
      <w:r>
        <w:rPr>
          <w:sz w:val="24"/>
        </w:rPr>
        <w:t xml:space="preserve"> не формируется.</w:t>
      </w:r>
    </w:p>
    <w:p>
      <w:pPr>
        <w:pStyle w:val="0"/>
        <w:spacing w:before="240" w:lineRule="auto"/>
        <w:ind w:firstLine="540"/>
        <w:jc w:val="both"/>
      </w:pPr>
      <w:r>
        <w:rPr>
          <w:sz w:val="24"/>
        </w:rPr>
        <w:t xml:space="preserve">29.11. По показателю "Доля перестраховщиков в резерве убытков (ДДПУ)" </w:t>
      </w:r>
      <w:hyperlink w:history="0" w:anchor="P32142" w:tooltip="38">
        <w:r>
          <w:rPr>
            <w:sz w:val="24"/>
            <w:color w:val="0000ff"/>
          </w:rPr>
          <w:t xml:space="preserve">(строка 38)</w:t>
        </w:r>
      </w:hyperlink>
      <w:r>
        <w:rPr>
          <w:sz w:val="24"/>
        </w:rPr>
        <w:t xml:space="preserve"> для учетной группы 21 указывается величина доли перестраховщиков в резерве убытков (ДДПУ) по договорам исходящего перестрахования, которые признаны передающими страховой риск в соответствии с </w:t>
      </w:r>
      <w:hyperlink w:history="0" r:id="rId50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6.3.4 пункта 6.3</w:t>
        </w:r>
      </w:hyperlink>
      <w:r>
        <w:rPr>
          <w:sz w:val="24"/>
        </w:rPr>
        <w:t xml:space="preserve"> Положения Банка России N 858-П, рассчитанная в соответствии с </w:t>
      </w:r>
      <w:hyperlink w:history="0" r:id="rId51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5.6</w:t>
        </w:r>
      </w:hyperlink>
      <w:r>
        <w:rPr>
          <w:sz w:val="24"/>
        </w:rPr>
        <w:t xml:space="preserve"> Положения Банка России N 858-П на конец отчетного периода.</w:t>
      </w:r>
    </w:p>
    <w:p>
      <w:pPr>
        <w:pStyle w:val="0"/>
        <w:spacing w:before="240" w:lineRule="auto"/>
        <w:ind w:firstLine="540"/>
        <w:jc w:val="both"/>
      </w:pPr>
      <w:r>
        <w:rPr>
          <w:sz w:val="24"/>
        </w:rPr>
        <w:t xml:space="preserve">Для учетных групп 18 - 20 показатель "Доля перестраховщиков в резерве убытков (ДДПУ)" </w:t>
      </w:r>
      <w:hyperlink w:history="0" w:anchor="P32142" w:tooltip="38">
        <w:r>
          <w:rPr>
            <w:sz w:val="24"/>
            <w:color w:val="0000ff"/>
          </w:rPr>
          <w:t xml:space="preserve">(строка 38)</w:t>
        </w:r>
      </w:hyperlink>
      <w:r>
        <w:rPr>
          <w:sz w:val="24"/>
        </w:rPr>
        <w:t xml:space="preserve"> не формируется.</w:t>
      </w:r>
    </w:p>
    <w:p>
      <w:pPr>
        <w:pStyle w:val="0"/>
        <w:spacing w:before="240" w:lineRule="auto"/>
        <w:ind w:firstLine="540"/>
        <w:jc w:val="both"/>
      </w:pPr>
      <w:r>
        <w:rPr>
          <w:sz w:val="24"/>
        </w:rPr>
        <w:t xml:space="preserve">30. По показателям </w:t>
      </w:r>
      <w:hyperlink w:history="0" w:anchor="P32150" w:tooltip="Подраздел 2.2.">
        <w:r>
          <w:rPr>
            <w:sz w:val="24"/>
            <w:color w:val="0000ff"/>
          </w:rPr>
          <w:t xml:space="preserve">подраздела 2.2 раздела 2</w:t>
        </w:r>
      </w:hyperlink>
      <w:r>
        <w:rPr>
          <w:sz w:val="24"/>
        </w:rPr>
        <w:t xml:space="preserve"> отчетности по форме 0420156 указываются данные, используемые для расчета нормативного размера маржи платежеспособности по страхованию иному, чем страхование жизни (N), указанного по показателю "Нормативный размер маржи платежеспособности по страхованию иному, чем страхование жизни" </w:t>
      </w:r>
      <w:hyperlink w:history="0" w:anchor="P31974" w:tooltip="7">
        <w:r>
          <w:rPr>
            <w:sz w:val="24"/>
            <w:color w:val="0000ff"/>
          </w:rPr>
          <w:t xml:space="preserve">(строка 7)</w:t>
        </w:r>
      </w:hyperlink>
      <w:r>
        <w:rPr>
          <w:sz w:val="24"/>
        </w:rPr>
        <w:t xml:space="preserve">, а также значений показателей "Первый показатель (N</w:t>
      </w:r>
      <w:r>
        <w:rPr>
          <w:sz w:val="24"/>
          <w:vertAlign w:val="subscript"/>
        </w:rPr>
        <w:t xml:space="preserve">1</w:t>
      </w:r>
      <w:r>
        <w:rPr>
          <w:sz w:val="24"/>
        </w:rPr>
        <w:t xml:space="preserve">)" </w:t>
      </w:r>
      <w:hyperlink w:history="0" w:anchor="P31978" w:tooltip="8">
        <w:r>
          <w:rPr>
            <w:sz w:val="24"/>
            <w:color w:val="0000ff"/>
          </w:rPr>
          <w:t xml:space="preserve">(строка 8)</w:t>
        </w:r>
      </w:hyperlink>
      <w:r>
        <w:rPr>
          <w:sz w:val="24"/>
        </w:rPr>
        <w:t xml:space="preserve">, "Второй показатель (N</w:t>
      </w:r>
      <w:r>
        <w:rPr>
          <w:sz w:val="24"/>
          <w:vertAlign w:val="subscript"/>
        </w:rPr>
        <w:t xml:space="preserve">2</w:t>
      </w:r>
      <w:r>
        <w:rPr>
          <w:sz w:val="24"/>
        </w:rPr>
        <w:t xml:space="preserve">)" </w:t>
      </w:r>
      <w:hyperlink w:history="0" w:anchor="P31982" w:tooltip="9">
        <w:r>
          <w:rPr>
            <w:sz w:val="24"/>
            <w:color w:val="0000ff"/>
          </w:rPr>
          <w:t xml:space="preserve">(строка 9)</w:t>
        </w:r>
      </w:hyperlink>
      <w:r>
        <w:rPr>
          <w:sz w:val="24"/>
        </w:rPr>
        <w:t xml:space="preserve">, "Третий показатель (N</w:t>
      </w:r>
      <w:r>
        <w:rPr>
          <w:sz w:val="24"/>
          <w:vertAlign w:val="subscript"/>
        </w:rPr>
        <w:t xml:space="preserve">3</w:t>
      </w:r>
      <w:r>
        <w:rPr>
          <w:sz w:val="24"/>
        </w:rPr>
        <w:t xml:space="preserve">)" </w:t>
      </w:r>
      <w:hyperlink w:history="0" w:anchor="P31986" w:tooltip="10">
        <w:r>
          <w:rPr>
            <w:sz w:val="24"/>
            <w:color w:val="0000ff"/>
          </w:rPr>
          <w:t xml:space="preserve">(строка 10)</w:t>
        </w:r>
      </w:hyperlink>
      <w:r>
        <w:rPr>
          <w:sz w:val="24"/>
        </w:rPr>
        <w:t xml:space="preserve"> и "Четвертый показатель (N</w:t>
      </w:r>
      <w:r>
        <w:rPr>
          <w:sz w:val="24"/>
          <w:vertAlign w:val="subscript"/>
        </w:rPr>
        <w:t xml:space="preserve">4</w:t>
      </w:r>
      <w:r>
        <w:rPr>
          <w:sz w:val="24"/>
        </w:rPr>
        <w:t xml:space="preserve">)" </w:t>
      </w:r>
      <w:hyperlink w:history="0" w:anchor="P31990" w:tooltip="11">
        <w:r>
          <w:rPr>
            <w:sz w:val="24"/>
            <w:color w:val="0000ff"/>
          </w:rPr>
          <w:t xml:space="preserve">(строка 11)</w:t>
        </w:r>
      </w:hyperlink>
      <w:r>
        <w:rPr>
          <w:sz w:val="24"/>
        </w:rPr>
        <w:t xml:space="preserve">.</w:t>
      </w:r>
    </w:p>
    <w:p>
      <w:pPr>
        <w:pStyle w:val="0"/>
        <w:spacing w:before="240" w:lineRule="auto"/>
        <w:ind w:firstLine="540"/>
        <w:jc w:val="both"/>
      </w:pPr>
      <w:r>
        <w:rPr>
          <w:sz w:val="24"/>
        </w:rPr>
        <w:t xml:space="preserve">Показатели </w:t>
      </w:r>
      <w:hyperlink w:history="0" w:anchor="P32150" w:tooltip="Подраздел 2.2.">
        <w:r>
          <w:rPr>
            <w:sz w:val="24"/>
            <w:color w:val="0000ff"/>
          </w:rPr>
          <w:t xml:space="preserve">подраздела 2.2 раздела 2</w:t>
        </w:r>
      </w:hyperlink>
      <w:r>
        <w:rPr>
          <w:sz w:val="24"/>
        </w:rPr>
        <w:t xml:space="preserve"> отчетности по форме 0420156 указываются в разрезе учетных групп, предусмотренных </w:t>
      </w:r>
      <w:hyperlink w:history="0" r:id="rId51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5.1.3 пункта 5.1</w:t>
        </w:r>
      </w:hyperlink>
      <w:r>
        <w:rPr>
          <w:sz w:val="24"/>
        </w:rPr>
        <w:t xml:space="preserve"> Положения Банка России N 858-П (по соответствующим аналитическим признакам группы аналитических признаков "Перечень учетных групп").</w:t>
      </w:r>
    </w:p>
    <w:p>
      <w:pPr>
        <w:pStyle w:val="0"/>
        <w:spacing w:before="240" w:lineRule="auto"/>
        <w:ind w:firstLine="540"/>
        <w:jc w:val="both"/>
      </w:pPr>
      <w:r>
        <w:rPr>
          <w:sz w:val="24"/>
        </w:rPr>
        <w:t xml:space="preserve">30.1. По показателю "Первый показатель" </w:t>
      </w:r>
      <w:hyperlink w:history="0" w:anchor="P32152" w:tooltip="39">
        <w:r>
          <w:rPr>
            <w:sz w:val="24"/>
            <w:color w:val="0000ff"/>
          </w:rPr>
          <w:t xml:space="preserve">(строка 39)</w:t>
        </w:r>
      </w:hyperlink>
      <w:r>
        <w:rPr>
          <w:sz w:val="24"/>
        </w:rPr>
        <w:t xml:space="preserve"> для каждой учетной группы указывается значение первого показателя по ней (N</w:t>
      </w:r>
      <w:r>
        <w:rPr>
          <w:sz w:val="24"/>
          <w:vertAlign w:val="subscript"/>
        </w:rPr>
        <w:t xml:space="preserve">1i</w:t>
      </w:r>
      <w:r>
        <w:rPr>
          <w:sz w:val="24"/>
        </w:rPr>
        <w:t xml:space="preserve">), рассчитанное по формуле в соответствии с </w:t>
      </w:r>
      <w:hyperlink w:history="0" r:id="rId51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седьмым</w:t>
        </w:r>
      </w:hyperlink>
      <w:r>
        <w:rPr>
          <w:sz w:val="24"/>
        </w:rPr>
        <w:t xml:space="preserve"> - </w:t>
      </w:r>
      <w:hyperlink w:history="0" r:id="rId51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четырнадцатым подпункта 6.3.2.1 пункта 6.3</w:t>
        </w:r>
      </w:hyperlink>
      <w:r>
        <w:rPr>
          <w:sz w:val="24"/>
        </w:rPr>
        <w:t xml:space="preserve"> Положения Банка России N 858-П.</w:t>
      </w:r>
    </w:p>
    <w:p>
      <w:pPr>
        <w:pStyle w:val="0"/>
        <w:spacing w:before="240" w:lineRule="auto"/>
        <w:ind w:firstLine="540"/>
        <w:jc w:val="both"/>
      </w:pPr>
      <w:r>
        <w:rPr>
          <w:sz w:val="24"/>
        </w:rPr>
        <w:t xml:space="preserve">30.2. По показателю "Второй показатель" </w:t>
      </w:r>
      <w:hyperlink w:history="0" w:anchor="P32160" w:tooltip="40">
        <w:r>
          <w:rPr>
            <w:sz w:val="24"/>
            <w:color w:val="0000ff"/>
          </w:rPr>
          <w:t xml:space="preserve">(строка 40)</w:t>
        </w:r>
      </w:hyperlink>
      <w:r>
        <w:rPr>
          <w:sz w:val="24"/>
        </w:rPr>
        <w:t xml:space="preserve"> для каждой учетной группы указывается значение второго показателя по ней (N</w:t>
      </w:r>
      <w:r>
        <w:rPr>
          <w:sz w:val="24"/>
          <w:vertAlign w:val="subscript"/>
        </w:rPr>
        <w:t xml:space="preserve">2i</w:t>
      </w:r>
      <w:r>
        <w:rPr>
          <w:sz w:val="24"/>
        </w:rPr>
        <w:t xml:space="preserve">), определенное в соответствии с </w:t>
      </w:r>
      <w:hyperlink w:history="0" r:id="rId51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пятым</w:t>
        </w:r>
      </w:hyperlink>
      <w:r>
        <w:rPr>
          <w:sz w:val="24"/>
        </w:rPr>
        <w:t xml:space="preserve"> - </w:t>
      </w:r>
      <w:hyperlink w:history="0" r:id="rId51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девятым подпункта 6.3.2.2 пункта 6.3</w:t>
        </w:r>
      </w:hyperlink>
      <w:r>
        <w:rPr>
          <w:sz w:val="24"/>
        </w:rPr>
        <w:t xml:space="preserve"> Положения Банка России N 858-П.</w:t>
      </w:r>
    </w:p>
    <w:p>
      <w:pPr>
        <w:pStyle w:val="0"/>
        <w:spacing w:before="240" w:lineRule="auto"/>
        <w:ind w:firstLine="540"/>
        <w:jc w:val="both"/>
      </w:pPr>
      <w:r>
        <w:rPr>
          <w:sz w:val="24"/>
        </w:rPr>
        <w:t xml:space="preserve">30.3. По показателю "Поправочный коэффициент" </w:t>
      </w:r>
      <w:hyperlink w:history="0" w:anchor="P32168" w:tooltip="41">
        <w:r>
          <w:rPr>
            <w:sz w:val="24"/>
            <w:color w:val="0000ff"/>
          </w:rPr>
          <w:t xml:space="preserve">(строка 41)</w:t>
        </w:r>
      </w:hyperlink>
      <w:r>
        <w:rPr>
          <w:sz w:val="24"/>
        </w:rPr>
        <w:t xml:space="preserve"> для каждой учетной группы указывается значение поправочного коэффициента по ней (K</w:t>
      </w:r>
      <w:r>
        <w:rPr>
          <w:sz w:val="24"/>
          <w:vertAlign w:val="subscript"/>
        </w:rPr>
        <w:t xml:space="preserve">i</w:t>
      </w:r>
      <w:r>
        <w:rPr>
          <w:sz w:val="24"/>
        </w:rPr>
        <w:t xml:space="preserve">), рассчитанное в соответствии с </w:t>
      </w:r>
      <w:hyperlink w:history="0" r:id="rId51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6.3.2.4 пункта 6.3</w:t>
        </w:r>
      </w:hyperlink>
      <w:r>
        <w:rPr>
          <w:sz w:val="24"/>
        </w:rPr>
        <w:t xml:space="preserve"> Положения Банка России N 858-П. Данные указываются с точностью до десяти знаков после запятой.</w:t>
      </w:r>
    </w:p>
    <w:p>
      <w:pPr>
        <w:pStyle w:val="0"/>
        <w:spacing w:before="240" w:lineRule="auto"/>
        <w:ind w:firstLine="540"/>
        <w:jc w:val="both"/>
      </w:pPr>
      <w:r>
        <w:rPr>
          <w:sz w:val="24"/>
        </w:rPr>
        <w:t xml:space="preserve">30.4. По показателю "Страховые премии с учетом периодов действия страхового покрытия" </w:t>
      </w:r>
      <w:hyperlink w:history="0" w:anchor="P32176" w:tooltip="42">
        <w:r>
          <w:rPr>
            <w:sz w:val="24"/>
            <w:color w:val="0000ff"/>
          </w:rPr>
          <w:t xml:space="preserve">(строка 42)</w:t>
        </w:r>
      </w:hyperlink>
      <w:r>
        <w:rPr>
          <w:sz w:val="24"/>
        </w:rPr>
        <w:t xml:space="preserve"> для каждой учетной группы указывается сумма страховых премий по договорам страхования, сострахования, входящего перестрахования, определенных с учетом периодов действия страхового покрытия по соответствующим договорам страхования, сострахования, входящего перестрахования и использованных для расчета страховщиком первого показателя по этой учетной группе (N</w:t>
      </w:r>
      <w:r>
        <w:rPr>
          <w:sz w:val="24"/>
          <w:vertAlign w:val="subscript"/>
        </w:rPr>
        <w:t xml:space="preserve">1i</w:t>
      </w:r>
      <w:r>
        <w:rPr>
          <w:sz w:val="24"/>
        </w:rPr>
        <w:t xml:space="preserve">) в соответствии с </w:t>
      </w:r>
      <w:hyperlink w:history="0" r:id="rId51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6.3.2.1 пункта 6.3</w:t>
        </w:r>
      </w:hyperlink>
      <w:r>
        <w:rPr>
          <w:sz w:val="24"/>
        </w:rPr>
        <w:t xml:space="preserve"> Положения Банка России N 858-П, соответствующая значению </w:t>
      </w:r>
      <w:r>
        <w:rPr>
          <w:position w:val="-35"/>
        </w:rPr>
        <w:drawing>
          <wp:inline distT="0" distB="0" distL="0" distR="0">
            <wp:extent cx="1691640" cy="605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1691640" cy="605790"/>
                    </a:xfrm>
                    <a:prstGeom prst="rect">
                      <a:avLst/>
                    </a:prstGeom>
                    <a:noFill/>
                    <a:ln>
                      <a:noFill/>
                    </a:ln>
                  </pic:spPr>
                </pic:pic>
              </a:graphicData>
            </a:graphic>
          </wp:inline>
        </w:drawing>
      </w:r>
      <w:r>
        <w:rPr>
          <w:sz w:val="24"/>
        </w:rPr>
        <w:t xml:space="preserve"> по этой учетной группе.</w:t>
      </w:r>
    </w:p>
    <w:p>
      <w:pPr>
        <w:pStyle w:val="0"/>
        <w:spacing w:before="240" w:lineRule="auto"/>
        <w:ind w:firstLine="540"/>
        <w:jc w:val="both"/>
      </w:pPr>
      <w:r>
        <w:rPr>
          <w:sz w:val="24"/>
        </w:rPr>
        <w:t xml:space="preserve">30.5. По показателю "Доля рынка, %" </w:t>
      </w:r>
      <w:hyperlink w:history="0" w:anchor="P32184" w:tooltip="43">
        <w:r>
          <w:rPr>
            <w:sz w:val="24"/>
            <w:color w:val="0000ff"/>
          </w:rPr>
          <w:t xml:space="preserve">(строка 43)</w:t>
        </w:r>
      </w:hyperlink>
      <w:r>
        <w:rPr>
          <w:sz w:val="24"/>
        </w:rPr>
        <w:t xml:space="preserve"> для учетной группы 3 указывается доля страховых премий страховой организации по договорам страхования от суммы страховых премий по обязательному страхованию гражданской ответственности владельцев транспортных средств, указанная по показателю "Доля страховых премий (взносов) в общем объеме страховых премий (взносов) по договорам страхования, в процентах" по состоянию на конец квартала, предшествующего дате окончания отчетного периода, данные по которому размещены Банком России до даты окончания отчетного периода включительно на официальном сайте Банка России в информационно-телекоммуникационной сети "Интернет" в соответствии с </w:t>
      </w:r>
      <w:hyperlink w:history="0" r:id="rId51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5 статьи 28</w:t>
        </w:r>
      </w:hyperlink>
      <w:r>
        <w:rPr>
          <w:sz w:val="24"/>
        </w:rPr>
        <w:t xml:space="preserve"> Закона Российской Федерации N 4015-I. Данные указываются на конец квартала, предшествующего дате окончания отчетного периода, с точностью до восьми знаков после запятой.</w:t>
      </w:r>
    </w:p>
    <w:p>
      <w:pPr>
        <w:pStyle w:val="0"/>
        <w:spacing w:before="240" w:lineRule="auto"/>
        <w:ind w:firstLine="540"/>
        <w:jc w:val="both"/>
      </w:pPr>
      <w:r>
        <w:rPr>
          <w:sz w:val="24"/>
        </w:rPr>
        <w:t xml:space="preserve">Для учетных групп 1 - 2.2 и 4 - 17 показатель "Доля рынка, %" </w:t>
      </w:r>
      <w:hyperlink w:history="0" w:anchor="P32184" w:tooltip="43">
        <w:r>
          <w:rPr>
            <w:sz w:val="24"/>
            <w:color w:val="0000ff"/>
          </w:rPr>
          <w:t xml:space="preserve">(строка 43)</w:t>
        </w:r>
      </w:hyperlink>
      <w:r>
        <w:rPr>
          <w:sz w:val="24"/>
        </w:rPr>
        <w:t xml:space="preserve"> не формируется.</w:t>
      </w:r>
    </w:p>
    <w:p>
      <w:pPr>
        <w:pStyle w:val="0"/>
        <w:spacing w:before="240" w:lineRule="auto"/>
        <w:ind w:firstLine="540"/>
        <w:jc w:val="both"/>
      </w:pPr>
      <w:r>
        <w:rPr>
          <w:sz w:val="24"/>
        </w:rPr>
        <w:t xml:space="preserve">30.6. По показателю "Коэффициент дополнительных требований в зависимости от доли рынка (X</w:t>
      </w:r>
      <w:r>
        <w:rPr>
          <w:sz w:val="24"/>
          <w:vertAlign w:val="subscript"/>
        </w:rPr>
        <w:t xml:space="preserve">3</w:t>
      </w:r>
      <w:r>
        <w:rPr>
          <w:sz w:val="24"/>
        </w:rPr>
        <w:t xml:space="preserve">), %" </w:t>
      </w:r>
      <w:hyperlink w:history="0" w:anchor="P32192" w:tooltip="44">
        <w:r>
          <w:rPr>
            <w:sz w:val="24"/>
            <w:color w:val="0000ff"/>
          </w:rPr>
          <w:t xml:space="preserve">(строка 44)</w:t>
        </w:r>
      </w:hyperlink>
      <w:r>
        <w:rPr>
          <w:sz w:val="24"/>
        </w:rPr>
        <w:t xml:space="preserve"> для учетной группы 3 указывается коэффициент дополнительных требований по учетной группе 3, установленный в соответствии с </w:t>
      </w:r>
      <w:hyperlink w:history="0" r:id="rId52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таблицей 18</w:t>
        </w:r>
      </w:hyperlink>
      <w:r>
        <w:rPr>
          <w:sz w:val="24"/>
        </w:rPr>
        <w:t xml:space="preserve"> приложения 2 к Положению Банка России N 858-П. Данные указываются с точностью до восьми знаков после запятой.</w:t>
      </w:r>
    </w:p>
    <w:p>
      <w:pPr>
        <w:pStyle w:val="0"/>
        <w:spacing w:before="240" w:lineRule="auto"/>
        <w:ind w:firstLine="540"/>
        <w:jc w:val="both"/>
      </w:pPr>
      <w:r>
        <w:rPr>
          <w:sz w:val="24"/>
        </w:rPr>
        <w:t xml:space="preserve">В случае если в соответствии с </w:t>
      </w:r>
      <w:hyperlink w:history="0" r:id="rId52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таблицей 18</w:t>
        </w:r>
      </w:hyperlink>
      <w:r>
        <w:rPr>
          <w:sz w:val="24"/>
        </w:rPr>
        <w:t xml:space="preserve"> приложения 2 к Положению Банка России N 858-П коэффициент дополнительных требований по учетной группе 3 в зависимости от доли рынка (X</w:t>
      </w:r>
      <w:r>
        <w:rPr>
          <w:sz w:val="24"/>
          <w:vertAlign w:val="subscript"/>
        </w:rPr>
        <w:t xml:space="preserve">3</w:t>
      </w:r>
      <w:r>
        <w:rPr>
          <w:sz w:val="24"/>
        </w:rPr>
        <w:t xml:space="preserve">) установлен в размере 0 процентов, по показателю "Коэффициент дополнительных требований в зависимости от доли рынка (X</w:t>
      </w:r>
      <w:r>
        <w:rPr>
          <w:sz w:val="24"/>
          <w:vertAlign w:val="subscript"/>
        </w:rPr>
        <w:t xml:space="preserve">3</w:t>
      </w:r>
      <w:r>
        <w:rPr>
          <w:sz w:val="24"/>
        </w:rPr>
        <w:t xml:space="preserve">), %" </w:t>
      </w:r>
      <w:hyperlink w:history="0" w:anchor="P32192" w:tooltip="44">
        <w:r>
          <w:rPr>
            <w:sz w:val="24"/>
            <w:color w:val="0000ff"/>
          </w:rPr>
          <w:t xml:space="preserve">(строка 44)</w:t>
        </w:r>
      </w:hyperlink>
      <w:r>
        <w:rPr>
          <w:sz w:val="24"/>
        </w:rPr>
        <w:t xml:space="preserve"> указывается значение 0.00000000.</w:t>
      </w:r>
    </w:p>
    <w:p>
      <w:pPr>
        <w:pStyle w:val="0"/>
        <w:spacing w:before="240" w:lineRule="auto"/>
        <w:ind w:firstLine="540"/>
        <w:jc w:val="both"/>
      </w:pPr>
      <w:r>
        <w:rPr>
          <w:sz w:val="24"/>
        </w:rPr>
        <w:t xml:space="preserve">Для учетных групп 1 - 2.2 и 4 - 17 показатель "Коэффициент дополнительных требований в зависимости от доли рынка (X</w:t>
      </w:r>
      <w:r>
        <w:rPr>
          <w:sz w:val="24"/>
          <w:vertAlign w:val="subscript"/>
        </w:rPr>
        <w:t xml:space="preserve">3</w:t>
      </w:r>
      <w:r>
        <w:rPr>
          <w:sz w:val="24"/>
        </w:rPr>
        <w:t xml:space="preserve">), %" </w:t>
      </w:r>
      <w:hyperlink w:history="0" w:anchor="P32192" w:tooltip="44">
        <w:r>
          <w:rPr>
            <w:sz w:val="24"/>
            <w:color w:val="0000ff"/>
          </w:rPr>
          <w:t xml:space="preserve">(строка 44)</w:t>
        </w:r>
      </w:hyperlink>
      <w:r>
        <w:rPr>
          <w:sz w:val="24"/>
        </w:rPr>
        <w:t xml:space="preserve"> не формируется.</w:t>
      </w:r>
    </w:p>
    <w:p>
      <w:pPr>
        <w:pStyle w:val="0"/>
        <w:spacing w:before="240" w:lineRule="auto"/>
        <w:ind w:firstLine="540"/>
        <w:jc w:val="both"/>
      </w:pPr>
      <w:r>
        <w:rPr>
          <w:sz w:val="24"/>
        </w:rPr>
        <w:t xml:space="preserve">30.7. По показателю "Страховые выплаты" </w:t>
      </w:r>
      <w:hyperlink w:history="0" w:anchor="P32200" w:tooltip="45">
        <w:r>
          <w:rPr>
            <w:sz w:val="24"/>
            <w:color w:val="0000ff"/>
          </w:rPr>
          <w:t xml:space="preserve">(строка 45)</w:t>
        </w:r>
      </w:hyperlink>
      <w:r>
        <w:rPr>
          <w:sz w:val="24"/>
        </w:rPr>
        <w:t xml:space="preserve"> для каждой учетной группы указывается сумма фактически произведенных страховых выплат по договорам страхования, сострахования, входящего перестрахования за 12 и 36 месяцев, предшествующих дате окончания отчетного периода.</w:t>
      </w:r>
    </w:p>
    <w:p>
      <w:pPr>
        <w:pStyle w:val="0"/>
        <w:spacing w:before="240" w:lineRule="auto"/>
        <w:ind w:firstLine="540"/>
        <w:jc w:val="both"/>
      </w:pPr>
      <w:r>
        <w:rPr>
          <w:sz w:val="24"/>
        </w:rPr>
        <w:t xml:space="preserve">30.8. По показателю "Страховые выплаты по договорам исходящего перестрахования" </w:t>
      </w:r>
      <w:hyperlink w:history="0" w:anchor="P32208" w:tooltip="46">
        <w:r>
          <w:rPr>
            <w:sz w:val="24"/>
            <w:color w:val="0000ff"/>
          </w:rPr>
          <w:t xml:space="preserve">(строка 46)</w:t>
        </w:r>
      </w:hyperlink>
      <w:r>
        <w:rPr>
          <w:sz w:val="24"/>
        </w:rPr>
        <w:t xml:space="preserve"> для каждой учетной группы указывается сумма полученных или причитающихся к получению страховых выплат по договорам исходящего перестрахования, заключенным в отношении обязательств по фактически произведенным страховым выплатам, сумма которых указана по показателю "Страховые выплаты" </w:t>
      </w:r>
      <w:hyperlink w:history="0" w:anchor="P32200" w:tooltip="45">
        <w:r>
          <w:rPr>
            <w:sz w:val="24"/>
            <w:color w:val="0000ff"/>
          </w:rPr>
          <w:t xml:space="preserve">(строка 45)</w:t>
        </w:r>
      </w:hyperlink>
      <w:r>
        <w:rPr>
          <w:sz w:val="24"/>
        </w:rPr>
        <w:t xml:space="preserve">, за 12 месяцев, предшествующих дате окончания отчетного периода.</w:t>
      </w:r>
    </w:p>
    <w:p>
      <w:pPr>
        <w:pStyle w:val="0"/>
        <w:spacing w:before="240" w:lineRule="auto"/>
        <w:ind w:firstLine="540"/>
        <w:jc w:val="both"/>
      </w:pPr>
      <w:r>
        <w:rPr>
          <w:sz w:val="24"/>
        </w:rPr>
        <w:t xml:space="preserve">30.9. По показателю "Расходы на исполнение обязательств по страховым случаям" </w:t>
      </w:r>
      <w:hyperlink w:history="0" w:anchor="P32216" w:tooltip="47">
        <w:r>
          <w:rPr>
            <w:sz w:val="24"/>
            <w:color w:val="0000ff"/>
          </w:rPr>
          <w:t xml:space="preserve">(строка 47)</w:t>
        </w:r>
      </w:hyperlink>
      <w:r>
        <w:rPr>
          <w:sz w:val="24"/>
        </w:rPr>
        <w:t xml:space="preserve"> для каждой учетной группы указывается сумма расходов на исполнение обязательств по страховым случаям по договорам страхования, сострахования, входящего перестрахования за 12 и 36 месяцев, предшествующих дате окончания отчетного периода.</w:t>
      </w:r>
    </w:p>
    <w:p>
      <w:pPr>
        <w:pStyle w:val="0"/>
        <w:spacing w:before="240" w:lineRule="auto"/>
        <w:ind w:firstLine="540"/>
        <w:jc w:val="both"/>
      </w:pPr>
      <w:r>
        <w:rPr>
          <w:sz w:val="24"/>
        </w:rPr>
        <w:t xml:space="preserve">30.10. По показателю "Доля перестраховщиков в расходах на исполнение обязательств по страховым случаям" </w:t>
      </w:r>
      <w:hyperlink w:history="0" w:anchor="P32224" w:tooltip="48">
        <w:r>
          <w:rPr>
            <w:sz w:val="24"/>
            <w:color w:val="0000ff"/>
          </w:rPr>
          <w:t xml:space="preserve">(строка 48)</w:t>
        </w:r>
      </w:hyperlink>
      <w:r>
        <w:rPr>
          <w:sz w:val="24"/>
        </w:rPr>
        <w:t xml:space="preserve"> для каждой учетной группы указывается сумма возмещения перестраховщиками фактически понесенных расходов на исполнение обязательств по страховым случаям, сумма которых указана по показателю "Расходы на исполнение обязательств по страховым случаям" </w:t>
      </w:r>
      <w:hyperlink w:history="0" w:anchor="P32216" w:tooltip="47">
        <w:r>
          <w:rPr>
            <w:sz w:val="24"/>
            <w:color w:val="0000ff"/>
          </w:rPr>
          <w:t xml:space="preserve">(строка 47)</w:t>
        </w:r>
      </w:hyperlink>
      <w:r>
        <w:rPr>
          <w:sz w:val="24"/>
        </w:rPr>
        <w:t xml:space="preserve">, за 12 месяцев, предшествующих дате окончания отчетного периода.</w:t>
      </w:r>
    </w:p>
    <w:p>
      <w:pPr>
        <w:pStyle w:val="0"/>
        <w:spacing w:before="240" w:lineRule="auto"/>
        <w:ind w:firstLine="540"/>
        <w:jc w:val="both"/>
      </w:pPr>
      <w:r>
        <w:rPr>
          <w:sz w:val="24"/>
        </w:rPr>
        <w:t xml:space="preserve">30.11. По показателю "Поступления по суброгациям, регрессам и от реализации годных остатков" </w:t>
      </w:r>
      <w:hyperlink w:history="0" w:anchor="P32232" w:tooltip="49">
        <w:r>
          <w:rPr>
            <w:sz w:val="24"/>
            <w:color w:val="0000ff"/>
          </w:rPr>
          <w:t xml:space="preserve">(строка 49)</w:t>
        </w:r>
      </w:hyperlink>
      <w:r>
        <w:rPr>
          <w:sz w:val="24"/>
        </w:rPr>
        <w:t xml:space="preserve"> для каждой учетной группы указывается сумма фактических поступлений по суброгациям, регрессам и от реализации годных остатков по договорам страхования, сострахования, входящего перестрахования за 12 и 36 месяцев, предшествующих дате окончания отчетного периода.</w:t>
      </w:r>
    </w:p>
    <w:p>
      <w:pPr>
        <w:pStyle w:val="0"/>
        <w:spacing w:before="240" w:lineRule="auto"/>
        <w:ind w:firstLine="540"/>
        <w:jc w:val="both"/>
      </w:pPr>
      <w:r>
        <w:rPr>
          <w:sz w:val="24"/>
        </w:rPr>
        <w:t xml:space="preserve">30.12. По показателю "Доля перестраховщиков в поступлениях по суброгациям, регрессам и от реализации годных остатков" </w:t>
      </w:r>
      <w:hyperlink w:history="0" w:anchor="P32240" w:tooltip="50">
        <w:r>
          <w:rPr>
            <w:sz w:val="24"/>
            <w:color w:val="0000ff"/>
          </w:rPr>
          <w:t xml:space="preserve">(строка 50)</w:t>
        </w:r>
      </w:hyperlink>
      <w:r>
        <w:rPr>
          <w:sz w:val="24"/>
        </w:rPr>
        <w:t xml:space="preserve"> для каждой учетной группы указывается величина доли перестраховщиков в фактических поступлениях по суброгациям, регрессам и от реализации годных остатков, сумма которых указана по показателю "Поступления по суброгациям, регрессам и от реализации годных остатков" </w:t>
      </w:r>
      <w:hyperlink w:history="0" w:anchor="P32232" w:tooltip="49">
        <w:r>
          <w:rPr>
            <w:sz w:val="24"/>
            <w:color w:val="0000ff"/>
          </w:rPr>
          <w:t xml:space="preserve">(строка 49)</w:t>
        </w:r>
      </w:hyperlink>
      <w:r>
        <w:rPr>
          <w:sz w:val="24"/>
        </w:rPr>
        <w:t xml:space="preserve">, определяемой по условиям договоров исходящего перестрахования, за 12 месяцев, предшествующих дате окончания отчетного периода.</w:t>
      </w:r>
    </w:p>
    <w:p>
      <w:pPr>
        <w:pStyle w:val="0"/>
        <w:spacing w:before="240" w:lineRule="auto"/>
        <w:ind w:firstLine="540"/>
        <w:jc w:val="both"/>
      </w:pPr>
      <w:r>
        <w:rPr>
          <w:sz w:val="24"/>
        </w:rPr>
        <w:t xml:space="preserve">30.13. По показателю "Оценка ожидаемой величины обязательств по резерву убытков (ДПУ)" </w:t>
      </w:r>
      <w:hyperlink w:history="0" w:anchor="P32248" w:tooltip="51">
        <w:r>
          <w:rPr>
            <w:sz w:val="24"/>
            <w:color w:val="0000ff"/>
          </w:rPr>
          <w:t xml:space="preserve">(строка 51)</w:t>
        </w:r>
      </w:hyperlink>
      <w:r>
        <w:rPr>
          <w:sz w:val="24"/>
        </w:rPr>
        <w:t xml:space="preserve"> для каждой учетной группы указывается неотрицательная взвешенная по вероятности реализации денежного потока сумма денежных потоков, дисконтированных на срок денежного потока, определенный в соответствии с </w:t>
      </w:r>
      <w:hyperlink w:history="0" r:id="rId52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четырнадцатым</w:t>
        </w:r>
      </w:hyperlink>
      <w:r>
        <w:rPr>
          <w:sz w:val="24"/>
        </w:rPr>
        <w:t xml:space="preserve"> и </w:t>
      </w:r>
      <w:hyperlink w:history="0" r:id="rId52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пятнадцатым подпункта 5.3.14 пункта 5.3</w:t>
        </w:r>
      </w:hyperlink>
      <w:r>
        <w:rPr>
          <w:sz w:val="24"/>
        </w:rPr>
        <w:t xml:space="preserve"> Положения Банка России N 858-П, входящих в прогноз денежных потоков, по исполнению обязательств, учитываемых в расчете величины резерва убытков, до наиболее поздней предполагаемой даты полного исполнения обязательств по договорам страхования, сострахования, входящего перестрахования, входящим в указанную учетную группу, на конец отчетного периода и на даты, предшествующие дате окончания отчетного периода на 12 и 36 месяцев.</w:t>
      </w:r>
    </w:p>
    <w:p>
      <w:pPr>
        <w:pStyle w:val="0"/>
        <w:spacing w:before="240" w:lineRule="auto"/>
        <w:ind w:firstLine="540"/>
        <w:jc w:val="both"/>
      </w:pPr>
      <w:r>
        <w:rPr>
          <w:sz w:val="24"/>
        </w:rPr>
        <w:t xml:space="preserve">30.14. По показателю "Доля перестраховщиков в резерве убытков (ДДПУ)" </w:t>
      </w:r>
      <w:hyperlink w:history="0" w:anchor="P32256" w:tooltip="52">
        <w:r>
          <w:rPr>
            <w:sz w:val="24"/>
            <w:color w:val="0000ff"/>
          </w:rPr>
          <w:t xml:space="preserve">(строка 52)</w:t>
        </w:r>
      </w:hyperlink>
      <w:r>
        <w:rPr>
          <w:sz w:val="24"/>
        </w:rPr>
        <w:t xml:space="preserve"> для каждой учетной группы указывается величина доли перестраховщиков в резерве убытков (ДДПУ), величина которого указана по показателю "Оценка ожидаемой величины обязательств по резерву убытков (ДПУ)" </w:t>
      </w:r>
      <w:hyperlink w:history="0" w:anchor="P32248" w:tooltip="51">
        <w:r>
          <w:rPr>
            <w:sz w:val="24"/>
            <w:color w:val="0000ff"/>
          </w:rPr>
          <w:t xml:space="preserve">(строка 51)</w:t>
        </w:r>
      </w:hyperlink>
      <w:r>
        <w:rPr>
          <w:sz w:val="24"/>
        </w:rPr>
        <w:t xml:space="preserve">, на конец отчетного периода и на дату, предшествующую дате окончания отчетного периода на 12 месяцев.</w:t>
      </w:r>
    </w:p>
    <w:p>
      <w:pPr>
        <w:pStyle w:val="0"/>
        <w:spacing w:before="240" w:lineRule="auto"/>
        <w:ind w:firstLine="540"/>
        <w:jc w:val="both"/>
      </w:pPr>
      <w:r>
        <w:rPr>
          <w:sz w:val="24"/>
        </w:rPr>
        <w:t xml:space="preserve">30.15. По показателю "Резерв по прямому возмещению убытков (РПВУ)" </w:t>
      </w:r>
      <w:hyperlink w:history="0" w:anchor="P32264" w:tooltip="53">
        <w:r>
          <w:rPr>
            <w:sz w:val="24"/>
            <w:color w:val="0000ff"/>
          </w:rPr>
          <w:t xml:space="preserve">(строка 53)</w:t>
        </w:r>
      </w:hyperlink>
      <w:r>
        <w:rPr>
          <w:sz w:val="24"/>
        </w:rPr>
        <w:t xml:space="preserve"> для учетной группы 3 указывается величина резерва по прямому возмещению убытков (РПВУ) на конец отчетного периода и на даты, предшествующие дате окончания отчетного периода на 12 и 36 месяцев.</w:t>
      </w:r>
    </w:p>
    <w:p>
      <w:pPr>
        <w:pStyle w:val="0"/>
        <w:spacing w:before="240" w:lineRule="auto"/>
        <w:ind w:firstLine="540"/>
        <w:jc w:val="both"/>
      </w:pPr>
      <w:r>
        <w:rPr>
          <w:sz w:val="24"/>
        </w:rPr>
        <w:t xml:space="preserve">30.16. По показателю "Доля перестраховщиков в резерве по прямому возмещению убытков (ДРПВУ)" </w:t>
      </w:r>
      <w:hyperlink w:history="0" w:anchor="P32272" w:tooltip="54">
        <w:r>
          <w:rPr>
            <w:sz w:val="24"/>
            <w:color w:val="0000ff"/>
          </w:rPr>
          <w:t xml:space="preserve">(строка 54)</w:t>
        </w:r>
      </w:hyperlink>
      <w:r>
        <w:rPr>
          <w:sz w:val="24"/>
        </w:rPr>
        <w:t xml:space="preserve"> для учетной группы 3 указывается величина доли перестраховщиков в резерве по прямому возмещению убытков (ДРПВУ), величина которого указана по показателю "Резерв по прямому возмещению убытков (РПВУ)" </w:t>
      </w:r>
      <w:hyperlink w:history="0" w:anchor="P32264" w:tooltip="53">
        <w:r>
          <w:rPr>
            <w:sz w:val="24"/>
            <w:color w:val="0000ff"/>
          </w:rPr>
          <w:t xml:space="preserve">(строка 53)</w:t>
        </w:r>
      </w:hyperlink>
      <w:r>
        <w:rPr>
          <w:sz w:val="24"/>
        </w:rPr>
        <w:t xml:space="preserve">, на конец отчетного периода и на дату, предшествующую дате окончания отчетного периода на 12 месяцев.</w:t>
      </w:r>
    </w:p>
    <w:p>
      <w:pPr>
        <w:pStyle w:val="0"/>
        <w:spacing w:before="240" w:lineRule="auto"/>
        <w:ind w:firstLine="540"/>
        <w:jc w:val="both"/>
      </w:pPr>
      <w:r>
        <w:rPr>
          <w:sz w:val="24"/>
        </w:rPr>
        <w:t xml:space="preserve">30.17. По показателю "Права требования по суброгациям и регрессам и годные остатки" </w:t>
      </w:r>
      <w:hyperlink w:history="0" w:anchor="P32280" w:tooltip="55">
        <w:r>
          <w:rPr>
            <w:sz w:val="24"/>
            <w:color w:val="0000ff"/>
          </w:rPr>
          <w:t xml:space="preserve">(строка 55)</w:t>
        </w:r>
      </w:hyperlink>
      <w:r>
        <w:rPr>
          <w:sz w:val="24"/>
        </w:rPr>
        <w:t xml:space="preserve"> для каждой учетной группы указывается величина прав требования по суброгациям и регрессам и величина стоимости активов в виде полученного страховщиком застрахованного имущества (его годных остатков), от прав на которое страхователь (выгодоприобретатель) отказался в пользу страховщика в целях получения от него страховой выплаты в соответствии с </w:t>
      </w:r>
      <w:hyperlink w:history="0" r:id="rId52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5 статьи 10</w:t>
        </w:r>
      </w:hyperlink>
      <w:r>
        <w:rPr>
          <w:sz w:val="24"/>
        </w:rPr>
        <w:t xml:space="preserve"> Закона Российской Федерации N 4015-I, по договорам страхования, сострахования, входящего перестрахования на конец отчетного периода и на даты, предшествующие дате окончания отчетного периода на 12 и 36 месяцев.</w:t>
      </w:r>
    </w:p>
    <w:p>
      <w:pPr>
        <w:pStyle w:val="0"/>
        <w:spacing w:before="240" w:lineRule="auto"/>
        <w:ind w:firstLine="540"/>
        <w:jc w:val="both"/>
      </w:pPr>
      <w:r>
        <w:rPr>
          <w:sz w:val="24"/>
        </w:rPr>
        <w:t xml:space="preserve">30.18. По показателю "Доля перестраховщиков в правах требования по суброгациям и регрессам и годных остатках" </w:t>
      </w:r>
      <w:hyperlink w:history="0" w:anchor="P32288" w:tooltip="56">
        <w:r>
          <w:rPr>
            <w:sz w:val="24"/>
            <w:color w:val="0000ff"/>
          </w:rPr>
          <w:t xml:space="preserve">(строка 56)</w:t>
        </w:r>
      </w:hyperlink>
      <w:r>
        <w:rPr>
          <w:sz w:val="24"/>
        </w:rPr>
        <w:t xml:space="preserve"> для каждой учетной группы указывается величина доли перестраховщиков в правах требования страховщика по суброгациям и регрессам и в стоимости активов в виде полученного застрахованного имущества (его годных остатков), от прав на которое страхователь (выгодоприобретатель) отказался в пользу страховщика в целях получения от него страховой выплаты в соответствии с </w:t>
      </w:r>
      <w:hyperlink w:history="0" r:id="rId52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5 статьи 10</w:t>
        </w:r>
      </w:hyperlink>
      <w:r>
        <w:rPr>
          <w:sz w:val="24"/>
        </w:rPr>
        <w:t xml:space="preserve"> Закона Российской Федерации N 4015-I, величины которых указаны по показателю "Права требования по суброгациям и регрессам и годные остатки" </w:t>
      </w:r>
      <w:hyperlink w:history="0" w:anchor="P32280" w:tooltip="55">
        <w:r>
          <w:rPr>
            <w:sz w:val="24"/>
            <w:color w:val="0000ff"/>
          </w:rPr>
          <w:t xml:space="preserve">(строка 55)</w:t>
        </w:r>
      </w:hyperlink>
      <w:r>
        <w:rPr>
          <w:sz w:val="24"/>
        </w:rPr>
        <w:t xml:space="preserve">, на конец отчетного периода и на дату, предшествующую дате окончания отчетного периода на 12 месяцев.</w:t>
      </w:r>
    </w:p>
    <w:p>
      <w:pPr>
        <w:pStyle w:val="0"/>
        <w:spacing w:before="240" w:lineRule="auto"/>
        <w:ind w:firstLine="540"/>
        <w:jc w:val="both"/>
      </w:pPr>
      <w:r>
        <w:rPr>
          <w:sz w:val="24"/>
        </w:rPr>
        <w:t xml:space="preserve">30.19. По показателю "Вспомогательная величина СтР" </w:t>
      </w:r>
      <w:hyperlink w:history="0" w:anchor="P32296" w:tooltip="57">
        <w:r>
          <w:rPr>
            <w:sz w:val="24"/>
            <w:color w:val="0000ff"/>
          </w:rPr>
          <w:t xml:space="preserve">(строка 57)</w:t>
        </w:r>
      </w:hyperlink>
      <w:r>
        <w:rPr>
          <w:sz w:val="24"/>
        </w:rPr>
        <w:t xml:space="preserve"> для учетной группы 3 указывается значение вспомогательной величины СтР, рассчитанное в соответствии с </w:t>
      </w:r>
      <w:hyperlink w:history="0" r:id="rId52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5 к Положению Банка России N 858-П по учетной группе 3.</w:t>
      </w:r>
    </w:p>
    <w:p>
      <w:pPr>
        <w:pStyle w:val="0"/>
        <w:spacing w:before="240" w:lineRule="auto"/>
        <w:ind w:firstLine="540"/>
        <w:jc w:val="both"/>
      </w:pPr>
      <w:r>
        <w:rPr>
          <w:sz w:val="24"/>
        </w:rPr>
        <w:t xml:space="preserve">Для учетных групп 1 - 2.2 и 4 - 17 показатель "Вспомогательная величина СтР" </w:t>
      </w:r>
      <w:hyperlink w:history="0" w:anchor="P32296" w:tooltip="57">
        <w:r>
          <w:rPr>
            <w:sz w:val="24"/>
            <w:color w:val="0000ff"/>
          </w:rPr>
          <w:t xml:space="preserve">(строка 57)</w:t>
        </w:r>
      </w:hyperlink>
      <w:r>
        <w:rPr>
          <w:sz w:val="24"/>
        </w:rPr>
        <w:t xml:space="preserve"> не формируется.</w:t>
      </w:r>
    </w:p>
    <w:p>
      <w:pPr>
        <w:pStyle w:val="0"/>
        <w:spacing w:before="240" w:lineRule="auto"/>
        <w:ind w:firstLine="540"/>
        <w:jc w:val="both"/>
      </w:pPr>
      <w:r>
        <w:rPr>
          <w:sz w:val="24"/>
        </w:rPr>
        <w:t xml:space="preserve">30.20. По показателю "Вспомогательная величина СР" </w:t>
      </w:r>
      <w:hyperlink w:history="0" w:anchor="P32304" w:tooltip="58">
        <w:r>
          <w:rPr>
            <w:sz w:val="24"/>
            <w:color w:val="0000ff"/>
          </w:rPr>
          <w:t xml:space="preserve">(строка 58)</w:t>
        </w:r>
      </w:hyperlink>
      <w:r>
        <w:rPr>
          <w:sz w:val="24"/>
        </w:rPr>
        <w:t xml:space="preserve"> для учетных групп 5 и 11 указываются значения вспомогательной величины СР, рассчитанные в соответствии с </w:t>
      </w:r>
      <w:hyperlink w:history="0" r:id="rId52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приложением 6</w:t>
        </w:r>
      </w:hyperlink>
      <w:r>
        <w:rPr>
          <w:sz w:val="24"/>
        </w:rPr>
        <w:t xml:space="preserve"> к Положению Банка России N 858-П по учетным группам 5 и 11.</w:t>
      </w:r>
    </w:p>
    <w:p>
      <w:pPr>
        <w:pStyle w:val="0"/>
        <w:spacing w:before="240" w:lineRule="auto"/>
        <w:ind w:firstLine="540"/>
        <w:jc w:val="both"/>
      </w:pPr>
      <w:r>
        <w:rPr>
          <w:sz w:val="24"/>
        </w:rPr>
        <w:t xml:space="preserve">Для учетных групп 1 - 4, 6 - 10 и 12 - 17 показатель "Вспомогательная величина СР" </w:t>
      </w:r>
      <w:hyperlink w:history="0" w:anchor="P32304" w:tooltip="58">
        <w:r>
          <w:rPr>
            <w:sz w:val="24"/>
            <w:color w:val="0000ff"/>
          </w:rPr>
          <w:t xml:space="preserve">(строка 58)</w:t>
        </w:r>
      </w:hyperlink>
      <w:r>
        <w:rPr>
          <w:sz w:val="24"/>
        </w:rPr>
        <w:t xml:space="preserve"> не формируется.</w:t>
      </w:r>
    </w:p>
    <w:p>
      <w:pPr>
        <w:pStyle w:val="0"/>
        <w:spacing w:before="240" w:lineRule="auto"/>
        <w:ind w:firstLine="540"/>
        <w:jc w:val="both"/>
      </w:pPr>
      <w:r>
        <w:rPr>
          <w:sz w:val="24"/>
        </w:rPr>
        <w:t xml:space="preserve">30.21. По показателю "Максимальная страховая сумма по договорам страхования ответственности арбитражного управляющего (Smax)" </w:t>
      </w:r>
      <w:hyperlink w:history="0" w:anchor="P32312" w:tooltip="59">
        <w:r>
          <w:rPr>
            <w:sz w:val="24"/>
            <w:color w:val="0000ff"/>
          </w:rPr>
          <w:t xml:space="preserve">(строка 59)</w:t>
        </w:r>
      </w:hyperlink>
      <w:r>
        <w:rPr>
          <w:sz w:val="24"/>
        </w:rPr>
        <w:t xml:space="preserve"> для учетной группы 14 в отношении договоров страхования ответственности арбитражного управляющего за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(далее - договоры страхования ответственности арбитражного управляющего), указывается значение максимальной страховой суммы по договорам страхования ответственности арбитражного управляющего (Smax), определенное в соответствии с </w:t>
      </w:r>
      <w:hyperlink w:history="0" r:id="rId52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четвертым подпункта 6.3.2.6 пункта 6.3</w:t>
        </w:r>
      </w:hyperlink>
      <w:r>
        <w:rPr>
          <w:sz w:val="24"/>
        </w:rPr>
        <w:t xml:space="preserve"> Положения Банка России N 858-П.</w:t>
      </w:r>
    </w:p>
    <w:p>
      <w:pPr>
        <w:pStyle w:val="0"/>
        <w:spacing w:before="240" w:lineRule="auto"/>
        <w:ind w:firstLine="540"/>
        <w:jc w:val="both"/>
      </w:pPr>
      <w:r>
        <w:rPr>
          <w:sz w:val="24"/>
        </w:rPr>
        <w:t xml:space="preserve">Для учетных групп 1 - 13 и 15 - 17 показатель "Максимальная страховая сумма по договорам страхования ответственности арбитражного управляющего (Smax)" </w:t>
      </w:r>
      <w:hyperlink w:history="0" w:anchor="P32312" w:tooltip="59">
        <w:r>
          <w:rPr>
            <w:sz w:val="24"/>
            <w:color w:val="0000ff"/>
          </w:rPr>
          <w:t xml:space="preserve">(строка 59)</w:t>
        </w:r>
      </w:hyperlink>
      <w:r>
        <w:rPr>
          <w:sz w:val="24"/>
        </w:rPr>
        <w:t xml:space="preserve"> не формируется.</w:t>
      </w:r>
    </w:p>
    <w:p>
      <w:pPr>
        <w:pStyle w:val="0"/>
        <w:spacing w:before="240" w:lineRule="auto"/>
        <w:ind w:firstLine="540"/>
        <w:jc w:val="both"/>
      </w:pPr>
      <w:r>
        <w:rPr>
          <w:sz w:val="24"/>
        </w:rPr>
        <w:t xml:space="preserve">30.22. По показателю "Показатель SS" </w:t>
      </w:r>
      <w:hyperlink w:history="0" w:anchor="P32320" w:tooltip="60">
        <w:r>
          <w:rPr>
            <w:sz w:val="24"/>
            <w:color w:val="0000ff"/>
          </w:rPr>
          <w:t xml:space="preserve">(строка 60)</w:t>
        </w:r>
      </w:hyperlink>
      <w:r>
        <w:rPr>
          <w:sz w:val="24"/>
        </w:rPr>
        <w:t xml:space="preserve"> для учетной группы 14 в отношении договоров страхования ответственности арбитражного управляющего указывается значение показателя SS, определенное по формуле в соответствии с </w:t>
      </w:r>
      <w:hyperlink w:history="0" r:id="rId52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шестым</w:t>
        </w:r>
      </w:hyperlink>
      <w:r>
        <w:rPr>
          <w:sz w:val="24"/>
        </w:rPr>
        <w:t xml:space="preserve"> - </w:t>
      </w:r>
      <w:hyperlink w:history="0" r:id="rId53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девятым подпункта 6.3.2.6 пункта 6.3</w:t>
        </w:r>
      </w:hyperlink>
      <w:r>
        <w:rPr>
          <w:sz w:val="24"/>
        </w:rPr>
        <w:t xml:space="preserve"> Положения Банка России N 858-П.</w:t>
      </w:r>
    </w:p>
    <w:p>
      <w:pPr>
        <w:pStyle w:val="0"/>
        <w:spacing w:before="240" w:lineRule="auto"/>
        <w:ind w:firstLine="540"/>
        <w:jc w:val="both"/>
      </w:pPr>
      <w:r>
        <w:rPr>
          <w:sz w:val="24"/>
        </w:rPr>
        <w:t xml:space="preserve">Для учетных групп 1 - 13 и 15 - 17 показатель "Показатель SS" </w:t>
      </w:r>
      <w:hyperlink w:history="0" w:anchor="P32320" w:tooltip="60">
        <w:r>
          <w:rPr>
            <w:sz w:val="24"/>
            <w:color w:val="0000ff"/>
          </w:rPr>
          <w:t xml:space="preserve">(строка 60)</w:t>
        </w:r>
      </w:hyperlink>
      <w:r>
        <w:rPr>
          <w:sz w:val="24"/>
        </w:rPr>
        <w:t xml:space="preserve"> не формируется.</w:t>
      </w:r>
    </w:p>
    <w:p>
      <w:pPr>
        <w:pStyle w:val="0"/>
        <w:spacing w:before="240" w:lineRule="auto"/>
        <w:ind w:firstLine="540"/>
        <w:jc w:val="both"/>
      </w:pPr>
      <w:r>
        <w:rPr>
          <w:sz w:val="24"/>
        </w:rPr>
        <w:t xml:space="preserve">31. По показателям </w:t>
      </w:r>
      <w:hyperlink w:history="0" w:anchor="P32328" w:tooltip="Раздел 3.">
        <w:r>
          <w:rPr>
            <w:sz w:val="24"/>
            <w:color w:val="0000ff"/>
          </w:rPr>
          <w:t xml:space="preserve">раздела 3</w:t>
        </w:r>
      </w:hyperlink>
      <w:r>
        <w:rPr>
          <w:sz w:val="24"/>
        </w:rPr>
        <w:t xml:space="preserve"> отчетности по форме 0420156 указываются данные, используемые для определения оценки риска 2, указанной по показателю "Оценка риска 2" </w:t>
      </w:r>
      <w:hyperlink w:history="0" w:anchor="P32034" w:tooltip="22">
        <w:r>
          <w:rPr>
            <w:sz w:val="24"/>
            <w:color w:val="0000ff"/>
          </w:rPr>
          <w:t xml:space="preserve">(строка 22)</w:t>
        </w:r>
      </w:hyperlink>
      <w:r>
        <w:rPr>
          <w:sz w:val="24"/>
        </w:rPr>
        <w:t xml:space="preserve">, в разрезе первой - пятой категорий контрагентов, определенных в соответствии с </w:t>
      </w:r>
      <w:hyperlink w:history="0" r:id="rId53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девятым</w:t>
        </w:r>
      </w:hyperlink>
      <w:r>
        <w:rPr>
          <w:sz w:val="24"/>
        </w:rPr>
        <w:t xml:space="preserve"> - </w:t>
      </w:r>
      <w:hyperlink w:history="0" r:id="rId53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восемнадцатым пункта 8</w:t>
        </w:r>
      </w:hyperlink>
      <w:r>
        <w:rPr>
          <w:sz w:val="24"/>
        </w:rPr>
        <w:t xml:space="preserve"> приложения 1 к Положению Банка России N 858-П (далее - категория контрагентов) (по соответствующим аналитическим признакам группы аналитических признаков "Категория контрагентов для оценки риска 2").</w:t>
      </w:r>
    </w:p>
    <w:p>
      <w:pPr>
        <w:pStyle w:val="0"/>
        <w:spacing w:before="240" w:lineRule="auto"/>
        <w:ind w:firstLine="540"/>
        <w:jc w:val="both"/>
      </w:pPr>
      <w:r>
        <w:rPr>
          <w:sz w:val="24"/>
        </w:rPr>
        <w:t xml:space="preserve">31.1. По показателям "Пороговое значение К1 по концентрации на обязанное лицо, в процентах от активов" </w:t>
      </w:r>
      <w:hyperlink w:history="0" w:anchor="P32330" w:tooltip="61">
        <w:r>
          <w:rPr>
            <w:sz w:val="24"/>
            <w:color w:val="0000ff"/>
          </w:rPr>
          <w:t xml:space="preserve">(строка 61)</w:t>
        </w:r>
      </w:hyperlink>
      <w:r>
        <w:rPr>
          <w:sz w:val="24"/>
        </w:rPr>
        <w:t xml:space="preserve"> и "Пороговое значение К1 по концентрации на обязанное лицо, в рублях" </w:t>
      </w:r>
      <w:hyperlink w:history="0" w:anchor="P32338" w:tooltip="62">
        <w:r>
          <w:rPr>
            <w:sz w:val="24"/>
            <w:color w:val="0000ff"/>
          </w:rPr>
          <w:t xml:space="preserve">(строка 62)</w:t>
        </w:r>
      </w:hyperlink>
      <w:r>
        <w:rPr>
          <w:sz w:val="24"/>
        </w:rPr>
        <w:t xml:space="preserve"> для первой категории контрагентов - обязанных лиц, являющихся юридическими лицами, указывается пороговое значение К1, определенное страховщиком во внутреннем документе, указанном в </w:t>
      </w:r>
      <w:hyperlink w:history="0" r:id="rId53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пункте 1.5</w:t>
        </w:r>
      </w:hyperlink>
      <w:r>
        <w:rPr>
          <w:sz w:val="24"/>
        </w:rPr>
        <w:t xml:space="preserve"> Положения Банка России N 858-П, и не превышающее 0,5 процента от суммарной стоимости активов страховщика.</w:t>
      </w:r>
    </w:p>
    <w:p>
      <w:pPr>
        <w:pStyle w:val="0"/>
        <w:spacing w:before="240" w:lineRule="auto"/>
        <w:ind w:firstLine="540"/>
        <w:jc w:val="both"/>
      </w:pPr>
      <w:r>
        <w:rPr>
          <w:sz w:val="24"/>
        </w:rPr>
        <w:t xml:space="preserve">По показателю "Пороговое значение К1 по концентрации на обязанное лицо, в процентах от активов" </w:t>
      </w:r>
      <w:hyperlink w:history="0" w:anchor="P32330" w:tooltip="61">
        <w:r>
          <w:rPr>
            <w:sz w:val="24"/>
            <w:color w:val="0000ff"/>
          </w:rPr>
          <w:t xml:space="preserve">(строка 61)</w:t>
        </w:r>
      </w:hyperlink>
      <w:r>
        <w:rPr>
          <w:sz w:val="24"/>
        </w:rPr>
        <w:t xml:space="preserve"> данные указываются с точностью от двух до двадцати знаков после запятой.</w:t>
      </w:r>
    </w:p>
    <w:p>
      <w:pPr>
        <w:pStyle w:val="0"/>
        <w:spacing w:before="240" w:lineRule="auto"/>
        <w:ind w:firstLine="540"/>
        <w:jc w:val="both"/>
      </w:pPr>
      <w:r>
        <w:rPr>
          <w:sz w:val="24"/>
        </w:rPr>
        <w:t xml:space="preserve">Для второй - пятой категорий контрагентов показатели "Пороговое значение К1 по концентрации на обязанное лицо, в процентах от активов" </w:t>
      </w:r>
      <w:hyperlink w:history="0" w:anchor="P32330" w:tooltip="61">
        <w:r>
          <w:rPr>
            <w:sz w:val="24"/>
            <w:color w:val="0000ff"/>
          </w:rPr>
          <w:t xml:space="preserve">(строка 61)</w:t>
        </w:r>
      </w:hyperlink>
      <w:r>
        <w:rPr>
          <w:sz w:val="24"/>
        </w:rPr>
        <w:t xml:space="preserve"> и "Пороговое значение К1 по концентрации на обязанное лицо, в рублях" </w:t>
      </w:r>
      <w:hyperlink w:history="0" w:anchor="P32338" w:tooltip="62">
        <w:r>
          <w:rPr>
            <w:sz w:val="24"/>
            <w:color w:val="0000ff"/>
          </w:rPr>
          <w:t xml:space="preserve">(строка 62)</w:t>
        </w:r>
      </w:hyperlink>
      <w:r>
        <w:rPr>
          <w:sz w:val="24"/>
        </w:rPr>
        <w:t xml:space="preserve"> не формируются.</w:t>
      </w:r>
    </w:p>
    <w:p>
      <w:pPr>
        <w:pStyle w:val="0"/>
        <w:spacing w:before="240" w:lineRule="auto"/>
        <w:ind w:firstLine="540"/>
        <w:jc w:val="both"/>
      </w:pPr>
      <w:r>
        <w:rPr>
          <w:sz w:val="24"/>
        </w:rPr>
        <w:t xml:space="preserve">31.2. По показателям "Пороговое значение К2 по концентрации на обязанное лицо, в процентах от активов" </w:t>
      </w:r>
      <w:hyperlink w:history="0" w:anchor="P32346" w:tooltip="63">
        <w:r>
          <w:rPr>
            <w:sz w:val="24"/>
            <w:color w:val="0000ff"/>
          </w:rPr>
          <w:t xml:space="preserve">(строка 63)</w:t>
        </w:r>
      </w:hyperlink>
      <w:r>
        <w:rPr>
          <w:sz w:val="24"/>
        </w:rPr>
        <w:t xml:space="preserve"> и "Пороговое значение К2 по концентрации на обязанное лицо, в рублях" </w:t>
      </w:r>
      <w:hyperlink w:history="0" w:anchor="P32354" w:tooltip="64">
        <w:r>
          <w:rPr>
            <w:sz w:val="24"/>
            <w:color w:val="0000ff"/>
          </w:rPr>
          <w:t xml:space="preserve">(строка 64)</w:t>
        </w:r>
      </w:hyperlink>
      <w:r>
        <w:rPr>
          <w:sz w:val="24"/>
        </w:rPr>
        <w:t xml:space="preserve"> для первой категории контрагентов - обязанных лиц, являющихся физическими лицами, указывается пороговое значение К2, определенное страховщиком во внутреннем документе, указанном в </w:t>
      </w:r>
      <w:hyperlink w:history="0" r:id="rId53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пункте 1.5</w:t>
        </w:r>
      </w:hyperlink>
      <w:r>
        <w:rPr>
          <w:sz w:val="24"/>
        </w:rPr>
        <w:t xml:space="preserve"> Положения Банка России N 858-П, и не превышающее 0,5 процента от суммарной стоимости активов страховщика.</w:t>
      </w:r>
    </w:p>
    <w:p>
      <w:pPr>
        <w:pStyle w:val="0"/>
        <w:spacing w:before="240" w:lineRule="auto"/>
        <w:ind w:firstLine="540"/>
        <w:jc w:val="both"/>
      </w:pPr>
      <w:r>
        <w:rPr>
          <w:sz w:val="24"/>
        </w:rPr>
        <w:t xml:space="preserve">По показателю "Пороговое значение К2 по концентрации на обязанное лицо, в процентах от активов" </w:t>
      </w:r>
      <w:hyperlink w:history="0" w:anchor="P32346" w:tooltip="63">
        <w:r>
          <w:rPr>
            <w:sz w:val="24"/>
            <w:color w:val="0000ff"/>
          </w:rPr>
          <w:t xml:space="preserve">(строка 63)</w:t>
        </w:r>
      </w:hyperlink>
      <w:r>
        <w:rPr>
          <w:sz w:val="24"/>
        </w:rPr>
        <w:t xml:space="preserve"> данные указываются с точностью от двух до двадцати знаков после запятой.</w:t>
      </w:r>
    </w:p>
    <w:p>
      <w:pPr>
        <w:pStyle w:val="0"/>
        <w:spacing w:before="240" w:lineRule="auto"/>
        <w:ind w:firstLine="540"/>
        <w:jc w:val="both"/>
      </w:pPr>
      <w:r>
        <w:rPr>
          <w:sz w:val="24"/>
        </w:rPr>
        <w:t xml:space="preserve">Для второй - пятой категорий контрагентов показатели "Пороговое значение К2 по концентрации на обязанное лицо, в процентах от активов" </w:t>
      </w:r>
      <w:hyperlink w:history="0" w:anchor="P32346" w:tooltip="63">
        <w:r>
          <w:rPr>
            <w:sz w:val="24"/>
            <w:color w:val="0000ff"/>
          </w:rPr>
          <w:t xml:space="preserve">(строка 63)</w:t>
        </w:r>
      </w:hyperlink>
      <w:r>
        <w:rPr>
          <w:sz w:val="24"/>
        </w:rPr>
        <w:t xml:space="preserve"> и "Пороговое значение К2 по концентрации на обязанное лицо, в рублях" </w:t>
      </w:r>
      <w:hyperlink w:history="0" w:anchor="P32354" w:tooltip="64">
        <w:r>
          <w:rPr>
            <w:sz w:val="24"/>
            <w:color w:val="0000ff"/>
          </w:rPr>
          <w:t xml:space="preserve">(строка 64)</w:t>
        </w:r>
      </w:hyperlink>
      <w:r>
        <w:rPr>
          <w:sz w:val="24"/>
        </w:rPr>
        <w:t xml:space="preserve"> не формируются.</w:t>
      </w:r>
    </w:p>
    <w:p>
      <w:pPr>
        <w:pStyle w:val="0"/>
        <w:spacing w:before="240" w:lineRule="auto"/>
        <w:ind w:firstLine="540"/>
        <w:jc w:val="both"/>
      </w:pPr>
      <w:r>
        <w:rPr>
          <w:sz w:val="24"/>
        </w:rPr>
        <w:t xml:space="preserve">31.3. По показателю "Значение эпсилон для оценки риска 2" </w:t>
      </w:r>
      <w:hyperlink w:history="0" w:anchor="P32362" w:tooltip="65">
        <w:r>
          <w:rPr>
            <w:sz w:val="24"/>
            <w:color w:val="0000ff"/>
          </w:rPr>
          <w:t xml:space="preserve">(строка 65)</w:t>
        </w:r>
      </w:hyperlink>
      <w:r>
        <w:rPr>
          <w:sz w:val="24"/>
        </w:rPr>
        <w:t xml:space="preserve"> для первой категории контрагентов указывается значение </w:t>
      </w:r>
      <w:r>
        <w:rPr>
          <w:position w:val="-1"/>
        </w:rPr>
        <w:drawing>
          <wp:inline distT="0" distB="0" distL="0" distR="0">
            <wp:extent cx="137160"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r>
        <w:rPr>
          <w:sz w:val="24"/>
        </w:rPr>
        <w:t xml:space="preserve"> (эпсилон), рассчитанное по формуле в соответствии с </w:t>
      </w:r>
      <w:hyperlink w:history="0" r:id="rId53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третьим пункта 9</w:t>
        </w:r>
      </w:hyperlink>
      <w:r>
        <w:rPr>
          <w:sz w:val="24"/>
        </w:rPr>
        <w:t xml:space="preserve"> приложения 1 к Положению Банка России N 858-П. Данные указываются с точностью от двух до двадцати знаков после запятой.</w:t>
      </w:r>
    </w:p>
    <w:p>
      <w:pPr>
        <w:pStyle w:val="0"/>
        <w:spacing w:before="240" w:lineRule="auto"/>
        <w:ind w:firstLine="540"/>
        <w:jc w:val="both"/>
      </w:pPr>
      <w:r>
        <w:rPr>
          <w:sz w:val="24"/>
        </w:rPr>
        <w:t xml:space="preserve">Для второй - пятой категорий контрагентов показатель "Значение эпсилон для оценки риска 2" </w:t>
      </w:r>
      <w:hyperlink w:history="0" w:anchor="P32362" w:tooltip="65">
        <w:r>
          <w:rPr>
            <w:sz w:val="24"/>
            <w:color w:val="0000ff"/>
          </w:rPr>
          <w:t xml:space="preserve">(строка 65)</w:t>
        </w:r>
      </w:hyperlink>
      <w:r>
        <w:rPr>
          <w:sz w:val="24"/>
        </w:rPr>
        <w:t xml:space="preserve"> не формируется.</w:t>
      </w:r>
    </w:p>
    <w:p>
      <w:pPr>
        <w:pStyle w:val="0"/>
        <w:spacing w:before="240" w:lineRule="auto"/>
        <w:ind w:firstLine="540"/>
        <w:jc w:val="both"/>
      </w:pPr>
      <w:r>
        <w:rPr>
          <w:sz w:val="24"/>
        </w:rPr>
        <w:t xml:space="preserve">31.4. По показателю "Количество итераций" </w:t>
      </w:r>
      <w:hyperlink w:history="0" w:anchor="P32370" w:tooltip="66">
        <w:r>
          <w:rPr>
            <w:sz w:val="24"/>
            <w:color w:val="0000ff"/>
          </w:rPr>
          <w:t xml:space="preserve">(строка 66)</w:t>
        </w:r>
      </w:hyperlink>
      <w:r>
        <w:rPr>
          <w:sz w:val="24"/>
        </w:rPr>
        <w:t xml:space="preserve"> для первой категории контрагентов указывается вспомогательная величина T (целое число), определенная в соответствии с </w:t>
      </w:r>
      <w:hyperlink w:history="0" r:id="rId53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первым пункта 9</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Для второй - пятой категорий контрагентов показатель "Количество итераций" </w:t>
      </w:r>
      <w:hyperlink w:history="0" w:anchor="P32370" w:tooltip="66">
        <w:r>
          <w:rPr>
            <w:sz w:val="24"/>
            <w:color w:val="0000ff"/>
          </w:rPr>
          <w:t xml:space="preserve">(строка 66)</w:t>
        </w:r>
      </w:hyperlink>
      <w:r>
        <w:rPr>
          <w:sz w:val="24"/>
        </w:rPr>
        <w:t xml:space="preserve"> не формируется.</w:t>
      </w:r>
    </w:p>
    <w:p>
      <w:pPr>
        <w:pStyle w:val="0"/>
        <w:spacing w:before="240" w:lineRule="auto"/>
        <w:ind w:firstLine="540"/>
        <w:jc w:val="both"/>
      </w:pPr>
      <w:r>
        <w:rPr>
          <w:sz w:val="24"/>
        </w:rPr>
        <w:t xml:space="preserve">31.5. По показателю "Влияние риска 2" </w:t>
      </w:r>
      <w:hyperlink w:history="0" w:anchor="P32378" w:tooltip="67">
        <w:r>
          <w:rPr>
            <w:sz w:val="24"/>
            <w:color w:val="0000ff"/>
          </w:rPr>
          <w:t xml:space="preserve">(строка 67)</w:t>
        </w:r>
      </w:hyperlink>
      <w:r>
        <w:rPr>
          <w:sz w:val="24"/>
        </w:rPr>
        <w:t xml:space="preserve"> для каждой категории контрагентов указывается величина оценки риска 2, определенная в соответствии с </w:t>
      </w:r>
      <w:hyperlink w:history="0" r:id="rId53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пунктами 9</w:t>
        </w:r>
      </w:hyperlink>
      <w:r>
        <w:rPr>
          <w:sz w:val="24"/>
        </w:rPr>
        <w:t xml:space="preserve"> - </w:t>
      </w:r>
      <w:hyperlink w:history="0" r:id="rId53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13</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31.6. По показателю "Количество обязанных лиц" </w:t>
      </w:r>
      <w:hyperlink w:history="0" w:anchor="P32386" w:tooltip="68">
        <w:r>
          <w:rPr>
            <w:sz w:val="24"/>
            <w:color w:val="0000ff"/>
          </w:rPr>
          <w:t xml:space="preserve">(строка 68)</w:t>
        </w:r>
      </w:hyperlink>
      <w:r>
        <w:rPr>
          <w:sz w:val="24"/>
        </w:rPr>
        <w:t xml:space="preserve"> для каждой категории контрагентов указывается количество обязанных лиц в этой категории контрагентов (целое число).</w:t>
      </w:r>
    </w:p>
    <w:p>
      <w:pPr>
        <w:pStyle w:val="0"/>
        <w:spacing w:before="240" w:lineRule="auto"/>
        <w:ind w:firstLine="540"/>
        <w:jc w:val="both"/>
      </w:pPr>
      <w:r>
        <w:rPr>
          <w:sz w:val="24"/>
        </w:rPr>
        <w:t xml:space="preserve">31.7. По показателю "Суммарная стоимость активов в категории" </w:t>
      </w:r>
      <w:hyperlink w:history="0" w:anchor="P32394" w:tooltip="69">
        <w:r>
          <w:rPr>
            <w:sz w:val="24"/>
            <w:color w:val="0000ff"/>
          </w:rPr>
          <w:t xml:space="preserve">(строка 69)</w:t>
        </w:r>
      </w:hyperlink>
      <w:r>
        <w:rPr>
          <w:sz w:val="24"/>
        </w:rPr>
        <w:t xml:space="preserve"> для каждой категории контрагентов указывается суммарная стоимость активов страховщика в этой категории контрагентов.</w:t>
      </w:r>
    </w:p>
    <w:p>
      <w:pPr>
        <w:pStyle w:val="0"/>
        <w:spacing w:before="240" w:lineRule="auto"/>
        <w:ind w:firstLine="540"/>
        <w:jc w:val="both"/>
      </w:pPr>
      <w:r>
        <w:rPr>
          <w:sz w:val="24"/>
        </w:rPr>
        <w:t xml:space="preserve">32. По показателям </w:t>
      </w:r>
      <w:hyperlink w:history="0" w:anchor="P32402" w:tooltip="Подраздел 3.1.">
        <w:r>
          <w:rPr>
            <w:sz w:val="24"/>
            <w:color w:val="0000ff"/>
          </w:rPr>
          <w:t xml:space="preserve">подраздела 3.1 раздела 3</w:t>
        </w:r>
      </w:hyperlink>
      <w:r>
        <w:rPr>
          <w:sz w:val="24"/>
        </w:rPr>
        <w:t xml:space="preserve"> отчетности по форме 0420156 указываются данные, используемые для определения оценки риска 2 для второй - пятой категорий контрагентов, указанной по показателю "Влияние риска 2" </w:t>
      </w:r>
      <w:hyperlink w:history="0" w:anchor="P32378" w:tooltip="67">
        <w:r>
          <w:rPr>
            <w:sz w:val="24"/>
            <w:color w:val="0000ff"/>
          </w:rPr>
          <w:t xml:space="preserve">(строка 67)</w:t>
        </w:r>
      </w:hyperlink>
      <w:r>
        <w:rPr>
          <w:sz w:val="24"/>
        </w:rPr>
        <w:t xml:space="preserve">, аналитическим признакам "2 категория", "3 категория", "4 категория" и "5 категория" группы аналитических признаков "Категория контрагентов для оценки риска 2".</w:t>
      </w:r>
    </w:p>
    <w:p>
      <w:pPr>
        <w:pStyle w:val="0"/>
        <w:spacing w:before="240" w:lineRule="auto"/>
        <w:ind w:firstLine="540"/>
        <w:jc w:val="both"/>
      </w:pPr>
      <w:r>
        <w:rPr>
          <w:sz w:val="24"/>
        </w:rPr>
        <w:t xml:space="preserve">По каждой категории контрагентов показатели </w:t>
      </w:r>
      <w:hyperlink w:history="0" w:anchor="P32402" w:tooltip="Подраздел 3.1.">
        <w:r>
          <w:rPr>
            <w:sz w:val="24"/>
            <w:color w:val="0000ff"/>
          </w:rPr>
          <w:t xml:space="preserve">подраздела 3.1 раздела 3</w:t>
        </w:r>
      </w:hyperlink>
      <w:r>
        <w:rPr>
          <w:sz w:val="24"/>
        </w:rPr>
        <w:t xml:space="preserve"> отчетности по форме 0420156 указываются в разрезе групп обязанных лиц, на которые, исходя из концентрации на обязанное лицо, разбиваются обязанные лица, отнесенные в соответствии с </w:t>
      </w:r>
      <w:hyperlink w:history="0" r:id="rId54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пятнадцатым</w:t>
        </w:r>
      </w:hyperlink>
      <w:r>
        <w:rPr>
          <w:sz w:val="24"/>
        </w:rPr>
        <w:t xml:space="preserve"> - </w:t>
      </w:r>
      <w:hyperlink w:history="0" r:id="rId54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восемнадцатым пункта 8</w:t>
        </w:r>
      </w:hyperlink>
      <w:r>
        <w:rPr>
          <w:sz w:val="24"/>
        </w:rPr>
        <w:t xml:space="preserve"> приложения 1 к Положению Банка России N 858-П ко второй - пятой категориям контрагентов (по группе аналитических признаков "Номер группы").</w:t>
      </w:r>
    </w:p>
    <w:p>
      <w:pPr>
        <w:pStyle w:val="0"/>
        <w:spacing w:before="240" w:lineRule="auto"/>
        <w:ind w:firstLine="540"/>
        <w:jc w:val="both"/>
      </w:pPr>
      <w:r>
        <w:rPr>
          <w:sz w:val="24"/>
        </w:rPr>
        <w:t xml:space="preserve">По группе аналитических признаков "Номер группы" указывается порядковый номер группы обязанных лиц в рамках одной категории контрагентов начиная с номера 1.</w:t>
      </w:r>
    </w:p>
    <w:p>
      <w:pPr>
        <w:pStyle w:val="0"/>
        <w:spacing w:before="240" w:lineRule="auto"/>
        <w:ind w:firstLine="540"/>
        <w:jc w:val="both"/>
      </w:pPr>
      <w:r>
        <w:rPr>
          <w:sz w:val="24"/>
        </w:rPr>
        <w:t xml:space="preserve">32.1. По показателю "Сумма максимальных концентраций на обязанное лицо по количеству дефолтов" </w:t>
      </w:r>
      <w:hyperlink w:history="0" w:anchor="P32404" w:tooltip="70">
        <w:r>
          <w:rPr>
            <w:sz w:val="24"/>
            <w:color w:val="0000ff"/>
          </w:rPr>
          <w:t xml:space="preserve">(строка 70)</w:t>
        </w:r>
      </w:hyperlink>
      <w:r>
        <w:rPr>
          <w:sz w:val="24"/>
        </w:rPr>
        <w:t xml:space="preserve"> для каждой группы обязанных лиц указывается сумма максимальных по этой группе обязанных лиц концентраций на обязанное лицо по количеству дефолтов для целей расчета риска 2 в соответствии с </w:t>
      </w:r>
      <w:hyperlink w:history="0" r:id="rId54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10</w:t>
        </w:r>
      </w:hyperlink>
      <w:r>
        <w:rPr>
          <w:sz w:val="24"/>
        </w:rPr>
        <w:t xml:space="preserve"> приложения 1 к Положению Банка России N 858-П, соответствующая значению </w:t>
      </w:r>
      <w:r>
        <w:rPr>
          <w:position w:val="-16"/>
        </w:rPr>
        <w:drawing>
          <wp:inline distT="0" distB="0" distL="0" distR="0">
            <wp:extent cx="960120" cy="365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960120" cy="365760"/>
                    </a:xfrm>
                    <a:prstGeom prst="rect">
                      <a:avLst/>
                    </a:prstGeom>
                    <a:noFill/>
                    <a:ln>
                      <a:noFill/>
                    </a:ln>
                  </pic:spPr>
                </pic:pic>
              </a:graphicData>
            </a:graphic>
          </wp:inline>
        </w:drawing>
      </w:r>
      <w:r>
        <w:rPr>
          <w:sz w:val="24"/>
        </w:rPr>
        <w:t xml:space="preserve"> по указанной группе обязанных лиц.</w:t>
      </w:r>
    </w:p>
    <w:p>
      <w:pPr>
        <w:pStyle w:val="0"/>
        <w:spacing w:before="240" w:lineRule="auto"/>
        <w:ind w:firstLine="540"/>
        <w:jc w:val="both"/>
      </w:pPr>
      <w:r>
        <w:rPr>
          <w:sz w:val="24"/>
        </w:rPr>
        <w:t xml:space="preserve">32.2. По показателю "Сумма концентраций на обязанное лицо" </w:t>
      </w:r>
      <w:hyperlink w:history="0" w:anchor="P32416" w:tooltip="71">
        <w:r>
          <w:rPr>
            <w:sz w:val="24"/>
            <w:color w:val="0000ff"/>
          </w:rPr>
          <w:t xml:space="preserve">(строка 71)</w:t>
        </w:r>
      </w:hyperlink>
      <w:r>
        <w:rPr>
          <w:sz w:val="24"/>
        </w:rPr>
        <w:t xml:space="preserve"> для каждой группы обязанных лиц указывается сумма по этой группе обязанных лиц концентраций на обязанное лицо для целей расчета риска 2 в соответствии с </w:t>
      </w:r>
      <w:hyperlink w:history="0" r:id="rId54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шестым пункта 10</w:t>
        </w:r>
      </w:hyperlink>
      <w:r>
        <w:rPr>
          <w:sz w:val="24"/>
        </w:rPr>
        <w:t xml:space="preserve"> приложения 1 к Положению Банка России N 858-П.</w:t>
      </w:r>
    </w:p>
    <w:p>
      <w:pPr>
        <w:pStyle w:val="0"/>
        <w:spacing w:before="240" w:lineRule="auto"/>
        <w:ind w:firstLine="540"/>
        <w:jc w:val="both"/>
      </w:pPr>
      <w:r>
        <w:rPr>
          <w:sz w:val="24"/>
        </w:rPr>
        <w:t xml:space="preserve">32.3. По показателю "Суммарная доля стоимости акций в совокупной стоимости активов" </w:t>
      </w:r>
      <w:hyperlink w:history="0" w:anchor="P32428" w:tooltip="72">
        <w:r>
          <w:rPr>
            <w:sz w:val="24"/>
            <w:color w:val="0000ff"/>
          </w:rPr>
          <w:t xml:space="preserve">(строка 72)</w:t>
        </w:r>
      </w:hyperlink>
      <w:r>
        <w:rPr>
          <w:sz w:val="24"/>
        </w:rPr>
        <w:t xml:space="preserve"> для каждой группы обязанных лиц, отнесенных ко второй и третьей категориям контрагентов, указывается суммарная доля стоимости акций в совокупной стоимости активов, обязанные лица по которым отнесены к указанной группе, в соответствии с </w:t>
      </w:r>
      <w:hyperlink w:history="0" r:id="rId54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абзацем седьмым пункта 10</w:t>
        </w:r>
      </w:hyperlink>
      <w:r>
        <w:rPr>
          <w:sz w:val="24"/>
        </w:rPr>
        <w:t xml:space="preserve"> приложения 1 к Положению Банка России N 858-П. Данные указываются с точностью до двух знаков после запятой.</w:t>
      </w:r>
    </w:p>
    <w:p>
      <w:pPr>
        <w:pStyle w:val="0"/>
        <w:spacing w:before="240" w:lineRule="auto"/>
        <w:ind w:firstLine="540"/>
        <w:jc w:val="both"/>
      </w:pPr>
      <w:r>
        <w:rPr>
          <w:sz w:val="24"/>
        </w:rPr>
        <w:t xml:space="preserve">Для групп обязанных лиц, отнесенных к четвертой и пятой категориям контрагентов, показатель "Суммарная доля стоимости акций в совокупной стоимости активов" </w:t>
      </w:r>
      <w:hyperlink w:history="0" w:anchor="P32428" w:tooltip="72">
        <w:r>
          <w:rPr>
            <w:sz w:val="24"/>
            <w:color w:val="0000ff"/>
          </w:rPr>
          <w:t xml:space="preserve">(строка 72)</w:t>
        </w:r>
      </w:hyperlink>
      <w:r>
        <w:rPr>
          <w:sz w:val="24"/>
        </w:rPr>
        <w:t xml:space="preserve"> не формируется.</w:t>
      </w:r>
    </w:p>
    <w:p>
      <w:pPr>
        <w:pStyle w:val="0"/>
        <w:spacing w:before="240" w:lineRule="auto"/>
        <w:ind w:firstLine="540"/>
        <w:jc w:val="both"/>
      </w:pPr>
      <w:r>
        <w:rPr>
          <w:sz w:val="24"/>
        </w:rPr>
        <w:t xml:space="preserve">32.4. По показателю "Количество дефолтов" </w:t>
      </w:r>
      <w:hyperlink w:history="0" w:anchor="P32440" w:tooltip="73">
        <w:r>
          <w:rPr>
            <w:sz w:val="24"/>
            <w:color w:val="0000ff"/>
          </w:rPr>
          <w:t xml:space="preserve">(строка 73)</w:t>
        </w:r>
      </w:hyperlink>
      <w:r>
        <w:rPr>
          <w:sz w:val="24"/>
        </w:rPr>
        <w:t xml:space="preserve"> для каждой группы обязанных лиц указывается количество дефолтов в этой группе обязанных лиц, определенное в соответствии с </w:t>
      </w:r>
      <w:hyperlink w:history="0" r:id="rId54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пунктами 10</w:t>
        </w:r>
      </w:hyperlink>
      <w:r>
        <w:rPr>
          <w:sz w:val="24"/>
        </w:rPr>
        <w:t xml:space="preserve"> - </w:t>
      </w:r>
      <w:hyperlink w:history="0" r:id="rId54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13</w:t>
        </w:r>
      </w:hyperlink>
      <w:r>
        <w:rPr>
          <w:sz w:val="24"/>
        </w:rPr>
        <w:t xml:space="preserve"> приложения 1 к Положению Банка России N 858-П.</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2577" w:name="P32577"/>
    <w:bookmarkEnd w:id="32577"/>
    <w:p>
      <w:pPr>
        <w:pStyle w:val="0"/>
        <w:jc w:val="center"/>
      </w:pPr>
      <w:r>
        <w:rPr>
          <w:sz w:val="24"/>
        </w:rPr>
        <w:t xml:space="preserve">Отчетность по форме 0420157</w:t>
      </w:r>
    </w:p>
    <w:p>
      <w:pPr>
        <w:pStyle w:val="0"/>
        <w:jc w:val="center"/>
      </w:pPr>
      <w:r>
        <w:rPr>
          <w:sz w:val="24"/>
        </w:rPr>
        <w:t xml:space="preserve">"Отчет об операциях перестрахования страховщика"</w:t>
      </w:r>
    </w:p>
    <w:p>
      <w:pPr>
        <w:pStyle w:val="0"/>
        <w:ind w:firstLine="540"/>
        <w:jc w:val="both"/>
      </w:pPr>
      <w:r>
        <w:rPr>
          <w:sz w:val="24"/>
        </w:rPr>
      </w:r>
    </w:p>
    <w:p>
      <w:pPr>
        <w:pStyle w:val="0"/>
        <w:jc w:val="right"/>
      </w:pPr>
      <w:r>
        <w:rPr>
          <w:sz w:val="24"/>
        </w:rPr>
        <w:t xml:space="preserve">Код формы по </w:t>
      </w:r>
      <w:hyperlink w:history="0" r:id="rId548"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2885" w:tooltip="&lt;1&gt; Общероссийский классификатор управленческой документации.">
        <w:r>
          <w:rPr>
            <w:sz w:val="24"/>
            <w:color w:val="0000ff"/>
          </w:rPr>
          <w:t xml:space="preserve">&lt;1&gt;</w:t>
        </w:r>
      </w:hyperlink>
      <w:r>
        <w:rPr>
          <w:sz w:val="24"/>
        </w:rPr>
        <w:t xml:space="preserve"> 0420157</w:t>
      </w:r>
    </w:p>
    <w:p>
      <w:pPr>
        <w:pStyle w:val="0"/>
        <w:ind w:firstLine="540"/>
        <w:jc w:val="both"/>
      </w:pPr>
      <w:r>
        <w:rPr>
          <w:sz w:val="24"/>
        </w:rPr>
      </w:r>
    </w:p>
    <w:p>
      <w:pPr>
        <w:pStyle w:val="0"/>
        <w:jc w:val="right"/>
      </w:pPr>
      <w:r>
        <w:rPr>
          <w:sz w:val="24"/>
        </w:rPr>
        <w:t xml:space="preserve">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189"/>
        <w:gridCol w:w="2419"/>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096" w:type="dxa"/>
            <w:tcBorders>
              <w:left w:val="single" w:sz="4"/>
            </w:tcBorders>
          </w:tcPr>
          <w:bookmarkStart w:id="32592" w:name="P32592"/>
          <w:bookmarkEnd w:id="32592"/>
          <w:p>
            <w:pPr>
              <w:pStyle w:val="0"/>
              <w:outlineLvl w:val="3"/>
            </w:pPr>
            <w:r>
              <w:rPr>
                <w:sz w:val="24"/>
              </w:rPr>
              <w:t xml:space="preserve">Раздел 1.</w:t>
            </w:r>
          </w:p>
        </w:tc>
        <w:tc>
          <w:tcPr>
            <w:gridSpan w:val="3"/>
            <w:tcW w:w="7975" w:type="dxa"/>
            <w:tcBorders>
              <w:right w:val="single" w:sz="4"/>
            </w:tcBorders>
          </w:tcPr>
          <w:p>
            <w:pPr>
              <w:pStyle w:val="0"/>
            </w:pPr>
            <w:r>
              <w:rPr>
                <w:sz w:val="24"/>
              </w:rPr>
              <w:t xml:space="preserve">Операции перестрахования в разрезе перестраховщиков</w:t>
            </w:r>
          </w:p>
        </w:tc>
      </w:tr>
      <w:tr>
        <w:tc>
          <w:tcPr>
            <w:tcW w:w="907" w:type="dxa"/>
          </w:tcPr>
          <w:bookmarkStart w:id="32594" w:name="P32594"/>
          <w:bookmarkEnd w:id="32594"/>
          <w:p>
            <w:pPr>
              <w:pStyle w:val="0"/>
            </w:pPr>
            <w:r>
              <w:rPr>
                <w:sz w:val="24"/>
              </w:rPr>
              <w:t xml:space="preserve">1</w:t>
            </w:r>
          </w:p>
        </w:tc>
        <w:tc>
          <w:tcPr>
            <w:gridSpan w:val="2"/>
            <w:tcW w:w="2608" w:type="dxa"/>
          </w:tcPr>
          <w:p>
            <w:pPr>
              <w:pStyle w:val="0"/>
            </w:pPr>
            <w:r>
              <w:rPr>
                <w:sz w:val="24"/>
              </w:rPr>
              <w:t xml:space="preserve">Страховые премии за перестрахование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ins-dic:StraxPremZaPerestraxDogStraxSostraxVxodPerestr</w:t>
            </w:r>
          </w:p>
        </w:tc>
      </w:tr>
      <w:tr>
        <w:tc>
          <w:tcPr>
            <w:tcW w:w="907" w:type="dxa"/>
          </w:tcPr>
          <w:p>
            <w:pPr>
              <w:pStyle w:val="0"/>
            </w:pPr>
            <w:r>
              <w:rPr>
                <w:sz w:val="24"/>
              </w:rPr>
              <w:t xml:space="preserve">1.1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dim-int:IDPskTaxis</w:t>
            </w:r>
          </w:p>
        </w:tc>
      </w:tr>
      <w:tr>
        <w:tc>
          <w:tcPr>
            <w:tcW w:w="907" w:type="dxa"/>
          </w:tcPr>
          <w:p>
            <w:pPr>
              <w:pStyle w:val="0"/>
            </w:pPr>
            <w:r>
              <w:rPr>
                <w:sz w:val="24"/>
              </w:rPr>
              <w:t xml:space="preserve">1.2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1.3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1.4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618" w:name="P32618"/>
          <w:bookmarkEnd w:id="32618"/>
          <w:p>
            <w:pPr>
              <w:pStyle w:val="0"/>
            </w:pPr>
            <w:r>
              <w:rPr>
                <w:sz w:val="24"/>
              </w:rPr>
              <w:t xml:space="preserve">2</w:t>
            </w:r>
          </w:p>
        </w:tc>
        <w:tc>
          <w:tcPr>
            <w:gridSpan w:val="2"/>
            <w:tcW w:w="2608" w:type="dxa"/>
          </w:tcPr>
          <w:p>
            <w:pPr>
              <w:pStyle w:val="0"/>
            </w:pPr>
            <w:r>
              <w:rPr>
                <w:sz w:val="24"/>
              </w:rPr>
              <w:t xml:space="preserve">Страховые выплаты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ins-dic:Dolya_Psk_Strax_Vypl</w:t>
            </w:r>
          </w:p>
        </w:tc>
      </w:tr>
      <w:tr>
        <w:tc>
          <w:tcPr>
            <w:tcW w:w="907" w:type="dxa"/>
          </w:tcPr>
          <w:p>
            <w:pPr>
              <w:pStyle w:val="0"/>
            </w:pPr>
            <w:r>
              <w:rPr>
                <w:sz w:val="24"/>
              </w:rPr>
              <w:t xml:space="preserve">2.1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dim-int:IDPskTaxis</w:t>
            </w:r>
          </w:p>
        </w:tc>
      </w:tr>
      <w:tr>
        <w:tc>
          <w:tcPr>
            <w:tcW w:w="907" w:type="dxa"/>
          </w:tcPr>
          <w:p>
            <w:pPr>
              <w:pStyle w:val="0"/>
            </w:pPr>
            <w:r>
              <w:rPr>
                <w:sz w:val="24"/>
              </w:rPr>
              <w:t xml:space="preserve">2.2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2.3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2.4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2.5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642" w:name="P32642"/>
          <w:bookmarkEnd w:id="32642"/>
          <w:p>
            <w:pPr>
              <w:pStyle w:val="0"/>
            </w:pPr>
            <w:r>
              <w:rPr>
                <w:sz w:val="24"/>
              </w:rPr>
              <w:t xml:space="preserve">3</w:t>
            </w:r>
          </w:p>
        </w:tc>
        <w:tc>
          <w:tcPr>
            <w:gridSpan w:val="2"/>
            <w:tcW w:w="2608" w:type="dxa"/>
          </w:tcPr>
          <w:p>
            <w:pPr>
              <w:pStyle w:val="0"/>
            </w:pPr>
            <w:r>
              <w:rPr>
                <w:sz w:val="24"/>
              </w:rPr>
              <w:t xml:space="preserve">Доля перестраховщиков во вспомогательной величине ЗНУ</w:t>
            </w:r>
          </w:p>
        </w:tc>
        <w:tc>
          <w:tcPr>
            <w:tcW w:w="2608" w:type="dxa"/>
          </w:tcPr>
          <w:p>
            <w:pPr>
              <w:pStyle w:val="0"/>
            </w:pPr>
            <w:r>
              <w:rPr>
                <w:sz w:val="24"/>
              </w:rPr>
            </w:r>
          </w:p>
        </w:tc>
        <w:tc>
          <w:tcPr>
            <w:tcW w:w="2948" w:type="dxa"/>
          </w:tcPr>
          <w:p>
            <w:pPr>
              <w:pStyle w:val="0"/>
            </w:pPr>
            <w:r>
              <w:rPr>
                <w:sz w:val="24"/>
              </w:rPr>
              <w:t xml:space="preserve">ins-dic:Dolya_Perestrax_V_Vspomog_Vel_ZNU_Vsego</w:t>
            </w:r>
          </w:p>
        </w:tc>
      </w:tr>
      <w:tr>
        <w:tc>
          <w:tcPr>
            <w:tcW w:w="907" w:type="dxa"/>
          </w:tcPr>
          <w:p>
            <w:pPr>
              <w:pStyle w:val="0"/>
            </w:pPr>
            <w:r>
              <w:rPr>
                <w:sz w:val="24"/>
              </w:rPr>
              <w:t xml:space="preserve">3.1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dim-int:IDPskTaxis</w:t>
            </w:r>
          </w:p>
        </w:tc>
      </w:tr>
      <w:tr>
        <w:tc>
          <w:tcPr>
            <w:tcW w:w="907" w:type="dxa"/>
          </w:tcPr>
          <w:p>
            <w:pPr>
              <w:pStyle w:val="0"/>
            </w:pPr>
            <w:r>
              <w:rPr>
                <w:sz w:val="24"/>
              </w:rPr>
              <w:t xml:space="preserve">3.2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3.3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3.4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dim-int:Perechcn_Uchet_Grupp_Axis</w:t>
            </w:r>
          </w:p>
        </w:tc>
      </w:tr>
      <w:tr>
        <w:tc>
          <w:tcPr>
            <w:tcW w:w="907" w:type="dxa"/>
          </w:tcPr>
          <w:p>
            <w:pPr>
              <w:pStyle w:val="0"/>
            </w:pPr>
            <w:r>
              <w:rPr>
                <w:sz w:val="24"/>
              </w:rPr>
              <w:t xml:space="preserve">3.5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666" w:name="P32666"/>
          <w:bookmarkEnd w:id="32666"/>
          <w:p>
            <w:pPr>
              <w:pStyle w:val="0"/>
            </w:pPr>
            <w:r>
              <w:rPr>
                <w:sz w:val="24"/>
              </w:rPr>
              <w:t xml:space="preserve">4</w:t>
            </w:r>
          </w:p>
        </w:tc>
        <w:tc>
          <w:tcPr>
            <w:gridSpan w:val="2"/>
            <w:tcW w:w="2608" w:type="dxa"/>
          </w:tcPr>
          <w:p>
            <w:pPr>
              <w:pStyle w:val="0"/>
            </w:pPr>
            <w:r>
              <w:rPr>
                <w:sz w:val="24"/>
              </w:rPr>
              <w:t xml:space="preserve">Тантьемы, перестраховочные и иные вознаграждения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ins-dic:TantemyPrstrIInyeVoznagrPoDogIsxPrst</w:t>
            </w:r>
          </w:p>
        </w:tc>
      </w:tr>
      <w:tr>
        <w:tc>
          <w:tcPr>
            <w:tcW w:w="907" w:type="dxa"/>
          </w:tcPr>
          <w:p>
            <w:pPr>
              <w:pStyle w:val="0"/>
            </w:pPr>
            <w:r>
              <w:rPr>
                <w:sz w:val="24"/>
              </w:rPr>
              <w:t xml:space="preserve">4.1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dim-int:IDPskTaxis</w:t>
            </w:r>
          </w:p>
        </w:tc>
      </w:tr>
      <w:tr>
        <w:tc>
          <w:tcPr>
            <w:tcW w:w="907" w:type="dxa"/>
          </w:tcPr>
          <w:p>
            <w:pPr>
              <w:pStyle w:val="0"/>
            </w:pPr>
            <w:r>
              <w:rPr>
                <w:sz w:val="24"/>
              </w:rPr>
              <w:t xml:space="preserve">4.2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4.3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4.4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4.5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690" w:name="P32690"/>
          <w:bookmarkEnd w:id="32690"/>
          <w:p>
            <w:pPr>
              <w:pStyle w:val="0"/>
            </w:pPr>
            <w:r>
              <w:rPr>
                <w:sz w:val="24"/>
              </w:rPr>
              <w:t xml:space="preserve">5</w:t>
            </w:r>
          </w:p>
        </w:tc>
        <w:tc>
          <w:tcPr>
            <w:gridSpan w:val="2"/>
            <w:tcW w:w="2608" w:type="dxa"/>
          </w:tcPr>
          <w:p>
            <w:pPr>
              <w:pStyle w:val="0"/>
            </w:pPr>
            <w:r>
              <w:rPr>
                <w:sz w:val="24"/>
              </w:rPr>
              <w:t xml:space="preserve">Задолженность перед перестраховщиками по расчетам по страховым премиям</w:t>
            </w:r>
          </w:p>
        </w:tc>
        <w:tc>
          <w:tcPr>
            <w:tcW w:w="2608" w:type="dxa"/>
          </w:tcPr>
          <w:p>
            <w:pPr>
              <w:pStyle w:val="0"/>
            </w:pPr>
            <w:r>
              <w:rPr>
                <w:sz w:val="24"/>
              </w:rPr>
            </w:r>
          </w:p>
        </w:tc>
        <w:tc>
          <w:tcPr>
            <w:tcW w:w="2948" w:type="dxa"/>
          </w:tcPr>
          <w:p>
            <w:pPr>
              <w:pStyle w:val="0"/>
            </w:pPr>
            <w:r>
              <w:rPr>
                <w:sz w:val="24"/>
              </w:rPr>
              <w:t xml:space="preserve">ins-dic:ZadolzhennostPeredPerestraxovshikPoRaschetamPoStrPr</w:t>
            </w:r>
          </w:p>
        </w:tc>
      </w:tr>
      <w:tr>
        <w:tc>
          <w:tcPr>
            <w:tcW w:w="907" w:type="dxa"/>
          </w:tcPr>
          <w:p>
            <w:pPr>
              <w:pStyle w:val="0"/>
            </w:pPr>
            <w:r>
              <w:rPr>
                <w:sz w:val="24"/>
              </w:rPr>
              <w:t xml:space="preserve">5.1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dim-int:IDPskTaxis</w:t>
            </w:r>
          </w:p>
        </w:tc>
      </w:tr>
      <w:tr>
        <w:tc>
          <w:tcPr>
            <w:tcW w:w="907" w:type="dxa"/>
          </w:tcPr>
          <w:p>
            <w:pPr>
              <w:pStyle w:val="0"/>
            </w:pPr>
            <w:r>
              <w:rPr>
                <w:sz w:val="24"/>
              </w:rPr>
              <w:t xml:space="preserve">5.2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5.3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5.4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5.5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714" w:name="P32714"/>
          <w:bookmarkEnd w:id="32714"/>
          <w:p>
            <w:pPr>
              <w:pStyle w:val="0"/>
            </w:pPr>
            <w:r>
              <w:rPr>
                <w:sz w:val="24"/>
              </w:rPr>
              <w:t xml:space="preserve">6</w:t>
            </w:r>
          </w:p>
        </w:tc>
        <w:tc>
          <w:tcPr>
            <w:gridSpan w:val="2"/>
            <w:tcW w:w="2608" w:type="dxa"/>
          </w:tcPr>
          <w:p>
            <w:pPr>
              <w:pStyle w:val="0"/>
            </w:pPr>
            <w:r>
              <w:rPr>
                <w:sz w:val="24"/>
              </w:rPr>
              <w:t xml:space="preserve">Права требования к перестраховщикам по урегулированию убытков</w:t>
            </w:r>
          </w:p>
        </w:tc>
        <w:tc>
          <w:tcPr>
            <w:tcW w:w="2608" w:type="dxa"/>
          </w:tcPr>
          <w:p>
            <w:pPr>
              <w:pStyle w:val="0"/>
            </w:pPr>
            <w:r>
              <w:rPr>
                <w:sz w:val="24"/>
              </w:rPr>
            </w:r>
          </w:p>
        </w:tc>
        <w:tc>
          <w:tcPr>
            <w:tcW w:w="2948" w:type="dxa"/>
          </w:tcPr>
          <w:p>
            <w:pPr>
              <w:pStyle w:val="0"/>
            </w:pPr>
            <w:r>
              <w:rPr>
                <w:sz w:val="24"/>
              </w:rPr>
              <w:t xml:space="preserve">ins-dic:PravaTrebovaniyaKPerestraxovshikPoUregUbytkov</w:t>
            </w:r>
          </w:p>
        </w:tc>
      </w:tr>
      <w:tr>
        <w:tc>
          <w:tcPr>
            <w:tcW w:w="907" w:type="dxa"/>
          </w:tcPr>
          <w:p>
            <w:pPr>
              <w:pStyle w:val="0"/>
            </w:pPr>
            <w:r>
              <w:rPr>
                <w:sz w:val="24"/>
              </w:rPr>
              <w:t xml:space="preserve">6.1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dim-int:IDPskTaxis</w:t>
            </w:r>
          </w:p>
        </w:tc>
      </w:tr>
      <w:tr>
        <w:tc>
          <w:tcPr>
            <w:tcW w:w="907" w:type="dxa"/>
          </w:tcPr>
          <w:p>
            <w:pPr>
              <w:pStyle w:val="0"/>
            </w:pPr>
            <w:r>
              <w:rPr>
                <w:sz w:val="24"/>
              </w:rPr>
              <w:t xml:space="preserve">6.2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6.3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6.4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gridSpan w:val="5"/>
            <w:tcW w:w="9071" w:type="dxa"/>
          </w:tcPr>
          <w:bookmarkStart w:id="32738" w:name="P32738"/>
          <w:bookmarkEnd w:id="32738"/>
          <w:p>
            <w:pPr>
              <w:pStyle w:val="0"/>
              <w:outlineLvl w:val="3"/>
            </w:pPr>
            <w:r>
              <w:rPr>
                <w:sz w:val="24"/>
              </w:rPr>
              <w:t xml:space="preserve">Раздел 2. Операции перестрахования в разрезе перестрахователей</w:t>
            </w:r>
          </w:p>
        </w:tc>
      </w:tr>
      <w:tr>
        <w:tc>
          <w:tcPr>
            <w:tcW w:w="907" w:type="dxa"/>
          </w:tcPr>
          <w:bookmarkStart w:id="32739" w:name="P32739"/>
          <w:bookmarkEnd w:id="32739"/>
          <w:p>
            <w:pPr>
              <w:pStyle w:val="0"/>
            </w:pPr>
            <w:r>
              <w:rPr>
                <w:sz w:val="24"/>
              </w:rPr>
              <w:t xml:space="preserve">7</w:t>
            </w:r>
          </w:p>
        </w:tc>
        <w:tc>
          <w:tcPr>
            <w:gridSpan w:val="2"/>
            <w:tcW w:w="2608" w:type="dxa"/>
          </w:tcPr>
          <w:p>
            <w:pPr>
              <w:pStyle w:val="0"/>
            </w:pPr>
            <w:r>
              <w:rPr>
                <w:sz w:val="24"/>
              </w:rPr>
              <w:t xml:space="preserve">Страховые премии по договорам входящего перестрахования (за предоставление страхового покрытия до верхней границы соответствующих договоров)</w:t>
            </w:r>
          </w:p>
        </w:tc>
        <w:tc>
          <w:tcPr>
            <w:tcW w:w="2608" w:type="dxa"/>
          </w:tcPr>
          <w:p>
            <w:pPr>
              <w:pStyle w:val="0"/>
            </w:pPr>
            <w:r>
              <w:rPr>
                <w:sz w:val="24"/>
              </w:rPr>
            </w:r>
          </w:p>
        </w:tc>
        <w:tc>
          <w:tcPr>
            <w:tcW w:w="2948" w:type="dxa"/>
          </w:tcPr>
          <w:p>
            <w:pPr>
              <w:pStyle w:val="0"/>
            </w:pPr>
            <w:r>
              <w:rPr>
                <w:sz w:val="24"/>
              </w:rPr>
              <w:t xml:space="preserve">ins-dic:StraxPremPoDogVxPrstrZaPredStraxPokrDoVerxGranDog</w:t>
            </w:r>
          </w:p>
        </w:tc>
      </w:tr>
      <w:tr>
        <w:tc>
          <w:tcPr>
            <w:tcW w:w="907" w:type="dxa"/>
          </w:tcPr>
          <w:p>
            <w:pPr>
              <w:pStyle w:val="0"/>
            </w:pPr>
            <w:r>
              <w:rPr>
                <w:sz w:val="24"/>
              </w:rPr>
              <w:t xml:space="preserve">7.1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перестрахователя</w:t>
            </w:r>
          </w:p>
        </w:tc>
        <w:tc>
          <w:tcPr>
            <w:tcW w:w="2948" w:type="dxa"/>
          </w:tcPr>
          <w:p>
            <w:pPr>
              <w:pStyle w:val="0"/>
            </w:pPr>
            <w:r>
              <w:rPr>
                <w:sz w:val="24"/>
              </w:rPr>
              <w:t xml:space="preserve">dim-int:IDPslTaxis</w:t>
            </w:r>
          </w:p>
        </w:tc>
      </w:tr>
      <w:tr>
        <w:tc>
          <w:tcPr>
            <w:tcW w:w="907" w:type="dxa"/>
          </w:tcPr>
          <w:p>
            <w:pPr>
              <w:pStyle w:val="0"/>
            </w:pPr>
            <w:r>
              <w:rPr>
                <w:sz w:val="24"/>
              </w:rPr>
              <w:t xml:space="preserve">7.2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7.3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7.4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763" w:name="P32763"/>
          <w:bookmarkEnd w:id="32763"/>
          <w:p>
            <w:pPr>
              <w:pStyle w:val="0"/>
            </w:pPr>
            <w:r>
              <w:rPr>
                <w:sz w:val="24"/>
              </w:rPr>
              <w:t xml:space="preserve">8</w:t>
            </w:r>
          </w:p>
        </w:tc>
        <w:tc>
          <w:tcPr>
            <w:gridSpan w:val="2"/>
            <w:tcW w:w="2608" w:type="dxa"/>
          </w:tcPr>
          <w:p>
            <w:pPr>
              <w:pStyle w:val="0"/>
            </w:pPr>
            <w:r>
              <w:rPr>
                <w:sz w:val="24"/>
              </w:rPr>
              <w:t xml:space="preserve">Страховые выплаты по договорам входящего перестрахования</w:t>
            </w:r>
          </w:p>
        </w:tc>
        <w:tc>
          <w:tcPr>
            <w:tcW w:w="2608" w:type="dxa"/>
          </w:tcPr>
          <w:p>
            <w:pPr>
              <w:pStyle w:val="0"/>
            </w:pPr>
            <w:r>
              <w:rPr>
                <w:sz w:val="24"/>
              </w:rPr>
            </w:r>
          </w:p>
        </w:tc>
        <w:tc>
          <w:tcPr>
            <w:tcW w:w="2948" w:type="dxa"/>
          </w:tcPr>
          <w:p>
            <w:pPr>
              <w:pStyle w:val="0"/>
            </w:pPr>
            <w:r>
              <w:rPr>
                <w:sz w:val="24"/>
              </w:rPr>
              <w:t xml:space="preserve">ins-dic:StraxVyplatyPoDogVxodPrstr</w:t>
            </w:r>
          </w:p>
        </w:tc>
      </w:tr>
      <w:tr>
        <w:tc>
          <w:tcPr>
            <w:tcW w:w="907" w:type="dxa"/>
          </w:tcPr>
          <w:p>
            <w:pPr>
              <w:pStyle w:val="0"/>
            </w:pPr>
            <w:r>
              <w:rPr>
                <w:sz w:val="24"/>
              </w:rPr>
              <w:t xml:space="preserve">8.1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перестрахователя</w:t>
            </w:r>
          </w:p>
        </w:tc>
        <w:tc>
          <w:tcPr>
            <w:tcW w:w="2948" w:type="dxa"/>
          </w:tcPr>
          <w:p>
            <w:pPr>
              <w:pStyle w:val="0"/>
            </w:pPr>
            <w:r>
              <w:rPr>
                <w:sz w:val="24"/>
              </w:rPr>
              <w:t xml:space="preserve">dim-int:IDPslTaxis</w:t>
            </w:r>
          </w:p>
        </w:tc>
      </w:tr>
      <w:tr>
        <w:tc>
          <w:tcPr>
            <w:tcW w:w="907" w:type="dxa"/>
          </w:tcPr>
          <w:p>
            <w:pPr>
              <w:pStyle w:val="0"/>
            </w:pPr>
            <w:r>
              <w:rPr>
                <w:sz w:val="24"/>
              </w:rPr>
              <w:t xml:space="preserve">8.2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8.3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8.4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8.5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787" w:name="P32787"/>
          <w:bookmarkEnd w:id="32787"/>
          <w:p>
            <w:pPr>
              <w:pStyle w:val="0"/>
            </w:pPr>
            <w:r>
              <w:rPr>
                <w:sz w:val="24"/>
              </w:rPr>
              <w:t xml:space="preserve">9</w:t>
            </w:r>
          </w:p>
        </w:tc>
        <w:tc>
          <w:tcPr>
            <w:gridSpan w:val="2"/>
            <w:tcW w:w="2608" w:type="dxa"/>
          </w:tcPr>
          <w:p>
            <w:pPr>
              <w:pStyle w:val="0"/>
            </w:pPr>
            <w:r>
              <w:rPr>
                <w:sz w:val="24"/>
              </w:rPr>
              <w:t xml:space="preserve">Вспомогательная величина ЗНУ по договорам входящего перестрахования</w:t>
            </w:r>
          </w:p>
        </w:tc>
        <w:tc>
          <w:tcPr>
            <w:tcW w:w="2608" w:type="dxa"/>
          </w:tcPr>
          <w:p>
            <w:pPr>
              <w:pStyle w:val="0"/>
            </w:pPr>
            <w:r>
              <w:rPr>
                <w:sz w:val="24"/>
              </w:rPr>
            </w:r>
          </w:p>
        </w:tc>
        <w:tc>
          <w:tcPr>
            <w:tcW w:w="2948" w:type="dxa"/>
          </w:tcPr>
          <w:p>
            <w:pPr>
              <w:pStyle w:val="0"/>
            </w:pPr>
            <w:r>
              <w:rPr>
                <w:sz w:val="24"/>
              </w:rPr>
              <w:t xml:space="preserve">ins-dic:Vspomog_Vel_ZNU_Po_Dog_Prin_V_Perestr_Vsego</w:t>
            </w:r>
          </w:p>
        </w:tc>
      </w:tr>
      <w:tr>
        <w:tc>
          <w:tcPr>
            <w:tcW w:w="907" w:type="dxa"/>
          </w:tcPr>
          <w:p>
            <w:pPr>
              <w:pStyle w:val="0"/>
            </w:pPr>
            <w:r>
              <w:rPr>
                <w:sz w:val="24"/>
              </w:rPr>
              <w:t xml:space="preserve">9.1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перестрахователя</w:t>
            </w:r>
          </w:p>
        </w:tc>
        <w:tc>
          <w:tcPr>
            <w:tcW w:w="2948" w:type="dxa"/>
          </w:tcPr>
          <w:p>
            <w:pPr>
              <w:pStyle w:val="0"/>
            </w:pPr>
            <w:r>
              <w:rPr>
                <w:sz w:val="24"/>
              </w:rPr>
              <w:t xml:space="preserve">dim-int:IDPslTaxis</w:t>
            </w:r>
          </w:p>
        </w:tc>
      </w:tr>
      <w:tr>
        <w:tc>
          <w:tcPr>
            <w:tcW w:w="907" w:type="dxa"/>
          </w:tcPr>
          <w:p>
            <w:pPr>
              <w:pStyle w:val="0"/>
            </w:pPr>
            <w:r>
              <w:rPr>
                <w:sz w:val="24"/>
              </w:rPr>
              <w:t xml:space="preserve">9.2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9.3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9.4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9.5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811" w:name="P32811"/>
          <w:bookmarkEnd w:id="32811"/>
          <w:p>
            <w:pPr>
              <w:pStyle w:val="0"/>
            </w:pPr>
            <w:r>
              <w:rPr>
                <w:sz w:val="24"/>
              </w:rPr>
              <w:t xml:space="preserve">10</w:t>
            </w:r>
          </w:p>
        </w:tc>
        <w:tc>
          <w:tcPr>
            <w:gridSpan w:val="2"/>
            <w:tcW w:w="2608" w:type="dxa"/>
          </w:tcPr>
          <w:p>
            <w:pPr>
              <w:pStyle w:val="0"/>
            </w:pPr>
            <w:r>
              <w:rPr>
                <w:sz w:val="24"/>
              </w:rPr>
              <w:t xml:space="preserve">Тантьемы, перестраховочные и иные вознаграждения по договорам входящего перестрахования</w:t>
            </w:r>
          </w:p>
        </w:tc>
        <w:tc>
          <w:tcPr>
            <w:tcW w:w="2608" w:type="dxa"/>
          </w:tcPr>
          <w:p>
            <w:pPr>
              <w:pStyle w:val="0"/>
            </w:pPr>
            <w:r>
              <w:rPr>
                <w:sz w:val="24"/>
              </w:rPr>
            </w:r>
          </w:p>
        </w:tc>
        <w:tc>
          <w:tcPr>
            <w:tcW w:w="2948" w:type="dxa"/>
          </w:tcPr>
          <w:p>
            <w:pPr>
              <w:pStyle w:val="0"/>
            </w:pPr>
            <w:r>
              <w:rPr>
                <w:sz w:val="24"/>
              </w:rPr>
              <w:t xml:space="preserve">ins-dic:TantemyPerestrIInyeVoznagrPoDogVxodPerestr</w:t>
            </w:r>
          </w:p>
        </w:tc>
      </w:tr>
      <w:tr>
        <w:tc>
          <w:tcPr>
            <w:tcW w:w="907" w:type="dxa"/>
          </w:tcPr>
          <w:p>
            <w:pPr>
              <w:pStyle w:val="0"/>
            </w:pPr>
            <w:r>
              <w:rPr>
                <w:sz w:val="24"/>
              </w:rPr>
              <w:t xml:space="preserve">10.1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перестрахователя</w:t>
            </w:r>
          </w:p>
        </w:tc>
        <w:tc>
          <w:tcPr>
            <w:tcW w:w="2948" w:type="dxa"/>
          </w:tcPr>
          <w:p>
            <w:pPr>
              <w:pStyle w:val="0"/>
            </w:pPr>
            <w:r>
              <w:rPr>
                <w:sz w:val="24"/>
              </w:rPr>
              <w:t xml:space="preserve">dim-int:IDPslTaxis</w:t>
            </w:r>
          </w:p>
        </w:tc>
      </w:tr>
      <w:tr>
        <w:tc>
          <w:tcPr>
            <w:tcW w:w="907" w:type="dxa"/>
          </w:tcPr>
          <w:p>
            <w:pPr>
              <w:pStyle w:val="0"/>
            </w:pPr>
            <w:r>
              <w:rPr>
                <w:sz w:val="24"/>
              </w:rPr>
              <w:t xml:space="preserve">10.2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10.3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10.4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835" w:name="P32835"/>
          <w:bookmarkEnd w:id="32835"/>
          <w:p>
            <w:pPr>
              <w:pStyle w:val="0"/>
            </w:pPr>
            <w:r>
              <w:rPr>
                <w:sz w:val="24"/>
              </w:rPr>
              <w:t xml:space="preserve">11</w:t>
            </w:r>
          </w:p>
        </w:tc>
        <w:tc>
          <w:tcPr>
            <w:gridSpan w:val="2"/>
            <w:tcW w:w="2608" w:type="dxa"/>
          </w:tcPr>
          <w:p>
            <w:pPr>
              <w:pStyle w:val="0"/>
            </w:pPr>
            <w:r>
              <w:rPr>
                <w:sz w:val="24"/>
              </w:rPr>
              <w:t xml:space="preserve">Задолженность перед перестрахователями по урегулированию убытков</w:t>
            </w:r>
          </w:p>
        </w:tc>
        <w:tc>
          <w:tcPr>
            <w:tcW w:w="2608" w:type="dxa"/>
          </w:tcPr>
          <w:p>
            <w:pPr>
              <w:pStyle w:val="0"/>
            </w:pPr>
            <w:r>
              <w:rPr>
                <w:sz w:val="24"/>
              </w:rPr>
            </w:r>
          </w:p>
        </w:tc>
        <w:tc>
          <w:tcPr>
            <w:tcW w:w="2948" w:type="dxa"/>
          </w:tcPr>
          <w:p>
            <w:pPr>
              <w:pStyle w:val="0"/>
            </w:pPr>
            <w:r>
              <w:rPr>
                <w:sz w:val="24"/>
              </w:rPr>
              <w:t xml:space="preserve">ins-dic:ZadolzhennostPeredPerestraxovatelyamiPoUregUbytkov</w:t>
            </w:r>
          </w:p>
        </w:tc>
      </w:tr>
      <w:tr>
        <w:tc>
          <w:tcPr>
            <w:tcW w:w="907" w:type="dxa"/>
          </w:tcPr>
          <w:p>
            <w:pPr>
              <w:pStyle w:val="0"/>
            </w:pPr>
            <w:r>
              <w:rPr>
                <w:sz w:val="24"/>
              </w:rPr>
              <w:t xml:space="preserve">11.1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перестрахователя</w:t>
            </w:r>
          </w:p>
        </w:tc>
        <w:tc>
          <w:tcPr>
            <w:tcW w:w="2948" w:type="dxa"/>
          </w:tcPr>
          <w:p>
            <w:pPr>
              <w:pStyle w:val="0"/>
            </w:pPr>
            <w:r>
              <w:rPr>
                <w:sz w:val="24"/>
              </w:rPr>
              <w:t xml:space="preserve">dim-int:IDPslTaxis</w:t>
            </w:r>
          </w:p>
        </w:tc>
      </w:tr>
      <w:tr>
        <w:tc>
          <w:tcPr>
            <w:tcW w:w="907" w:type="dxa"/>
          </w:tcPr>
          <w:p>
            <w:pPr>
              <w:pStyle w:val="0"/>
            </w:pPr>
            <w:r>
              <w:rPr>
                <w:sz w:val="24"/>
              </w:rPr>
              <w:t xml:space="preserve">11.2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11.3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11.4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r>
        <w:tc>
          <w:tcPr>
            <w:tcW w:w="907" w:type="dxa"/>
          </w:tcPr>
          <w:bookmarkStart w:id="32859" w:name="P32859"/>
          <w:bookmarkEnd w:id="32859"/>
          <w:p>
            <w:pPr>
              <w:pStyle w:val="0"/>
            </w:pPr>
            <w:r>
              <w:rPr>
                <w:sz w:val="24"/>
              </w:rPr>
              <w:t xml:space="preserve">12</w:t>
            </w:r>
          </w:p>
        </w:tc>
        <w:tc>
          <w:tcPr>
            <w:gridSpan w:val="2"/>
            <w:tcW w:w="2608" w:type="dxa"/>
          </w:tcPr>
          <w:p>
            <w:pPr>
              <w:pStyle w:val="0"/>
            </w:pPr>
            <w:r>
              <w:rPr>
                <w:sz w:val="24"/>
              </w:rPr>
              <w:t xml:space="preserve">Права требования по обязательствам перестрахователей по уплате страховых премий (взносов)</w:t>
            </w:r>
          </w:p>
        </w:tc>
        <w:tc>
          <w:tcPr>
            <w:tcW w:w="2608" w:type="dxa"/>
          </w:tcPr>
          <w:p>
            <w:pPr>
              <w:pStyle w:val="0"/>
            </w:pPr>
            <w:r>
              <w:rPr>
                <w:sz w:val="24"/>
              </w:rPr>
            </w:r>
          </w:p>
        </w:tc>
        <w:tc>
          <w:tcPr>
            <w:tcW w:w="2948" w:type="dxa"/>
          </w:tcPr>
          <w:p>
            <w:pPr>
              <w:pStyle w:val="0"/>
            </w:pPr>
            <w:r>
              <w:rPr>
                <w:sz w:val="24"/>
              </w:rPr>
              <w:t xml:space="preserve">ins-dic:PravaTrebPoObyazPerestraxovatPoUplateStraxPremVznosov</w:t>
            </w:r>
          </w:p>
        </w:tc>
      </w:tr>
      <w:tr>
        <w:tc>
          <w:tcPr>
            <w:tcW w:w="907" w:type="dxa"/>
          </w:tcPr>
          <w:p>
            <w:pPr>
              <w:pStyle w:val="0"/>
            </w:pPr>
            <w:r>
              <w:rPr>
                <w:sz w:val="24"/>
              </w:rPr>
              <w:t xml:space="preserve">12.1</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перестрахователя</w:t>
            </w:r>
          </w:p>
        </w:tc>
        <w:tc>
          <w:tcPr>
            <w:tcW w:w="2948" w:type="dxa"/>
          </w:tcPr>
          <w:p>
            <w:pPr>
              <w:pStyle w:val="0"/>
            </w:pPr>
            <w:r>
              <w:rPr>
                <w:sz w:val="24"/>
              </w:rPr>
              <w:t xml:space="preserve">dim-int:IDPslTaxis</w:t>
            </w:r>
          </w:p>
        </w:tc>
      </w:tr>
      <w:tr>
        <w:tc>
          <w:tcPr>
            <w:tcW w:w="907" w:type="dxa"/>
          </w:tcPr>
          <w:p>
            <w:pPr>
              <w:pStyle w:val="0"/>
            </w:pPr>
            <w:r>
              <w:rPr>
                <w:sz w:val="24"/>
              </w:rPr>
              <w:t xml:space="preserve">12.2</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брокера</w:t>
            </w:r>
          </w:p>
        </w:tc>
        <w:tc>
          <w:tcPr>
            <w:tcW w:w="2948" w:type="dxa"/>
          </w:tcPr>
          <w:p>
            <w:pPr>
              <w:pStyle w:val="0"/>
            </w:pPr>
            <w:r>
              <w:rPr>
                <w:sz w:val="24"/>
              </w:rPr>
              <w:t xml:space="preserve">dim-int:IDStraxBrokeraTaxis</w:t>
            </w:r>
          </w:p>
        </w:tc>
      </w:tr>
      <w:tr>
        <w:tc>
          <w:tcPr>
            <w:tcW w:w="907" w:type="dxa"/>
          </w:tcPr>
          <w:p>
            <w:pPr>
              <w:pStyle w:val="0"/>
            </w:pPr>
            <w:r>
              <w:rPr>
                <w:sz w:val="24"/>
              </w:rPr>
              <w:t xml:space="preserve">12.3</w:t>
            </w:r>
          </w:p>
        </w:tc>
        <w:tc>
          <w:tcPr>
            <w:gridSpan w:val="2"/>
            <w:tcW w:w="2608" w:type="dxa"/>
          </w:tcPr>
          <w:p>
            <w:pPr>
              <w:pStyle w:val="0"/>
            </w:pPr>
            <w:r>
              <w:rPr>
                <w:sz w:val="24"/>
              </w:rPr>
            </w:r>
          </w:p>
        </w:tc>
        <w:tc>
          <w:tcPr>
            <w:tcW w:w="2608" w:type="dxa"/>
          </w:tcPr>
          <w:p>
            <w:pPr>
              <w:pStyle w:val="0"/>
            </w:pPr>
            <w:r>
              <w:rPr>
                <w:sz w:val="24"/>
              </w:rPr>
              <w:t xml:space="preserve">Территориальный признак</w:t>
            </w:r>
          </w:p>
        </w:tc>
        <w:tc>
          <w:tcPr>
            <w:tcW w:w="2948" w:type="dxa"/>
          </w:tcPr>
          <w:p>
            <w:pPr>
              <w:pStyle w:val="0"/>
            </w:pPr>
            <w:r>
              <w:rPr>
                <w:sz w:val="24"/>
              </w:rPr>
              <w:t xml:space="preserve">dim-int:Terr_Priznak_Axis</w:t>
            </w:r>
          </w:p>
        </w:tc>
      </w:tr>
      <w:tr>
        <w:tc>
          <w:tcPr>
            <w:tcW w:w="907" w:type="dxa"/>
          </w:tcPr>
          <w:p>
            <w:pPr>
              <w:pStyle w:val="0"/>
            </w:pPr>
            <w:r>
              <w:rPr>
                <w:sz w:val="24"/>
              </w:rPr>
              <w:t xml:space="preserve">12.4</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12.5</w:t>
            </w:r>
          </w:p>
        </w:tc>
        <w:tc>
          <w:tcPr>
            <w:gridSpan w:val="2"/>
            <w:tcW w:w="2608" w:type="dxa"/>
          </w:tcPr>
          <w:p>
            <w:pPr>
              <w:pStyle w:val="0"/>
            </w:pPr>
            <w:r>
              <w:rPr>
                <w:sz w:val="24"/>
              </w:rPr>
            </w:r>
          </w:p>
        </w:tc>
        <w:tc>
          <w:tcPr>
            <w:tcW w:w="2608" w:type="dxa"/>
          </w:tcPr>
          <w:p>
            <w:pPr>
              <w:pStyle w:val="0"/>
            </w:pPr>
            <w:r>
              <w:rPr>
                <w:sz w:val="24"/>
              </w:rPr>
              <w:t xml:space="preserve">Формы перестрахования</w:t>
            </w:r>
          </w:p>
        </w:tc>
        <w:tc>
          <w:tcPr>
            <w:tcW w:w="2948" w:type="dxa"/>
          </w:tcPr>
          <w:p>
            <w:pPr>
              <w:pStyle w:val="0"/>
            </w:pPr>
            <w:r>
              <w:rPr>
                <w:sz w:val="24"/>
              </w:rPr>
              <w:t xml:space="preserve">dim-int:Formy_Perestrax_Axis</w:t>
            </w:r>
          </w:p>
        </w:tc>
      </w:tr>
    </w:tbl>
    <w:p>
      <w:pPr>
        <w:pStyle w:val="0"/>
        <w:ind w:firstLine="540"/>
        <w:jc w:val="both"/>
      </w:pPr>
      <w:r>
        <w:rPr>
          <w:sz w:val="24"/>
        </w:rPr>
      </w:r>
    </w:p>
    <w:p>
      <w:pPr>
        <w:pStyle w:val="0"/>
        <w:ind w:firstLine="540"/>
        <w:jc w:val="both"/>
      </w:pPr>
      <w:r>
        <w:rPr>
          <w:sz w:val="24"/>
        </w:rPr>
        <w:t xml:space="preserve">--------------------------------</w:t>
      </w:r>
    </w:p>
    <w:bookmarkStart w:id="32885" w:name="P32885"/>
    <w:bookmarkEnd w:id="32885"/>
    <w:p>
      <w:pPr>
        <w:pStyle w:val="0"/>
        <w:spacing w:before="240" w:lineRule="auto"/>
        <w:ind w:firstLine="540"/>
        <w:jc w:val="both"/>
      </w:pPr>
      <w:r>
        <w:rPr>
          <w:sz w:val="24"/>
        </w:rPr>
        <w:t xml:space="preserve">&lt;1&gt; Общероссийский </w:t>
      </w:r>
      <w:hyperlink w:history="0" r:id="rId54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0420157 "Отчет об операциях</w:t>
      </w:r>
    </w:p>
    <w:p>
      <w:pPr>
        <w:pStyle w:val="0"/>
        <w:jc w:val="center"/>
      </w:pPr>
      <w:r>
        <w:rPr>
          <w:sz w:val="24"/>
        </w:rPr>
        <w:t xml:space="preserve">перестрахования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2577" w:tooltip="Отчетность по форме 0420157">
        <w:r>
          <w:rPr>
            <w:sz w:val="24"/>
            <w:color w:val="0000ff"/>
          </w:rPr>
          <w:t xml:space="preserve">форме 0420157</w:t>
        </w:r>
      </w:hyperlink>
      <w:r>
        <w:rPr>
          <w:sz w:val="24"/>
        </w:rPr>
        <w:t xml:space="preserve"> "Отчет об операциях перестрахования страховщика" (далее - отчетность по форме 0420157) составляется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посредством формирования предусмотренных в ней показателей за I квартал, первое полугодие, 9 месяцев, год (далее - отчетный период) по состоянию на последний календарный день отчетного периода включительно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Отчетность по </w:t>
      </w:r>
      <w:hyperlink w:history="0" w:anchor="P32577" w:tooltip="Отчетность по форме 0420157">
        <w:r>
          <w:rPr>
            <w:sz w:val="24"/>
            <w:color w:val="0000ff"/>
          </w:rPr>
          <w:t xml:space="preserve">форме 0420157</w:t>
        </w:r>
      </w:hyperlink>
      <w:r>
        <w:rPr>
          <w:sz w:val="24"/>
        </w:rPr>
        <w:t xml:space="preserve"> не составляется, если страховщик не имел в отчетном периоде и предыдущем году действующих договоров перестрахования.</w:t>
      </w:r>
    </w:p>
    <w:p>
      <w:pPr>
        <w:pStyle w:val="0"/>
        <w:spacing w:before="240" w:lineRule="auto"/>
        <w:ind w:firstLine="540"/>
        <w:jc w:val="both"/>
      </w:pPr>
      <w:r>
        <w:rPr>
          <w:sz w:val="24"/>
        </w:rPr>
        <w:t xml:space="preserve">Отчетность по </w:t>
      </w:r>
      <w:hyperlink w:history="0" w:anchor="P32577" w:tooltip="Отчетность по форме 0420157">
        <w:r>
          <w:rPr>
            <w:sz w:val="24"/>
            <w:color w:val="0000ff"/>
          </w:rPr>
          <w:t xml:space="preserve">форме 0420157</w:t>
        </w:r>
      </w:hyperlink>
      <w:r>
        <w:rPr>
          <w:sz w:val="24"/>
        </w:rPr>
        <w:t xml:space="preserve"> составляется на основании сведений, содержащихся в журналах, указанных в </w:t>
      </w:r>
      <w:hyperlink w:history="0" r:id="rId55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5.9.1 пункта 5.9</w:t>
        </w:r>
      </w:hyperlink>
      <w:r>
        <w:rPr>
          <w:sz w:val="24"/>
        </w:rPr>
        <w:t xml:space="preserve"> Положения Банка России от 17 июня 2025 года N 858-П "О требованиях к финансовой устойчивости и платежеспособности страховщиков" &lt;1&gt; (далее - Положение Банка России N 858-П).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27 августа 2025 года, регистрационный N 83340.</w:t>
      </w:r>
    </w:p>
    <w:p>
      <w:pPr>
        <w:pStyle w:val="0"/>
        <w:ind w:firstLine="540"/>
        <w:jc w:val="both"/>
      </w:pPr>
      <w:r>
        <w:rPr>
          <w:sz w:val="24"/>
        </w:rPr>
      </w:r>
    </w:p>
    <w:p>
      <w:pPr>
        <w:pStyle w:val="0"/>
        <w:ind w:firstLine="540"/>
        <w:jc w:val="both"/>
      </w:pPr>
      <w:r>
        <w:rPr>
          <w:sz w:val="24"/>
        </w:rPr>
        <w:t xml:space="preserve">По показателям отчетности по </w:t>
      </w:r>
      <w:hyperlink w:history="0" w:anchor="P32577" w:tooltip="Отчетность по форме 0420157">
        <w:r>
          <w:rPr>
            <w:sz w:val="24"/>
            <w:color w:val="0000ff"/>
          </w:rPr>
          <w:t xml:space="preserve">форме 0420157</w:t>
        </w:r>
      </w:hyperlink>
      <w:r>
        <w:rPr>
          <w:sz w:val="24"/>
        </w:rPr>
        <w:t xml:space="preserve"> выплаты или поступления, осуществленные в результате зачета страховщиком встречных требований, отражаются так, как если бы они не были зачтены страховщиком в результате встречных требований.</w:t>
      </w:r>
    </w:p>
    <w:p>
      <w:pPr>
        <w:pStyle w:val="0"/>
        <w:spacing w:before="240" w:lineRule="auto"/>
        <w:ind w:firstLine="540"/>
        <w:jc w:val="both"/>
      </w:pPr>
      <w:r>
        <w:rPr>
          <w:sz w:val="24"/>
        </w:rPr>
        <w:t xml:space="preserve">Требования настоящих Порядка и сроков в отношении отражения в отчетности по </w:t>
      </w:r>
      <w:hyperlink w:history="0" w:anchor="P32577" w:tooltip="Отчетность по форме 0420157">
        <w:r>
          <w:rPr>
            <w:sz w:val="24"/>
            <w:color w:val="0000ff"/>
          </w:rPr>
          <w:t xml:space="preserve">форме 0420157</w:t>
        </w:r>
      </w:hyperlink>
      <w:r>
        <w:rPr>
          <w:sz w:val="24"/>
        </w:rPr>
        <w:t xml:space="preserve"> сведений о перестраховщиках и операциях с ними распространяются также на акционерное общество "Российское агентство по страхованию экспортных кредитов и инвестиций" в случае, если страховщик заключал с указанным акционерным обществом в соответствии с </w:t>
      </w:r>
      <w:hyperlink w:history="0" r:id="rId551"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договоры перестрахования, в которых страховщик выступает перестрахователем (далее - договоры исходящего перестрахования).</w:t>
      </w:r>
    </w:p>
    <w:bookmarkStart w:id="32899" w:name="P32899"/>
    <w:bookmarkEnd w:id="32899"/>
    <w:p>
      <w:pPr>
        <w:pStyle w:val="0"/>
        <w:spacing w:before="240" w:lineRule="auto"/>
        <w:ind w:firstLine="540"/>
        <w:jc w:val="both"/>
      </w:pPr>
      <w:r>
        <w:rPr>
          <w:sz w:val="24"/>
        </w:rPr>
        <w:t xml:space="preserve">2. По показателям </w:t>
      </w:r>
      <w:hyperlink w:history="0" w:anchor="P32592" w:tooltip="Раздел 1.">
        <w:r>
          <w:rPr>
            <w:sz w:val="24"/>
            <w:color w:val="0000ff"/>
          </w:rPr>
          <w:t xml:space="preserve">раздела 1</w:t>
        </w:r>
      </w:hyperlink>
      <w:r>
        <w:rPr>
          <w:sz w:val="24"/>
        </w:rPr>
        <w:t xml:space="preserve"> отчетности по форме 0420157 указываются сведения о договорах страхования, сострахования, перестрахования, переданных в перестрахование (ретроцессию) на территории Российской Федерации и за пределы территории Российской Федерации.</w:t>
      </w:r>
    </w:p>
    <w:p>
      <w:pPr>
        <w:pStyle w:val="0"/>
        <w:spacing w:before="240" w:lineRule="auto"/>
        <w:ind w:firstLine="540"/>
        <w:jc w:val="both"/>
      </w:pPr>
      <w:r>
        <w:rPr>
          <w:sz w:val="24"/>
        </w:rPr>
        <w:t xml:space="preserve">Показатели </w:t>
      </w:r>
      <w:hyperlink w:history="0" w:anchor="P32592" w:tooltip="Раздел 1.">
        <w:r>
          <w:rPr>
            <w:sz w:val="24"/>
            <w:color w:val="0000ff"/>
          </w:rPr>
          <w:t xml:space="preserve">раздела 1</w:t>
        </w:r>
      </w:hyperlink>
      <w:r>
        <w:rPr>
          <w:sz w:val="24"/>
        </w:rPr>
        <w:t xml:space="preserve"> отчетности по форме 0420157 формируются в разрезе форм перестрахования (по аналитическим признакам группы аналитических признаков "Формы перестрахования"), перестраховщиков (по группе аналитических признаков "Идентификатор перестраховщика") с указанием учетных групп, предусмотренных </w:t>
      </w:r>
      <w:hyperlink w:history="0" r:id="rId55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подпунктами 5.1.3</w:t>
        </w:r>
      </w:hyperlink>
      <w:r>
        <w:rPr>
          <w:sz w:val="24"/>
        </w:rPr>
        <w:t xml:space="preserve"> и </w:t>
      </w:r>
      <w:hyperlink w:history="0" r:id="rId55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5.1.4 пункта 5.1</w:t>
        </w:r>
      </w:hyperlink>
      <w:r>
        <w:rPr>
          <w:sz w:val="24"/>
        </w:rPr>
        <w:t xml:space="preserve"> Положения Банка России N 858-П (далее - учетные группы) (по аналитическим признакам группы аналитических признаков "Перечень учетных групп"), а также страхового брокера, с которым отчитывающимся страховщиком заключен договор об оказании услуг страхового брокера, если указанный страховой брокер оказывал услуги по передаче рисков в перестрахование перестраховщику, указанному по группе аналитических признаков "Идентификатор перестраховщика", по учетной группе, указанной по аналитическому признаку группы аналитических признаков "Перечень учетных групп" (по группе аналитических признаков "Идентификатор страхового брокера").</w:t>
      </w:r>
    </w:p>
    <w:p>
      <w:pPr>
        <w:pStyle w:val="0"/>
        <w:spacing w:before="240" w:lineRule="auto"/>
        <w:ind w:firstLine="540"/>
        <w:jc w:val="both"/>
      </w:pPr>
      <w:r>
        <w:rPr>
          <w:sz w:val="24"/>
        </w:rPr>
        <w:t xml:space="preserve">В случае отсутствия страхового брокера, указанного в </w:t>
      </w:r>
      <w:hyperlink w:history="0" w:anchor="P32899" w:tooltip="2. По показателям раздела 1 отчетности по форме 0420157 указываются сведения о договорах страхования, сострахования, перестрахования, переданных в перестрахование (ретроцессию) на территории Российской Федерации и за пределы территории Российской Федерации.">
        <w:r>
          <w:rPr>
            <w:sz w:val="24"/>
            <w:color w:val="0000ff"/>
          </w:rPr>
          <w:t xml:space="preserve">абзаце втором</w:t>
        </w:r>
      </w:hyperlink>
      <w:r>
        <w:rPr>
          <w:sz w:val="24"/>
        </w:rPr>
        <w:t xml:space="preserve"> настоящего пункта, по группе аналитических признаков "Идентификатор страхового брокера" указывается значение "НП".</w:t>
      </w:r>
    </w:p>
    <w:p>
      <w:pPr>
        <w:pStyle w:val="0"/>
        <w:spacing w:before="240" w:lineRule="auto"/>
        <w:ind w:firstLine="540"/>
        <w:jc w:val="both"/>
      </w:pPr>
      <w:r>
        <w:rPr>
          <w:sz w:val="24"/>
        </w:rPr>
        <w:t xml:space="preserve">По каждому показателю </w:t>
      </w:r>
      <w:hyperlink w:history="0" w:anchor="P32592" w:tooltip="Раздел 1.">
        <w:r>
          <w:rPr>
            <w:sz w:val="24"/>
            <w:color w:val="0000ff"/>
          </w:rPr>
          <w:t xml:space="preserve">раздела 1</w:t>
        </w:r>
      </w:hyperlink>
      <w:r>
        <w:rPr>
          <w:sz w:val="24"/>
        </w:rPr>
        <w:t xml:space="preserve"> отчетности по форме 0420157 его итоговое значение определяется страховщиком путем суммирования отраженных по указанному показателю данных по всем перестраховщикам с разбивкой по перестраховщикам, созданным в соответствии с законодательством Российской Федерации (по аналитическому признаку "На территории Российской Федерации" группы аналитических признаков "Территориальный признак"), и перестраховщикам, созданным в соответствии с законодательством иностранного государства, и перестраховщикам, являющимся международными финансовыми организациями, осуществляющими деятельность в сфере перестрахования (по аналитическому признаку "За пределами территории Российской Федерации" группы аналитических признаков "Территориальный признак").</w:t>
      </w:r>
    </w:p>
    <w:p>
      <w:pPr>
        <w:pStyle w:val="0"/>
        <w:spacing w:before="240" w:lineRule="auto"/>
        <w:ind w:firstLine="540"/>
        <w:jc w:val="both"/>
      </w:pPr>
      <w:r>
        <w:rPr>
          <w:sz w:val="24"/>
        </w:rPr>
        <w:t xml:space="preserve">Значение идентификатора перестраховщика, указанное по группе аналитических признаков "Идентификатор перестраховщика",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(далее - отчетность по форме 0420150) по этому перестраховщику.</w:t>
      </w:r>
    </w:p>
    <w:p>
      <w:pPr>
        <w:pStyle w:val="0"/>
        <w:spacing w:before="240" w:lineRule="auto"/>
        <w:ind w:firstLine="540"/>
        <w:jc w:val="both"/>
      </w:pPr>
      <w:r>
        <w:rPr>
          <w:sz w:val="24"/>
        </w:rPr>
        <w:t xml:space="preserve">Значение идентификатора страхового брокера, указанное по группе аналитических признаков "Идентификатор страхового брокера" (за исключением случаев указания значения "НП"),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страховому брокеру.</w:t>
      </w:r>
    </w:p>
    <w:p>
      <w:pPr>
        <w:pStyle w:val="0"/>
        <w:spacing w:before="240" w:lineRule="auto"/>
        <w:ind w:firstLine="540"/>
        <w:jc w:val="both"/>
      </w:pPr>
      <w:r>
        <w:rPr>
          <w:sz w:val="24"/>
        </w:rPr>
        <w:t xml:space="preserve">2.1. По показателю "Страховые премии за перестрахование договоров страхования, сострахования и входящего перестрахования" </w:t>
      </w:r>
      <w:hyperlink w:history="0" w:anchor="P32594" w:tooltip="1">
        <w:r>
          <w:rPr>
            <w:sz w:val="24"/>
            <w:color w:val="0000ff"/>
          </w:rPr>
          <w:t xml:space="preserve">(строка 1)</w:t>
        </w:r>
      </w:hyperlink>
      <w:r>
        <w:rPr>
          <w:sz w:val="24"/>
        </w:rPr>
        <w:t xml:space="preserve"> для каждой учетной группы указывается сумма страховых премий, которые будут перечислены перестраховщику по всем основным договорам, подпадающим под действие договоров исходящего перестрахования, с начала отчетного периода и до верхней по времени границы (даты окончания) максимально длинного непрерывного периода действия страхового покрытия, в течение которого условия договора, влияющие на величину страховых резервов, однозначно определены и не подлежат изменению страховщиком в одностороннем порядке (далее - верхняя граница).</w:t>
      </w:r>
    </w:p>
    <w:p>
      <w:pPr>
        <w:pStyle w:val="0"/>
        <w:spacing w:before="240" w:lineRule="auto"/>
        <w:ind w:firstLine="540"/>
        <w:jc w:val="both"/>
      </w:pPr>
      <w:r>
        <w:rPr>
          <w:sz w:val="24"/>
        </w:rPr>
        <w:t xml:space="preserve">Данные указываются по признанным в отчетном периоде договорам исходящего перестрахования, а также по признанным до отчетного периода договорам исходящего перестрахования в случае изменения размера страховых премий в течение отчетного периода в связи с изменением условий договоров исходящего перестрахования, их досрочным расторжением.</w:t>
      </w:r>
    </w:p>
    <w:p>
      <w:pPr>
        <w:pStyle w:val="0"/>
        <w:spacing w:before="240" w:lineRule="auto"/>
        <w:ind w:firstLine="540"/>
        <w:jc w:val="both"/>
      </w:pPr>
      <w:r>
        <w:rPr>
          <w:sz w:val="24"/>
        </w:rPr>
        <w:t xml:space="preserve">2.2. По показателю "Страховые выплаты по договорам исходящего перестрахования" </w:t>
      </w:r>
      <w:hyperlink w:history="0" w:anchor="P32618" w:tooltip="2">
        <w:r>
          <w:rPr>
            <w:sz w:val="24"/>
            <w:color w:val="0000ff"/>
          </w:rPr>
          <w:t xml:space="preserve">(строка 2)</w:t>
        </w:r>
      </w:hyperlink>
      <w:r>
        <w:rPr>
          <w:sz w:val="24"/>
        </w:rPr>
        <w:t xml:space="preserve"> для каждой учетной группы указывается сумма фактически полученных или причитающихся к получению от перестраховщика в отчетном периоде страховых выплат по договорам исходящего перестрахования, заключенным в отношении обязательств по фактически произведенным в отчетном периоде страховым выплатам по всем основным договорам.</w:t>
      </w:r>
    </w:p>
    <w:p>
      <w:pPr>
        <w:pStyle w:val="0"/>
        <w:spacing w:before="240" w:lineRule="auto"/>
        <w:ind w:firstLine="540"/>
        <w:jc w:val="both"/>
      </w:pPr>
      <w:r>
        <w:rPr>
          <w:sz w:val="24"/>
        </w:rPr>
        <w:t xml:space="preserve">По показателю "Страховые выплаты по договорам исходящего перестрахования" </w:t>
      </w:r>
      <w:hyperlink w:history="0" w:anchor="P32618" w:tooltip="2">
        <w:r>
          <w:rPr>
            <w:sz w:val="24"/>
            <w:color w:val="0000ff"/>
          </w:rPr>
          <w:t xml:space="preserve">(строка 2)</w:t>
        </w:r>
      </w:hyperlink>
      <w:r>
        <w:rPr>
          <w:sz w:val="24"/>
        </w:rPr>
        <w:t xml:space="preserve"> не отражается сумма фактически полученных от перестраховщика в отчетном периоде страховых выплат по договорам исходящего перестрахования, которые отражены страховщиком в предыдущем отчетном периоде как причитающиеся к получению от перестраховщика страховые выплаты по договорам исходящего перестрахования.</w:t>
      </w:r>
    </w:p>
    <w:p>
      <w:pPr>
        <w:pStyle w:val="0"/>
        <w:spacing w:before="240" w:lineRule="auto"/>
        <w:ind w:firstLine="540"/>
        <w:jc w:val="both"/>
      </w:pPr>
      <w:r>
        <w:rPr>
          <w:sz w:val="24"/>
        </w:rPr>
        <w:t xml:space="preserve">2.3. По показателю "Доля перестраховщиков во вспомогательной величине ЗНУ" </w:t>
      </w:r>
      <w:hyperlink w:history="0" w:anchor="P32642" w:tooltip="3">
        <w:r>
          <w:rPr>
            <w:sz w:val="24"/>
            <w:color w:val="0000ff"/>
          </w:rPr>
          <w:t xml:space="preserve">(строка 3)</w:t>
        </w:r>
      </w:hyperlink>
      <w:r>
        <w:rPr>
          <w:sz w:val="24"/>
        </w:rPr>
        <w:t xml:space="preserve"> для каждой учетной группы указывается сумма доли перестраховщика во вспомогательной величине ЗНУ, рассчитанной в соответствии с </w:t>
      </w:r>
      <w:hyperlink w:history="0" r:id="rId55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3 к Положению Банка России N 858-П (далее - вспомогательная величина ЗНУ), без учета дисконтирования.</w:t>
      </w:r>
    </w:p>
    <w:p>
      <w:pPr>
        <w:pStyle w:val="0"/>
        <w:spacing w:before="240" w:lineRule="auto"/>
        <w:ind w:firstLine="540"/>
        <w:jc w:val="both"/>
      </w:pPr>
      <w:r>
        <w:rPr>
          <w:sz w:val="24"/>
        </w:rPr>
        <w:t xml:space="preserve">Данные указываются на конец отчетного периода.</w:t>
      </w:r>
    </w:p>
    <w:p>
      <w:pPr>
        <w:pStyle w:val="0"/>
        <w:spacing w:before="240" w:lineRule="auto"/>
        <w:ind w:firstLine="540"/>
        <w:jc w:val="both"/>
      </w:pPr>
      <w:r>
        <w:rPr>
          <w:sz w:val="24"/>
        </w:rPr>
        <w:t xml:space="preserve">2.4. По показателю "Тантьемы, перестраховочные и иные вознаграждения по договорам исходящего перестрахования" </w:t>
      </w:r>
      <w:hyperlink w:history="0" w:anchor="P32666" w:tooltip="4">
        <w:r>
          <w:rPr>
            <w:sz w:val="24"/>
            <w:color w:val="0000ff"/>
          </w:rPr>
          <w:t xml:space="preserve">(строка 4)</w:t>
        </w:r>
      </w:hyperlink>
      <w:r>
        <w:rPr>
          <w:sz w:val="24"/>
        </w:rPr>
        <w:t xml:space="preserve"> для каждой учетной группы указывается сумма фактически полученных или причитающихся к получению от перестраховщика в отчетном периоде тантьем, перестраховочных и иных вознаграждений по договорам исходящего перестрахования.</w:t>
      </w:r>
    </w:p>
    <w:p>
      <w:pPr>
        <w:pStyle w:val="0"/>
        <w:spacing w:before="240" w:lineRule="auto"/>
        <w:ind w:firstLine="540"/>
        <w:jc w:val="both"/>
      </w:pPr>
      <w:r>
        <w:rPr>
          <w:sz w:val="24"/>
        </w:rPr>
        <w:t xml:space="preserve">По показателю "Тантьемы, перестраховочные и иные вознаграждения по договорам исходящего перестрахования" </w:t>
      </w:r>
      <w:hyperlink w:history="0" w:anchor="P32666" w:tooltip="4">
        <w:r>
          <w:rPr>
            <w:sz w:val="24"/>
            <w:color w:val="0000ff"/>
          </w:rPr>
          <w:t xml:space="preserve">(строка 4)</w:t>
        </w:r>
      </w:hyperlink>
      <w:r>
        <w:rPr>
          <w:sz w:val="24"/>
        </w:rPr>
        <w:t xml:space="preserve"> не отражается сумма фактически полученных от перестраховщика в отчетном периоде тантьем, перестраховочных и иных вознаграждений по договорам исходящего перестрахования, которые отражены страховщиком в предыдущем отчетном периоде как причитающиеся к получению от перестраховщика тантьемы, перестраховочные и иные вознаграждения по договорам исходящего перестрахования.</w:t>
      </w:r>
    </w:p>
    <w:p>
      <w:pPr>
        <w:pStyle w:val="0"/>
        <w:spacing w:before="240" w:lineRule="auto"/>
        <w:ind w:firstLine="540"/>
        <w:jc w:val="both"/>
      </w:pPr>
      <w:r>
        <w:rPr>
          <w:sz w:val="24"/>
        </w:rPr>
        <w:t xml:space="preserve">2.5. По показателю "Задолженность перед перестраховщиками по расчетам по страховым премиям" </w:t>
      </w:r>
      <w:hyperlink w:history="0" w:anchor="P32690" w:tooltip="5">
        <w:r>
          <w:rPr>
            <w:sz w:val="24"/>
            <w:color w:val="0000ff"/>
          </w:rPr>
          <w:t xml:space="preserve">(строка 5)</w:t>
        </w:r>
      </w:hyperlink>
      <w:r>
        <w:rPr>
          <w:sz w:val="24"/>
        </w:rPr>
        <w:t xml:space="preserve"> для каждой учетной группы указывается сумма задолженности перед перестраховщиком по оплате страховых премий по договорам исходящего перестрахования на конец отчетного периода.</w:t>
      </w:r>
    </w:p>
    <w:p>
      <w:pPr>
        <w:pStyle w:val="0"/>
        <w:spacing w:before="240" w:lineRule="auto"/>
        <w:ind w:firstLine="540"/>
        <w:jc w:val="both"/>
      </w:pPr>
      <w:r>
        <w:rPr>
          <w:sz w:val="24"/>
        </w:rPr>
        <w:t xml:space="preserve">2.6. По показателю "Права требования к перестраховщикам по урегулированию убытков" </w:t>
      </w:r>
      <w:hyperlink w:history="0" w:anchor="P32714" w:tooltip="6">
        <w:r>
          <w:rPr>
            <w:sz w:val="24"/>
            <w:color w:val="0000ff"/>
          </w:rPr>
          <w:t xml:space="preserve">(строка 6)</w:t>
        </w:r>
      </w:hyperlink>
      <w:r>
        <w:rPr>
          <w:sz w:val="24"/>
        </w:rPr>
        <w:t xml:space="preserve"> для каждой учетной группы указывается размер прав требования к перестраховщику по урегулированию убытков на конец отчетного периода.</w:t>
      </w:r>
    </w:p>
    <w:p>
      <w:pPr>
        <w:pStyle w:val="0"/>
        <w:spacing w:before="240" w:lineRule="auto"/>
        <w:ind w:firstLine="540"/>
        <w:jc w:val="both"/>
      </w:pPr>
      <w:r>
        <w:rPr>
          <w:sz w:val="24"/>
        </w:rPr>
        <w:t xml:space="preserve">3. По показателям </w:t>
      </w:r>
      <w:hyperlink w:history="0" w:anchor="P32738" w:tooltip="Раздел 2. Операции перестрахования в разрезе перестрахователей">
        <w:r>
          <w:rPr>
            <w:sz w:val="24"/>
            <w:color w:val="0000ff"/>
          </w:rPr>
          <w:t xml:space="preserve">раздела 2</w:t>
        </w:r>
      </w:hyperlink>
      <w:r>
        <w:rPr>
          <w:sz w:val="24"/>
        </w:rPr>
        <w:t xml:space="preserve"> отчетности по форме 0420157 указываются сведения о договорах страхования, сострахования, перестрахования, принятых в перестрахование (ретроцессию) на территории Российской Федерации и из-за пределов территории Российской Федерации.</w:t>
      </w:r>
    </w:p>
    <w:bookmarkStart w:id="32916" w:name="P32916"/>
    <w:bookmarkEnd w:id="32916"/>
    <w:p>
      <w:pPr>
        <w:pStyle w:val="0"/>
        <w:spacing w:before="240" w:lineRule="auto"/>
        <w:ind w:firstLine="540"/>
        <w:jc w:val="both"/>
      </w:pPr>
      <w:r>
        <w:rPr>
          <w:sz w:val="24"/>
        </w:rPr>
        <w:t xml:space="preserve">Показатели </w:t>
      </w:r>
      <w:hyperlink w:history="0" w:anchor="P32738" w:tooltip="Раздел 2. Операции перестрахования в разрезе перестрахователей">
        <w:r>
          <w:rPr>
            <w:sz w:val="24"/>
            <w:color w:val="0000ff"/>
          </w:rPr>
          <w:t xml:space="preserve">раздела 2</w:t>
        </w:r>
      </w:hyperlink>
      <w:r>
        <w:rPr>
          <w:sz w:val="24"/>
        </w:rPr>
        <w:t xml:space="preserve"> отчетности по форме 0420157 формируются в разрезе форм перестрахования (по аналитическим признакам группы аналитических признаков "Формы перестрахования"), перестрахователей (по группе аналитических признаков "Идентификатор перестрахователя") с указанием учетных групп (по аналитическим признакам группы аналитических признаков "Перечень учетных групп"), а также страхового брокера, с которым отчитывающимся страховщиком заключен договор об оказании услуг страхового брокера, если указанный страховой брокер оказывал услуги по принятию рисков в перестрахование от перестрахователя, указанного по группе аналитических признаков "Идентификатор перестрахователя", по учетной группе, указанной по аналитическому признаку группы аналитических признаков "Перечень учетных групп" (по группе аналитических признаков "Идентификатор страхового брокера").</w:t>
      </w:r>
    </w:p>
    <w:p>
      <w:pPr>
        <w:pStyle w:val="0"/>
        <w:spacing w:before="240" w:lineRule="auto"/>
        <w:ind w:firstLine="540"/>
        <w:jc w:val="both"/>
      </w:pPr>
      <w:r>
        <w:rPr>
          <w:sz w:val="24"/>
        </w:rPr>
        <w:t xml:space="preserve">В случае отсутствия страхового брокера, указанного в </w:t>
      </w:r>
      <w:hyperlink w:history="0" w:anchor="P32916" w:tooltip="Показатели раздела 2 отчетности по форме 0420157 формируются в разрезе форм перестрахования (по аналитическим признакам группы аналитических признаков &quot;Формы перестрахования&quot;), перестрахователей (по группе аналитических признаков &quot;Идентификатор перестрахователя&quot;) с указанием учетных групп (по аналитическим признакам группы аналитических признаков &quot;Перечень учетных групп&quot;), а также страхового брокера, с которым отчитывающимся страховщиком заключен договор об оказании услуг страхового брокера, если указанн...">
        <w:r>
          <w:rPr>
            <w:sz w:val="24"/>
            <w:color w:val="0000ff"/>
          </w:rPr>
          <w:t xml:space="preserve">абзаце втором</w:t>
        </w:r>
      </w:hyperlink>
      <w:r>
        <w:rPr>
          <w:sz w:val="24"/>
        </w:rPr>
        <w:t xml:space="preserve"> настоящего пункта, по группе аналитических признаков "Идентификатор страхового брокера" указывается значение "НП".</w:t>
      </w:r>
    </w:p>
    <w:p>
      <w:pPr>
        <w:pStyle w:val="0"/>
        <w:spacing w:before="240" w:lineRule="auto"/>
        <w:ind w:firstLine="540"/>
        <w:jc w:val="both"/>
      </w:pPr>
      <w:r>
        <w:rPr>
          <w:sz w:val="24"/>
        </w:rPr>
        <w:t xml:space="preserve">По каждому показателю </w:t>
      </w:r>
      <w:hyperlink w:history="0" w:anchor="P32738" w:tooltip="Раздел 2. Операции перестрахования в разрезе перестрахователей">
        <w:r>
          <w:rPr>
            <w:sz w:val="24"/>
            <w:color w:val="0000ff"/>
          </w:rPr>
          <w:t xml:space="preserve">раздела 2</w:t>
        </w:r>
      </w:hyperlink>
      <w:r>
        <w:rPr>
          <w:sz w:val="24"/>
        </w:rPr>
        <w:t xml:space="preserve"> отчетности по форме 0420157 его итоговое значение определяется страховщиком путем суммирования отраженных по указанному показателю данных по всем перестрахователям с разбивкой по перестрахователям, созданным в соответствии с законодательством Российской Федерации (по аналитическому признаку "На территории Российской Федерации" группы аналитических признаков "Территориальный признак"), и перестрахователям, созданным в соответствии с законодательством иностранного государства, и перестрахователям, являющимся международными финансовыми организациями, осуществляющими деятельность в сфере перестрахования (по аналитическому признаку "За пределами территории Российской Федерации" группы аналитических признаков "Территориальный признак").</w:t>
      </w:r>
    </w:p>
    <w:p>
      <w:pPr>
        <w:pStyle w:val="0"/>
        <w:spacing w:before="240" w:lineRule="auto"/>
        <w:ind w:firstLine="540"/>
        <w:jc w:val="both"/>
      </w:pPr>
      <w:r>
        <w:rPr>
          <w:sz w:val="24"/>
        </w:rPr>
        <w:t xml:space="preserve">Значение идентификатора перестрахователя, указанное по группе аналитических признаков "Идентификатор перестрахователя",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перестрахователю.</w:t>
      </w:r>
    </w:p>
    <w:p>
      <w:pPr>
        <w:pStyle w:val="0"/>
        <w:spacing w:before="240" w:lineRule="auto"/>
        <w:ind w:firstLine="540"/>
        <w:jc w:val="both"/>
      </w:pPr>
      <w:r>
        <w:rPr>
          <w:sz w:val="24"/>
        </w:rPr>
        <w:t xml:space="preserve">Значение идентификатора страхового брокера, указанное по группе аналитических признаков "Идентификатор страхового брокера" (за исключением случаев указания значения "НП"),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страховому брокеру.</w:t>
      </w:r>
    </w:p>
    <w:p>
      <w:pPr>
        <w:pStyle w:val="0"/>
        <w:spacing w:before="240" w:lineRule="auto"/>
        <w:ind w:firstLine="540"/>
        <w:jc w:val="both"/>
      </w:pPr>
      <w:r>
        <w:rPr>
          <w:sz w:val="24"/>
        </w:rPr>
        <w:t xml:space="preserve">3.1. По показателю "Страховые премии по договорам входящего перестрахования (за предоставление страхового покрытия до верхней границы соответствующих договоров)" </w:t>
      </w:r>
      <w:hyperlink w:history="0" w:anchor="P32739" w:tooltip="7">
        <w:r>
          <w:rPr>
            <w:sz w:val="24"/>
            <w:color w:val="0000ff"/>
          </w:rPr>
          <w:t xml:space="preserve">(строка 7)</w:t>
        </w:r>
      </w:hyperlink>
      <w:r>
        <w:rPr>
          <w:sz w:val="24"/>
        </w:rPr>
        <w:t xml:space="preserve"> для каждой учетной группы указывается сумма страховых премий, причитающихся к получению от перестрахователя по договорам перестрахования, в которых страховщик выступает перестраховщиком (далее - договоры входящего перестрахования), с начала отчетного периода и до верхней границы.</w:t>
      </w:r>
    </w:p>
    <w:p>
      <w:pPr>
        <w:pStyle w:val="0"/>
        <w:spacing w:before="240" w:lineRule="auto"/>
        <w:ind w:firstLine="540"/>
        <w:jc w:val="both"/>
      </w:pPr>
      <w:r>
        <w:rPr>
          <w:sz w:val="24"/>
        </w:rPr>
        <w:t xml:space="preserve">Данные указываются по признанным в отчетном периоде договорам входящего перестрахования, а также по признанным до отчетного периода договорам входящего перестрахования в случае изменения размера страховых премий в течение отчетного периода в связи с изменением условий договоров входящего перестрахования, их досрочным расторжением.</w:t>
      </w:r>
    </w:p>
    <w:p>
      <w:pPr>
        <w:pStyle w:val="0"/>
        <w:spacing w:before="240" w:lineRule="auto"/>
        <w:ind w:firstLine="540"/>
        <w:jc w:val="both"/>
      </w:pPr>
      <w:r>
        <w:rPr>
          <w:sz w:val="24"/>
        </w:rPr>
        <w:t xml:space="preserve">3.2. По показателю "Страховые выплаты по договорам входящего перестрахования" </w:t>
      </w:r>
      <w:hyperlink w:history="0" w:anchor="P32763" w:tooltip="8">
        <w:r>
          <w:rPr>
            <w:sz w:val="24"/>
            <w:color w:val="0000ff"/>
          </w:rPr>
          <w:t xml:space="preserve">(строка 8)</w:t>
        </w:r>
      </w:hyperlink>
      <w:r>
        <w:rPr>
          <w:sz w:val="24"/>
        </w:rPr>
        <w:t xml:space="preserve"> для каждой учетной группы указывается сумма фактически уплаченных перестрахователю в отчетном периоде страховых выплат по договорам входящего перестрахования.</w:t>
      </w:r>
    </w:p>
    <w:p>
      <w:pPr>
        <w:pStyle w:val="0"/>
        <w:spacing w:before="240" w:lineRule="auto"/>
        <w:ind w:firstLine="540"/>
        <w:jc w:val="both"/>
      </w:pPr>
      <w:r>
        <w:rPr>
          <w:sz w:val="24"/>
        </w:rPr>
        <w:t xml:space="preserve">3.3. По показателю "Вспомогательная величина ЗНУ по договорам входящего перестрахования" </w:t>
      </w:r>
      <w:hyperlink w:history="0" w:anchor="P32787" w:tooltip="9">
        <w:r>
          <w:rPr>
            <w:sz w:val="24"/>
            <w:color w:val="0000ff"/>
          </w:rPr>
          <w:t xml:space="preserve">(строка 9)</w:t>
        </w:r>
      </w:hyperlink>
      <w:r>
        <w:rPr>
          <w:sz w:val="24"/>
        </w:rPr>
        <w:t xml:space="preserve"> для каждой учетной группы указывается сумма вспомогательной величины ЗНУ по договорам входящего перестрахования.</w:t>
      </w:r>
    </w:p>
    <w:p>
      <w:pPr>
        <w:pStyle w:val="0"/>
        <w:spacing w:before="240" w:lineRule="auto"/>
        <w:ind w:firstLine="540"/>
        <w:jc w:val="both"/>
      </w:pPr>
      <w:r>
        <w:rPr>
          <w:sz w:val="24"/>
        </w:rPr>
        <w:t xml:space="preserve">Данные указываются на конец отчетного периода.</w:t>
      </w:r>
    </w:p>
    <w:p>
      <w:pPr>
        <w:pStyle w:val="0"/>
        <w:spacing w:before="240" w:lineRule="auto"/>
        <w:ind w:firstLine="540"/>
        <w:jc w:val="both"/>
      </w:pPr>
      <w:r>
        <w:rPr>
          <w:sz w:val="24"/>
        </w:rPr>
        <w:t xml:space="preserve">3.4. По показателю "Тантьемы, перестраховочные и иные вознаграждения по договорам входящего перестрахования" </w:t>
      </w:r>
      <w:hyperlink w:history="0" w:anchor="P32811" w:tooltip="10">
        <w:r>
          <w:rPr>
            <w:sz w:val="24"/>
            <w:color w:val="0000ff"/>
          </w:rPr>
          <w:t xml:space="preserve">(строка 10)</w:t>
        </w:r>
      </w:hyperlink>
      <w:r>
        <w:rPr>
          <w:sz w:val="24"/>
        </w:rPr>
        <w:t xml:space="preserve"> для каждой учетной группы указывается сумма фактически уплаченных или причитающихся к уплате перестрахователю в отчетном периоде тантьем, перестраховочных и иных вознаграждений по договорам входящего перестрахования.</w:t>
      </w:r>
    </w:p>
    <w:p>
      <w:pPr>
        <w:pStyle w:val="0"/>
        <w:spacing w:before="240" w:lineRule="auto"/>
        <w:ind w:firstLine="540"/>
        <w:jc w:val="both"/>
      </w:pPr>
      <w:r>
        <w:rPr>
          <w:sz w:val="24"/>
        </w:rPr>
        <w:t xml:space="preserve">По показателю "Тантьемы, перестраховочные и иные вознаграждения по договорам входящего перестрахования" </w:t>
      </w:r>
      <w:hyperlink w:history="0" w:anchor="P32811" w:tooltip="10">
        <w:r>
          <w:rPr>
            <w:sz w:val="24"/>
            <w:color w:val="0000ff"/>
          </w:rPr>
          <w:t xml:space="preserve">(строка 10)</w:t>
        </w:r>
      </w:hyperlink>
      <w:r>
        <w:rPr>
          <w:sz w:val="24"/>
        </w:rPr>
        <w:t xml:space="preserve"> не отражается сумма фактически уплаченных перестрахователю в отчетном периоде тантьем, перестраховочных и иных вознаграждений по договорам входящего перестрахования, которые отражены страховщиком в предыдущем отчетном периоде как причитающиеся к уплате перестрахователю тантьемы, перестраховочные и иные вознаграждения по договорам входящего перестрахования.</w:t>
      </w:r>
    </w:p>
    <w:p>
      <w:pPr>
        <w:pStyle w:val="0"/>
        <w:spacing w:before="240" w:lineRule="auto"/>
        <w:ind w:firstLine="540"/>
        <w:jc w:val="both"/>
      </w:pPr>
      <w:r>
        <w:rPr>
          <w:sz w:val="24"/>
        </w:rPr>
        <w:t xml:space="preserve">3.5. По показателю "Задолженность перед перестрахователями по урегулированию убытков" </w:t>
      </w:r>
      <w:hyperlink w:history="0" w:anchor="P32835" w:tooltip="11">
        <w:r>
          <w:rPr>
            <w:sz w:val="24"/>
            <w:color w:val="0000ff"/>
          </w:rPr>
          <w:t xml:space="preserve">(строка 11)</w:t>
        </w:r>
      </w:hyperlink>
      <w:r>
        <w:rPr>
          <w:sz w:val="24"/>
        </w:rPr>
        <w:t xml:space="preserve"> для каждой учетной группы указывается сумма задолженности перед перестрахователем по урегулированию убытков на конец отчетного периода.</w:t>
      </w:r>
    </w:p>
    <w:p>
      <w:pPr>
        <w:pStyle w:val="0"/>
        <w:spacing w:before="240" w:lineRule="auto"/>
        <w:ind w:firstLine="540"/>
        <w:jc w:val="both"/>
      </w:pPr>
      <w:r>
        <w:rPr>
          <w:sz w:val="24"/>
        </w:rPr>
        <w:t xml:space="preserve">3.6. По показателю "Права требования по обязательствам перестрахователей по уплате страховых премий (взносов)" </w:t>
      </w:r>
      <w:hyperlink w:history="0" w:anchor="P32859" w:tooltip="12">
        <w:r>
          <w:rPr>
            <w:sz w:val="24"/>
            <w:color w:val="0000ff"/>
          </w:rPr>
          <w:t xml:space="preserve">(строка 12)</w:t>
        </w:r>
      </w:hyperlink>
      <w:r>
        <w:rPr>
          <w:sz w:val="24"/>
        </w:rPr>
        <w:t xml:space="preserve"> для каждой учетной группы указывается размер прав требования по обязательствам перестрахователя по уплате страховых премий (взносов) по договорам входящего перестрахования на конец отчетного периода.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2937" w:name="P32937"/>
    <w:bookmarkEnd w:id="32937"/>
    <w:p>
      <w:pPr>
        <w:pStyle w:val="0"/>
        <w:jc w:val="center"/>
      </w:pPr>
      <w:r>
        <w:rPr>
          <w:sz w:val="24"/>
        </w:rPr>
        <w:t xml:space="preserve">Отчетность по форме 0420158</w:t>
      </w:r>
    </w:p>
    <w:p>
      <w:pPr>
        <w:pStyle w:val="0"/>
        <w:jc w:val="center"/>
      </w:pPr>
      <w:r>
        <w:rPr>
          <w:sz w:val="24"/>
        </w:rPr>
        <w:t xml:space="preserve">"Отчет о структуре финансового результата страховщика"</w:t>
      </w:r>
    </w:p>
    <w:p>
      <w:pPr>
        <w:pStyle w:val="0"/>
        <w:ind w:firstLine="540"/>
        <w:jc w:val="both"/>
      </w:pPr>
      <w:r>
        <w:rPr>
          <w:sz w:val="24"/>
        </w:rPr>
      </w:r>
    </w:p>
    <w:p>
      <w:pPr>
        <w:pStyle w:val="0"/>
        <w:jc w:val="right"/>
      </w:pPr>
      <w:r>
        <w:rPr>
          <w:sz w:val="24"/>
        </w:rPr>
        <w:t xml:space="preserve">Код формы по </w:t>
      </w:r>
      <w:hyperlink w:history="0" r:id="rId55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4422" w:tooltip="&lt;1&gt; Общероссийский классификатор управленческой документации.">
        <w:r>
          <w:rPr>
            <w:sz w:val="24"/>
            <w:color w:val="0000ff"/>
          </w:rPr>
          <w:t xml:space="preserve">&lt;1&gt;</w:t>
        </w:r>
      </w:hyperlink>
      <w:r>
        <w:rPr>
          <w:sz w:val="24"/>
        </w:rPr>
        <w:t xml:space="preserve"> 0420158</w:t>
      </w:r>
    </w:p>
    <w:p>
      <w:pPr>
        <w:pStyle w:val="0"/>
        <w:ind w:firstLine="540"/>
        <w:jc w:val="both"/>
      </w:pPr>
      <w:r>
        <w:rPr>
          <w:sz w:val="24"/>
        </w:rPr>
      </w:r>
    </w:p>
    <w:p>
      <w:pPr>
        <w:pStyle w:val="0"/>
        <w:jc w:val="right"/>
      </w:pPr>
      <w:r>
        <w:rPr>
          <w:sz w:val="24"/>
        </w:rPr>
        <w:t xml:space="preserve">Месячная, квартальная, годовая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58"/>
        <w:gridCol w:w="2350"/>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165" w:type="dxa"/>
            <w:tcBorders>
              <w:left w:val="single" w:sz="4"/>
            </w:tcBorders>
          </w:tcPr>
          <w:bookmarkStart w:id="32952" w:name="P32952"/>
          <w:bookmarkEnd w:id="32952"/>
          <w:p>
            <w:pPr>
              <w:pStyle w:val="0"/>
              <w:outlineLvl w:val="3"/>
            </w:pPr>
            <w:r>
              <w:rPr>
                <w:sz w:val="24"/>
              </w:rPr>
              <w:t xml:space="preserve">Раздел 1.</w:t>
            </w:r>
          </w:p>
        </w:tc>
        <w:tc>
          <w:tcPr>
            <w:gridSpan w:val="3"/>
            <w:tcW w:w="7906" w:type="dxa"/>
            <w:tcBorders>
              <w:right w:val="single" w:sz="4"/>
            </w:tcBorders>
          </w:tcPr>
          <w:p>
            <w:pPr>
              <w:pStyle w:val="0"/>
            </w:pPr>
            <w:r>
              <w:rPr>
                <w:sz w:val="24"/>
              </w:rPr>
              <w:t xml:space="preserve">Структура финансового результата по группам видов страхования</w:t>
            </w:r>
          </w:p>
        </w:tc>
      </w:tr>
      <w:tr>
        <w:tc>
          <w:tcPr>
            <w:tcW w:w="907" w:type="dxa"/>
          </w:tcPr>
          <w:bookmarkStart w:id="32954" w:name="P32954"/>
          <w:bookmarkEnd w:id="32954"/>
          <w:p>
            <w:pPr>
              <w:pStyle w:val="0"/>
            </w:pPr>
            <w:r>
              <w:rPr>
                <w:sz w:val="24"/>
              </w:rPr>
              <w:t xml:space="preserve">1</w:t>
            </w:r>
          </w:p>
        </w:tc>
        <w:tc>
          <w:tcPr>
            <w:gridSpan w:val="2"/>
            <w:tcW w:w="2608" w:type="dxa"/>
          </w:tcPr>
          <w:p>
            <w:pPr>
              <w:pStyle w:val="0"/>
            </w:pPr>
            <w:r>
              <w:rPr>
                <w:sz w:val="24"/>
              </w:rPr>
              <w:t xml:space="preserve">Выручка по страхованию по группам договоров страхования и выпущенных (принятых) договоров перестрахования, в том числе:</w:t>
            </w:r>
          </w:p>
        </w:tc>
        <w:tc>
          <w:tcPr>
            <w:tcW w:w="2608" w:type="dxa"/>
          </w:tcPr>
          <w:p>
            <w:pPr>
              <w:pStyle w:val="0"/>
            </w:pPr>
            <w:r>
              <w:rPr>
                <w:sz w:val="24"/>
              </w:rPr>
            </w:r>
          </w:p>
        </w:tc>
        <w:tc>
          <w:tcPr>
            <w:tcW w:w="2948" w:type="dxa"/>
          </w:tcPr>
          <w:p>
            <w:pPr>
              <w:pStyle w:val="0"/>
            </w:pPr>
            <w:r>
              <w:rPr>
                <w:sz w:val="24"/>
              </w:rPr>
              <w:t xml:space="preserve">ifrs-ru:VyrPoStrPoGrDogStrVypPrDogPer</w:t>
            </w:r>
          </w:p>
        </w:tc>
      </w:tr>
      <w:tr>
        <w:tc>
          <w:tcPr>
            <w:tcW w:w="907" w:type="dxa"/>
          </w:tcPr>
          <w:p>
            <w:pPr>
              <w:pStyle w:val="0"/>
            </w:pPr>
            <w:r>
              <w:rPr>
                <w:sz w:val="24"/>
              </w:rPr>
              <w:t xml:space="preserve">1.1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2962" w:name="P32962"/>
          <w:bookmarkEnd w:id="32962"/>
          <w:p>
            <w:pPr>
              <w:pStyle w:val="0"/>
            </w:pPr>
            <w:r>
              <w:rPr>
                <w:sz w:val="24"/>
              </w:rPr>
              <w:t xml:space="preserve">2</w:t>
            </w:r>
          </w:p>
        </w:tc>
        <w:tc>
          <w:tcPr>
            <w:gridSpan w:val="2"/>
            <w:tcW w:w="2608" w:type="dxa"/>
          </w:tcPr>
          <w:p>
            <w:pPr>
              <w:pStyle w:val="0"/>
            </w:pPr>
            <w:r>
              <w:rPr>
                <w:sz w:val="24"/>
              </w:rPr>
              <w:t xml:space="preserve">Суммы, связанные с оказанием услуг, в том числе:</w:t>
            </w:r>
          </w:p>
        </w:tc>
        <w:tc>
          <w:tcPr>
            <w:tcW w:w="2608" w:type="dxa"/>
          </w:tcPr>
          <w:p>
            <w:pPr>
              <w:pStyle w:val="0"/>
            </w:pPr>
            <w:r>
              <w:rPr>
                <w:sz w:val="24"/>
              </w:rPr>
            </w:r>
          </w:p>
        </w:tc>
        <w:tc>
          <w:tcPr>
            <w:tcW w:w="2948" w:type="dxa"/>
          </w:tcPr>
          <w:p>
            <w:pPr>
              <w:pStyle w:val="0"/>
            </w:pPr>
            <w:r>
              <w:rPr>
                <w:sz w:val="24"/>
              </w:rPr>
              <w:t xml:space="preserve">ifrs-ru:SumSvSOkUsl</w:t>
            </w:r>
          </w:p>
        </w:tc>
      </w:tr>
      <w:tr>
        <w:tc>
          <w:tcPr>
            <w:tcW w:w="907" w:type="dxa"/>
          </w:tcPr>
          <w:p>
            <w:pPr>
              <w:pStyle w:val="0"/>
            </w:pPr>
            <w:r>
              <w:rPr>
                <w:sz w:val="24"/>
              </w:rPr>
              <w:t xml:space="preserve">2.1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2970" w:name="P32970"/>
          <w:bookmarkEnd w:id="32970"/>
          <w:p>
            <w:pPr>
              <w:pStyle w:val="0"/>
            </w:pPr>
            <w:r>
              <w:rPr>
                <w:sz w:val="24"/>
              </w:rPr>
              <w:t xml:space="preserve">3</w:t>
            </w:r>
          </w:p>
        </w:tc>
        <w:tc>
          <w:tcPr>
            <w:gridSpan w:val="2"/>
            <w:tcW w:w="2608" w:type="dxa"/>
          </w:tcPr>
          <w:p>
            <w:pPr>
              <w:pStyle w:val="0"/>
            </w:pPr>
            <w:r>
              <w:rPr>
                <w:sz w:val="24"/>
              </w:rPr>
              <w:t xml:space="preserve">Расходы по услугам страхования, понесенные в течение отчетного периода, не отнесенные к компоненту убытка</w:t>
            </w:r>
          </w:p>
        </w:tc>
        <w:tc>
          <w:tcPr>
            <w:tcW w:w="2608" w:type="dxa"/>
          </w:tcPr>
          <w:p>
            <w:pPr>
              <w:pStyle w:val="0"/>
            </w:pPr>
            <w:r>
              <w:rPr>
                <w:sz w:val="24"/>
              </w:rPr>
            </w:r>
          </w:p>
        </w:tc>
        <w:tc>
          <w:tcPr>
            <w:tcW w:w="2948" w:type="dxa"/>
          </w:tcPr>
          <w:p>
            <w:pPr>
              <w:pStyle w:val="0"/>
            </w:pPr>
            <w:r>
              <w:rPr>
                <w:sz w:val="24"/>
              </w:rPr>
              <w:t xml:space="preserve">ifrs-ru:RasxPoUslStrPonVTechOtchPerNeOtnKKomUb</w:t>
            </w:r>
          </w:p>
        </w:tc>
      </w:tr>
      <w:tr>
        <w:tc>
          <w:tcPr>
            <w:tcW w:w="907" w:type="dxa"/>
          </w:tcPr>
          <w:p>
            <w:pPr>
              <w:pStyle w:val="0"/>
            </w:pPr>
            <w:r>
              <w:rPr>
                <w:sz w:val="24"/>
              </w:rPr>
              <w:t xml:space="preserve">3.1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2978" w:name="P32978"/>
          <w:bookmarkEnd w:id="32978"/>
          <w:p>
            <w:pPr>
              <w:pStyle w:val="0"/>
            </w:pPr>
            <w:r>
              <w:rPr>
                <w:sz w:val="24"/>
              </w:rPr>
              <w:t xml:space="preserve">4</w:t>
            </w:r>
          </w:p>
        </w:tc>
        <w:tc>
          <w:tcPr>
            <w:gridSpan w:val="2"/>
            <w:tcW w:w="2608" w:type="dxa"/>
          </w:tcPr>
          <w:p>
            <w:pPr>
              <w:pStyle w:val="0"/>
            </w:pPr>
            <w:r>
              <w:rPr>
                <w:sz w:val="24"/>
              </w:rPr>
              <w:t xml:space="preserve">Изменение рисковой поправки на нефинансовый риск, не отнесенное к компоненту убытка</w:t>
            </w:r>
          </w:p>
        </w:tc>
        <w:tc>
          <w:tcPr>
            <w:tcW w:w="2608" w:type="dxa"/>
          </w:tcPr>
          <w:p>
            <w:pPr>
              <w:pStyle w:val="0"/>
            </w:pPr>
            <w:r>
              <w:rPr>
                <w:sz w:val="24"/>
              </w:rPr>
            </w:r>
          </w:p>
        </w:tc>
        <w:tc>
          <w:tcPr>
            <w:tcW w:w="2948" w:type="dxa"/>
          </w:tcPr>
          <w:p>
            <w:pPr>
              <w:pStyle w:val="0"/>
            </w:pPr>
            <w:r>
              <w:rPr>
                <w:sz w:val="24"/>
              </w:rPr>
              <w:t xml:space="preserve">ifrs-ru:IzmRiskPoprNaNeflRiskNeOtnKKomUb</w:t>
            </w:r>
          </w:p>
        </w:tc>
      </w:tr>
      <w:tr>
        <w:tc>
          <w:tcPr>
            <w:tcW w:w="907" w:type="dxa"/>
          </w:tcPr>
          <w:p>
            <w:pPr>
              <w:pStyle w:val="0"/>
            </w:pPr>
            <w:r>
              <w:rPr>
                <w:sz w:val="24"/>
              </w:rPr>
              <w:t xml:space="preserve">4.1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2986" w:name="P32986"/>
          <w:bookmarkEnd w:id="32986"/>
          <w:p>
            <w:pPr>
              <w:pStyle w:val="0"/>
            </w:pPr>
            <w:r>
              <w:rPr>
                <w:sz w:val="24"/>
              </w:rPr>
              <w:t xml:space="preserve">5</w:t>
            </w:r>
          </w:p>
        </w:tc>
        <w:tc>
          <w:tcPr>
            <w:gridSpan w:val="2"/>
            <w:tcW w:w="2608" w:type="dxa"/>
          </w:tcPr>
          <w:p>
            <w:pPr>
              <w:pStyle w:val="0"/>
            </w:pPr>
            <w:r>
              <w:rPr>
                <w:sz w:val="24"/>
              </w:rPr>
              <w:t xml:space="preserve">Сумма маржи за предусмотренные договором услуги, признанной в составе прибыли или убытка вследствие предоставления услуг по договору страхования в отчетном периоде</w:t>
            </w:r>
          </w:p>
        </w:tc>
        <w:tc>
          <w:tcPr>
            <w:tcW w:w="2608" w:type="dxa"/>
          </w:tcPr>
          <w:p>
            <w:pPr>
              <w:pStyle w:val="0"/>
            </w:pPr>
            <w:r>
              <w:rPr>
                <w:sz w:val="24"/>
              </w:rPr>
            </w:r>
          </w:p>
        </w:tc>
        <w:tc>
          <w:tcPr>
            <w:tcW w:w="2948" w:type="dxa"/>
          </w:tcPr>
          <w:p>
            <w:pPr>
              <w:pStyle w:val="0"/>
            </w:pPr>
            <w:r>
              <w:rPr>
                <w:sz w:val="24"/>
              </w:rPr>
              <w:t xml:space="preserve">ifrs-ru:SumMarZaPredDogUsPrizVSosPrUbVslPredUslPoDogStrVOtchPer</w:t>
            </w:r>
          </w:p>
        </w:tc>
      </w:tr>
      <w:tr>
        <w:tc>
          <w:tcPr>
            <w:tcW w:w="907" w:type="dxa"/>
          </w:tcPr>
          <w:p>
            <w:pPr>
              <w:pStyle w:val="0"/>
            </w:pPr>
            <w:r>
              <w:rPr>
                <w:sz w:val="24"/>
              </w:rPr>
              <w:t xml:space="preserve">5.1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2994" w:name="P32994"/>
          <w:bookmarkEnd w:id="32994"/>
          <w:p>
            <w:pPr>
              <w:pStyle w:val="0"/>
            </w:pPr>
            <w:r>
              <w:rPr>
                <w:sz w:val="24"/>
              </w:rPr>
              <w:t xml:space="preserve">6</w:t>
            </w:r>
          </w:p>
        </w:tc>
        <w:tc>
          <w:tcPr>
            <w:gridSpan w:val="2"/>
            <w:tcW w:w="2608" w:type="dxa"/>
          </w:tcPr>
          <w:p>
            <w:pPr>
              <w:pStyle w:val="0"/>
            </w:pPr>
            <w:r>
              <w:rPr>
                <w:sz w:val="24"/>
              </w:rPr>
              <w:t xml:space="preserve">Выручка по страхованию по договорам страхования, оцениваемым с применением подхода на основе распределения премии</w:t>
            </w:r>
          </w:p>
        </w:tc>
        <w:tc>
          <w:tcPr>
            <w:tcW w:w="2608" w:type="dxa"/>
          </w:tcPr>
          <w:p>
            <w:pPr>
              <w:pStyle w:val="0"/>
            </w:pPr>
            <w:r>
              <w:rPr>
                <w:sz w:val="24"/>
              </w:rPr>
            </w:r>
          </w:p>
        </w:tc>
        <w:tc>
          <w:tcPr>
            <w:tcW w:w="2948" w:type="dxa"/>
          </w:tcPr>
          <w:p>
            <w:pPr>
              <w:pStyle w:val="0"/>
            </w:pPr>
            <w:r>
              <w:rPr>
                <w:sz w:val="24"/>
              </w:rPr>
              <w:t xml:space="preserve">ifrs-ru:VyrPoStrPoDogStrOczSPrimPodNaOsnRasPrem</w:t>
            </w:r>
          </w:p>
        </w:tc>
      </w:tr>
      <w:tr>
        <w:tc>
          <w:tcPr>
            <w:tcW w:w="907" w:type="dxa"/>
          </w:tcPr>
          <w:p>
            <w:pPr>
              <w:pStyle w:val="0"/>
            </w:pPr>
            <w:r>
              <w:rPr>
                <w:sz w:val="24"/>
              </w:rPr>
              <w:t xml:space="preserve">6.1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02" w:name="P33002"/>
          <w:bookmarkEnd w:id="33002"/>
          <w:p>
            <w:pPr>
              <w:pStyle w:val="0"/>
            </w:pPr>
            <w:r>
              <w:rPr>
                <w:sz w:val="24"/>
              </w:rPr>
              <w:t xml:space="preserve">7</w:t>
            </w:r>
          </w:p>
        </w:tc>
        <w:tc>
          <w:tcPr>
            <w:gridSpan w:val="2"/>
            <w:tcW w:w="2608" w:type="dxa"/>
          </w:tcPr>
          <w:p>
            <w:pPr>
              <w:pStyle w:val="0"/>
            </w:pPr>
            <w:r>
              <w:rPr>
                <w:sz w:val="24"/>
              </w:rPr>
              <w:t xml:space="preserve">Прочее</w:t>
            </w:r>
          </w:p>
        </w:tc>
        <w:tc>
          <w:tcPr>
            <w:tcW w:w="2608" w:type="dxa"/>
          </w:tcPr>
          <w:p>
            <w:pPr>
              <w:pStyle w:val="0"/>
            </w:pPr>
            <w:r>
              <w:rPr>
                <w:sz w:val="24"/>
              </w:rPr>
            </w:r>
          </w:p>
        </w:tc>
        <w:tc>
          <w:tcPr>
            <w:tcW w:w="2948" w:type="dxa"/>
          </w:tcPr>
          <w:p>
            <w:pPr>
              <w:pStyle w:val="0"/>
            </w:pPr>
            <w:r>
              <w:rPr>
                <w:sz w:val="24"/>
              </w:rPr>
              <w:t xml:space="preserve">ifrs-ru:PrSumSvSOkUsl</w:t>
            </w:r>
          </w:p>
        </w:tc>
      </w:tr>
      <w:tr>
        <w:tc>
          <w:tcPr>
            <w:tcW w:w="907" w:type="dxa"/>
          </w:tcPr>
          <w:p>
            <w:pPr>
              <w:pStyle w:val="0"/>
            </w:pPr>
            <w:r>
              <w:rPr>
                <w:sz w:val="24"/>
              </w:rPr>
              <w:t xml:space="preserve">7.1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10" w:name="P33010"/>
          <w:bookmarkEnd w:id="33010"/>
          <w:p>
            <w:pPr>
              <w:pStyle w:val="0"/>
            </w:pPr>
            <w:r>
              <w:rPr>
                <w:sz w:val="24"/>
              </w:rPr>
              <w:t xml:space="preserve">8</w:t>
            </w:r>
          </w:p>
        </w:tc>
        <w:tc>
          <w:tcPr>
            <w:gridSpan w:val="2"/>
            <w:tcW w:w="2608" w:type="dxa"/>
          </w:tcPr>
          <w:p>
            <w:pPr>
              <w:pStyle w:val="0"/>
            </w:pPr>
            <w:r>
              <w:rPr>
                <w:sz w:val="24"/>
              </w:rPr>
              <w:t xml:space="preserve">Суммы, относящиеся к аквизиционным денежным потокам</w:t>
            </w:r>
          </w:p>
        </w:tc>
        <w:tc>
          <w:tcPr>
            <w:tcW w:w="2608" w:type="dxa"/>
          </w:tcPr>
          <w:p>
            <w:pPr>
              <w:pStyle w:val="0"/>
            </w:pPr>
            <w:r>
              <w:rPr>
                <w:sz w:val="24"/>
              </w:rPr>
            </w:r>
          </w:p>
        </w:tc>
        <w:tc>
          <w:tcPr>
            <w:tcW w:w="2948" w:type="dxa"/>
          </w:tcPr>
          <w:p>
            <w:pPr>
              <w:pStyle w:val="0"/>
            </w:pPr>
            <w:r>
              <w:rPr>
                <w:sz w:val="24"/>
              </w:rPr>
              <w:t xml:space="preserve">ifrs-ru:SumOtnKAkvDP</w:t>
            </w:r>
          </w:p>
        </w:tc>
      </w:tr>
      <w:tr>
        <w:tc>
          <w:tcPr>
            <w:tcW w:w="907" w:type="dxa"/>
          </w:tcPr>
          <w:p>
            <w:pPr>
              <w:pStyle w:val="0"/>
            </w:pPr>
            <w:r>
              <w:rPr>
                <w:sz w:val="24"/>
              </w:rPr>
              <w:t xml:space="preserve">8.1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18" w:name="P33018"/>
          <w:bookmarkEnd w:id="33018"/>
          <w:p>
            <w:pPr>
              <w:pStyle w:val="0"/>
            </w:pPr>
            <w:r>
              <w:rPr>
                <w:sz w:val="24"/>
              </w:rPr>
              <w:t xml:space="preserve">9</w:t>
            </w:r>
          </w:p>
        </w:tc>
        <w:tc>
          <w:tcPr>
            <w:gridSpan w:val="2"/>
            <w:tcW w:w="2608" w:type="dxa"/>
          </w:tcPr>
          <w:p>
            <w:pPr>
              <w:pStyle w:val="0"/>
            </w:pPr>
            <w:r>
              <w:rPr>
                <w:sz w:val="24"/>
              </w:rPr>
              <w:t xml:space="preserve">Расходы по страхованию по группам договоров страхования и выпущенных (принятых) договоров перестрахования, в том числе:</w:t>
            </w:r>
          </w:p>
        </w:tc>
        <w:tc>
          <w:tcPr>
            <w:tcW w:w="2608" w:type="dxa"/>
          </w:tcPr>
          <w:p>
            <w:pPr>
              <w:pStyle w:val="0"/>
            </w:pPr>
            <w:r>
              <w:rPr>
                <w:sz w:val="24"/>
              </w:rPr>
            </w:r>
          </w:p>
        </w:tc>
        <w:tc>
          <w:tcPr>
            <w:tcW w:w="2948" w:type="dxa"/>
          </w:tcPr>
          <w:p>
            <w:pPr>
              <w:pStyle w:val="0"/>
            </w:pPr>
            <w:r>
              <w:rPr>
                <w:sz w:val="24"/>
              </w:rPr>
              <w:t xml:space="preserve">ifrs-ru:RasxPoStrPoGrDogStrVypPrDogPer</w:t>
            </w:r>
          </w:p>
        </w:tc>
      </w:tr>
      <w:tr>
        <w:tc>
          <w:tcPr>
            <w:tcW w:w="907" w:type="dxa"/>
          </w:tcPr>
          <w:p>
            <w:pPr>
              <w:pStyle w:val="0"/>
            </w:pPr>
            <w:r>
              <w:rPr>
                <w:sz w:val="24"/>
              </w:rPr>
              <w:t xml:space="preserve">9.1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26" w:name="P33026"/>
          <w:bookmarkEnd w:id="33026"/>
          <w:p>
            <w:pPr>
              <w:pStyle w:val="0"/>
            </w:pPr>
            <w:r>
              <w:rPr>
                <w:sz w:val="24"/>
              </w:rPr>
              <w:t xml:space="preserve">10</w:t>
            </w:r>
          </w:p>
        </w:tc>
        <w:tc>
          <w:tcPr>
            <w:gridSpan w:val="2"/>
            <w:tcW w:w="2608" w:type="dxa"/>
          </w:tcPr>
          <w:p>
            <w:pPr>
              <w:pStyle w:val="0"/>
            </w:pPr>
            <w:r>
              <w:rPr>
                <w:sz w:val="24"/>
              </w:rPr>
              <w:t xml:space="preserve">Убытки и восстановление убытков по группам обременительных договоров</w:t>
            </w:r>
          </w:p>
        </w:tc>
        <w:tc>
          <w:tcPr>
            <w:tcW w:w="2608" w:type="dxa"/>
          </w:tcPr>
          <w:p>
            <w:pPr>
              <w:pStyle w:val="0"/>
            </w:pPr>
            <w:r>
              <w:rPr>
                <w:sz w:val="24"/>
              </w:rPr>
            </w:r>
          </w:p>
        </w:tc>
        <w:tc>
          <w:tcPr>
            <w:tcW w:w="2948" w:type="dxa"/>
          </w:tcPr>
          <w:p>
            <w:pPr>
              <w:pStyle w:val="0"/>
            </w:pPr>
            <w:r>
              <w:rPr>
                <w:sz w:val="24"/>
              </w:rPr>
              <w:t xml:space="preserve">ifrs-ru:UbVosUbPoGrObrDog</w:t>
            </w:r>
          </w:p>
        </w:tc>
      </w:tr>
      <w:tr>
        <w:tc>
          <w:tcPr>
            <w:tcW w:w="907" w:type="dxa"/>
          </w:tcPr>
          <w:p>
            <w:pPr>
              <w:pStyle w:val="0"/>
            </w:pPr>
            <w:r>
              <w:rPr>
                <w:sz w:val="24"/>
              </w:rPr>
              <w:t xml:space="preserve">10.1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34" w:name="P33034"/>
          <w:bookmarkEnd w:id="33034"/>
          <w:p>
            <w:pPr>
              <w:pStyle w:val="0"/>
            </w:pPr>
            <w:r>
              <w:rPr>
                <w:sz w:val="24"/>
              </w:rPr>
              <w:t xml:space="preserve">11</w:t>
            </w:r>
          </w:p>
        </w:tc>
        <w:tc>
          <w:tcPr>
            <w:gridSpan w:val="2"/>
            <w:tcW w:w="2608" w:type="dxa"/>
          </w:tcPr>
          <w:p>
            <w:pPr>
              <w:pStyle w:val="0"/>
            </w:pPr>
            <w:r>
              <w:rPr>
                <w:sz w:val="24"/>
              </w:rPr>
              <w:t xml:space="preserve">Амортизация аквизиционных денежных потоков</w:t>
            </w:r>
          </w:p>
        </w:tc>
        <w:tc>
          <w:tcPr>
            <w:tcW w:w="2608" w:type="dxa"/>
          </w:tcPr>
          <w:p>
            <w:pPr>
              <w:pStyle w:val="0"/>
            </w:pPr>
            <w:r>
              <w:rPr>
                <w:sz w:val="24"/>
              </w:rPr>
            </w:r>
          </w:p>
        </w:tc>
        <w:tc>
          <w:tcPr>
            <w:tcW w:w="2948" w:type="dxa"/>
          </w:tcPr>
          <w:p>
            <w:pPr>
              <w:pStyle w:val="0"/>
            </w:pPr>
            <w:r>
              <w:rPr>
                <w:sz w:val="24"/>
              </w:rPr>
              <w:t xml:space="preserve">ifrs-ru:AmAkvDP</w:t>
            </w:r>
          </w:p>
        </w:tc>
      </w:tr>
      <w:tr>
        <w:tc>
          <w:tcPr>
            <w:tcW w:w="907" w:type="dxa"/>
          </w:tcPr>
          <w:p>
            <w:pPr>
              <w:pStyle w:val="0"/>
            </w:pPr>
            <w:r>
              <w:rPr>
                <w:sz w:val="24"/>
              </w:rPr>
              <w:t xml:space="preserve">11.1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42" w:name="P33042"/>
          <w:bookmarkEnd w:id="33042"/>
          <w:p>
            <w:pPr>
              <w:pStyle w:val="0"/>
            </w:pPr>
            <w:r>
              <w:rPr>
                <w:sz w:val="24"/>
              </w:rPr>
              <w:t xml:space="preserve">12</w:t>
            </w:r>
          </w:p>
        </w:tc>
        <w:tc>
          <w:tcPr>
            <w:gridSpan w:val="2"/>
            <w:tcW w:w="2608" w:type="dxa"/>
          </w:tcPr>
          <w:p>
            <w:pPr>
              <w:pStyle w:val="0"/>
            </w:pPr>
            <w:r>
              <w:rPr>
                <w:sz w:val="24"/>
              </w:rPr>
              <w:t xml:space="preserve">Изменение величины обязательств по возникшим требованиям</w:t>
            </w:r>
          </w:p>
        </w:tc>
        <w:tc>
          <w:tcPr>
            <w:tcW w:w="2608" w:type="dxa"/>
          </w:tcPr>
          <w:p>
            <w:pPr>
              <w:pStyle w:val="0"/>
            </w:pPr>
            <w:r>
              <w:rPr>
                <w:sz w:val="24"/>
              </w:rPr>
            </w:r>
          </w:p>
        </w:tc>
        <w:tc>
          <w:tcPr>
            <w:tcW w:w="2948" w:type="dxa"/>
          </w:tcPr>
          <w:p>
            <w:pPr>
              <w:pStyle w:val="0"/>
            </w:pPr>
            <w:r>
              <w:rPr>
                <w:sz w:val="24"/>
              </w:rPr>
              <w:t xml:space="preserve">ifrs-ru:IzmVelObPoVozTr</w:t>
            </w:r>
          </w:p>
        </w:tc>
      </w:tr>
      <w:tr>
        <w:tc>
          <w:tcPr>
            <w:tcW w:w="907" w:type="dxa"/>
          </w:tcPr>
          <w:p>
            <w:pPr>
              <w:pStyle w:val="0"/>
            </w:pPr>
            <w:r>
              <w:rPr>
                <w:sz w:val="24"/>
              </w:rPr>
              <w:t xml:space="preserve">12.1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50" w:name="P33050"/>
          <w:bookmarkEnd w:id="33050"/>
          <w:p>
            <w:pPr>
              <w:pStyle w:val="0"/>
            </w:pPr>
            <w:r>
              <w:rPr>
                <w:sz w:val="24"/>
              </w:rPr>
              <w:t xml:space="preserve">13</w:t>
            </w:r>
          </w:p>
        </w:tc>
        <w:tc>
          <w:tcPr>
            <w:gridSpan w:val="2"/>
            <w:tcW w:w="2608" w:type="dxa"/>
          </w:tcPr>
          <w:p>
            <w:pPr>
              <w:pStyle w:val="0"/>
            </w:pPr>
            <w:r>
              <w:rPr>
                <w:sz w:val="24"/>
              </w:rPr>
              <w:t xml:space="preserve">Возникшие требования и прочие расходы по страховым услугам</w:t>
            </w:r>
          </w:p>
        </w:tc>
        <w:tc>
          <w:tcPr>
            <w:tcW w:w="2608" w:type="dxa"/>
          </w:tcPr>
          <w:p>
            <w:pPr>
              <w:pStyle w:val="0"/>
            </w:pPr>
            <w:r>
              <w:rPr>
                <w:sz w:val="24"/>
              </w:rPr>
            </w:r>
          </w:p>
        </w:tc>
        <w:tc>
          <w:tcPr>
            <w:tcW w:w="2948" w:type="dxa"/>
          </w:tcPr>
          <w:p>
            <w:pPr>
              <w:pStyle w:val="0"/>
            </w:pPr>
            <w:r>
              <w:rPr>
                <w:sz w:val="24"/>
              </w:rPr>
              <w:t xml:space="preserve">ifrs-ru:VozTrPrRasxPoStrUsl</w:t>
            </w:r>
          </w:p>
        </w:tc>
      </w:tr>
      <w:tr>
        <w:tc>
          <w:tcPr>
            <w:tcW w:w="907" w:type="dxa"/>
          </w:tcPr>
          <w:p>
            <w:pPr>
              <w:pStyle w:val="0"/>
            </w:pPr>
            <w:r>
              <w:rPr>
                <w:sz w:val="24"/>
              </w:rPr>
              <w:t xml:space="preserve">13.1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58" w:name="P33058"/>
          <w:bookmarkEnd w:id="33058"/>
          <w:p>
            <w:pPr>
              <w:pStyle w:val="0"/>
            </w:pPr>
            <w:r>
              <w:rPr>
                <w:sz w:val="24"/>
              </w:rPr>
              <w:t xml:space="preserve">14</w:t>
            </w:r>
          </w:p>
        </w:tc>
        <w:tc>
          <w:tcPr>
            <w:gridSpan w:val="2"/>
            <w:tcW w:w="2608" w:type="dxa"/>
          </w:tcPr>
          <w:p>
            <w:pPr>
              <w:pStyle w:val="0"/>
            </w:pPr>
            <w:r>
              <w:rPr>
                <w:sz w:val="24"/>
              </w:rPr>
              <w:t xml:space="preserve">Убытки и восстановление убытков от обесценения активов, признанных в отношении аквизиционных денежных потоков</w:t>
            </w:r>
          </w:p>
        </w:tc>
        <w:tc>
          <w:tcPr>
            <w:tcW w:w="2608" w:type="dxa"/>
          </w:tcPr>
          <w:p>
            <w:pPr>
              <w:pStyle w:val="0"/>
            </w:pPr>
            <w:r>
              <w:rPr>
                <w:sz w:val="24"/>
              </w:rPr>
            </w:r>
          </w:p>
        </w:tc>
        <w:tc>
          <w:tcPr>
            <w:tcW w:w="2948" w:type="dxa"/>
          </w:tcPr>
          <w:p>
            <w:pPr>
              <w:pStyle w:val="0"/>
            </w:pPr>
            <w:r>
              <w:rPr>
                <w:sz w:val="24"/>
              </w:rPr>
              <w:t xml:space="preserve">ifrs-ru:UbVosUbOtObAktPrVOtnAkvDP</w:t>
            </w:r>
          </w:p>
        </w:tc>
      </w:tr>
      <w:tr>
        <w:tc>
          <w:tcPr>
            <w:tcW w:w="907" w:type="dxa"/>
          </w:tcPr>
          <w:p>
            <w:pPr>
              <w:pStyle w:val="0"/>
            </w:pPr>
            <w:r>
              <w:rPr>
                <w:sz w:val="24"/>
              </w:rPr>
              <w:t xml:space="preserve">14.1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dim-int:PoLmiyamBiznesaAxis</w:t>
            </w:r>
          </w:p>
        </w:tc>
      </w:tr>
      <w:tr>
        <w:tc>
          <w:tcPr>
            <w:tcW w:w="907" w:type="dxa"/>
          </w:tcPr>
          <w:bookmarkStart w:id="33066" w:name="P33066"/>
          <w:bookmarkEnd w:id="33066"/>
          <w:p>
            <w:pPr>
              <w:pStyle w:val="0"/>
            </w:pPr>
            <w:r>
              <w:rPr>
                <w:sz w:val="24"/>
              </w:rPr>
              <w:t xml:space="preserve">15</w:t>
            </w:r>
          </w:p>
        </w:tc>
        <w:tc>
          <w:tcPr>
            <w:gridSpan w:val="2"/>
            <w:tcW w:w="2608" w:type="dxa"/>
          </w:tcPr>
          <w:p>
            <w:pPr>
              <w:pStyle w:val="0"/>
            </w:pPr>
            <w:r>
              <w:rPr>
                <w:sz w:val="24"/>
              </w:rPr>
              <w:t xml:space="preserve">Доходы (расходы), возникающие в связи с удерживаемыми (переданными) договорами перестрахования, в том числе:</w:t>
            </w:r>
          </w:p>
        </w:tc>
        <w:tc>
          <w:tcPr>
            <w:tcW w:w="2608" w:type="dxa"/>
          </w:tcPr>
          <w:p>
            <w:pPr>
              <w:pStyle w:val="0"/>
            </w:pPr>
            <w:r>
              <w:rPr>
                <w:sz w:val="24"/>
              </w:rPr>
            </w:r>
          </w:p>
        </w:tc>
        <w:tc>
          <w:tcPr>
            <w:tcW w:w="2948" w:type="dxa"/>
          </w:tcPr>
          <w:p>
            <w:pPr>
              <w:pStyle w:val="0"/>
            </w:pPr>
            <w:r>
              <w:rPr>
                <w:sz w:val="24"/>
              </w:rPr>
              <w:t xml:space="preserve">ifrs-ru:DoxRasxVozVSvSUdPerDogPer</w:t>
            </w:r>
          </w:p>
        </w:tc>
      </w:tr>
      <w:tr>
        <w:tc>
          <w:tcPr>
            <w:tcW w:w="907" w:type="dxa"/>
          </w:tcPr>
          <w:p>
            <w:pPr>
              <w:pStyle w:val="0"/>
            </w:pPr>
            <w:r>
              <w:rPr>
                <w:sz w:val="24"/>
              </w:rPr>
              <w:t xml:space="preserve">15.1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74" w:name="P33074"/>
          <w:bookmarkEnd w:id="33074"/>
          <w:p>
            <w:pPr>
              <w:pStyle w:val="0"/>
            </w:pPr>
            <w:r>
              <w:rPr>
                <w:sz w:val="24"/>
              </w:rPr>
              <w:t xml:space="preserve">16</w:t>
            </w:r>
          </w:p>
        </w:tc>
        <w:tc>
          <w:tcPr>
            <w:gridSpan w:val="2"/>
            <w:tcW w:w="2608" w:type="dxa"/>
          </w:tcPr>
          <w:p>
            <w:pPr>
              <w:pStyle w:val="0"/>
            </w:pPr>
            <w:r>
              <w:rPr>
                <w:sz w:val="24"/>
              </w:rPr>
              <w:t xml:space="preserve">Распределение уплаченных страховых премий</w:t>
            </w:r>
          </w:p>
        </w:tc>
        <w:tc>
          <w:tcPr>
            <w:tcW w:w="2608" w:type="dxa"/>
          </w:tcPr>
          <w:p>
            <w:pPr>
              <w:pStyle w:val="0"/>
            </w:pPr>
            <w:r>
              <w:rPr>
                <w:sz w:val="24"/>
              </w:rPr>
            </w:r>
          </w:p>
        </w:tc>
        <w:tc>
          <w:tcPr>
            <w:tcW w:w="2948" w:type="dxa"/>
          </w:tcPr>
          <w:p>
            <w:pPr>
              <w:pStyle w:val="0"/>
            </w:pPr>
            <w:r>
              <w:rPr>
                <w:sz w:val="24"/>
              </w:rPr>
              <w:t xml:space="preserve">ins-dic:RasUplStrPrem_Opposite</w:t>
            </w:r>
          </w:p>
        </w:tc>
      </w:tr>
      <w:tr>
        <w:tc>
          <w:tcPr>
            <w:tcW w:w="907" w:type="dxa"/>
          </w:tcPr>
          <w:p>
            <w:pPr>
              <w:pStyle w:val="0"/>
            </w:pPr>
            <w:r>
              <w:rPr>
                <w:sz w:val="24"/>
              </w:rPr>
              <w:t xml:space="preserve">16.1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82" w:name="P33082"/>
          <w:bookmarkEnd w:id="33082"/>
          <w:p>
            <w:pPr>
              <w:pStyle w:val="0"/>
            </w:pPr>
            <w:r>
              <w:rPr>
                <w:sz w:val="24"/>
              </w:rPr>
              <w:t xml:space="preserve">17</w:t>
            </w:r>
          </w:p>
        </w:tc>
        <w:tc>
          <w:tcPr>
            <w:gridSpan w:val="2"/>
            <w:tcW w:w="2608" w:type="dxa"/>
          </w:tcPr>
          <w:p>
            <w:pPr>
              <w:pStyle w:val="0"/>
            </w:pPr>
            <w:r>
              <w:rPr>
                <w:sz w:val="24"/>
              </w:rPr>
              <w:t xml:space="preserve">Ожидаемая сумма возмещения от перестраховщика</w:t>
            </w:r>
          </w:p>
        </w:tc>
        <w:tc>
          <w:tcPr>
            <w:tcW w:w="2608" w:type="dxa"/>
          </w:tcPr>
          <w:p>
            <w:pPr>
              <w:pStyle w:val="0"/>
            </w:pPr>
            <w:r>
              <w:rPr>
                <w:sz w:val="24"/>
              </w:rPr>
            </w:r>
          </w:p>
        </w:tc>
        <w:tc>
          <w:tcPr>
            <w:tcW w:w="2948" w:type="dxa"/>
          </w:tcPr>
          <w:p>
            <w:pPr>
              <w:pStyle w:val="0"/>
            </w:pPr>
            <w:r>
              <w:rPr>
                <w:sz w:val="24"/>
              </w:rPr>
              <w:t xml:space="preserve">ins-dic:OzhSumVozOtPer_Opposite</w:t>
            </w:r>
          </w:p>
        </w:tc>
      </w:tr>
      <w:tr>
        <w:tc>
          <w:tcPr>
            <w:tcW w:w="907" w:type="dxa"/>
          </w:tcPr>
          <w:p>
            <w:pPr>
              <w:pStyle w:val="0"/>
            </w:pPr>
            <w:r>
              <w:rPr>
                <w:sz w:val="24"/>
              </w:rPr>
              <w:t xml:space="preserve">17.1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90" w:name="P33090"/>
          <w:bookmarkEnd w:id="33090"/>
          <w:p>
            <w:pPr>
              <w:pStyle w:val="0"/>
            </w:pPr>
            <w:r>
              <w:rPr>
                <w:sz w:val="24"/>
              </w:rPr>
              <w:t xml:space="preserve">18</w:t>
            </w:r>
          </w:p>
        </w:tc>
        <w:tc>
          <w:tcPr>
            <w:gridSpan w:val="2"/>
            <w:tcW w:w="2608" w:type="dxa"/>
          </w:tcPr>
          <w:p>
            <w:pPr>
              <w:pStyle w:val="0"/>
            </w:pPr>
            <w:r>
              <w:rPr>
                <w:sz w:val="24"/>
              </w:rPr>
              <w:t xml:space="preserve">Изменение величины требований к перестраховщикам в части возмещения страховых выплат</w:t>
            </w:r>
          </w:p>
        </w:tc>
        <w:tc>
          <w:tcPr>
            <w:tcW w:w="2608" w:type="dxa"/>
          </w:tcPr>
          <w:p>
            <w:pPr>
              <w:pStyle w:val="0"/>
            </w:pPr>
            <w:r>
              <w:rPr>
                <w:sz w:val="24"/>
              </w:rPr>
            </w:r>
          </w:p>
        </w:tc>
        <w:tc>
          <w:tcPr>
            <w:tcW w:w="2948" w:type="dxa"/>
          </w:tcPr>
          <w:p>
            <w:pPr>
              <w:pStyle w:val="0"/>
            </w:pPr>
            <w:r>
              <w:rPr>
                <w:sz w:val="24"/>
              </w:rPr>
              <w:t xml:space="preserve">ins-dic:IzmVelTrKPerVCHastVozStrVyp_Opposite</w:t>
            </w:r>
          </w:p>
        </w:tc>
      </w:tr>
      <w:tr>
        <w:tc>
          <w:tcPr>
            <w:tcW w:w="907" w:type="dxa"/>
          </w:tcPr>
          <w:p>
            <w:pPr>
              <w:pStyle w:val="0"/>
            </w:pPr>
            <w:r>
              <w:rPr>
                <w:sz w:val="24"/>
              </w:rPr>
              <w:t xml:space="preserve">18.1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098" w:name="P33098"/>
          <w:bookmarkEnd w:id="33098"/>
          <w:p>
            <w:pPr>
              <w:pStyle w:val="0"/>
            </w:pPr>
            <w:r>
              <w:rPr>
                <w:sz w:val="24"/>
              </w:rPr>
              <w:t xml:space="preserve">19</w:t>
            </w:r>
          </w:p>
        </w:tc>
        <w:tc>
          <w:tcPr>
            <w:gridSpan w:val="2"/>
            <w:tcW w:w="2608" w:type="dxa"/>
          </w:tcPr>
          <w:p>
            <w:pPr>
              <w:pStyle w:val="0"/>
            </w:pPr>
            <w:r>
              <w:rPr>
                <w:sz w:val="24"/>
              </w:rPr>
              <w:t xml:space="preserve">Прочие доходы (расходы) по перестрахованию</w:t>
            </w:r>
          </w:p>
        </w:tc>
        <w:tc>
          <w:tcPr>
            <w:tcW w:w="2608" w:type="dxa"/>
          </w:tcPr>
          <w:p>
            <w:pPr>
              <w:pStyle w:val="0"/>
            </w:pPr>
            <w:r>
              <w:rPr>
                <w:sz w:val="24"/>
              </w:rPr>
            </w:r>
          </w:p>
        </w:tc>
        <w:tc>
          <w:tcPr>
            <w:tcW w:w="2948" w:type="dxa"/>
          </w:tcPr>
          <w:p>
            <w:pPr>
              <w:pStyle w:val="0"/>
            </w:pPr>
            <w:r>
              <w:rPr>
                <w:sz w:val="24"/>
              </w:rPr>
              <w:t xml:space="preserve">ins-dic:PrRasxDoxPoPer_Opposite</w:t>
            </w:r>
          </w:p>
        </w:tc>
      </w:tr>
      <w:tr>
        <w:tc>
          <w:tcPr>
            <w:tcW w:w="907" w:type="dxa"/>
          </w:tcPr>
          <w:p>
            <w:pPr>
              <w:pStyle w:val="0"/>
            </w:pPr>
            <w:r>
              <w:rPr>
                <w:sz w:val="24"/>
              </w:rPr>
              <w:t xml:space="preserve">19.1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06" w:name="P33106"/>
          <w:bookmarkEnd w:id="33106"/>
          <w:p>
            <w:pPr>
              <w:pStyle w:val="0"/>
            </w:pPr>
            <w:r>
              <w:rPr>
                <w:sz w:val="24"/>
              </w:rPr>
              <w:t xml:space="preserve">20</w:t>
            </w:r>
          </w:p>
        </w:tc>
        <w:tc>
          <w:tcPr>
            <w:gridSpan w:val="2"/>
            <w:tcW w:w="2608" w:type="dxa"/>
          </w:tcPr>
          <w:p>
            <w:pPr>
              <w:pStyle w:val="0"/>
            </w:pPr>
            <w:r>
              <w:rPr>
                <w:sz w:val="24"/>
              </w:rPr>
              <w:t xml:space="preserve">Результат оказания страховых услуг</w:t>
            </w:r>
          </w:p>
        </w:tc>
        <w:tc>
          <w:tcPr>
            <w:tcW w:w="2608" w:type="dxa"/>
          </w:tcPr>
          <w:p>
            <w:pPr>
              <w:pStyle w:val="0"/>
            </w:pPr>
            <w:r>
              <w:rPr>
                <w:sz w:val="24"/>
              </w:rPr>
            </w:r>
          </w:p>
        </w:tc>
        <w:tc>
          <w:tcPr>
            <w:tcW w:w="2948" w:type="dxa"/>
          </w:tcPr>
          <w:p>
            <w:pPr>
              <w:pStyle w:val="0"/>
            </w:pPr>
            <w:r>
              <w:rPr>
                <w:sz w:val="24"/>
              </w:rPr>
              <w:t xml:space="preserve">ifrs-ru:RezultatOkazaniyaStraxovyxUslug</w:t>
            </w:r>
          </w:p>
        </w:tc>
      </w:tr>
      <w:tr>
        <w:tc>
          <w:tcPr>
            <w:tcW w:w="907" w:type="dxa"/>
          </w:tcPr>
          <w:p>
            <w:pPr>
              <w:pStyle w:val="0"/>
            </w:pPr>
            <w:r>
              <w:rPr>
                <w:sz w:val="24"/>
              </w:rPr>
              <w:t xml:space="preserve">20.1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14" w:name="P33114"/>
          <w:bookmarkEnd w:id="33114"/>
          <w:p>
            <w:pPr>
              <w:pStyle w:val="0"/>
            </w:pPr>
            <w:r>
              <w:rPr>
                <w:sz w:val="24"/>
              </w:rPr>
              <w:t xml:space="preserve">21</w:t>
            </w:r>
          </w:p>
        </w:tc>
        <w:tc>
          <w:tcPr>
            <w:gridSpan w:val="2"/>
            <w:tcW w:w="2608" w:type="dxa"/>
          </w:tcPr>
          <w:p>
            <w:pPr>
              <w:pStyle w:val="0"/>
            </w:pPr>
            <w:r>
              <w:rPr>
                <w:sz w:val="24"/>
              </w:rPr>
              <w:t xml:space="preserve">Финансовые доходы (расходы) по страхованию</w:t>
            </w:r>
          </w:p>
        </w:tc>
        <w:tc>
          <w:tcPr>
            <w:tcW w:w="2608" w:type="dxa"/>
          </w:tcPr>
          <w:p>
            <w:pPr>
              <w:pStyle w:val="0"/>
            </w:pPr>
            <w:r>
              <w:rPr>
                <w:sz w:val="24"/>
              </w:rPr>
            </w:r>
          </w:p>
        </w:tc>
        <w:tc>
          <w:tcPr>
            <w:tcW w:w="2948" w:type="dxa"/>
          </w:tcPr>
          <w:p>
            <w:pPr>
              <w:pStyle w:val="0"/>
            </w:pPr>
            <w:r>
              <w:rPr>
                <w:sz w:val="24"/>
              </w:rPr>
              <w:t xml:space="preserve">ifrs-ru:FinDoxRasxPoStr</w:t>
            </w:r>
          </w:p>
        </w:tc>
      </w:tr>
      <w:tr>
        <w:tc>
          <w:tcPr>
            <w:tcW w:w="907" w:type="dxa"/>
          </w:tcPr>
          <w:p>
            <w:pPr>
              <w:pStyle w:val="0"/>
            </w:pPr>
            <w:r>
              <w:rPr>
                <w:sz w:val="24"/>
              </w:rPr>
              <w:t xml:space="preserve">21.1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21.2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26" w:name="P33126"/>
          <w:bookmarkEnd w:id="33126"/>
          <w:p>
            <w:pPr>
              <w:pStyle w:val="0"/>
            </w:pPr>
            <w:r>
              <w:rPr>
                <w:sz w:val="24"/>
              </w:rPr>
              <w:t xml:space="preserve">22</w:t>
            </w:r>
          </w:p>
        </w:tc>
        <w:tc>
          <w:tcPr>
            <w:gridSpan w:val="2"/>
            <w:tcW w:w="2608" w:type="dxa"/>
          </w:tcPr>
          <w:p>
            <w:pPr>
              <w:pStyle w:val="0"/>
            </w:pPr>
            <w:r>
              <w:rPr>
                <w:sz w:val="24"/>
              </w:rPr>
              <w:t xml:space="preserve">Отражено в составе прибыли или убытка, в том числе:</w:t>
            </w:r>
          </w:p>
        </w:tc>
        <w:tc>
          <w:tcPr>
            <w:tcW w:w="2608" w:type="dxa"/>
          </w:tcPr>
          <w:p>
            <w:pPr>
              <w:pStyle w:val="0"/>
            </w:pPr>
            <w:r>
              <w:rPr>
                <w:sz w:val="24"/>
              </w:rPr>
            </w:r>
          </w:p>
        </w:tc>
        <w:tc>
          <w:tcPr>
            <w:tcW w:w="2948" w:type="dxa"/>
          </w:tcPr>
          <w:p>
            <w:pPr>
              <w:pStyle w:val="0"/>
            </w:pPr>
            <w:r>
              <w:rPr>
                <w:sz w:val="24"/>
              </w:rPr>
              <w:t xml:space="preserve">ifrs-ru:OtrVSosPrUb_FinDoxRasx</w:t>
            </w:r>
          </w:p>
        </w:tc>
      </w:tr>
      <w:tr>
        <w:tc>
          <w:tcPr>
            <w:tcW w:w="907" w:type="dxa"/>
          </w:tcPr>
          <w:p>
            <w:pPr>
              <w:pStyle w:val="0"/>
            </w:pPr>
            <w:r>
              <w:rPr>
                <w:sz w:val="24"/>
              </w:rPr>
              <w:t xml:space="preserve">22.1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22.2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38" w:name="P33138"/>
          <w:bookmarkEnd w:id="33138"/>
          <w:p>
            <w:pPr>
              <w:pStyle w:val="0"/>
            </w:pPr>
            <w:r>
              <w:rPr>
                <w:sz w:val="24"/>
              </w:rPr>
              <w:t xml:space="preserve">23</w:t>
            </w:r>
          </w:p>
        </w:tc>
        <w:tc>
          <w:tcPr>
            <w:gridSpan w:val="2"/>
            <w:tcW w:w="2608" w:type="dxa"/>
          </w:tcPr>
          <w:p>
            <w:pPr>
              <w:pStyle w:val="0"/>
            </w:pPr>
            <w:r>
              <w:rPr>
                <w:sz w:val="24"/>
              </w:rPr>
              <w:t xml:space="preserve">Изменения в справедливой стоимости базовых активов по группам договоров страхования жизни, оцениваемых с применением модели с переменным вознаграждением</w:t>
            </w:r>
          </w:p>
        </w:tc>
        <w:tc>
          <w:tcPr>
            <w:tcW w:w="2608" w:type="dxa"/>
          </w:tcPr>
          <w:p>
            <w:pPr>
              <w:pStyle w:val="0"/>
            </w:pPr>
            <w:r>
              <w:rPr>
                <w:sz w:val="24"/>
              </w:rPr>
            </w:r>
          </w:p>
        </w:tc>
        <w:tc>
          <w:tcPr>
            <w:tcW w:w="2948" w:type="dxa"/>
          </w:tcPr>
          <w:p>
            <w:pPr>
              <w:pStyle w:val="0"/>
            </w:pPr>
            <w:r>
              <w:rPr>
                <w:sz w:val="24"/>
              </w:rPr>
              <w:t xml:space="preserve">ifrs-ru:IzmVSSBazAktPoGrDogStrZHOczSPrimModSPerVoz_FinDoxRasx</w:t>
            </w:r>
          </w:p>
        </w:tc>
      </w:tr>
      <w:tr>
        <w:tc>
          <w:tcPr>
            <w:tcW w:w="907" w:type="dxa"/>
          </w:tcPr>
          <w:p>
            <w:pPr>
              <w:pStyle w:val="0"/>
            </w:pPr>
            <w:r>
              <w:rPr>
                <w:sz w:val="24"/>
              </w:rPr>
              <w:t xml:space="preserve">23.1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23.2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50" w:name="P33150"/>
          <w:bookmarkEnd w:id="33150"/>
          <w:p>
            <w:pPr>
              <w:pStyle w:val="0"/>
            </w:pPr>
            <w:r>
              <w:rPr>
                <w:sz w:val="24"/>
              </w:rPr>
              <w:t xml:space="preserve">24</w:t>
            </w:r>
          </w:p>
        </w:tc>
        <w:tc>
          <w:tcPr>
            <w:gridSpan w:val="2"/>
            <w:tcW w:w="2608" w:type="dxa"/>
          </w:tcPr>
          <w:p>
            <w:pPr>
              <w:pStyle w:val="0"/>
            </w:pPr>
            <w:r>
              <w:rPr>
                <w:sz w:val="24"/>
              </w:rPr>
              <w:t xml:space="preserve">Эффект снижения влияния временной стоимости денег и финансового риска</w:t>
            </w:r>
          </w:p>
        </w:tc>
        <w:tc>
          <w:tcPr>
            <w:tcW w:w="2608" w:type="dxa"/>
          </w:tcPr>
          <w:p>
            <w:pPr>
              <w:pStyle w:val="0"/>
            </w:pPr>
            <w:r>
              <w:rPr>
                <w:sz w:val="24"/>
              </w:rPr>
            </w:r>
          </w:p>
        </w:tc>
        <w:tc>
          <w:tcPr>
            <w:tcW w:w="2948" w:type="dxa"/>
          </w:tcPr>
          <w:p>
            <w:pPr>
              <w:pStyle w:val="0"/>
            </w:pPr>
            <w:r>
              <w:rPr>
                <w:sz w:val="24"/>
              </w:rPr>
              <w:t xml:space="preserve">ifrs-ru:EfSnVIVrStDenFinRis_FinDoxRasx</w:t>
            </w:r>
          </w:p>
        </w:tc>
      </w:tr>
      <w:tr>
        <w:tc>
          <w:tcPr>
            <w:tcW w:w="907" w:type="dxa"/>
          </w:tcPr>
          <w:p>
            <w:pPr>
              <w:pStyle w:val="0"/>
            </w:pPr>
            <w:r>
              <w:rPr>
                <w:sz w:val="24"/>
              </w:rPr>
              <w:t xml:space="preserve">24.1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24.2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62" w:name="P33162"/>
          <w:bookmarkEnd w:id="33162"/>
          <w:p>
            <w:pPr>
              <w:pStyle w:val="0"/>
            </w:pPr>
            <w:r>
              <w:rPr>
                <w:sz w:val="24"/>
              </w:rPr>
              <w:t xml:space="preserve">25</w:t>
            </w:r>
          </w:p>
        </w:tc>
        <w:tc>
          <w:tcPr>
            <w:gridSpan w:val="2"/>
            <w:tcW w:w="2608" w:type="dxa"/>
          </w:tcPr>
          <w:p>
            <w:pPr>
              <w:pStyle w:val="0"/>
            </w:pPr>
            <w:r>
              <w:rPr>
                <w:sz w:val="24"/>
              </w:rPr>
              <w:t xml:space="preserve">Процентные доходы (расходы) для отражения влияния и изменения временной стоимости денег</w:t>
            </w:r>
          </w:p>
        </w:tc>
        <w:tc>
          <w:tcPr>
            <w:tcW w:w="2608" w:type="dxa"/>
          </w:tcPr>
          <w:p>
            <w:pPr>
              <w:pStyle w:val="0"/>
            </w:pPr>
            <w:r>
              <w:rPr>
                <w:sz w:val="24"/>
              </w:rPr>
            </w:r>
          </w:p>
        </w:tc>
        <w:tc>
          <w:tcPr>
            <w:tcW w:w="2948" w:type="dxa"/>
          </w:tcPr>
          <w:p>
            <w:pPr>
              <w:pStyle w:val="0"/>
            </w:pPr>
            <w:r>
              <w:rPr>
                <w:sz w:val="24"/>
              </w:rPr>
              <w:t xml:space="preserve">ifrs-ru:PrDoxRasxDlOtrVlIzmVrStDen_FinDoxRasx</w:t>
            </w:r>
          </w:p>
        </w:tc>
      </w:tr>
      <w:tr>
        <w:tc>
          <w:tcPr>
            <w:tcW w:w="907" w:type="dxa"/>
          </w:tcPr>
          <w:p>
            <w:pPr>
              <w:pStyle w:val="0"/>
            </w:pPr>
            <w:r>
              <w:rPr>
                <w:sz w:val="24"/>
              </w:rPr>
              <w:t xml:space="preserve">25.1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25.2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74" w:name="P33174"/>
          <w:bookmarkEnd w:id="33174"/>
          <w:p>
            <w:pPr>
              <w:pStyle w:val="0"/>
            </w:pPr>
            <w:r>
              <w:rPr>
                <w:sz w:val="24"/>
              </w:rPr>
              <w:t xml:space="preserve">26</w:t>
            </w:r>
          </w:p>
        </w:tc>
        <w:tc>
          <w:tcPr>
            <w:gridSpan w:val="2"/>
            <w:tcW w:w="2608" w:type="dxa"/>
          </w:tcPr>
          <w:p>
            <w:pPr>
              <w:pStyle w:val="0"/>
            </w:pPr>
            <w:r>
              <w:rPr>
                <w:sz w:val="24"/>
              </w:rPr>
              <w:t xml:space="preserve">Эффект изменения в процентных ставках и допущениях</w:t>
            </w:r>
          </w:p>
        </w:tc>
        <w:tc>
          <w:tcPr>
            <w:tcW w:w="2608" w:type="dxa"/>
          </w:tcPr>
          <w:p>
            <w:pPr>
              <w:pStyle w:val="0"/>
            </w:pPr>
            <w:r>
              <w:rPr>
                <w:sz w:val="24"/>
              </w:rPr>
            </w:r>
          </w:p>
        </w:tc>
        <w:tc>
          <w:tcPr>
            <w:tcW w:w="2948" w:type="dxa"/>
          </w:tcPr>
          <w:p>
            <w:pPr>
              <w:pStyle w:val="0"/>
            </w:pPr>
            <w:r>
              <w:rPr>
                <w:sz w:val="24"/>
              </w:rPr>
              <w:t xml:space="preserve">ifrs-ru:EfIzmVPrStDop_FinDoxRasx</w:t>
            </w:r>
          </w:p>
        </w:tc>
      </w:tr>
      <w:tr>
        <w:tc>
          <w:tcPr>
            <w:tcW w:w="907" w:type="dxa"/>
          </w:tcPr>
          <w:p>
            <w:pPr>
              <w:pStyle w:val="0"/>
            </w:pPr>
            <w:r>
              <w:rPr>
                <w:sz w:val="24"/>
              </w:rPr>
              <w:t xml:space="preserve">26.1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26.2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86" w:name="P33186"/>
          <w:bookmarkEnd w:id="33186"/>
          <w:p>
            <w:pPr>
              <w:pStyle w:val="0"/>
            </w:pPr>
            <w:r>
              <w:rPr>
                <w:sz w:val="24"/>
              </w:rPr>
              <w:t xml:space="preserve">27</w:t>
            </w:r>
          </w:p>
        </w:tc>
        <w:tc>
          <w:tcPr>
            <w:gridSpan w:val="2"/>
            <w:tcW w:w="2608" w:type="dxa"/>
          </w:tcPr>
          <w:p>
            <w:pPr>
              <w:pStyle w:val="0"/>
            </w:pPr>
            <w:r>
              <w:rPr>
                <w:sz w:val="24"/>
              </w:rPr>
              <w:t xml:space="preserve">Курсовые разницы</w:t>
            </w:r>
          </w:p>
        </w:tc>
        <w:tc>
          <w:tcPr>
            <w:tcW w:w="2608" w:type="dxa"/>
          </w:tcPr>
          <w:p>
            <w:pPr>
              <w:pStyle w:val="0"/>
            </w:pPr>
            <w:r>
              <w:rPr>
                <w:sz w:val="24"/>
              </w:rPr>
            </w:r>
          </w:p>
        </w:tc>
        <w:tc>
          <w:tcPr>
            <w:tcW w:w="2948" w:type="dxa"/>
          </w:tcPr>
          <w:p>
            <w:pPr>
              <w:pStyle w:val="0"/>
            </w:pPr>
            <w:r>
              <w:rPr>
                <w:sz w:val="24"/>
              </w:rPr>
              <w:t xml:space="preserve">ifrs-ru:KurRaz_FinDoxRasx</w:t>
            </w:r>
          </w:p>
        </w:tc>
      </w:tr>
      <w:tr>
        <w:tc>
          <w:tcPr>
            <w:tcW w:w="907" w:type="dxa"/>
          </w:tcPr>
          <w:p>
            <w:pPr>
              <w:pStyle w:val="0"/>
            </w:pPr>
            <w:r>
              <w:rPr>
                <w:sz w:val="24"/>
              </w:rPr>
              <w:t xml:space="preserve">27.1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27.2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198" w:name="P33198"/>
          <w:bookmarkEnd w:id="33198"/>
          <w:p>
            <w:pPr>
              <w:pStyle w:val="0"/>
            </w:pPr>
            <w:r>
              <w:rPr>
                <w:sz w:val="24"/>
              </w:rPr>
              <w:t xml:space="preserve">28</w:t>
            </w:r>
          </w:p>
        </w:tc>
        <w:tc>
          <w:tcPr>
            <w:gridSpan w:val="2"/>
            <w:tcW w:w="2608" w:type="dxa"/>
          </w:tcPr>
          <w:p>
            <w:pPr>
              <w:pStyle w:val="0"/>
            </w:pPr>
            <w:r>
              <w:rPr>
                <w:sz w:val="24"/>
              </w:rPr>
              <w:t xml:space="preserve">Прочее</w:t>
            </w:r>
          </w:p>
        </w:tc>
        <w:tc>
          <w:tcPr>
            <w:tcW w:w="2608" w:type="dxa"/>
          </w:tcPr>
          <w:p>
            <w:pPr>
              <w:pStyle w:val="0"/>
            </w:pPr>
            <w:r>
              <w:rPr>
                <w:sz w:val="24"/>
              </w:rPr>
            </w:r>
          </w:p>
        </w:tc>
        <w:tc>
          <w:tcPr>
            <w:tcW w:w="2948" w:type="dxa"/>
          </w:tcPr>
          <w:p>
            <w:pPr>
              <w:pStyle w:val="0"/>
            </w:pPr>
            <w:r>
              <w:rPr>
                <w:sz w:val="24"/>
              </w:rPr>
              <w:t xml:space="preserve">ifrs-ru:PrOtrVSosPrUb_FinDoxRasx</w:t>
            </w:r>
          </w:p>
        </w:tc>
      </w:tr>
      <w:tr>
        <w:tc>
          <w:tcPr>
            <w:tcW w:w="907" w:type="dxa"/>
          </w:tcPr>
          <w:p>
            <w:pPr>
              <w:pStyle w:val="0"/>
            </w:pPr>
            <w:r>
              <w:rPr>
                <w:sz w:val="24"/>
              </w:rPr>
              <w:t xml:space="preserve">28.1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28.2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bookmarkStart w:id="33210" w:name="P33210"/>
          <w:bookmarkEnd w:id="33210"/>
          <w:p>
            <w:pPr>
              <w:pStyle w:val="0"/>
            </w:pPr>
            <w:r>
              <w:rPr>
                <w:sz w:val="24"/>
              </w:rPr>
              <w:t xml:space="preserve">29</w:t>
            </w:r>
          </w:p>
        </w:tc>
        <w:tc>
          <w:tcPr>
            <w:gridSpan w:val="2"/>
            <w:tcW w:w="2608" w:type="dxa"/>
          </w:tcPr>
          <w:p>
            <w:pPr>
              <w:pStyle w:val="0"/>
            </w:pPr>
            <w:r>
              <w:rPr>
                <w:sz w:val="24"/>
              </w:rPr>
              <w:t xml:space="preserve">Отражено в составе прочего совокупного дохода</w:t>
            </w:r>
          </w:p>
        </w:tc>
        <w:tc>
          <w:tcPr>
            <w:tcW w:w="2608" w:type="dxa"/>
          </w:tcPr>
          <w:p>
            <w:pPr>
              <w:pStyle w:val="0"/>
            </w:pPr>
            <w:r>
              <w:rPr>
                <w:sz w:val="24"/>
              </w:rPr>
            </w:r>
          </w:p>
        </w:tc>
        <w:tc>
          <w:tcPr>
            <w:tcW w:w="2948" w:type="dxa"/>
          </w:tcPr>
          <w:p>
            <w:pPr>
              <w:pStyle w:val="0"/>
            </w:pPr>
            <w:r>
              <w:rPr>
                <w:sz w:val="24"/>
              </w:rPr>
              <w:t xml:space="preserve">ifrs-ru:OtrVSosPSD_FinDoxRasx</w:t>
            </w:r>
          </w:p>
        </w:tc>
      </w:tr>
      <w:tr>
        <w:tc>
          <w:tcPr>
            <w:tcW w:w="907" w:type="dxa"/>
          </w:tcPr>
          <w:p>
            <w:pPr>
              <w:pStyle w:val="0"/>
            </w:pPr>
            <w:r>
              <w:rPr>
                <w:sz w:val="24"/>
              </w:rPr>
              <w:t xml:space="preserve">29.1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29.2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blPrEx>
          <w:tblBorders>
            <w:insideV w:val="nil"/>
          </w:tblBorders>
        </w:tblPrEx>
        <w:tc>
          <w:tcPr>
            <w:gridSpan w:val="2"/>
            <w:tcW w:w="1165" w:type="dxa"/>
            <w:tcBorders>
              <w:left w:val="single" w:sz="4"/>
            </w:tcBorders>
          </w:tcPr>
          <w:bookmarkStart w:id="33222" w:name="P33222"/>
          <w:bookmarkEnd w:id="33222"/>
          <w:p>
            <w:pPr>
              <w:pStyle w:val="0"/>
              <w:outlineLvl w:val="3"/>
            </w:pPr>
            <w:r>
              <w:rPr>
                <w:sz w:val="24"/>
              </w:rPr>
              <w:t xml:space="preserve">Раздел 2.</w:t>
            </w:r>
          </w:p>
        </w:tc>
        <w:tc>
          <w:tcPr>
            <w:gridSpan w:val="3"/>
            <w:tcW w:w="7906" w:type="dxa"/>
            <w:tcBorders>
              <w:right w:val="single" w:sz="4"/>
            </w:tcBorders>
          </w:tcPr>
          <w:p>
            <w:pPr>
              <w:pStyle w:val="0"/>
            </w:pPr>
            <w:r>
              <w:rPr>
                <w:sz w:val="24"/>
              </w:rPr>
              <w:t xml:space="preserve">Структура финансового результата по портфелям договоров</w:t>
            </w:r>
          </w:p>
        </w:tc>
      </w:tr>
      <w:tr>
        <w:tc>
          <w:tcPr>
            <w:tcW w:w="907" w:type="dxa"/>
          </w:tcPr>
          <w:bookmarkStart w:id="33224" w:name="P33224"/>
          <w:bookmarkEnd w:id="33224"/>
          <w:p>
            <w:pPr>
              <w:pStyle w:val="0"/>
            </w:pPr>
            <w:r>
              <w:rPr>
                <w:sz w:val="24"/>
              </w:rPr>
              <w:t xml:space="preserve">30</w:t>
            </w:r>
          </w:p>
        </w:tc>
        <w:tc>
          <w:tcPr>
            <w:gridSpan w:val="2"/>
            <w:tcW w:w="2608" w:type="dxa"/>
          </w:tcPr>
          <w:p>
            <w:pPr>
              <w:pStyle w:val="0"/>
            </w:pPr>
            <w:r>
              <w:rPr>
                <w:sz w:val="24"/>
              </w:rPr>
              <w:t xml:space="preserve">Выручка по страхованию по группам договоров страхования и выпущенных (принятых) договоров перестрахования, в том числе:</w:t>
            </w:r>
          </w:p>
        </w:tc>
        <w:tc>
          <w:tcPr>
            <w:tcW w:w="2608" w:type="dxa"/>
          </w:tcPr>
          <w:p>
            <w:pPr>
              <w:pStyle w:val="0"/>
            </w:pPr>
            <w:r>
              <w:rPr>
                <w:sz w:val="24"/>
              </w:rPr>
            </w:r>
          </w:p>
        </w:tc>
        <w:tc>
          <w:tcPr>
            <w:tcW w:w="2948" w:type="dxa"/>
          </w:tcPr>
          <w:p>
            <w:pPr>
              <w:pStyle w:val="0"/>
            </w:pPr>
            <w:r>
              <w:rPr>
                <w:sz w:val="24"/>
              </w:rPr>
              <w:t xml:space="preserve">ifrs-ru:VyrPoStrPoGrDogStrVypPrDogPer</w:t>
            </w:r>
          </w:p>
        </w:tc>
      </w:tr>
      <w:tr>
        <w:tc>
          <w:tcPr>
            <w:tcW w:w="907" w:type="dxa"/>
          </w:tcPr>
          <w:p>
            <w:pPr>
              <w:pStyle w:val="0"/>
            </w:pPr>
            <w:r>
              <w:rPr>
                <w:sz w:val="24"/>
              </w:rPr>
              <w:t xml:space="preserve">30.1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30.2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236" w:name="P33236"/>
          <w:bookmarkEnd w:id="33236"/>
          <w:p>
            <w:pPr>
              <w:pStyle w:val="0"/>
            </w:pPr>
            <w:r>
              <w:rPr>
                <w:sz w:val="24"/>
              </w:rPr>
              <w:t xml:space="preserve">31</w:t>
            </w:r>
          </w:p>
        </w:tc>
        <w:tc>
          <w:tcPr>
            <w:gridSpan w:val="2"/>
            <w:tcW w:w="2608" w:type="dxa"/>
          </w:tcPr>
          <w:p>
            <w:pPr>
              <w:pStyle w:val="0"/>
            </w:pPr>
            <w:r>
              <w:rPr>
                <w:sz w:val="24"/>
              </w:rPr>
              <w:t xml:space="preserve">Суммы, связанные с оказанием услуг, в том числе:</w:t>
            </w:r>
          </w:p>
        </w:tc>
        <w:tc>
          <w:tcPr>
            <w:tcW w:w="2608" w:type="dxa"/>
          </w:tcPr>
          <w:p>
            <w:pPr>
              <w:pStyle w:val="0"/>
            </w:pPr>
            <w:r>
              <w:rPr>
                <w:sz w:val="24"/>
              </w:rPr>
            </w:r>
          </w:p>
        </w:tc>
        <w:tc>
          <w:tcPr>
            <w:tcW w:w="2948" w:type="dxa"/>
          </w:tcPr>
          <w:p>
            <w:pPr>
              <w:pStyle w:val="0"/>
            </w:pPr>
            <w:r>
              <w:rPr>
                <w:sz w:val="24"/>
              </w:rPr>
              <w:t xml:space="preserve">ifrs-ru:SumSvSOkUsl</w:t>
            </w:r>
          </w:p>
        </w:tc>
      </w:tr>
      <w:tr>
        <w:tc>
          <w:tcPr>
            <w:tcW w:w="907" w:type="dxa"/>
          </w:tcPr>
          <w:p>
            <w:pPr>
              <w:pStyle w:val="0"/>
            </w:pPr>
            <w:r>
              <w:rPr>
                <w:sz w:val="24"/>
              </w:rPr>
              <w:t xml:space="preserve">31.1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31.2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248" w:name="P33248"/>
          <w:bookmarkEnd w:id="33248"/>
          <w:p>
            <w:pPr>
              <w:pStyle w:val="0"/>
            </w:pPr>
            <w:r>
              <w:rPr>
                <w:sz w:val="24"/>
              </w:rPr>
              <w:t xml:space="preserve">32</w:t>
            </w:r>
          </w:p>
        </w:tc>
        <w:tc>
          <w:tcPr>
            <w:gridSpan w:val="2"/>
            <w:tcW w:w="2608" w:type="dxa"/>
          </w:tcPr>
          <w:p>
            <w:pPr>
              <w:pStyle w:val="0"/>
            </w:pPr>
            <w:r>
              <w:rPr>
                <w:sz w:val="24"/>
              </w:rPr>
              <w:t xml:space="preserve">Расходы по услугам страхования, понесенные в течение отчетного периода, не отнесенные к компоненту убытка</w:t>
            </w:r>
          </w:p>
        </w:tc>
        <w:tc>
          <w:tcPr>
            <w:tcW w:w="2608" w:type="dxa"/>
          </w:tcPr>
          <w:p>
            <w:pPr>
              <w:pStyle w:val="0"/>
            </w:pPr>
            <w:r>
              <w:rPr>
                <w:sz w:val="24"/>
              </w:rPr>
            </w:r>
          </w:p>
        </w:tc>
        <w:tc>
          <w:tcPr>
            <w:tcW w:w="2948" w:type="dxa"/>
          </w:tcPr>
          <w:p>
            <w:pPr>
              <w:pStyle w:val="0"/>
            </w:pPr>
            <w:r>
              <w:rPr>
                <w:sz w:val="24"/>
              </w:rPr>
              <w:t xml:space="preserve">ifrs-ru:RasxPoUslStrPonVTechOtchPerNeOtnKKomUb</w:t>
            </w:r>
          </w:p>
        </w:tc>
      </w:tr>
      <w:tr>
        <w:tc>
          <w:tcPr>
            <w:tcW w:w="907" w:type="dxa"/>
          </w:tcPr>
          <w:p>
            <w:pPr>
              <w:pStyle w:val="0"/>
            </w:pPr>
            <w:r>
              <w:rPr>
                <w:sz w:val="24"/>
              </w:rPr>
              <w:t xml:space="preserve">32.1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32.2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260" w:name="P33260"/>
          <w:bookmarkEnd w:id="33260"/>
          <w:p>
            <w:pPr>
              <w:pStyle w:val="0"/>
            </w:pPr>
            <w:r>
              <w:rPr>
                <w:sz w:val="24"/>
              </w:rPr>
              <w:t xml:space="preserve">33</w:t>
            </w:r>
          </w:p>
        </w:tc>
        <w:tc>
          <w:tcPr>
            <w:gridSpan w:val="2"/>
            <w:tcW w:w="2608" w:type="dxa"/>
          </w:tcPr>
          <w:p>
            <w:pPr>
              <w:pStyle w:val="0"/>
            </w:pPr>
            <w:r>
              <w:rPr>
                <w:sz w:val="24"/>
              </w:rPr>
              <w:t xml:space="preserve">Изменение рисковой поправки на нефинансовый риск, не отнесенное к компоненту убытка</w:t>
            </w:r>
          </w:p>
        </w:tc>
        <w:tc>
          <w:tcPr>
            <w:tcW w:w="2608" w:type="dxa"/>
          </w:tcPr>
          <w:p>
            <w:pPr>
              <w:pStyle w:val="0"/>
            </w:pPr>
            <w:r>
              <w:rPr>
                <w:sz w:val="24"/>
              </w:rPr>
            </w:r>
          </w:p>
        </w:tc>
        <w:tc>
          <w:tcPr>
            <w:tcW w:w="2948" w:type="dxa"/>
          </w:tcPr>
          <w:p>
            <w:pPr>
              <w:pStyle w:val="0"/>
            </w:pPr>
            <w:r>
              <w:rPr>
                <w:sz w:val="24"/>
              </w:rPr>
              <w:t xml:space="preserve">ifrs-ru:IzmRiskPoprNaNefRiskNeOtnKKomUb</w:t>
            </w:r>
          </w:p>
        </w:tc>
      </w:tr>
      <w:tr>
        <w:tc>
          <w:tcPr>
            <w:tcW w:w="907" w:type="dxa"/>
          </w:tcPr>
          <w:p>
            <w:pPr>
              <w:pStyle w:val="0"/>
            </w:pPr>
            <w:r>
              <w:rPr>
                <w:sz w:val="24"/>
              </w:rPr>
              <w:t xml:space="preserve">33.1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33.2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272" w:name="P33272"/>
          <w:bookmarkEnd w:id="33272"/>
          <w:p>
            <w:pPr>
              <w:pStyle w:val="0"/>
            </w:pPr>
            <w:r>
              <w:rPr>
                <w:sz w:val="24"/>
              </w:rPr>
              <w:t xml:space="preserve">34</w:t>
            </w:r>
          </w:p>
        </w:tc>
        <w:tc>
          <w:tcPr>
            <w:gridSpan w:val="2"/>
            <w:tcW w:w="2608" w:type="dxa"/>
          </w:tcPr>
          <w:p>
            <w:pPr>
              <w:pStyle w:val="0"/>
            </w:pPr>
            <w:r>
              <w:rPr>
                <w:sz w:val="24"/>
              </w:rPr>
              <w:t xml:space="preserve">Сумма маржи за предусмотренные договором услуги, признанной в составе прибыли или убытка вследствие предоставления услуг по договору страхования в отчетном периоде</w:t>
            </w:r>
          </w:p>
        </w:tc>
        <w:tc>
          <w:tcPr>
            <w:tcW w:w="2608" w:type="dxa"/>
          </w:tcPr>
          <w:p>
            <w:pPr>
              <w:pStyle w:val="0"/>
            </w:pPr>
            <w:r>
              <w:rPr>
                <w:sz w:val="24"/>
              </w:rPr>
            </w:r>
          </w:p>
        </w:tc>
        <w:tc>
          <w:tcPr>
            <w:tcW w:w="2948" w:type="dxa"/>
          </w:tcPr>
          <w:p>
            <w:pPr>
              <w:pStyle w:val="0"/>
            </w:pPr>
            <w:r>
              <w:rPr>
                <w:sz w:val="24"/>
              </w:rPr>
              <w:t xml:space="preserve">ifrs-ru:SumMarZaPredDogUsPrizVSosPrUbVslPredUslPoDogStrVOtchPer</w:t>
            </w:r>
          </w:p>
        </w:tc>
      </w:tr>
      <w:tr>
        <w:tc>
          <w:tcPr>
            <w:tcW w:w="907" w:type="dxa"/>
          </w:tcPr>
          <w:p>
            <w:pPr>
              <w:pStyle w:val="0"/>
            </w:pPr>
            <w:r>
              <w:rPr>
                <w:sz w:val="24"/>
              </w:rPr>
              <w:t xml:space="preserve">34.1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34.2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284" w:name="P33284"/>
          <w:bookmarkEnd w:id="33284"/>
          <w:p>
            <w:pPr>
              <w:pStyle w:val="0"/>
            </w:pPr>
            <w:r>
              <w:rPr>
                <w:sz w:val="24"/>
              </w:rPr>
              <w:t xml:space="preserve">35</w:t>
            </w:r>
          </w:p>
        </w:tc>
        <w:tc>
          <w:tcPr>
            <w:gridSpan w:val="2"/>
            <w:tcW w:w="2608" w:type="dxa"/>
          </w:tcPr>
          <w:p>
            <w:pPr>
              <w:pStyle w:val="0"/>
            </w:pPr>
            <w:r>
              <w:rPr>
                <w:sz w:val="24"/>
              </w:rPr>
              <w:t xml:space="preserve">Выручка по страхованию по договорам страхования, оцениваемым с применением подхода на основе распределения премии</w:t>
            </w:r>
          </w:p>
        </w:tc>
        <w:tc>
          <w:tcPr>
            <w:tcW w:w="2608" w:type="dxa"/>
          </w:tcPr>
          <w:p>
            <w:pPr>
              <w:pStyle w:val="0"/>
            </w:pPr>
            <w:r>
              <w:rPr>
                <w:sz w:val="24"/>
              </w:rPr>
            </w:r>
          </w:p>
        </w:tc>
        <w:tc>
          <w:tcPr>
            <w:tcW w:w="2948" w:type="dxa"/>
          </w:tcPr>
          <w:p>
            <w:pPr>
              <w:pStyle w:val="0"/>
            </w:pPr>
            <w:r>
              <w:rPr>
                <w:sz w:val="24"/>
              </w:rPr>
              <w:t xml:space="preserve">ifrs-ru:VyrPoStrPoDogStrOczSPrimPodNaOsnRasPrem</w:t>
            </w:r>
          </w:p>
        </w:tc>
      </w:tr>
      <w:tr>
        <w:tc>
          <w:tcPr>
            <w:tcW w:w="907" w:type="dxa"/>
          </w:tcPr>
          <w:p>
            <w:pPr>
              <w:pStyle w:val="0"/>
            </w:pPr>
            <w:r>
              <w:rPr>
                <w:sz w:val="24"/>
              </w:rPr>
              <w:t xml:space="preserve">35.1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35.2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296" w:name="P33296"/>
          <w:bookmarkEnd w:id="33296"/>
          <w:p>
            <w:pPr>
              <w:pStyle w:val="0"/>
            </w:pPr>
            <w:r>
              <w:rPr>
                <w:sz w:val="24"/>
              </w:rPr>
              <w:t xml:space="preserve">36</w:t>
            </w:r>
          </w:p>
        </w:tc>
        <w:tc>
          <w:tcPr>
            <w:gridSpan w:val="2"/>
            <w:tcW w:w="2608" w:type="dxa"/>
          </w:tcPr>
          <w:p>
            <w:pPr>
              <w:pStyle w:val="0"/>
            </w:pPr>
            <w:r>
              <w:rPr>
                <w:sz w:val="24"/>
              </w:rPr>
              <w:t xml:space="preserve">Прочее</w:t>
            </w:r>
          </w:p>
        </w:tc>
        <w:tc>
          <w:tcPr>
            <w:tcW w:w="2608" w:type="dxa"/>
          </w:tcPr>
          <w:p>
            <w:pPr>
              <w:pStyle w:val="0"/>
            </w:pPr>
            <w:r>
              <w:rPr>
                <w:sz w:val="24"/>
              </w:rPr>
            </w:r>
          </w:p>
        </w:tc>
        <w:tc>
          <w:tcPr>
            <w:tcW w:w="2948" w:type="dxa"/>
          </w:tcPr>
          <w:p>
            <w:pPr>
              <w:pStyle w:val="0"/>
            </w:pPr>
            <w:r>
              <w:rPr>
                <w:sz w:val="24"/>
              </w:rPr>
              <w:t xml:space="preserve">ifrs-ru:PrSumSvSOkUsl</w:t>
            </w:r>
          </w:p>
        </w:tc>
      </w:tr>
      <w:tr>
        <w:tc>
          <w:tcPr>
            <w:tcW w:w="907" w:type="dxa"/>
          </w:tcPr>
          <w:p>
            <w:pPr>
              <w:pStyle w:val="0"/>
            </w:pPr>
            <w:r>
              <w:rPr>
                <w:sz w:val="24"/>
              </w:rPr>
              <w:t xml:space="preserve">36.1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36.2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08" w:name="P33308"/>
          <w:bookmarkEnd w:id="33308"/>
          <w:p>
            <w:pPr>
              <w:pStyle w:val="0"/>
            </w:pPr>
            <w:r>
              <w:rPr>
                <w:sz w:val="24"/>
              </w:rPr>
              <w:t xml:space="preserve">37</w:t>
            </w:r>
          </w:p>
        </w:tc>
        <w:tc>
          <w:tcPr>
            <w:gridSpan w:val="2"/>
            <w:tcW w:w="2608" w:type="dxa"/>
          </w:tcPr>
          <w:p>
            <w:pPr>
              <w:pStyle w:val="0"/>
            </w:pPr>
            <w:r>
              <w:rPr>
                <w:sz w:val="24"/>
              </w:rPr>
              <w:t xml:space="preserve">Суммы, относящиеся к аквизиционным денежным потокам</w:t>
            </w:r>
          </w:p>
        </w:tc>
        <w:tc>
          <w:tcPr>
            <w:tcW w:w="2608" w:type="dxa"/>
          </w:tcPr>
          <w:p>
            <w:pPr>
              <w:pStyle w:val="0"/>
            </w:pPr>
            <w:r>
              <w:rPr>
                <w:sz w:val="24"/>
              </w:rPr>
            </w:r>
          </w:p>
        </w:tc>
        <w:tc>
          <w:tcPr>
            <w:tcW w:w="2948" w:type="dxa"/>
          </w:tcPr>
          <w:p>
            <w:pPr>
              <w:pStyle w:val="0"/>
            </w:pPr>
            <w:r>
              <w:rPr>
                <w:sz w:val="24"/>
              </w:rPr>
              <w:t xml:space="preserve">ifrs-ru:SumOtnKAkvDP</w:t>
            </w:r>
          </w:p>
        </w:tc>
      </w:tr>
      <w:tr>
        <w:tc>
          <w:tcPr>
            <w:tcW w:w="907" w:type="dxa"/>
          </w:tcPr>
          <w:p>
            <w:pPr>
              <w:pStyle w:val="0"/>
            </w:pPr>
            <w:r>
              <w:rPr>
                <w:sz w:val="24"/>
              </w:rPr>
              <w:t xml:space="preserve">37.1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37.2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20" w:name="P33320"/>
          <w:bookmarkEnd w:id="33320"/>
          <w:p>
            <w:pPr>
              <w:pStyle w:val="0"/>
            </w:pPr>
            <w:r>
              <w:rPr>
                <w:sz w:val="24"/>
              </w:rPr>
              <w:t xml:space="preserve">38</w:t>
            </w:r>
          </w:p>
        </w:tc>
        <w:tc>
          <w:tcPr>
            <w:gridSpan w:val="2"/>
            <w:tcW w:w="2608" w:type="dxa"/>
          </w:tcPr>
          <w:p>
            <w:pPr>
              <w:pStyle w:val="0"/>
            </w:pPr>
            <w:r>
              <w:rPr>
                <w:sz w:val="24"/>
              </w:rPr>
              <w:t xml:space="preserve">Расходы по страхованию по группам договоров страхования и выпущенных (принятых) договоров перестрахования, в том числе:</w:t>
            </w:r>
          </w:p>
        </w:tc>
        <w:tc>
          <w:tcPr>
            <w:tcW w:w="2608" w:type="dxa"/>
          </w:tcPr>
          <w:p>
            <w:pPr>
              <w:pStyle w:val="0"/>
            </w:pPr>
            <w:r>
              <w:rPr>
                <w:sz w:val="24"/>
              </w:rPr>
            </w:r>
          </w:p>
        </w:tc>
        <w:tc>
          <w:tcPr>
            <w:tcW w:w="2948" w:type="dxa"/>
          </w:tcPr>
          <w:p>
            <w:pPr>
              <w:pStyle w:val="0"/>
            </w:pPr>
            <w:r>
              <w:rPr>
                <w:sz w:val="24"/>
              </w:rPr>
              <w:t xml:space="preserve">ifrs-ru:RasxPoStrPoGrDogStrVypPrDogPer</w:t>
            </w:r>
          </w:p>
        </w:tc>
      </w:tr>
      <w:tr>
        <w:tc>
          <w:tcPr>
            <w:tcW w:w="907" w:type="dxa"/>
          </w:tcPr>
          <w:p>
            <w:pPr>
              <w:pStyle w:val="0"/>
            </w:pPr>
            <w:r>
              <w:rPr>
                <w:sz w:val="24"/>
              </w:rPr>
              <w:t xml:space="preserve">38.1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38.2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32" w:name="P33332"/>
          <w:bookmarkEnd w:id="33332"/>
          <w:p>
            <w:pPr>
              <w:pStyle w:val="0"/>
            </w:pPr>
            <w:r>
              <w:rPr>
                <w:sz w:val="24"/>
              </w:rPr>
              <w:t xml:space="preserve">39</w:t>
            </w:r>
          </w:p>
        </w:tc>
        <w:tc>
          <w:tcPr>
            <w:gridSpan w:val="2"/>
            <w:tcW w:w="2608" w:type="dxa"/>
          </w:tcPr>
          <w:p>
            <w:pPr>
              <w:pStyle w:val="0"/>
            </w:pPr>
            <w:r>
              <w:rPr>
                <w:sz w:val="24"/>
              </w:rPr>
              <w:t xml:space="preserve">Убытки и восстановление убытков по группам обременительных договоров</w:t>
            </w:r>
          </w:p>
        </w:tc>
        <w:tc>
          <w:tcPr>
            <w:tcW w:w="2608" w:type="dxa"/>
          </w:tcPr>
          <w:p>
            <w:pPr>
              <w:pStyle w:val="0"/>
            </w:pPr>
            <w:r>
              <w:rPr>
                <w:sz w:val="24"/>
              </w:rPr>
            </w:r>
          </w:p>
        </w:tc>
        <w:tc>
          <w:tcPr>
            <w:tcW w:w="2948" w:type="dxa"/>
          </w:tcPr>
          <w:p>
            <w:pPr>
              <w:pStyle w:val="0"/>
            </w:pPr>
            <w:r>
              <w:rPr>
                <w:sz w:val="24"/>
              </w:rPr>
              <w:t xml:space="preserve">ifrs-ru:UbVosUbPoGrObrDog</w:t>
            </w:r>
          </w:p>
        </w:tc>
      </w:tr>
      <w:tr>
        <w:tc>
          <w:tcPr>
            <w:tcW w:w="907" w:type="dxa"/>
          </w:tcPr>
          <w:p>
            <w:pPr>
              <w:pStyle w:val="0"/>
            </w:pPr>
            <w:r>
              <w:rPr>
                <w:sz w:val="24"/>
              </w:rPr>
              <w:t xml:space="preserve">39.1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39.2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44" w:name="P33344"/>
          <w:bookmarkEnd w:id="33344"/>
          <w:p>
            <w:pPr>
              <w:pStyle w:val="0"/>
            </w:pPr>
            <w:r>
              <w:rPr>
                <w:sz w:val="24"/>
              </w:rPr>
              <w:t xml:space="preserve">40</w:t>
            </w:r>
          </w:p>
        </w:tc>
        <w:tc>
          <w:tcPr>
            <w:gridSpan w:val="2"/>
            <w:tcW w:w="2608" w:type="dxa"/>
          </w:tcPr>
          <w:p>
            <w:pPr>
              <w:pStyle w:val="0"/>
            </w:pPr>
            <w:r>
              <w:rPr>
                <w:sz w:val="24"/>
              </w:rPr>
              <w:t xml:space="preserve">Амортизация аквизиционных денежных потоков</w:t>
            </w:r>
          </w:p>
        </w:tc>
        <w:tc>
          <w:tcPr>
            <w:tcW w:w="2608" w:type="dxa"/>
          </w:tcPr>
          <w:p>
            <w:pPr>
              <w:pStyle w:val="0"/>
            </w:pPr>
            <w:r>
              <w:rPr>
                <w:sz w:val="24"/>
              </w:rPr>
            </w:r>
          </w:p>
        </w:tc>
        <w:tc>
          <w:tcPr>
            <w:tcW w:w="2948" w:type="dxa"/>
          </w:tcPr>
          <w:p>
            <w:pPr>
              <w:pStyle w:val="0"/>
            </w:pPr>
            <w:r>
              <w:rPr>
                <w:sz w:val="24"/>
              </w:rPr>
              <w:t xml:space="preserve">ifrs-ru:AmAkvDP</w:t>
            </w:r>
          </w:p>
        </w:tc>
      </w:tr>
      <w:tr>
        <w:tc>
          <w:tcPr>
            <w:tcW w:w="907" w:type="dxa"/>
          </w:tcPr>
          <w:p>
            <w:pPr>
              <w:pStyle w:val="0"/>
            </w:pPr>
            <w:r>
              <w:rPr>
                <w:sz w:val="24"/>
              </w:rPr>
              <w:t xml:space="preserve">40.1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40.2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56" w:name="P33356"/>
          <w:bookmarkEnd w:id="33356"/>
          <w:p>
            <w:pPr>
              <w:pStyle w:val="0"/>
            </w:pPr>
            <w:r>
              <w:rPr>
                <w:sz w:val="24"/>
              </w:rPr>
              <w:t xml:space="preserve">41</w:t>
            </w:r>
          </w:p>
        </w:tc>
        <w:tc>
          <w:tcPr>
            <w:gridSpan w:val="2"/>
            <w:tcW w:w="2608" w:type="dxa"/>
          </w:tcPr>
          <w:p>
            <w:pPr>
              <w:pStyle w:val="0"/>
            </w:pPr>
            <w:r>
              <w:rPr>
                <w:sz w:val="24"/>
              </w:rPr>
              <w:t xml:space="preserve">Изменение величины обязательств по возникшим требованиям</w:t>
            </w:r>
          </w:p>
        </w:tc>
        <w:tc>
          <w:tcPr>
            <w:tcW w:w="2608" w:type="dxa"/>
          </w:tcPr>
          <w:p>
            <w:pPr>
              <w:pStyle w:val="0"/>
            </w:pPr>
            <w:r>
              <w:rPr>
                <w:sz w:val="24"/>
              </w:rPr>
            </w:r>
          </w:p>
        </w:tc>
        <w:tc>
          <w:tcPr>
            <w:tcW w:w="2948" w:type="dxa"/>
          </w:tcPr>
          <w:p>
            <w:pPr>
              <w:pStyle w:val="0"/>
            </w:pPr>
            <w:r>
              <w:rPr>
                <w:sz w:val="24"/>
              </w:rPr>
              <w:t xml:space="preserve">ifrs-ru:IzmVelObPoVozTr</w:t>
            </w:r>
          </w:p>
        </w:tc>
      </w:tr>
      <w:tr>
        <w:tc>
          <w:tcPr>
            <w:tcW w:w="907" w:type="dxa"/>
          </w:tcPr>
          <w:p>
            <w:pPr>
              <w:pStyle w:val="0"/>
            </w:pPr>
            <w:r>
              <w:rPr>
                <w:sz w:val="24"/>
              </w:rPr>
              <w:t xml:space="preserve">41.1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41.2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68" w:name="P33368"/>
          <w:bookmarkEnd w:id="33368"/>
          <w:p>
            <w:pPr>
              <w:pStyle w:val="0"/>
            </w:pPr>
            <w:r>
              <w:rPr>
                <w:sz w:val="24"/>
              </w:rPr>
              <w:t xml:space="preserve">42</w:t>
            </w:r>
          </w:p>
        </w:tc>
        <w:tc>
          <w:tcPr>
            <w:gridSpan w:val="2"/>
            <w:tcW w:w="2608" w:type="dxa"/>
          </w:tcPr>
          <w:p>
            <w:pPr>
              <w:pStyle w:val="0"/>
            </w:pPr>
            <w:r>
              <w:rPr>
                <w:sz w:val="24"/>
              </w:rPr>
              <w:t xml:space="preserve">Возникшие требования и прочие расходы по страховым услугам</w:t>
            </w:r>
          </w:p>
        </w:tc>
        <w:tc>
          <w:tcPr>
            <w:tcW w:w="2608" w:type="dxa"/>
          </w:tcPr>
          <w:p>
            <w:pPr>
              <w:pStyle w:val="0"/>
            </w:pPr>
            <w:r>
              <w:rPr>
                <w:sz w:val="24"/>
              </w:rPr>
            </w:r>
          </w:p>
        </w:tc>
        <w:tc>
          <w:tcPr>
            <w:tcW w:w="2948" w:type="dxa"/>
          </w:tcPr>
          <w:p>
            <w:pPr>
              <w:pStyle w:val="0"/>
            </w:pPr>
            <w:r>
              <w:rPr>
                <w:sz w:val="24"/>
              </w:rPr>
              <w:t xml:space="preserve">ifrs-ru:VozTrPrRasxPoStrUsl</w:t>
            </w:r>
          </w:p>
        </w:tc>
      </w:tr>
      <w:tr>
        <w:tc>
          <w:tcPr>
            <w:tcW w:w="907" w:type="dxa"/>
          </w:tcPr>
          <w:p>
            <w:pPr>
              <w:pStyle w:val="0"/>
            </w:pPr>
            <w:r>
              <w:rPr>
                <w:sz w:val="24"/>
              </w:rPr>
              <w:t xml:space="preserve">42.1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42.2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80" w:name="P33380"/>
          <w:bookmarkEnd w:id="33380"/>
          <w:p>
            <w:pPr>
              <w:pStyle w:val="0"/>
            </w:pPr>
            <w:r>
              <w:rPr>
                <w:sz w:val="24"/>
              </w:rPr>
              <w:t xml:space="preserve">43</w:t>
            </w:r>
          </w:p>
        </w:tc>
        <w:tc>
          <w:tcPr>
            <w:gridSpan w:val="2"/>
            <w:tcW w:w="2608" w:type="dxa"/>
          </w:tcPr>
          <w:p>
            <w:pPr>
              <w:pStyle w:val="0"/>
            </w:pPr>
            <w:r>
              <w:rPr>
                <w:sz w:val="24"/>
              </w:rPr>
              <w:t xml:space="preserve">Убытки и восстановление убытков от обесценения активов, признанных в отношении аквизиционных денежных потоков</w:t>
            </w:r>
          </w:p>
        </w:tc>
        <w:tc>
          <w:tcPr>
            <w:tcW w:w="2608" w:type="dxa"/>
          </w:tcPr>
          <w:p>
            <w:pPr>
              <w:pStyle w:val="0"/>
            </w:pPr>
            <w:r>
              <w:rPr>
                <w:sz w:val="24"/>
              </w:rPr>
            </w:r>
          </w:p>
        </w:tc>
        <w:tc>
          <w:tcPr>
            <w:tcW w:w="2948" w:type="dxa"/>
          </w:tcPr>
          <w:p>
            <w:pPr>
              <w:pStyle w:val="0"/>
            </w:pPr>
            <w:r>
              <w:rPr>
                <w:sz w:val="24"/>
              </w:rPr>
              <w:t xml:space="preserve">ifrs-ru:UbVosUbOtObAktPrVOtnAkvDP</w:t>
            </w:r>
          </w:p>
        </w:tc>
      </w:tr>
      <w:tr>
        <w:tc>
          <w:tcPr>
            <w:tcW w:w="907" w:type="dxa"/>
          </w:tcPr>
          <w:p>
            <w:pPr>
              <w:pStyle w:val="0"/>
            </w:pPr>
            <w:r>
              <w:rPr>
                <w:sz w:val="24"/>
              </w:rPr>
              <w:t xml:space="preserve">43.1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43.2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392" w:name="P33392"/>
          <w:bookmarkEnd w:id="33392"/>
          <w:p>
            <w:pPr>
              <w:pStyle w:val="0"/>
            </w:pPr>
            <w:r>
              <w:rPr>
                <w:sz w:val="24"/>
              </w:rPr>
              <w:t xml:space="preserve">44</w:t>
            </w:r>
          </w:p>
        </w:tc>
        <w:tc>
          <w:tcPr>
            <w:gridSpan w:val="2"/>
            <w:tcW w:w="2608" w:type="dxa"/>
          </w:tcPr>
          <w:p>
            <w:pPr>
              <w:pStyle w:val="0"/>
            </w:pPr>
            <w:r>
              <w:rPr>
                <w:sz w:val="24"/>
              </w:rPr>
              <w:t xml:space="preserve">Доходы (расходы), возникающие в связи с удерживаемыми (переданными) договорами перестрахования, в том числе:</w:t>
            </w:r>
          </w:p>
        </w:tc>
        <w:tc>
          <w:tcPr>
            <w:tcW w:w="2608" w:type="dxa"/>
          </w:tcPr>
          <w:p>
            <w:pPr>
              <w:pStyle w:val="0"/>
            </w:pPr>
            <w:r>
              <w:rPr>
                <w:sz w:val="24"/>
              </w:rPr>
            </w:r>
          </w:p>
        </w:tc>
        <w:tc>
          <w:tcPr>
            <w:tcW w:w="2948" w:type="dxa"/>
          </w:tcPr>
          <w:p>
            <w:pPr>
              <w:pStyle w:val="0"/>
            </w:pPr>
            <w:r>
              <w:rPr>
                <w:sz w:val="24"/>
              </w:rPr>
              <w:t xml:space="preserve">ifrs-ru:DoxRasxVozVSvSUdPerDogPer</w:t>
            </w:r>
          </w:p>
        </w:tc>
      </w:tr>
      <w:tr>
        <w:tc>
          <w:tcPr>
            <w:tcW w:w="907" w:type="dxa"/>
          </w:tcPr>
          <w:p>
            <w:pPr>
              <w:pStyle w:val="0"/>
            </w:pPr>
            <w:r>
              <w:rPr>
                <w:sz w:val="24"/>
              </w:rPr>
              <w:t xml:space="preserve">44.1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44.2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04" w:name="P33404"/>
          <w:bookmarkEnd w:id="33404"/>
          <w:p>
            <w:pPr>
              <w:pStyle w:val="0"/>
            </w:pPr>
            <w:r>
              <w:rPr>
                <w:sz w:val="24"/>
              </w:rPr>
              <w:t xml:space="preserve">45</w:t>
            </w:r>
          </w:p>
        </w:tc>
        <w:tc>
          <w:tcPr>
            <w:gridSpan w:val="2"/>
            <w:tcW w:w="2608" w:type="dxa"/>
          </w:tcPr>
          <w:p>
            <w:pPr>
              <w:pStyle w:val="0"/>
            </w:pPr>
            <w:r>
              <w:rPr>
                <w:sz w:val="24"/>
              </w:rPr>
              <w:t xml:space="preserve">Распределение уплаченных страховых премий</w:t>
            </w:r>
          </w:p>
        </w:tc>
        <w:tc>
          <w:tcPr>
            <w:tcW w:w="2608" w:type="dxa"/>
          </w:tcPr>
          <w:p>
            <w:pPr>
              <w:pStyle w:val="0"/>
            </w:pPr>
            <w:r>
              <w:rPr>
                <w:sz w:val="24"/>
              </w:rPr>
            </w:r>
          </w:p>
        </w:tc>
        <w:tc>
          <w:tcPr>
            <w:tcW w:w="2948" w:type="dxa"/>
          </w:tcPr>
          <w:p>
            <w:pPr>
              <w:pStyle w:val="0"/>
            </w:pPr>
            <w:r>
              <w:rPr>
                <w:sz w:val="24"/>
              </w:rPr>
              <w:t xml:space="preserve">ins-dic:RasUplStrPrem_Opposite</w:t>
            </w:r>
          </w:p>
        </w:tc>
      </w:tr>
      <w:tr>
        <w:tc>
          <w:tcPr>
            <w:tcW w:w="907" w:type="dxa"/>
          </w:tcPr>
          <w:p>
            <w:pPr>
              <w:pStyle w:val="0"/>
            </w:pPr>
            <w:r>
              <w:rPr>
                <w:sz w:val="24"/>
              </w:rPr>
              <w:t xml:space="preserve">45.1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45.2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16" w:name="P33416"/>
          <w:bookmarkEnd w:id="33416"/>
          <w:p>
            <w:pPr>
              <w:pStyle w:val="0"/>
            </w:pPr>
            <w:r>
              <w:rPr>
                <w:sz w:val="24"/>
              </w:rPr>
              <w:t xml:space="preserve">46</w:t>
            </w:r>
          </w:p>
        </w:tc>
        <w:tc>
          <w:tcPr>
            <w:gridSpan w:val="2"/>
            <w:tcW w:w="2608" w:type="dxa"/>
          </w:tcPr>
          <w:p>
            <w:pPr>
              <w:pStyle w:val="0"/>
            </w:pPr>
            <w:r>
              <w:rPr>
                <w:sz w:val="24"/>
              </w:rPr>
              <w:t xml:space="preserve">Ожидаемая сумма возмещения от перестраховщика</w:t>
            </w:r>
          </w:p>
        </w:tc>
        <w:tc>
          <w:tcPr>
            <w:tcW w:w="2608" w:type="dxa"/>
          </w:tcPr>
          <w:p>
            <w:pPr>
              <w:pStyle w:val="0"/>
            </w:pPr>
            <w:r>
              <w:rPr>
                <w:sz w:val="24"/>
              </w:rPr>
            </w:r>
          </w:p>
        </w:tc>
        <w:tc>
          <w:tcPr>
            <w:tcW w:w="2948" w:type="dxa"/>
          </w:tcPr>
          <w:p>
            <w:pPr>
              <w:pStyle w:val="0"/>
            </w:pPr>
            <w:r>
              <w:rPr>
                <w:sz w:val="24"/>
              </w:rPr>
              <w:t xml:space="preserve">ins-dic:OzhSumVozOtPer_Opposite</w:t>
            </w:r>
          </w:p>
        </w:tc>
      </w:tr>
      <w:tr>
        <w:tc>
          <w:tcPr>
            <w:tcW w:w="907" w:type="dxa"/>
          </w:tcPr>
          <w:p>
            <w:pPr>
              <w:pStyle w:val="0"/>
            </w:pPr>
            <w:r>
              <w:rPr>
                <w:sz w:val="24"/>
              </w:rPr>
              <w:t xml:space="preserve">46.1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46.2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28" w:name="P33428"/>
          <w:bookmarkEnd w:id="33428"/>
          <w:p>
            <w:pPr>
              <w:pStyle w:val="0"/>
            </w:pPr>
            <w:r>
              <w:rPr>
                <w:sz w:val="24"/>
              </w:rPr>
              <w:t xml:space="preserve">47</w:t>
            </w:r>
          </w:p>
        </w:tc>
        <w:tc>
          <w:tcPr>
            <w:gridSpan w:val="2"/>
            <w:tcW w:w="2608" w:type="dxa"/>
          </w:tcPr>
          <w:p>
            <w:pPr>
              <w:pStyle w:val="0"/>
            </w:pPr>
            <w:r>
              <w:rPr>
                <w:sz w:val="24"/>
              </w:rPr>
              <w:t xml:space="preserve">Изменение величины требований к перестраховщикам в части возмещения страховых выплат</w:t>
            </w:r>
          </w:p>
        </w:tc>
        <w:tc>
          <w:tcPr>
            <w:tcW w:w="2608" w:type="dxa"/>
          </w:tcPr>
          <w:p>
            <w:pPr>
              <w:pStyle w:val="0"/>
            </w:pPr>
            <w:r>
              <w:rPr>
                <w:sz w:val="24"/>
              </w:rPr>
            </w:r>
          </w:p>
        </w:tc>
        <w:tc>
          <w:tcPr>
            <w:tcW w:w="2948" w:type="dxa"/>
          </w:tcPr>
          <w:p>
            <w:pPr>
              <w:pStyle w:val="0"/>
            </w:pPr>
            <w:r>
              <w:rPr>
                <w:sz w:val="24"/>
              </w:rPr>
              <w:t xml:space="preserve">ins-dic:IzmVelTrKPerVCHastVozStrVyp_Opposite</w:t>
            </w:r>
          </w:p>
        </w:tc>
      </w:tr>
      <w:tr>
        <w:tc>
          <w:tcPr>
            <w:tcW w:w="907" w:type="dxa"/>
          </w:tcPr>
          <w:p>
            <w:pPr>
              <w:pStyle w:val="0"/>
            </w:pPr>
            <w:r>
              <w:rPr>
                <w:sz w:val="24"/>
              </w:rPr>
              <w:t xml:space="preserve">47.1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47.2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40" w:name="P33440"/>
          <w:bookmarkEnd w:id="33440"/>
          <w:p>
            <w:pPr>
              <w:pStyle w:val="0"/>
            </w:pPr>
            <w:r>
              <w:rPr>
                <w:sz w:val="24"/>
              </w:rPr>
              <w:t xml:space="preserve">48</w:t>
            </w:r>
          </w:p>
        </w:tc>
        <w:tc>
          <w:tcPr>
            <w:gridSpan w:val="2"/>
            <w:tcW w:w="2608" w:type="dxa"/>
          </w:tcPr>
          <w:p>
            <w:pPr>
              <w:pStyle w:val="0"/>
            </w:pPr>
            <w:r>
              <w:rPr>
                <w:sz w:val="24"/>
              </w:rPr>
              <w:t xml:space="preserve">Прочие доходы (расходы) по перестрахованию</w:t>
            </w:r>
          </w:p>
        </w:tc>
        <w:tc>
          <w:tcPr>
            <w:tcW w:w="2608" w:type="dxa"/>
          </w:tcPr>
          <w:p>
            <w:pPr>
              <w:pStyle w:val="0"/>
            </w:pPr>
            <w:r>
              <w:rPr>
                <w:sz w:val="24"/>
              </w:rPr>
            </w:r>
          </w:p>
        </w:tc>
        <w:tc>
          <w:tcPr>
            <w:tcW w:w="2948" w:type="dxa"/>
          </w:tcPr>
          <w:p>
            <w:pPr>
              <w:pStyle w:val="0"/>
            </w:pPr>
            <w:r>
              <w:rPr>
                <w:sz w:val="24"/>
              </w:rPr>
              <w:t xml:space="preserve">ins-dic:PrRasxDoxPoPer_Opposite</w:t>
            </w:r>
          </w:p>
        </w:tc>
      </w:tr>
      <w:tr>
        <w:tc>
          <w:tcPr>
            <w:tcW w:w="907" w:type="dxa"/>
          </w:tcPr>
          <w:p>
            <w:pPr>
              <w:pStyle w:val="0"/>
            </w:pPr>
            <w:r>
              <w:rPr>
                <w:sz w:val="24"/>
              </w:rPr>
              <w:t xml:space="preserve">48.1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48.2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52" w:name="P33452"/>
          <w:bookmarkEnd w:id="33452"/>
          <w:p>
            <w:pPr>
              <w:pStyle w:val="0"/>
            </w:pPr>
            <w:r>
              <w:rPr>
                <w:sz w:val="24"/>
              </w:rPr>
              <w:t xml:space="preserve">49</w:t>
            </w:r>
          </w:p>
        </w:tc>
        <w:tc>
          <w:tcPr>
            <w:gridSpan w:val="2"/>
            <w:tcW w:w="2608" w:type="dxa"/>
          </w:tcPr>
          <w:p>
            <w:pPr>
              <w:pStyle w:val="0"/>
            </w:pPr>
            <w:r>
              <w:rPr>
                <w:sz w:val="24"/>
              </w:rPr>
              <w:t xml:space="preserve">Результат оказания страховых услуг</w:t>
            </w:r>
          </w:p>
        </w:tc>
        <w:tc>
          <w:tcPr>
            <w:tcW w:w="2608" w:type="dxa"/>
          </w:tcPr>
          <w:p>
            <w:pPr>
              <w:pStyle w:val="0"/>
            </w:pPr>
            <w:r>
              <w:rPr>
                <w:sz w:val="24"/>
              </w:rPr>
            </w:r>
          </w:p>
        </w:tc>
        <w:tc>
          <w:tcPr>
            <w:tcW w:w="2948" w:type="dxa"/>
          </w:tcPr>
          <w:p>
            <w:pPr>
              <w:pStyle w:val="0"/>
            </w:pPr>
            <w:r>
              <w:rPr>
                <w:sz w:val="24"/>
              </w:rPr>
              <w:t xml:space="preserve">ifrs-ru:RezultatOkazaniyaStraxovyxUslug</w:t>
            </w:r>
          </w:p>
        </w:tc>
      </w:tr>
      <w:tr>
        <w:tc>
          <w:tcPr>
            <w:tcW w:w="907" w:type="dxa"/>
          </w:tcPr>
          <w:p>
            <w:pPr>
              <w:pStyle w:val="0"/>
            </w:pPr>
            <w:r>
              <w:rPr>
                <w:sz w:val="24"/>
              </w:rPr>
              <w:t xml:space="preserve">49.1</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49.2</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64" w:name="P33464"/>
          <w:bookmarkEnd w:id="33464"/>
          <w:p>
            <w:pPr>
              <w:pStyle w:val="0"/>
            </w:pPr>
            <w:r>
              <w:rPr>
                <w:sz w:val="24"/>
              </w:rPr>
              <w:t xml:space="preserve">50</w:t>
            </w:r>
          </w:p>
        </w:tc>
        <w:tc>
          <w:tcPr>
            <w:gridSpan w:val="2"/>
            <w:tcW w:w="2608" w:type="dxa"/>
          </w:tcPr>
          <w:p>
            <w:pPr>
              <w:pStyle w:val="0"/>
            </w:pPr>
            <w:r>
              <w:rPr>
                <w:sz w:val="24"/>
              </w:rPr>
              <w:t xml:space="preserve">Финансовые доходы (расходы) по страхованию</w:t>
            </w:r>
          </w:p>
        </w:tc>
        <w:tc>
          <w:tcPr>
            <w:tcW w:w="2608" w:type="dxa"/>
          </w:tcPr>
          <w:p>
            <w:pPr>
              <w:pStyle w:val="0"/>
            </w:pPr>
            <w:r>
              <w:rPr>
                <w:sz w:val="24"/>
              </w:rPr>
            </w:r>
          </w:p>
        </w:tc>
        <w:tc>
          <w:tcPr>
            <w:tcW w:w="2948" w:type="dxa"/>
          </w:tcPr>
          <w:p>
            <w:pPr>
              <w:pStyle w:val="0"/>
            </w:pPr>
            <w:r>
              <w:rPr>
                <w:sz w:val="24"/>
              </w:rPr>
              <w:t xml:space="preserve">ifrs-ru:FinDoxRasxPoStr</w:t>
            </w:r>
          </w:p>
        </w:tc>
      </w:tr>
      <w:tr>
        <w:tc>
          <w:tcPr>
            <w:tcW w:w="907" w:type="dxa"/>
          </w:tcPr>
          <w:p>
            <w:pPr>
              <w:pStyle w:val="0"/>
            </w:pPr>
            <w:r>
              <w:rPr>
                <w:sz w:val="24"/>
              </w:rPr>
              <w:t xml:space="preserve">50.1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50.2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50.3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80" w:name="P33480"/>
          <w:bookmarkEnd w:id="33480"/>
          <w:p>
            <w:pPr>
              <w:pStyle w:val="0"/>
            </w:pPr>
            <w:r>
              <w:rPr>
                <w:sz w:val="24"/>
              </w:rPr>
              <w:t xml:space="preserve">51</w:t>
            </w:r>
          </w:p>
        </w:tc>
        <w:tc>
          <w:tcPr>
            <w:gridSpan w:val="2"/>
            <w:tcW w:w="2608" w:type="dxa"/>
          </w:tcPr>
          <w:p>
            <w:pPr>
              <w:pStyle w:val="0"/>
            </w:pPr>
            <w:r>
              <w:rPr>
                <w:sz w:val="24"/>
              </w:rPr>
              <w:t xml:space="preserve">Отражено в составе прибыли или убытка, в том числе:</w:t>
            </w:r>
          </w:p>
        </w:tc>
        <w:tc>
          <w:tcPr>
            <w:tcW w:w="2608" w:type="dxa"/>
          </w:tcPr>
          <w:p>
            <w:pPr>
              <w:pStyle w:val="0"/>
            </w:pPr>
            <w:r>
              <w:rPr>
                <w:sz w:val="24"/>
              </w:rPr>
            </w:r>
          </w:p>
        </w:tc>
        <w:tc>
          <w:tcPr>
            <w:tcW w:w="2948" w:type="dxa"/>
          </w:tcPr>
          <w:p>
            <w:pPr>
              <w:pStyle w:val="0"/>
            </w:pPr>
            <w:r>
              <w:rPr>
                <w:sz w:val="24"/>
              </w:rPr>
              <w:t xml:space="preserve">ifrs-ru:OtrVSosPrUb_FinDoxRasx</w:t>
            </w:r>
          </w:p>
        </w:tc>
      </w:tr>
      <w:tr>
        <w:tc>
          <w:tcPr>
            <w:tcW w:w="907" w:type="dxa"/>
          </w:tcPr>
          <w:p>
            <w:pPr>
              <w:pStyle w:val="0"/>
            </w:pPr>
            <w:r>
              <w:rPr>
                <w:sz w:val="24"/>
              </w:rPr>
              <w:t xml:space="preserve">51.1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51.2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51.3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496" w:name="P33496"/>
          <w:bookmarkEnd w:id="33496"/>
          <w:p>
            <w:pPr>
              <w:pStyle w:val="0"/>
            </w:pPr>
            <w:r>
              <w:rPr>
                <w:sz w:val="24"/>
              </w:rPr>
              <w:t xml:space="preserve">52</w:t>
            </w:r>
          </w:p>
        </w:tc>
        <w:tc>
          <w:tcPr>
            <w:gridSpan w:val="2"/>
            <w:tcW w:w="2608" w:type="dxa"/>
          </w:tcPr>
          <w:p>
            <w:pPr>
              <w:pStyle w:val="0"/>
            </w:pPr>
            <w:r>
              <w:rPr>
                <w:sz w:val="24"/>
              </w:rPr>
              <w:t xml:space="preserve">Изменения в справедливой стоимости базовых активов по группам договоров страхования жизни, оцениваемых с применением модели с переменным вознаграждением</w:t>
            </w:r>
          </w:p>
        </w:tc>
        <w:tc>
          <w:tcPr>
            <w:tcW w:w="2608" w:type="dxa"/>
          </w:tcPr>
          <w:p>
            <w:pPr>
              <w:pStyle w:val="0"/>
            </w:pPr>
            <w:r>
              <w:rPr>
                <w:sz w:val="24"/>
              </w:rPr>
            </w:r>
          </w:p>
        </w:tc>
        <w:tc>
          <w:tcPr>
            <w:tcW w:w="2948" w:type="dxa"/>
          </w:tcPr>
          <w:p>
            <w:pPr>
              <w:pStyle w:val="0"/>
            </w:pPr>
            <w:r>
              <w:rPr>
                <w:sz w:val="24"/>
              </w:rPr>
              <w:t xml:space="preserve">ifrs-ru:IzmVSSBazAktPoGrDogStrZHOczSPrimModSPerVoz_FinDoxRasx</w:t>
            </w:r>
          </w:p>
        </w:tc>
      </w:tr>
      <w:tr>
        <w:tc>
          <w:tcPr>
            <w:tcW w:w="907" w:type="dxa"/>
          </w:tcPr>
          <w:p>
            <w:pPr>
              <w:pStyle w:val="0"/>
            </w:pPr>
            <w:r>
              <w:rPr>
                <w:sz w:val="24"/>
              </w:rPr>
              <w:t xml:space="preserve">52.1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52.2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52.3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512" w:name="P33512"/>
          <w:bookmarkEnd w:id="33512"/>
          <w:p>
            <w:pPr>
              <w:pStyle w:val="0"/>
            </w:pPr>
            <w:r>
              <w:rPr>
                <w:sz w:val="24"/>
              </w:rPr>
              <w:t xml:space="preserve">53</w:t>
            </w:r>
          </w:p>
        </w:tc>
        <w:tc>
          <w:tcPr>
            <w:gridSpan w:val="2"/>
            <w:tcW w:w="2608" w:type="dxa"/>
          </w:tcPr>
          <w:p>
            <w:pPr>
              <w:pStyle w:val="0"/>
            </w:pPr>
            <w:r>
              <w:rPr>
                <w:sz w:val="24"/>
              </w:rPr>
              <w:t xml:space="preserve">Эффект снижения влияния временной стоимости денег и финансового риска</w:t>
            </w:r>
          </w:p>
        </w:tc>
        <w:tc>
          <w:tcPr>
            <w:tcW w:w="2608" w:type="dxa"/>
          </w:tcPr>
          <w:p>
            <w:pPr>
              <w:pStyle w:val="0"/>
            </w:pPr>
            <w:r>
              <w:rPr>
                <w:sz w:val="24"/>
              </w:rPr>
            </w:r>
          </w:p>
        </w:tc>
        <w:tc>
          <w:tcPr>
            <w:tcW w:w="2948" w:type="dxa"/>
          </w:tcPr>
          <w:p>
            <w:pPr>
              <w:pStyle w:val="0"/>
            </w:pPr>
            <w:r>
              <w:rPr>
                <w:sz w:val="24"/>
              </w:rPr>
              <w:t xml:space="preserve">ifrs-ru:EfSnVIVrStDenFinRis_FinDoxRasx</w:t>
            </w:r>
          </w:p>
        </w:tc>
      </w:tr>
      <w:tr>
        <w:tc>
          <w:tcPr>
            <w:tcW w:w="907" w:type="dxa"/>
          </w:tcPr>
          <w:p>
            <w:pPr>
              <w:pStyle w:val="0"/>
            </w:pPr>
            <w:r>
              <w:rPr>
                <w:sz w:val="24"/>
              </w:rPr>
              <w:t xml:space="preserve">53.1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53.2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53.3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dim-int:ID_PortlelyaTaxis</w:t>
            </w:r>
          </w:p>
        </w:tc>
      </w:tr>
      <w:tr>
        <w:tc>
          <w:tcPr>
            <w:tcW w:w="907" w:type="dxa"/>
          </w:tcPr>
          <w:bookmarkStart w:id="33528" w:name="P33528"/>
          <w:bookmarkEnd w:id="33528"/>
          <w:p>
            <w:pPr>
              <w:pStyle w:val="0"/>
            </w:pPr>
            <w:r>
              <w:rPr>
                <w:sz w:val="24"/>
              </w:rPr>
              <w:t xml:space="preserve">54</w:t>
            </w:r>
          </w:p>
        </w:tc>
        <w:tc>
          <w:tcPr>
            <w:gridSpan w:val="2"/>
            <w:tcW w:w="2608" w:type="dxa"/>
          </w:tcPr>
          <w:p>
            <w:pPr>
              <w:pStyle w:val="0"/>
            </w:pPr>
            <w:r>
              <w:rPr>
                <w:sz w:val="24"/>
              </w:rPr>
              <w:t xml:space="preserve">Процентные доходы (расходы) для отражения влияния и изменения временной стоимости денег</w:t>
            </w:r>
          </w:p>
        </w:tc>
        <w:tc>
          <w:tcPr>
            <w:tcW w:w="2608" w:type="dxa"/>
          </w:tcPr>
          <w:p>
            <w:pPr>
              <w:pStyle w:val="0"/>
            </w:pPr>
            <w:r>
              <w:rPr>
                <w:sz w:val="24"/>
              </w:rPr>
            </w:r>
          </w:p>
        </w:tc>
        <w:tc>
          <w:tcPr>
            <w:tcW w:w="2948" w:type="dxa"/>
          </w:tcPr>
          <w:p>
            <w:pPr>
              <w:pStyle w:val="0"/>
            </w:pPr>
            <w:r>
              <w:rPr>
                <w:sz w:val="24"/>
              </w:rPr>
              <w:t xml:space="preserve">ifrs-ru:PrDoxRasxDlOtrVHzmVrStDen_FinDoxRasx</w:t>
            </w:r>
          </w:p>
        </w:tc>
      </w:tr>
      <w:tr>
        <w:tc>
          <w:tcPr>
            <w:tcW w:w="907" w:type="dxa"/>
          </w:tcPr>
          <w:p>
            <w:pPr>
              <w:pStyle w:val="0"/>
            </w:pPr>
            <w:r>
              <w:rPr>
                <w:sz w:val="24"/>
              </w:rPr>
              <w:t xml:space="preserve">54.1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54.2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54.3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544" w:name="P33544"/>
          <w:bookmarkEnd w:id="33544"/>
          <w:p>
            <w:pPr>
              <w:pStyle w:val="0"/>
            </w:pPr>
            <w:r>
              <w:rPr>
                <w:sz w:val="24"/>
              </w:rPr>
              <w:t xml:space="preserve">55</w:t>
            </w:r>
          </w:p>
        </w:tc>
        <w:tc>
          <w:tcPr>
            <w:gridSpan w:val="2"/>
            <w:tcW w:w="2608" w:type="dxa"/>
          </w:tcPr>
          <w:p>
            <w:pPr>
              <w:pStyle w:val="0"/>
            </w:pPr>
            <w:r>
              <w:rPr>
                <w:sz w:val="24"/>
              </w:rPr>
              <w:t xml:space="preserve">Эффект изменения в процентных ставках и допущениях</w:t>
            </w:r>
          </w:p>
        </w:tc>
        <w:tc>
          <w:tcPr>
            <w:tcW w:w="2608" w:type="dxa"/>
          </w:tcPr>
          <w:p>
            <w:pPr>
              <w:pStyle w:val="0"/>
            </w:pPr>
            <w:r>
              <w:rPr>
                <w:sz w:val="24"/>
              </w:rPr>
            </w:r>
          </w:p>
        </w:tc>
        <w:tc>
          <w:tcPr>
            <w:tcW w:w="2948" w:type="dxa"/>
          </w:tcPr>
          <w:p>
            <w:pPr>
              <w:pStyle w:val="0"/>
            </w:pPr>
            <w:r>
              <w:rPr>
                <w:sz w:val="24"/>
              </w:rPr>
              <w:t xml:space="preserve">ifrs-ru:EfIzmVPrStDop_FinDoxRasx</w:t>
            </w:r>
          </w:p>
        </w:tc>
      </w:tr>
      <w:tr>
        <w:tc>
          <w:tcPr>
            <w:tcW w:w="907" w:type="dxa"/>
          </w:tcPr>
          <w:p>
            <w:pPr>
              <w:pStyle w:val="0"/>
            </w:pPr>
            <w:r>
              <w:rPr>
                <w:sz w:val="24"/>
              </w:rPr>
              <w:t xml:space="preserve">55.1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55.2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55.3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560" w:name="P33560"/>
          <w:bookmarkEnd w:id="33560"/>
          <w:p>
            <w:pPr>
              <w:pStyle w:val="0"/>
            </w:pPr>
            <w:r>
              <w:rPr>
                <w:sz w:val="24"/>
              </w:rPr>
              <w:t xml:space="preserve">56</w:t>
            </w:r>
          </w:p>
        </w:tc>
        <w:tc>
          <w:tcPr>
            <w:gridSpan w:val="2"/>
            <w:tcW w:w="2608" w:type="dxa"/>
          </w:tcPr>
          <w:p>
            <w:pPr>
              <w:pStyle w:val="0"/>
            </w:pPr>
            <w:r>
              <w:rPr>
                <w:sz w:val="24"/>
              </w:rPr>
              <w:t xml:space="preserve">Курсовые разницы</w:t>
            </w:r>
          </w:p>
        </w:tc>
        <w:tc>
          <w:tcPr>
            <w:tcW w:w="2608" w:type="dxa"/>
          </w:tcPr>
          <w:p>
            <w:pPr>
              <w:pStyle w:val="0"/>
            </w:pPr>
            <w:r>
              <w:rPr>
                <w:sz w:val="24"/>
              </w:rPr>
            </w:r>
          </w:p>
        </w:tc>
        <w:tc>
          <w:tcPr>
            <w:tcW w:w="2948" w:type="dxa"/>
          </w:tcPr>
          <w:p>
            <w:pPr>
              <w:pStyle w:val="0"/>
            </w:pPr>
            <w:r>
              <w:rPr>
                <w:sz w:val="24"/>
              </w:rPr>
              <w:t xml:space="preserve">ifrs-ru:KurRaz_FinDoxRasx</w:t>
            </w:r>
          </w:p>
        </w:tc>
      </w:tr>
      <w:tr>
        <w:tc>
          <w:tcPr>
            <w:tcW w:w="907" w:type="dxa"/>
          </w:tcPr>
          <w:p>
            <w:pPr>
              <w:pStyle w:val="0"/>
            </w:pPr>
            <w:r>
              <w:rPr>
                <w:sz w:val="24"/>
              </w:rPr>
              <w:t xml:space="preserve">56.1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56.2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56.3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576" w:name="P33576"/>
          <w:bookmarkEnd w:id="33576"/>
          <w:p>
            <w:pPr>
              <w:pStyle w:val="0"/>
            </w:pPr>
            <w:r>
              <w:rPr>
                <w:sz w:val="24"/>
              </w:rPr>
              <w:t xml:space="preserve">57</w:t>
            </w:r>
          </w:p>
        </w:tc>
        <w:tc>
          <w:tcPr>
            <w:gridSpan w:val="2"/>
            <w:tcW w:w="2608" w:type="dxa"/>
          </w:tcPr>
          <w:p>
            <w:pPr>
              <w:pStyle w:val="0"/>
            </w:pPr>
            <w:r>
              <w:rPr>
                <w:sz w:val="24"/>
              </w:rPr>
              <w:t xml:space="preserve">Прочее</w:t>
            </w:r>
          </w:p>
        </w:tc>
        <w:tc>
          <w:tcPr>
            <w:tcW w:w="2608" w:type="dxa"/>
          </w:tcPr>
          <w:p>
            <w:pPr>
              <w:pStyle w:val="0"/>
            </w:pPr>
            <w:r>
              <w:rPr>
                <w:sz w:val="24"/>
              </w:rPr>
            </w:r>
          </w:p>
        </w:tc>
        <w:tc>
          <w:tcPr>
            <w:tcW w:w="2948" w:type="dxa"/>
          </w:tcPr>
          <w:p>
            <w:pPr>
              <w:pStyle w:val="0"/>
            </w:pPr>
            <w:r>
              <w:rPr>
                <w:sz w:val="24"/>
              </w:rPr>
              <w:t xml:space="preserve">ifrs-ru:PrOtrVSosPrUb_FinDoxRasx</w:t>
            </w:r>
          </w:p>
        </w:tc>
      </w:tr>
      <w:tr>
        <w:tc>
          <w:tcPr>
            <w:tcW w:w="907" w:type="dxa"/>
          </w:tcPr>
          <w:p>
            <w:pPr>
              <w:pStyle w:val="0"/>
            </w:pPr>
            <w:r>
              <w:rPr>
                <w:sz w:val="24"/>
              </w:rPr>
              <w:t xml:space="preserve">57.1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57.2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57.3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c>
          <w:tcPr>
            <w:tcW w:w="907" w:type="dxa"/>
          </w:tcPr>
          <w:bookmarkStart w:id="33592" w:name="P33592"/>
          <w:bookmarkEnd w:id="33592"/>
          <w:p>
            <w:pPr>
              <w:pStyle w:val="0"/>
            </w:pPr>
            <w:r>
              <w:rPr>
                <w:sz w:val="24"/>
              </w:rPr>
              <w:t xml:space="preserve">58</w:t>
            </w:r>
          </w:p>
        </w:tc>
        <w:tc>
          <w:tcPr>
            <w:gridSpan w:val="2"/>
            <w:tcW w:w="2608" w:type="dxa"/>
          </w:tcPr>
          <w:p>
            <w:pPr>
              <w:pStyle w:val="0"/>
            </w:pPr>
            <w:r>
              <w:rPr>
                <w:sz w:val="24"/>
              </w:rPr>
              <w:t xml:space="preserve">Отражено в составе прочего совокупного дохода</w:t>
            </w:r>
          </w:p>
        </w:tc>
        <w:tc>
          <w:tcPr>
            <w:tcW w:w="2608" w:type="dxa"/>
          </w:tcPr>
          <w:p>
            <w:pPr>
              <w:pStyle w:val="0"/>
            </w:pPr>
            <w:r>
              <w:rPr>
                <w:sz w:val="24"/>
              </w:rPr>
            </w:r>
          </w:p>
        </w:tc>
        <w:tc>
          <w:tcPr>
            <w:tcW w:w="2948" w:type="dxa"/>
          </w:tcPr>
          <w:p>
            <w:pPr>
              <w:pStyle w:val="0"/>
            </w:pPr>
            <w:r>
              <w:rPr>
                <w:sz w:val="24"/>
              </w:rPr>
              <w:t xml:space="preserve">ifrs-ru:OtrVSosPSD_FinDoxRasx</w:t>
            </w:r>
          </w:p>
        </w:tc>
      </w:tr>
      <w:tr>
        <w:tc>
          <w:tcPr>
            <w:tcW w:w="907" w:type="dxa"/>
          </w:tcPr>
          <w:p>
            <w:pPr>
              <w:pStyle w:val="0"/>
            </w:pPr>
            <w:r>
              <w:rPr>
                <w:sz w:val="24"/>
              </w:rPr>
              <w:t xml:space="preserve">58.1</w:t>
            </w:r>
          </w:p>
        </w:tc>
        <w:tc>
          <w:tcPr>
            <w:gridSpan w:val="2"/>
            <w:tcW w:w="2608" w:type="dxa"/>
          </w:tcPr>
          <w:p>
            <w:pPr>
              <w:pStyle w:val="0"/>
            </w:pPr>
            <w:r>
              <w:rPr>
                <w:sz w:val="24"/>
              </w:rPr>
            </w:r>
          </w:p>
        </w:tc>
        <w:tc>
          <w:tcPr>
            <w:tcW w:w="2608" w:type="dxa"/>
          </w:tcPr>
          <w:p>
            <w:pPr>
              <w:pStyle w:val="0"/>
            </w:pPr>
            <w:r>
              <w:rPr>
                <w:sz w:val="24"/>
              </w:rPr>
              <w:t xml:space="preserve">Группы договоров</w:t>
            </w:r>
          </w:p>
        </w:tc>
        <w:tc>
          <w:tcPr>
            <w:tcW w:w="2948" w:type="dxa"/>
          </w:tcPr>
          <w:p>
            <w:pPr>
              <w:pStyle w:val="0"/>
            </w:pPr>
            <w:r>
              <w:rPr>
                <w:sz w:val="24"/>
              </w:rPr>
              <w:t xml:space="preserve">dim-int:GrDogAxis</w:t>
            </w:r>
          </w:p>
        </w:tc>
      </w:tr>
      <w:tr>
        <w:tc>
          <w:tcPr>
            <w:tcW w:w="907" w:type="dxa"/>
          </w:tcPr>
          <w:p>
            <w:pPr>
              <w:pStyle w:val="0"/>
            </w:pPr>
            <w:r>
              <w:rPr>
                <w:sz w:val="24"/>
              </w:rPr>
              <w:t xml:space="preserve">58.2</w:t>
            </w:r>
          </w:p>
        </w:tc>
        <w:tc>
          <w:tcPr>
            <w:gridSpan w:val="2"/>
            <w:tcW w:w="2608" w:type="dxa"/>
          </w:tcPr>
          <w:p>
            <w:pPr>
              <w:pStyle w:val="0"/>
            </w:pPr>
            <w:r>
              <w:rPr>
                <w:sz w:val="24"/>
              </w:rPr>
            </w:r>
          </w:p>
        </w:tc>
        <w:tc>
          <w:tcPr>
            <w:tcW w:w="2608" w:type="dxa"/>
          </w:tcPr>
          <w:p>
            <w:pPr>
              <w:pStyle w:val="0"/>
            </w:pPr>
            <w:r>
              <w:rPr>
                <w:sz w:val="24"/>
              </w:rPr>
              <w:t xml:space="preserve">Группы видов страхования</w:t>
            </w:r>
          </w:p>
        </w:tc>
        <w:tc>
          <w:tcPr>
            <w:tcW w:w="2948" w:type="dxa"/>
          </w:tcPr>
          <w:p>
            <w:pPr>
              <w:pStyle w:val="0"/>
            </w:pPr>
            <w:r>
              <w:rPr>
                <w:sz w:val="24"/>
              </w:rPr>
              <w:t xml:space="preserve">dim-int:PoLiniyamBiznesaAxis</w:t>
            </w:r>
          </w:p>
        </w:tc>
      </w:tr>
      <w:tr>
        <w:tc>
          <w:tcPr>
            <w:tcW w:w="907" w:type="dxa"/>
          </w:tcPr>
          <w:p>
            <w:pPr>
              <w:pStyle w:val="0"/>
            </w:pPr>
            <w:r>
              <w:rPr>
                <w:sz w:val="24"/>
              </w:rPr>
              <w:t xml:space="preserve">58.3</w:t>
            </w:r>
          </w:p>
        </w:tc>
        <w:tc>
          <w:tcPr>
            <w:gridSpan w:val="2"/>
            <w:tcW w:w="2608" w:type="dxa"/>
          </w:tcPr>
          <w:p>
            <w:pPr>
              <w:pStyle w:val="0"/>
            </w:pPr>
            <w:r>
              <w:rPr>
                <w:sz w:val="24"/>
              </w:rPr>
            </w:r>
          </w:p>
        </w:tc>
        <w:tc>
          <w:tcPr>
            <w:tcW w:w="2608" w:type="dxa"/>
          </w:tcPr>
          <w:p>
            <w:pPr>
              <w:pStyle w:val="0"/>
            </w:pPr>
            <w:r>
              <w:rPr>
                <w:sz w:val="24"/>
              </w:rPr>
              <w:t xml:space="preserve">Идентификатор портфеля договоров</w:t>
            </w:r>
          </w:p>
        </w:tc>
        <w:tc>
          <w:tcPr>
            <w:tcW w:w="2948" w:type="dxa"/>
          </w:tcPr>
          <w:p>
            <w:pPr>
              <w:pStyle w:val="0"/>
            </w:pPr>
            <w:r>
              <w:rPr>
                <w:sz w:val="24"/>
              </w:rPr>
              <w:t xml:space="preserve">dim-int:ID_PortfelyaTaxis</w:t>
            </w:r>
          </w:p>
        </w:tc>
      </w:tr>
      <w:tr>
        <w:tblPrEx>
          <w:tblBorders>
            <w:insideV w:val="nil"/>
          </w:tblBorders>
        </w:tblPrEx>
        <w:tc>
          <w:tcPr>
            <w:gridSpan w:val="2"/>
            <w:tcW w:w="1165" w:type="dxa"/>
            <w:tcBorders>
              <w:left w:val="single" w:sz="4"/>
            </w:tcBorders>
          </w:tcPr>
          <w:bookmarkStart w:id="33608" w:name="P33608"/>
          <w:bookmarkEnd w:id="33608"/>
          <w:p>
            <w:pPr>
              <w:pStyle w:val="0"/>
              <w:outlineLvl w:val="3"/>
            </w:pPr>
            <w:r>
              <w:rPr>
                <w:sz w:val="24"/>
              </w:rPr>
              <w:t xml:space="preserve">Раздел 3.</w:t>
            </w:r>
          </w:p>
        </w:tc>
        <w:tc>
          <w:tcPr>
            <w:gridSpan w:val="3"/>
            <w:tcW w:w="7906" w:type="dxa"/>
            <w:tcBorders>
              <w:right w:val="single" w:sz="4"/>
            </w:tcBorders>
          </w:tcPr>
          <w:p>
            <w:pPr>
              <w:pStyle w:val="0"/>
            </w:pPr>
            <w:r>
              <w:rPr>
                <w:sz w:val="24"/>
              </w:rPr>
              <w:t xml:space="preserve">Структура финансового результата по страхованию жизни по учетным группам</w:t>
            </w:r>
          </w:p>
        </w:tc>
      </w:tr>
      <w:tr>
        <w:tc>
          <w:tcPr>
            <w:tcW w:w="907" w:type="dxa"/>
          </w:tcPr>
          <w:bookmarkStart w:id="33610" w:name="P33610"/>
          <w:bookmarkEnd w:id="33610"/>
          <w:p>
            <w:pPr>
              <w:pStyle w:val="0"/>
            </w:pPr>
            <w:r>
              <w:rPr>
                <w:sz w:val="24"/>
              </w:rPr>
              <w:t xml:space="preserve">59</w:t>
            </w:r>
          </w:p>
        </w:tc>
        <w:tc>
          <w:tcPr>
            <w:gridSpan w:val="2"/>
            <w:tcW w:w="2608" w:type="dxa"/>
          </w:tcPr>
          <w:p>
            <w:pPr>
              <w:pStyle w:val="0"/>
            </w:pPr>
            <w:r>
              <w:rPr>
                <w:sz w:val="24"/>
              </w:rPr>
              <w:t xml:space="preserve">Страховые премии по договорам страхования, сострахования и входящего перестрахования (за предоставление страхового покрытия до верхней границы соответствующих договоров)</w:t>
            </w:r>
          </w:p>
        </w:tc>
        <w:tc>
          <w:tcPr>
            <w:tcW w:w="2608" w:type="dxa"/>
          </w:tcPr>
          <w:p>
            <w:pPr>
              <w:pStyle w:val="0"/>
            </w:pPr>
            <w:r>
              <w:rPr>
                <w:sz w:val="24"/>
              </w:rPr>
            </w:r>
          </w:p>
        </w:tc>
        <w:tc>
          <w:tcPr>
            <w:tcW w:w="2948" w:type="dxa"/>
          </w:tcPr>
          <w:p>
            <w:pPr>
              <w:pStyle w:val="0"/>
            </w:pPr>
            <w:r>
              <w:rPr>
                <w:sz w:val="24"/>
              </w:rPr>
              <w:t xml:space="preserve">ins-dic:StrPrDogStrSostrVxPerestrZaPredStrPokrDoVerxGranDog</w:t>
            </w:r>
          </w:p>
        </w:tc>
      </w:tr>
      <w:tr>
        <w:tc>
          <w:tcPr>
            <w:tcW w:w="907" w:type="dxa"/>
          </w:tcPr>
          <w:p>
            <w:pPr>
              <w:pStyle w:val="0"/>
            </w:pPr>
            <w:r>
              <w:rPr>
                <w:sz w:val="24"/>
              </w:rPr>
              <w:t xml:space="preserve">59.1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618" w:name="P33618"/>
          <w:bookmarkEnd w:id="33618"/>
          <w:p>
            <w:pPr>
              <w:pStyle w:val="0"/>
            </w:pPr>
            <w:r>
              <w:rPr>
                <w:sz w:val="24"/>
              </w:rPr>
              <w:t xml:space="preserve">60</w:t>
            </w:r>
          </w:p>
        </w:tc>
        <w:tc>
          <w:tcPr>
            <w:gridSpan w:val="2"/>
            <w:tcW w:w="2608" w:type="dxa"/>
          </w:tcPr>
          <w:p>
            <w:pPr>
              <w:pStyle w:val="0"/>
            </w:pPr>
            <w:r>
              <w:rPr>
                <w:sz w:val="24"/>
              </w:rPr>
              <w:t xml:space="preserve">Страховые премии за перестрахование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ins-dic:StraxPremZaPerestraxDogStraxSostraxVxodPerestr</w:t>
            </w:r>
          </w:p>
        </w:tc>
      </w:tr>
      <w:tr>
        <w:tc>
          <w:tcPr>
            <w:tcW w:w="907" w:type="dxa"/>
          </w:tcPr>
          <w:p>
            <w:pPr>
              <w:pStyle w:val="0"/>
            </w:pPr>
            <w:r>
              <w:rPr>
                <w:sz w:val="24"/>
              </w:rPr>
              <w:t xml:space="preserve">60.1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61</w:t>
            </w:r>
          </w:p>
        </w:tc>
        <w:tc>
          <w:tcPr>
            <w:gridSpan w:val="2"/>
            <w:tcW w:w="2608" w:type="dxa"/>
          </w:tcPr>
          <w:p>
            <w:pPr>
              <w:pStyle w:val="0"/>
            </w:pPr>
            <w:r>
              <w:rPr>
                <w:sz w:val="24"/>
              </w:rPr>
              <w:t xml:space="preserve">Произведенные выплаты в связи с досрочным прекращением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ins-dic:SummaProizvedVyplatVSvyaziSDosrochPrekrashDogovorov</w:t>
            </w:r>
          </w:p>
        </w:tc>
      </w:tr>
      <w:tr>
        <w:tc>
          <w:tcPr>
            <w:tcW w:w="907" w:type="dxa"/>
          </w:tcPr>
          <w:p>
            <w:pPr>
              <w:pStyle w:val="0"/>
            </w:pPr>
            <w:r>
              <w:rPr>
                <w:sz w:val="24"/>
              </w:rPr>
              <w:t xml:space="preserve">61.1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62</w:t>
            </w:r>
          </w:p>
        </w:tc>
        <w:tc>
          <w:tcPr>
            <w:gridSpan w:val="2"/>
            <w:tcW w:w="2608" w:type="dxa"/>
          </w:tcPr>
          <w:p>
            <w:pPr>
              <w:pStyle w:val="0"/>
            </w:pPr>
            <w:r>
              <w:rPr>
                <w:sz w:val="24"/>
              </w:rPr>
              <w:t xml:space="preserve">Полученные выплаты в связи с досрочным прекращением договоров исходящего перестрахования</w:t>
            </w:r>
          </w:p>
        </w:tc>
        <w:tc>
          <w:tcPr>
            <w:tcW w:w="2608" w:type="dxa"/>
          </w:tcPr>
          <w:p>
            <w:pPr>
              <w:pStyle w:val="0"/>
            </w:pPr>
            <w:r>
              <w:rPr>
                <w:sz w:val="24"/>
              </w:rPr>
            </w:r>
          </w:p>
        </w:tc>
        <w:tc>
          <w:tcPr>
            <w:tcW w:w="2948" w:type="dxa"/>
          </w:tcPr>
          <w:p>
            <w:pPr>
              <w:pStyle w:val="0"/>
            </w:pPr>
            <w:r>
              <w:rPr>
                <w:sz w:val="24"/>
              </w:rPr>
              <w:t xml:space="preserve">ins-dic:SummaProizvedVyplatVSvyaziSDosrochPrekrashhDogIsxodPerestrax</w:t>
            </w:r>
          </w:p>
        </w:tc>
      </w:tr>
      <w:tr>
        <w:tc>
          <w:tcPr>
            <w:tcW w:w="907" w:type="dxa"/>
          </w:tcPr>
          <w:p>
            <w:pPr>
              <w:pStyle w:val="0"/>
            </w:pPr>
            <w:r>
              <w:rPr>
                <w:sz w:val="24"/>
              </w:rPr>
              <w:t xml:space="preserve">62.1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63</w:t>
            </w:r>
          </w:p>
        </w:tc>
        <w:tc>
          <w:tcPr>
            <w:gridSpan w:val="2"/>
            <w:tcW w:w="2608" w:type="dxa"/>
          </w:tcPr>
          <w:p>
            <w:pPr>
              <w:pStyle w:val="0"/>
            </w:pPr>
            <w:r>
              <w:rPr>
                <w:sz w:val="24"/>
              </w:rPr>
              <w:t xml:space="preserve">Прямые расходы на заключение договоров страхования, сострахования и входящего перестрахование (за предоставление страхового покрытия до верхней границы соответствующих договоров)</w:t>
            </w:r>
          </w:p>
        </w:tc>
        <w:tc>
          <w:tcPr>
            <w:tcW w:w="2608" w:type="dxa"/>
          </w:tcPr>
          <w:p>
            <w:pPr>
              <w:pStyle w:val="0"/>
            </w:pPr>
            <w:r>
              <w:rPr>
                <w:sz w:val="24"/>
              </w:rPr>
            </w:r>
          </w:p>
        </w:tc>
        <w:tc>
          <w:tcPr>
            <w:tcW w:w="2948" w:type="dxa"/>
          </w:tcPr>
          <w:p>
            <w:pPr>
              <w:pStyle w:val="0"/>
            </w:pPr>
            <w:r>
              <w:rPr>
                <w:sz w:val="24"/>
              </w:rPr>
              <w:t xml:space="preserve">ins-dic:PrRasxZaklDogStrSostrVxPrstrZaPredStrPokrDoVerxGrDog</w:t>
            </w:r>
          </w:p>
        </w:tc>
      </w:tr>
      <w:tr>
        <w:tc>
          <w:tcPr>
            <w:tcW w:w="907" w:type="dxa"/>
          </w:tcPr>
          <w:p>
            <w:pPr>
              <w:pStyle w:val="0"/>
            </w:pPr>
            <w:r>
              <w:rPr>
                <w:sz w:val="24"/>
              </w:rPr>
              <w:t xml:space="preserve">63.1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64</w:t>
            </w:r>
          </w:p>
        </w:tc>
        <w:tc>
          <w:tcPr>
            <w:gridSpan w:val="2"/>
            <w:tcW w:w="2608" w:type="dxa"/>
          </w:tcPr>
          <w:p>
            <w:pPr>
              <w:pStyle w:val="0"/>
            </w:pPr>
            <w:r>
              <w:rPr>
                <w:sz w:val="24"/>
              </w:rPr>
              <w:t xml:space="preserve">Прочие расходы на заключение договоров страхования, сострахования и входящего перестрахования, кроме прямых расходов на их заключение</w:t>
            </w:r>
          </w:p>
        </w:tc>
        <w:tc>
          <w:tcPr>
            <w:tcW w:w="2608" w:type="dxa"/>
          </w:tcPr>
          <w:p>
            <w:pPr>
              <w:pStyle w:val="0"/>
            </w:pPr>
            <w:r>
              <w:rPr>
                <w:sz w:val="24"/>
              </w:rPr>
            </w:r>
          </w:p>
        </w:tc>
        <w:tc>
          <w:tcPr>
            <w:tcW w:w="2948" w:type="dxa"/>
          </w:tcPr>
          <w:p>
            <w:pPr>
              <w:pStyle w:val="0"/>
            </w:pPr>
            <w:r>
              <w:rPr>
                <w:sz w:val="24"/>
              </w:rPr>
              <w:t xml:space="preserve">ins-dic:ProchRasxZaklDogStrSostrVxPstrKromePryamRasxNaIxZakl</w:t>
            </w:r>
          </w:p>
        </w:tc>
      </w:tr>
      <w:tr>
        <w:tc>
          <w:tcPr>
            <w:tcW w:w="907" w:type="dxa"/>
          </w:tcPr>
          <w:p>
            <w:pPr>
              <w:pStyle w:val="0"/>
            </w:pPr>
            <w:r>
              <w:rPr>
                <w:sz w:val="24"/>
              </w:rPr>
              <w:t xml:space="preserve">64.1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65</w:t>
            </w:r>
          </w:p>
        </w:tc>
        <w:tc>
          <w:tcPr>
            <w:gridSpan w:val="2"/>
            <w:tcW w:w="2608" w:type="dxa"/>
          </w:tcPr>
          <w:p>
            <w:pPr>
              <w:pStyle w:val="0"/>
            </w:pPr>
            <w:r>
              <w:rPr>
                <w:sz w:val="24"/>
              </w:rPr>
              <w:t xml:space="preserve">Перестраховочные вознаграждения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ins-dic:PrstrVoznagrDogIsxPrstr</w:t>
            </w:r>
          </w:p>
        </w:tc>
      </w:tr>
      <w:tr>
        <w:tc>
          <w:tcPr>
            <w:tcW w:w="907" w:type="dxa"/>
          </w:tcPr>
          <w:p>
            <w:pPr>
              <w:pStyle w:val="0"/>
            </w:pPr>
            <w:r>
              <w:rPr>
                <w:sz w:val="24"/>
              </w:rPr>
              <w:t xml:space="preserve">65.1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66</w:t>
            </w:r>
          </w:p>
        </w:tc>
        <w:tc>
          <w:tcPr>
            <w:gridSpan w:val="2"/>
            <w:tcW w:w="2608" w:type="dxa"/>
          </w:tcPr>
          <w:p>
            <w:pPr>
              <w:pStyle w:val="0"/>
            </w:pPr>
            <w:r>
              <w:rPr>
                <w:sz w:val="24"/>
              </w:rPr>
              <w:t xml:space="preserve">Расходы на сопровождение договоров страхования, сострахования, входящего перестрахования и соответствующих договоров исходящего перестрахования</w:t>
            </w:r>
          </w:p>
        </w:tc>
        <w:tc>
          <w:tcPr>
            <w:tcW w:w="2608" w:type="dxa"/>
          </w:tcPr>
          <w:p>
            <w:pPr>
              <w:pStyle w:val="0"/>
            </w:pPr>
            <w:r>
              <w:rPr>
                <w:sz w:val="24"/>
              </w:rPr>
            </w:r>
          </w:p>
        </w:tc>
        <w:tc>
          <w:tcPr>
            <w:tcW w:w="2948" w:type="dxa"/>
          </w:tcPr>
          <w:p>
            <w:pPr>
              <w:pStyle w:val="0"/>
            </w:pPr>
            <w:r>
              <w:rPr>
                <w:sz w:val="24"/>
              </w:rPr>
              <w:t xml:space="preserve">ins-dic:RasxNaSoprDogStrSostVxPrstrISootvetDogIsxPrstr</w:t>
            </w:r>
          </w:p>
        </w:tc>
      </w:tr>
      <w:tr>
        <w:tc>
          <w:tcPr>
            <w:tcW w:w="907" w:type="dxa"/>
          </w:tcPr>
          <w:p>
            <w:pPr>
              <w:pStyle w:val="0"/>
            </w:pPr>
            <w:r>
              <w:rPr>
                <w:sz w:val="24"/>
              </w:rPr>
              <w:t xml:space="preserve">66.1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67</w:t>
            </w:r>
          </w:p>
        </w:tc>
        <w:tc>
          <w:tcPr>
            <w:gridSpan w:val="2"/>
            <w:tcW w:w="2608" w:type="dxa"/>
          </w:tcPr>
          <w:p>
            <w:pPr>
              <w:pStyle w:val="0"/>
            </w:pPr>
            <w:r>
              <w:rPr>
                <w:sz w:val="24"/>
              </w:rPr>
              <w:t xml:space="preserve">Произведенные выплаты тантьем по договорам входящего перестрахования</w:t>
            </w:r>
          </w:p>
        </w:tc>
        <w:tc>
          <w:tcPr>
            <w:tcW w:w="2608" w:type="dxa"/>
          </w:tcPr>
          <w:p>
            <w:pPr>
              <w:pStyle w:val="0"/>
            </w:pPr>
            <w:r>
              <w:rPr>
                <w:sz w:val="24"/>
              </w:rPr>
            </w:r>
          </w:p>
        </w:tc>
        <w:tc>
          <w:tcPr>
            <w:tcW w:w="2948" w:type="dxa"/>
          </w:tcPr>
          <w:p>
            <w:pPr>
              <w:pStyle w:val="0"/>
            </w:pPr>
            <w:r>
              <w:rPr>
                <w:sz w:val="24"/>
              </w:rPr>
              <w:t xml:space="preserve">ins-dic:SummaProizvedennyxTantem</w:t>
            </w:r>
          </w:p>
        </w:tc>
      </w:tr>
      <w:tr>
        <w:tc>
          <w:tcPr>
            <w:tcW w:w="907" w:type="dxa"/>
          </w:tcPr>
          <w:p>
            <w:pPr>
              <w:pStyle w:val="0"/>
            </w:pPr>
            <w:r>
              <w:rPr>
                <w:sz w:val="24"/>
              </w:rPr>
              <w:t xml:space="preserve">67.1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68</w:t>
            </w:r>
          </w:p>
        </w:tc>
        <w:tc>
          <w:tcPr>
            <w:gridSpan w:val="2"/>
            <w:tcW w:w="2608" w:type="dxa"/>
          </w:tcPr>
          <w:p>
            <w:pPr>
              <w:pStyle w:val="0"/>
            </w:pPr>
            <w:r>
              <w:rPr>
                <w:sz w:val="24"/>
              </w:rPr>
              <w:t xml:space="preserve">Полученные тантьемы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ins-dic:SummaPoluchennyxTantem</w:t>
            </w:r>
          </w:p>
        </w:tc>
      </w:tr>
      <w:tr>
        <w:tc>
          <w:tcPr>
            <w:tcW w:w="907" w:type="dxa"/>
          </w:tcPr>
          <w:p>
            <w:pPr>
              <w:pStyle w:val="0"/>
            </w:pPr>
            <w:r>
              <w:rPr>
                <w:sz w:val="24"/>
              </w:rPr>
              <w:t xml:space="preserve">68.1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690" w:name="P33690"/>
          <w:bookmarkEnd w:id="33690"/>
          <w:p>
            <w:pPr>
              <w:pStyle w:val="0"/>
            </w:pPr>
            <w:r>
              <w:rPr>
                <w:sz w:val="24"/>
              </w:rPr>
              <w:t xml:space="preserve">69</w:t>
            </w:r>
          </w:p>
        </w:tc>
        <w:tc>
          <w:tcPr>
            <w:gridSpan w:val="2"/>
            <w:tcW w:w="2608" w:type="dxa"/>
          </w:tcPr>
          <w:p>
            <w:pPr>
              <w:pStyle w:val="0"/>
            </w:pPr>
            <w:r>
              <w:rPr>
                <w:sz w:val="24"/>
              </w:rPr>
              <w:t xml:space="preserve">Произведенные выплаты по договорам страхования, сострахования и входящего перестрахования, за исключением величины не разнесенных по убыткам списаний по инкассо</w:t>
            </w:r>
          </w:p>
        </w:tc>
        <w:tc>
          <w:tcPr>
            <w:tcW w:w="2608" w:type="dxa"/>
          </w:tcPr>
          <w:p>
            <w:pPr>
              <w:pStyle w:val="0"/>
            </w:pPr>
            <w:r>
              <w:rPr>
                <w:sz w:val="24"/>
              </w:rPr>
            </w:r>
          </w:p>
        </w:tc>
        <w:tc>
          <w:tcPr>
            <w:tcW w:w="2948" w:type="dxa"/>
          </w:tcPr>
          <w:p>
            <w:pPr>
              <w:pStyle w:val="0"/>
            </w:pPr>
            <w:r>
              <w:rPr>
                <w:sz w:val="24"/>
              </w:rPr>
              <w:t xml:space="preserve">ins-dic:ProizvVypDogStrSostVxPstrZaIskVelNeRaznPoUbSpisPoInk</w:t>
            </w:r>
          </w:p>
        </w:tc>
      </w:tr>
      <w:tr>
        <w:tc>
          <w:tcPr>
            <w:tcW w:w="907" w:type="dxa"/>
          </w:tcPr>
          <w:p>
            <w:pPr>
              <w:pStyle w:val="0"/>
            </w:pPr>
            <w:r>
              <w:rPr>
                <w:sz w:val="24"/>
              </w:rPr>
              <w:t xml:space="preserve">69.1</w:t>
            </w:r>
          </w:p>
        </w:tc>
        <w:tc>
          <w:tcPr>
            <w:gridSpan w:val="2"/>
            <w:tcW w:w="2608" w:type="dxa"/>
          </w:tcPr>
          <w:p>
            <w:pPr>
              <w:pStyle w:val="0"/>
            </w:pPr>
            <w:r>
              <w:rPr>
                <w:sz w:val="24"/>
              </w:rPr>
            </w:r>
          </w:p>
        </w:tc>
        <w:tc>
          <w:tcPr>
            <w:tcW w:w="2608" w:type="dxa"/>
          </w:tcPr>
          <w:p>
            <w:pPr>
              <w:pStyle w:val="0"/>
            </w:pPr>
            <w:r>
              <w:rPr>
                <w:sz w:val="24"/>
              </w:rPr>
              <w:t xml:space="preserve">Виды выплат</w:t>
            </w:r>
          </w:p>
        </w:tc>
        <w:tc>
          <w:tcPr>
            <w:tcW w:w="2948" w:type="dxa"/>
          </w:tcPr>
          <w:p>
            <w:pPr>
              <w:pStyle w:val="0"/>
            </w:pPr>
            <w:r>
              <w:rPr>
                <w:sz w:val="24"/>
              </w:rPr>
              <w:t xml:space="preserve">dim-int:Vidy_Vypl_Axis</w:t>
            </w:r>
          </w:p>
        </w:tc>
      </w:tr>
      <w:tr>
        <w:tc>
          <w:tcPr>
            <w:tcW w:w="907" w:type="dxa"/>
          </w:tcPr>
          <w:p>
            <w:pPr>
              <w:pStyle w:val="0"/>
            </w:pPr>
            <w:r>
              <w:rPr>
                <w:sz w:val="24"/>
              </w:rPr>
              <w:t xml:space="preserve">69.2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702" w:name="P33702"/>
          <w:bookmarkEnd w:id="33702"/>
          <w:p>
            <w:pPr>
              <w:pStyle w:val="0"/>
            </w:pPr>
            <w:r>
              <w:rPr>
                <w:sz w:val="24"/>
              </w:rPr>
              <w:t xml:space="preserve">70</w:t>
            </w:r>
          </w:p>
        </w:tc>
        <w:tc>
          <w:tcPr>
            <w:gridSpan w:val="2"/>
            <w:tcW w:w="2608" w:type="dxa"/>
          </w:tcPr>
          <w:p>
            <w:pPr>
              <w:pStyle w:val="0"/>
            </w:pPr>
            <w:r>
              <w:rPr>
                <w:sz w:val="24"/>
              </w:rPr>
              <w:t xml:space="preserve">Не разнесенные по убыткам списания по инкассо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ins-dic:SummyNeraznesennyxInkasso</w:t>
            </w:r>
          </w:p>
        </w:tc>
      </w:tr>
      <w:tr>
        <w:tc>
          <w:tcPr>
            <w:tcW w:w="907" w:type="dxa"/>
          </w:tcPr>
          <w:p>
            <w:pPr>
              <w:pStyle w:val="0"/>
            </w:pPr>
            <w:r>
              <w:rPr>
                <w:sz w:val="24"/>
              </w:rPr>
              <w:t xml:space="preserve">70.1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710" w:name="P33710"/>
          <w:bookmarkEnd w:id="33710"/>
          <w:p>
            <w:pPr>
              <w:pStyle w:val="0"/>
            </w:pPr>
            <w:r>
              <w:rPr>
                <w:sz w:val="24"/>
              </w:rPr>
              <w:t xml:space="preserve">71</w:t>
            </w:r>
          </w:p>
        </w:tc>
        <w:tc>
          <w:tcPr>
            <w:gridSpan w:val="2"/>
            <w:tcW w:w="2608" w:type="dxa"/>
          </w:tcPr>
          <w:p>
            <w:pPr>
              <w:pStyle w:val="0"/>
            </w:pPr>
            <w:r>
              <w:rPr>
                <w:sz w:val="24"/>
              </w:rPr>
              <w:t xml:space="preserve">Полученные возмещения доли перестраховщиков в выплатах и права требования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ins-dic:PoluchVozmDolPstrVVyplIPravTrebStrPoVozmUkazDolPrstr</w:t>
            </w:r>
          </w:p>
        </w:tc>
      </w:tr>
      <w:tr>
        <w:tc>
          <w:tcPr>
            <w:tcW w:w="907" w:type="dxa"/>
          </w:tcPr>
          <w:p>
            <w:pPr>
              <w:pStyle w:val="0"/>
            </w:pPr>
            <w:r>
              <w:rPr>
                <w:sz w:val="24"/>
              </w:rPr>
              <w:t xml:space="preserve">71.1</w:t>
            </w:r>
          </w:p>
        </w:tc>
        <w:tc>
          <w:tcPr>
            <w:gridSpan w:val="2"/>
            <w:tcW w:w="2608" w:type="dxa"/>
          </w:tcPr>
          <w:p>
            <w:pPr>
              <w:pStyle w:val="0"/>
            </w:pPr>
            <w:r>
              <w:rPr>
                <w:sz w:val="24"/>
              </w:rPr>
            </w:r>
          </w:p>
        </w:tc>
        <w:tc>
          <w:tcPr>
            <w:tcW w:w="2608" w:type="dxa"/>
          </w:tcPr>
          <w:p>
            <w:pPr>
              <w:pStyle w:val="0"/>
            </w:pPr>
            <w:r>
              <w:rPr>
                <w:sz w:val="24"/>
              </w:rPr>
              <w:t xml:space="preserve">Виды доли перестраховщиков в выплатах</w:t>
            </w:r>
          </w:p>
        </w:tc>
        <w:tc>
          <w:tcPr>
            <w:tcW w:w="2948" w:type="dxa"/>
          </w:tcPr>
          <w:p>
            <w:pPr>
              <w:pStyle w:val="0"/>
            </w:pPr>
            <w:r>
              <w:rPr>
                <w:sz w:val="24"/>
              </w:rPr>
              <w:t xml:space="preserve">dim-int:VidyDoliPrstrVVypAxis</w:t>
            </w:r>
          </w:p>
        </w:tc>
      </w:tr>
      <w:tr>
        <w:tc>
          <w:tcPr>
            <w:tcW w:w="907" w:type="dxa"/>
          </w:tcPr>
          <w:p>
            <w:pPr>
              <w:pStyle w:val="0"/>
            </w:pPr>
            <w:r>
              <w:rPr>
                <w:sz w:val="24"/>
              </w:rPr>
              <w:t xml:space="preserve">71.2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72</w:t>
            </w:r>
          </w:p>
        </w:tc>
        <w:tc>
          <w:tcPr>
            <w:gridSpan w:val="2"/>
            <w:tcW w:w="2608" w:type="dxa"/>
          </w:tcPr>
          <w:p>
            <w:pPr>
              <w:pStyle w:val="0"/>
            </w:pPr>
            <w:r>
              <w:rPr>
                <w:sz w:val="24"/>
              </w:rPr>
              <w:t xml:space="preserve">Прямые расходы на исполнение обязательств по страховым случаям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ins-dic:PryamyeRasxodyNaUregUbytkov</w:t>
            </w:r>
          </w:p>
        </w:tc>
      </w:tr>
      <w:tr>
        <w:tc>
          <w:tcPr>
            <w:tcW w:w="907" w:type="dxa"/>
          </w:tcPr>
          <w:p>
            <w:pPr>
              <w:pStyle w:val="0"/>
            </w:pPr>
            <w:r>
              <w:rPr>
                <w:sz w:val="24"/>
              </w:rPr>
              <w:t xml:space="preserve">72.1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73</w:t>
            </w:r>
          </w:p>
        </w:tc>
        <w:tc>
          <w:tcPr>
            <w:gridSpan w:val="2"/>
            <w:tcW w:w="2608" w:type="dxa"/>
          </w:tcPr>
          <w:p>
            <w:pPr>
              <w:pStyle w:val="0"/>
            </w:pPr>
            <w:r>
              <w:rPr>
                <w:sz w:val="24"/>
              </w:rPr>
              <w:t xml:space="preserve">Полученные возмещения доли перестраховщиков в прямых расходах на исполнение обязательств по страховым случаям и права требования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ins-dic:SumProizvVozmPoDPIPravTrebVPrRasxUregUbytkov</w:t>
            </w:r>
          </w:p>
        </w:tc>
      </w:tr>
      <w:tr>
        <w:tc>
          <w:tcPr>
            <w:tcW w:w="907" w:type="dxa"/>
          </w:tcPr>
          <w:p>
            <w:pPr>
              <w:pStyle w:val="0"/>
            </w:pPr>
            <w:r>
              <w:rPr>
                <w:sz w:val="24"/>
              </w:rPr>
              <w:t xml:space="preserve">73.1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74</w:t>
            </w:r>
          </w:p>
        </w:tc>
        <w:tc>
          <w:tcPr>
            <w:gridSpan w:val="2"/>
            <w:tcW w:w="2608" w:type="dxa"/>
          </w:tcPr>
          <w:p>
            <w:pPr>
              <w:pStyle w:val="0"/>
            </w:pPr>
            <w:r>
              <w:rPr>
                <w:sz w:val="24"/>
              </w:rPr>
              <w:t xml:space="preserve">Косвенные расходы на исполнение обязательств по страховым случаям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ins-dic:KosvenRasxodyNaUregUbytkov</w:t>
            </w:r>
          </w:p>
        </w:tc>
      </w:tr>
      <w:tr>
        <w:tc>
          <w:tcPr>
            <w:tcW w:w="907" w:type="dxa"/>
          </w:tcPr>
          <w:p>
            <w:pPr>
              <w:pStyle w:val="0"/>
            </w:pPr>
            <w:r>
              <w:rPr>
                <w:sz w:val="24"/>
              </w:rPr>
              <w:t xml:space="preserve">74.1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75</w:t>
            </w:r>
          </w:p>
        </w:tc>
        <w:tc>
          <w:tcPr>
            <w:gridSpan w:val="2"/>
            <w:tcW w:w="2608" w:type="dxa"/>
          </w:tcPr>
          <w:p>
            <w:pPr>
              <w:pStyle w:val="0"/>
            </w:pPr>
            <w:r>
              <w:rPr>
                <w:sz w:val="24"/>
              </w:rPr>
              <w:t xml:space="preserve">Полученные возмещения доли перестраховщиков в косвенных расходах на исполнение обязательств по страховым случаям и права требования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ins-dic:SumProizvVozmeshPoDPlPravTrebStraxVKosvRasxUregUb</w:t>
            </w:r>
          </w:p>
        </w:tc>
      </w:tr>
      <w:tr>
        <w:tc>
          <w:tcPr>
            <w:tcW w:w="907" w:type="dxa"/>
          </w:tcPr>
          <w:p>
            <w:pPr>
              <w:pStyle w:val="0"/>
            </w:pPr>
            <w:r>
              <w:rPr>
                <w:sz w:val="24"/>
              </w:rPr>
              <w:t xml:space="preserve">75.1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76</w:t>
            </w:r>
          </w:p>
        </w:tc>
        <w:tc>
          <w:tcPr>
            <w:gridSpan w:val="2"/>
            <w:tcW w:w="2608" w:type="dxa"/>
          </w:tcPr>
          <w:p>
            <w:pPr>
              <w:pStyle w:val="0"/>
            </w:pPr>
            <w:r>
              <w:rPr>
                <w:sz w:val="24"/>
              </w:rPr>
              <w:t xml:space="preserve">Прочие доходы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ins-dic:ProchDoxPoDogStrSostrVxPerestr</w:t>
            </w:r>
          </w:p>
        </w:tc>
      </w:tr>
      <w:tr>
        <w:tc>
          <w:tcPr>
            <w:tcW w:w="907" w:type="dxa"/>
          </w:tcPr>
          <w:p>
            <w:pPr>
              <w:pStyle w:val="0"/>
            </w:pPr>
            <w:r>
              <w:rPr>
                <w:sz w:val="24"/>
              </w:rPr>
              <w:t xml:space="preserve">76.1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77</w:t>
            </w:r>
          </w:p>
        </w:tc>
        <w:tc>
          <w:tcPr>
            <w:gridSpan w:val="2"/>
            <w:tcW w:w="2608" w:type="dxa"/>
          </w:tcPr>
          <w:p>
            <w:pPr>
              <w:pStyle w:val="0"/>
            </w:pPr>
            <w:r>
              <w:rPr>
                <w:sz w:val="24"/>
              </w:rPr>
              <w:t xml:space="preserve">Прочие доходы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ins-dic:ProchDoxDogIsxodPstr</w:t>
            </w:r>
          </w:p>
        </w:tc>
      </w:tr>
      <w:tr>
        <w:tc>
          <w:tcPr>
            <w:tcW w:w="907" w:type="dxa"/>
          </w:tcPr>
          <w:p>
            <w:pPr>
              <w:pStyle w:val="0"/>
            </w:pPr>
            <w:r>
              <w:rPr>
                <w:sz w:val="24"/>
              </w:rPr>
              <w:t xml:space="preserve">77.1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78</w:t>
            </w:r>
          </w:p>
        </w:tc>
        <w:tc>
          <w:tcPr>
            <w:gridSpan w:val="2"/>
            <w:tcW w:w="2608" w:type="dxa"/>
          </w:tcPr>
          <w:p>
            <w:pPr>
              <w:pStyle w:val="0"/>
            </w:pPr>
            <w:r>
              <w:rPr>
                <w:sz w:val="24"/>
              </w:rPr>
              <w:t xml:space="preserve">Прочие расходы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ins-dic:ProchRasxPoDogStrSostrVxPerestr</w:t>
            </w:r>
          </w:p>
        </w:tc>
      </w:tr>
      <w:tr>
        <w:tc>
          <w:tcPr>
            <w:tcW w:w="907" w:type="dxa"/>
          </w:tcPr>
          <w:p>
            <w:pPr>
              <w:pStyle w:val="0"/>
            </w:pPr>
            <w:r>
              <w:rPr>
                <w:sz w:val="24"/>
              </w:rPr>
              <w:t xml:space="preserve">78.1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79</w:t>
            </w:r>
          </w:p>
        </w:tc>
        <w:tc>
          <w:tcPr>
            <w:gridSpan w:val="2"/>
            <w:tcW w:w="2608" w:type="dxa"/>
          </w:tcPr>
          <w:p>
            <w:pPr>
              <w:pStyle w:val="0"/>
            </w:pPr>
            <w:r>
              <w:rPr>
                <w:sz w:val="24"/>
              </w:rPr>
              <w:t xml:space="preserve">Прочие расходы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ins-dic:ProchRasxDogIsxodPstr</w:t>
            </w:r>
          </w:p>
        </w:tc>
      </w:tr>
      <w:tr>
        <w:tc>
          <w:tcPr>
            <w:tcW w:w="907" w:type="dxa"/>
          </w:tcPr>
          <w:p>
            <w:pPr>
              <w:pStyle w:val="0"/>
            </w:pPr>
            <w:r>
              <w:rPr>
                <w:sz w:val="24"/>
              </w:rPr>
              <w:t xml:space="preserve">79.1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786" w:name="P33786"/>
          <w:bookmarkEnd w:id="33786"/>
          <w:p>
            <w:pPr>
              <w:pStyle w:val="0"/>
            </w:pPr>
            <w:r>
              <w:rPr>
                <w:sz w:val="24"/>
              </w:rPr>
              <w:t xml:space="preserve">80</w:t>
            </w:r>
          </w:p>
        </w:tc>
        <w:tc>
          <w:tcPr>
            <w:gridSpan w:val="2"/>
            <w:tcW w:w="2608" w:type="dxa"/>
          </w:tcPr>
          <w:p>
            <w:pPr>
              <w:pStyle w:val="0"/>
            </w:pPr>
            <w:r>
              <w:rPr>
                <w:sz w:val="24"/>
              </w:rPr>
              <w:t xml:space="preserve">Изменение резерва премий</w:t>
            </w:r>
          </w:p>
        </w:tc>
        <w:tc>
          <w:tcPr>
            <w:tcW w:w="2608" w:type="dxa"/>
          </w:tcPr>
          <w:p>
            <w:pPr>
              <w:pStyle w:val="0"/>
            </w:pPr>
            <w:r>
              <w:rPr>
                <w:sz w:val="24"/>
              </w:rPr>
            </w:r>
          </w:p>
        </w:tc>
        <w:tc>
          <w:tcPr>
            <w:tcW w:w="2948" w:type="dxa"/>
          </w:tcPr>
          <w:p>
            <w:pPr>
              <w:pStyle w:val="0"/>
            </w:pPr>
            <w:r>
              <w:rPr>
                <w:sz w:val="24"/>
              </w:rPr>
              <w:t xml:space="preserve">ins-dic:IzmenRezervaPremii</w:t>
            </w:r>
          </w:p>
        </w:tc>
      </w:tr>
      <w:tr>
        <w:tc>
          <w:tcPr>
            <w:tcW w:w="907" w:type="dxa"/>
          </w:tcPr>
          <w:p>
            <w:pPr>
              <w:pStyle w:val="0"/>
            </w:pPr>
            <w:r>
              <w:rPr>
                <w:sz w:val="24"/>
              </w:rPr>
              <w:t xml:space="preserve">80.1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794" w:name="P33794"/>
          <w:bookmarkEnd w:id="33794"/>
          <w:p>
            <w:pPr>
              <w:pStyle w:val="0"/>
            </w:pPr>
            <w:r>
              <w:rPr>
                <w:sz w:val="24"/>
              </w:rPr>
              <w:t xml:space="preserve">81</w:t>
            </w:r>
          </w:p>
        </w:tc>
        <w:tc>
          <w:tcPr>
            <w:gridSpan w:val="2"/>
            <w:tcW w:w="2608" w:type="dxa"/>
          </w:tcPr>
          <w:p>
            <w:pPr>
              <w:pStyle w:val="0"/>
            </w:pPr>
            <w:r>
              <w:rPr>
                <w:sz w:val="24"/>
              </w:rPr>
              <w:t xml:space="preserve">Изменение оценки ожидаемой величины обязательств по резерву премий (ДПП)</w:t>
            </w:r>
          </w:p>
        </w:tc>
        <w:tc>
          <w:tcPr>
            <w:tcW w:w="2608" w:type="dxa"/>
          </w:tcPr>
          <w:p>
            <w:pPr>
              <w:pStyle w:val="0"/>
            </w:pPr>
            <w:r>
              <w:rPr>
                <w:sz w:val="24"/>
              </w:rPr>
            </w:r>
          </w:p>
        </w:tc>
        <w:tc>
          <w:tcPr>
            <w:tcW w:w="2948" w:type="dxa"/>
          </w:tcPr>
          <w:p>
            <w:pPr>
              <w:pStyle w:val="0"/>
            </w:pPr>
            <w:r>
              <w:rPr>
                <w:sz w:val="24"/>
              </w:rPr>
              <w:t xml:space="preserve">ins-dic:IzmRezervPremIzmOczenOzhidVelObyazPoRP_DPP</w:t>
            </w:r>
          </w:p>
        </w:tc>
      </w:tr>
      <w:tr>
        <w:tc>
          <w:tcPr>
            <w:tcW w:w="907" w:type="dxa"/>
          </w:tcPr>
          <w:p>
            <w:pPr>
              <w:pStyle w:val="0"/>
            </w:pPr>
            <w:r>
              <w:rPr>
                <w:sz w:val="24"/>
              </w:rPr>
              <w:t xml:space="preserve">81.1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02" w:name="P33802"/>
          <w:bookmarkEnd w:id="33802"/>
          <w:p>
            <w:pPr>
              <w:pStyle w:val="0"/>
            </w:pPr>
            <w:r>
              <w:rPr>
                <w:sz w:val="24"/>
              </w:rPr>
              <w:t xml:space="preserve">82</w:t>
            </w:r>
          </w:p>
        </w:tc>
        <w:tc>
          <w:tcPr>
            <w:gridSpan w:val="2"/>
            <w:tcW w:w="2608" w:type="dxa"/>
          </w:tcPr>
          <w:p>
            <w:pPr>
              <w:pStyle w:val="0"/>
            </w:pPr>
            <w:r>
              <w:rPr>
                <w:sz w:val="24"/>
              </w:rPr>
              <w:t xml:space="preserve">Изменение оценки ожидаемой величины прав требования в части уплаты страховых премий (взносов)</w:t>
            </w:r>
          </w:p>
        </w:tc>
        <w:tc>
          <w:tcPr>
            <w:tcW w:w="2608" w:type="dxa"/>
          </w:tcPr>
          <w:p>
            <w:pPr>
              <w:pStyle w:val="0"/>
            </w:pPr>
            <w:r>
              <w:rPr>
                <w:sz w:val="24"/>
              </w:rPr>
            </w:r>
          </w:p>
        </w:tc>
        <w:tc>
          <w:tcPr>
            <w:tcW w:w="2948" w:type="dxa"/>
          </w:tcPr>
          <w:p>
            <w:pPr>
              <w:pStyle w:val="0"/>
            </w:pPr>
            <w:r>
              <w:rPr>
                <w:sz w:val="24"/>
              </w:rPr>
              <w:t xml:space="preserve">ins-dic:IzmPravTrebVChastiUplStrPremijStrVnosov</w:t>
            </w:r>
          </w:p>
        </w:tc>
      </w:tr>
      <w:tr>
        <w:tc>
          <w:tcPr>
            <w:tcW w:w="907" w:type="dxa"/>
          </w:tcPr>
          <w:p>
            <w:pPr>
              <w:pStyle w:val="0"/>
            </w:pPr>
            <w:r>
              <w:rPr>
                <w:sz w:val="24"/>
              </w:rPr>
              <w:t xml:space="preserve">82.1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10" w:name="P33810"/>
          <w:bookmarkEnd w:id="33810"/>
          <w:p>
            <w:pPr>
              <w:pStyle w:val="0"/>
            </w:pPr>
            <w:r>
              <w:rPr>
                <w:sz w:val="24"/>
              </w:rPr>
              <w:t xml:space="preserve">83</w:t>
            </w:r>
          </w:p>
        </w:tc>
        <w:tc>
          <w:tcPr>
            <w:gridSpan w:val="2"/>
            <w:tcW w:w="2608" w:type="dxa"/>
          </w:tcPr>
          <w:p>
            <w:pPr>
              <w:pStyle w:val="0"/>
            </w:pPr>
            <w:r>
              <w:rPr>
                <w:sz w:val="24"/>
              </w:rPr>
              <w:t xml:space="preserve">Изменение оценки ожидаемой величины обязательств в части расходов на заключение (аквизицию)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ins-dic:IzmOczenOzhidVelichObyazVRasxNaZaklDogStraxSostrVxPer</w:t>
            </w:r>
          </w:p>
        </w:tc>
      </w:tr>
      <w:tr>
        <w:tc>
          <w:tcPr>
            <w:tcW w:w="907" w:type="dxa"/>
          </w:tcPr>
          <w:p>
            <w:pPr>
              <w:pStyle w:val="0"/>
            </w:pPr>
            <w:r>
              <w:rPr>
                <w:sz w:val="24"/>
              </w:rPr>
              <w:t xml:space="preserve">83.1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18" w:name="P33818"/>
          <w:bookmarkEnd w:id="33818"/>
          <w:p>
            <w:pPr>
              <w:pStyle w:val="0"/>
            </w:pPr>
            <w:r>
              <w:rPr>
                <w:sz w:val="24"/>
              </w:rPr>
              <w:t xml:space="preserve">84</w:t>
            </w:r>
          </w:p>
        </w:tc>
        <w:tc>
          <w:tcPr>
            <w:gridSpan w:val="2"/>
            <w:tcW w:w="2608" w:type="dxa"/>
          </w:tcPr>
          <w:p>
            <w:pPr>
              <w:pStyle w:val="0"/>
            </w:pPr>
            <w:r>
              <w:rPr>
                <w:sz w:val="24"/>
              </w:rPr>
              <w:t xml:space="preserve">Изменение оценки ожидаемой величины обязательств в части расходов на сопровождение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ins-dic:IzmOczenOzhidVelichObyazVRasxNaSoprovDogStraxSostrVxPer</w:t>
            </w:r>
          </w:p>
        </w:tc>
      </w:tr>
      <w:tr>
        <w:tc>
          <w:tcPr>
            <w:tcW w:w="907" w:type="dxa"/>
          </w:tcPr>
          <w:p>
            <w:pPr>
              <w:pStyle w:val="0"/>
            </w:pPr>
            <w:r>
              <w:rPr>
                <w:sz w:val="24"/>
              </w:rPr>
              <w:t xml:space="preserve">84.1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26" w:name="P33826"/>
          <w:bookmarkEnd w:id="33826"/>
          <w:p>
            <w:pPr>
              <w:pStyle w:val="0"/>
            </w:pPr>
            <w:r>
              <w:rPr>
                <w:sz w:val="24"/>
              </w:rPr>
              <w:t xml:space="preserve">85</w:t>
            </w:r>
          </w:p>
        </w:tc>
        <w:tc>
          <w:tcPr>
            <w:gridSpan w:val="2"/>
            <w:tcW w:w="2608" w:type="dxa"/>
          </w:tcPr>
          <w:p>
            <w:pPr>
              <w:pStyle w:val="0"/>
            </w:pPr>
            <w:r>
              <w:rPr>
                <w:sz w:val="24"/>
              </w:rPr>
              <w:t xml:space="preserve">Изменение оценки ожидаемой величины обязательств в части расходов на исполнение обязательств страховщика по страховым случаям</w:t>
            </w:r>
          </w:p>
        </w:tc>
        <w:tc>
          <w:tcPr>
            <w:tcW w:w="2608" w:type="dxa"/>
          </w:tcPr>
          <w:p>
            <w:pPr>
              <w:pStyle w:val="0"/>
            </w:pPr>
            <w:r>
              <w:rPr>
                <w:sz w:val="24"/>
              </w:rPr>
            </w:r>
          </w:p>
        </w:tc>
        <w:tc>
          <w:tcPr>
            <w:tcW w:w="2948" w:type="dxa"/>
          </w:tcPr>
          <w:p>
            <w:pPr>
              <w:pStyle w:val="0"/>
            </w:pPr>
            <w:r>
              <w:rPr>
                <w:sz w:val="24"/>
              </w:rPr>
              <w:t xml:space="preserve">ins-dic:IzmOczenOzhidVelichObyazatPoOplIUregulirUbyt</w:t>
            </w:r>
          </w:p>
        </w:tc>
      </w:tr>
      <w:tr>
        <w:tc>
          <w:tcPr>
            <w:tcW w:w="907" w:type="dxa"/>
          </w:tcPr>
          <w:p>
            <w:pPr>
              <w:pStyle w:val="0"/>
            </w:pPr>
            <w:r>
              <w:rPr>
                <w:sz w:val="24"/>
              </w:rPr>
              <w:t xml:space="preserve">85.1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34" w:name="P33834"/>
          <w:bookmarkEnd w:id="33834"/>
          <w:p>
            <w:pPr>
              <w:pStyle w:val="0"/>
            </w:pPr>
            <w:r>
              <w:rPr>
                <w:sz w:val="24"/>
              </w:rPr>
              <w:t xml:space="preserve">86</w:t>
            </w:r>
          </w:p>
        </w:tc>
        <w:tc>
          <w:tcPr>
            <w:gridSpan w:val="2"/>
            <w:tcW w:w="2608" w:type="dxa"/>
          </w:tcPr>
          <w:p>
            <w:pPr>
              <w:pStyle w:val="0"/>
            </w:pPr>
            <w:r>
              <w:rPr>
                <w:sz w:val="24"/>
              </w:rPr>
              <w:t xml:space="preserve">Изменение оценки рисковой маржи (РМП)</w:t>
            </w:r>
          </w:p>
        </w:tc>
        <w:tc>
          <w:tcPr>
            <w:tcW w:w="2608" w:type="dxa"/>
          </w:tcPr>
          <w:p>
            <w:pPr>
              <w:pStyle w:val="0"/>
            </w:pPr>
            <w:r>
              <w:rPr>
                <w:sz w:val="24"/>
              </w:rPr>
            </w:r>
          </w:p>
        </w:tc>
        <w:tc>
          <w:tcPr>
            <w:tcW w:w="2948" w:type="dxa"/>
          </w:tcPr>
          <w:p>
            <w:pPr>
              <w:pStyle w:val="0"/>
            </w:pPr>
            <w:r>
              <w:rPr>
                <w:sz w:val="24"/>
              </w:rPr>
              <w:t xml:space="preserve">ins-dic:IzmRezervPremIzmOczenRiskMarzhi_RMP</w:t>
            </w:r>
          </w:p>
        </w:tc>
      </w:tr>
      <w:tr>
        <w:tc>
          <w:tcPr>
            <w:tcW w:w="907" w:type="dxa"/>
          </w:tcPr>
          <w:p>
            <w:pPr>
              <w:pStyle w:val="0"/>
            </w:pPr>
            <w:r>
              <w:rPr>
                <w:sz w:val="24"/>
              </w:rPr>
              <w:t xml:space="preserve">86.1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42" w:name="P33842"/>
          <w:bookmarkEnd w:id="33842"/>
          <w:p>
            <w:pPr>
              <w:pStyle w:val="0"/>
            </w:pPr>
            <w:r>
              <w:rPr>
                <w:sz w:val="24"/>
              </w:rPr>
              <w:t xml:space="preserve">87</w:t>
            </w:r>
          </w:p>
        </w:tc>
        <w:tc>
          <w:tcPr>
            <w:gridSpan w:val="2"/>
            <w:tcW w:w="2608" w:type="dxa"/>
          </w:tcPr>
          <w:p>
            <w:pPr>
              <w:pStyle w:val="0"/>
            </w:pPr>
            <w:r>
              <w:rPr>
                <w:sz w:val="24"/>
              </w:rPr>
              <w:t xml:space="preserve">Изменение доли перестраховщиков в резерве премий (ДДПП)</w:t>
            </w:r>
          </w:p>
        </w:tc>
        <w:tc>
          <w:tcPr>
            <w:tcW w:w="2608" w:type="dxa"/>
          </w:tcPr>
          <w:p>
            <w:pPr>
              <w:pStyle w:val="0"/>
            </w:pPr>
            <w:r>
              <w:rPr>
                <w:sz w:val="24"/>
              </w:rPr>
            </w:r>
          </w:p>
        </w:tc>
        <w:tc>
          <w:tcPr>
            <w:tcW w:w="2948" w:type="dxa"/>
          </w:tcPr>
          <w:p>
            <w:pPr>
              <w:pStyle w:val="0"/>
            </w:pPr>
            <w:r>
              <w:rPr>
                <w:sz w:val="24"/>
              </w:rPr>
              <w:t xml:space="preserve">ins-dic:IzmDoliPerestrVRP_DDPP</w:t>
            </w:r>
          </w:p>
        </w:tc>
      </w:tr>
      <w:tr>
        <w:tc>
          <w:tcPr>
            <w:tcW w:w="907" w:type="dxa"/>
          </w:tcPr>
          <w:p>
            <w:pPr>
              <w:pStyle w:val="0"/>
            </w:pPr>
            <w:r>
              <w:rPr>
                <w:sz w:val="24"/>
              </w:rPr>
              <w:t xml:space="preserve">87.1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50" w:name="P33850"/>
          <w:bookmarkEnd w:id="33850"/>
          <w:p>
            <w:pPr>
              <w:pStyle w:val="0"/>
            </w:pPr>
            <w:r>
              <w:rPr>
                <w:sz w:val="24"/>
              </w:rPr>
              <w:t xml:space="preserve">88</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ins-dic:IzmSumNailOczPrivedStDPIspOczDPP_SPRPNO</w:t>
            </w:r>
          </w:p>
        </w:tc>
      </w:tr>
      <w:tr>
        <w:tc>
          <w:tcPr>
            <w:tcW w:w="907" w:type="dxa"/>
          </w:tcPr>
          <w:p>
            <w:pPr>
              <w:pStyle w:val="0"/>
            </w:pPr>
            <w:r>
              <w:rPr>
                <w:sz w:val="24"/>
              </w:rPr>
              <w:t xml:space="preserve">88.1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58" w:name="P33858"/>
          <w:bookmarkEnd w:id="33858"/>
          <w:p>
            <w:pPr>
              <w:pStyle w:val="0"/>
            </w:pPr>
            <w:r>
              <w:rPr>
                <w:sz w:val="24"/>
              </w:rPr>
              <w:t xml:space="preserve">89</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в части ожидаемой величины уплаты страховых премий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ins-dic:IzmDolPerestrVPravTrebVChastiUplStrPremStrVznos</w:t>
            </w:r>
          </w:p>
        </w:tc>
      </w:tr>
      <w:tr>
        <w:tc>
          <w:tcPr>
            <w:tcW w:w="907" w:type="dxa"/>
          </w:tcPr>
          <w:p>
            <w:pPr>
              <w:pStyle w:val="0"/>
            </w:pPr>
            <w:r>
              <w:rPr>
                <w:sz w:val="24"/>
              </w:rPr>
              <w:t xml:space="preserve">89.1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66" w:name="P33866"/>
          <w:bookmarkEnd w:id="33866"/>
          <w:p>
            <w:pPr>
              <w:pStyle w:val="0"/>
            </w:pPr>
            <w:r>
              <w:rPr>
                <w:sz w:val="24"/>
              </w:rPr>
              <w:t xml:space="preserve">90</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в части ожидаемой величины перестраховочного вознаграждения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ins-dic:IzmSPRPNOvChastiOzhidVelichPerestrVoznPoDogIsxPerestrax</w:t>
            </w:r>
          </w:p>
        </w:tc>
      </w:tr>
      <w:tr>
        <w:tc>
          <w:tcPr>
            <w:tcW w:w="907" w:type="dxa"/>
          </w:tcPr>
          <w:p>
            <w:pPr>
              <w:pStyle w:val="0"/>
            </w:pPr>
            <w:r>
              <w:rPr>
                <w:sz w:val="24"/>
              </w:rPr>
              <w:t xml:space="preserve">90.1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74" w:name="P33874"/>
          <w:bookmarkEnd w:id="33874"/>
          <w:p>
            <w:pPr>
              <w:pStyle w:val="0"/>
            </w:pPr>
            <w:r>
              <w:rPr>
                <w:sz w:val="24"/>
              </w:rPr>
              <w:t xml:space="preserve">91</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в части ожидаемой величины обязательств по расходам на исполнение обязательств страховщика по страховым случаям</w:t>
            </w:r>
          </w:p>
        </w:tc>
        <w:tc>
          <w:tcPr>
            <w:tcW w:w="2608" w:type="dxa"/>
          </w:tcPr>
          <w:p>
            <w:pPr>
              <w:pStyle w:val="0"/>
            </w:pPr>
            <w:r>
              <w:rPr>
                <w:sz w:val="24"/>
              </w:rPr>
            </w:r>
          </w:p>
        </w:tc>
        <w:tc>
          <w:tcPr>
            <w:tcW w:w="2948" w:type="dxa"/>
          </w:tcPr>
          <w:p>
            <w:pPr>
              <w:pStyle w:val="0"/>
            </w:pPr>
            <w:r>
              <w:rPr>
                <w:sz w:val="24"/>
              </w:rPr>
              <w:t xml:space="preserve">ins-dic:IzmDolPerestrVOczenOzhidVelichObyazatPoOplIUregUbyt</w:t>
            </w:r>
          </w:p>
        </w:tc>
      </w:tr>
      <w:tr>
        <w:tc>
          <w:tcPr>
            <w:tcW w:w="907" w:type="dxa"/>
          </w:tcPr>
          <w:p>
            <w:pPr>
              <w:pStyle w:val="0"/>
            </w:pPr>
            <w:r>
              <w:rPr>
                <w:sz w:val="24"/>
              </w:rPr>
              <w:t xml:space="preserve">91.1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82" w:name="P33882"/>
          <w:bookmarkEnd w:id="33882"/>
          <w:p>
            <w:pPr>
              <w:pStyle w:val="0"/>
            </w:pPr>
            <w:r>
              <w:rPr>
                <w:sz w:val="24"/>
              </w:rPr>
              <w:t xml:space="preserve">92</w:t>
            </w:r>
          </w:p>
        </w:tc>
        <w:tc>
          <w:tcPr>
            <w:gridSpan w:val="2"/>
            <w:tcW w:w="2608" w:type="dxa"/>
          </w:tcPr>
          <w:p>
            <w:pPr>
              <w:pStyle w:val="0"/>
            </w:pPr>
            <w:r>
              <w:rPr>
                <w:sz w:val="24"/>
              </w:rPr>
              <w:t xml:space="preserve">Изменение корректировки на риск неплатежа по резерву премий (КРНП)</w:t>
            </w:r>
          </w:p>
        </w:tc>
        <w:tc>
          <w:tcPr>
            <w:tcW w:w="2608" w:type="dxa"/>
          </w:tcPr>
          <w:p>
            <w:pPr>
              <w:pStyle w:val="0"/>
            </w:pPr>
            <w:r>
              <w:rPr>
                <w:sz w:val="24"/>
              </w:rPr>
            </w:r>
          </w:p>
        </w:tc>
        <w:tc>
          <w:tcPr>
            <w:tcW w:w="2948" w:type="dxa"/>
          </w:tcPr>
          <w:p>
            <w:pPr>
              <w:pStyle w:val="0"/>
            </w:pPr>
            <w:r>
              <w:rPr>
                <w:sz w:val="24"/>
              </w:rPr>
              <w:t xml:space="preserve">ins-dic:IzmKorrektNaRiskNeplatezhaPoRP_KRNP</w:t>
            </w:r>
          </w:p>
        </w:tc>
      </w:tr>
      <w:tr>
        <w:tc>
          <w:tcPr>
            <w:tcW w:w="907" w:type="dxa"/>
          </w:tcPr>
          <w:p>
            <w:pPr>
              <w:pStyle w:val="0"/>
            </w:pPr>
            <w:r>
              <w:rPr>
                <w:sz w:val="24"/>
              </w:rPr>
              <w:t xml:space="preserve">92.1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dim-int:Perechen_Uchet__Grupp_Axis</w:t>
            </w:r>
          </w:p>
        </w:tc>
      </w:tr>
      <w:tr>
        <w:tc>
          <w:tcPr>
            <w:tcW w:w="907" w:type="dxa"/>
          </w:tcPr>
          <w:bookmarkStart w:id="33890" w:name="P33890"/>
          <w:bookmarkEnd w:id="33890"/>
          <w:p>
            <w:pPr>
              <w:pStyle w:val="0"/>
            </w:pPr>
            <w:r>
              <w:rPr>
                <w:sz w:val="24"/>
              </w:rPr>
              <w:t xml:space="preserve">93</w:t>
            </w:r>
          </w:p>
        </w:tc>
        <w:tc>
          <w:tcPr>
            <w:gridSpan w:val="2"/>
            <w:tcW w:w="2608" w:type="dxa"/>
          </w:tcPr>
          <w:p>
            <w:pPr>
              <w:pStyle w:val="0"/>
            </w:pPr>
            <w:r>
              <w:rPr>
                <w:sz w:val="24"/>
              </w:rPr>
              <w:t xml:space="preserve">Изменение резерва убытков</w:t>
            </w:r>
          </w:p>
        </w:tc>
        <w:tc>
          <w:tcPr>
            <w:tcW w:w="2608" w:type="dxa"/>
          </w:tcPr>
          <w:p>
            <w:pPr>
              <w:pStyle w:val="0"/>
            </w:pPr>
            <w:r>
              <w:rPr>
                <w:sz w:val="24"/>
              </w:rPr>
            </w:r>
          </w:p>
        </w:tc>
        <w:tc>
          <w:tcPr>
            <w:tcW w:w="2948" w:type="dxa"/>
          </w:tcPr>
          <w:p>
            <w:pPr>
              <w:pStyle w:val="0"/>
            </w:pPr>
            <w:r>
              <w:rPr>
                <w:sz w:val="24"/>
              </w:rPr>
              <w:t xml:space="preserve">ins-dic:IzmRezervaUbytkov</w:t>
            </w:r>
          </w:p>
        </w:tc>
      </w:tr>
      <w:tr>
        <w:tc>
          <w:tcPr>
            <w:tcW w:w="907" w:type="dxa"/>
          </w:tcPr>
          <w:p>
            <w:pPr>
              <w:pStyle w:val="0"/>
            </w:pPr>
            <w:r>
              <w:rPr>
                <w:sz w:val="24"/>
              </w:rPr>
              <w:t xml:space="preserve">93.1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898" w:name="P33898"/>
          <w:bookmarkEnd w:id="33898"/>
          <w:p>
            <w:pPr>
              <w:pStyle w:val="0"/>
            </w:pPr>
            <w:r>
              <w:rPr>
                <w:sz w:val="24"/>
              </w:rPr>
              <w:t xml:space="preserve">94</w:t>
            </w:r>
          </w:p>
        </w:tc>
        <w:tc>
          <w:tcPr>
            <w:gridSpan w:val="2"/>
            <w:tcW w:w="2608" w:type="dxa"/>
          </w:tcPr>
          <w:p>
            <w:pPr>
              <w:pStyle w:val="0"/>
            </w:pPr>
            <w:r>
              <w:rPr>
                <w:sz w:val="24"/>
              </w:rPr>
              <w:t xml:space="preserve">Изменение оценки ожидаемой величины убытков (ДПУ)</w:t>
            </w:r>
          </w:p>
        </w:tc>
        <w:tc>
          <w:tcPr>
            <w:tcW w:w="2608" w:type="dxa"/>
          </w:tcPr>
          <w:p>
            <w:pPr>
              <w:pStyle w:val="0"/>
            </w:pPr>
            <w:r>
              <w:rPr>
                <w:sz w:val="24"/>
              </w:rPr>
            </w:r>
          </w:p>
        </w:tc>
        <w:tc>
          <w:tcPr>
            <w:tcW w:w="2948" w:type="dxa"/>
          </w:tcPr>
          <w:p>
            <w:pPr>
              <w:pStyle w:val="0"/>
            </w:pPr>
            <w:r>
              <w:rPr>
                <w:sz w:val="24"/>
              </w:rPr>
              <w:t xml:space="preserve">ins-dic:IzmRezUbytIzmOczOzhidVelUbyt__DPU</w:t>
            </w:r>
          </w:p>
        </w:tc>
      </w:tr>
      <w:tr>
        <w:tc>
          <w:tcPr>
            <w:tcW w:w="907" w:type="dxa"/>
          </w:tcPr>
          <w:p>
            <w:pPr>
              <w:pStyle w:val="0"/>
            </w:pPr>
            <w:r>
              <w:rPr>
                <w:sz w:val="24"/>
              </w:rPr>
              <w:t xml:space="preserve">94.1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906" w:name="P33906"/>
          <w:bookmarkEnd w:id="33906"/>
          <w:p>
            <w:pPr>
              <w:pStyle w:val="0"/>
            </w:pPr>
            <w:r>
              <w:rPr>
                <w:sz w:val="24"/>
              </w:rPr>
              <w:t xml:space="preserve">95</w:t>
            </w:r>
          </w:p>
        </w:tc>
        <w:tc>
          <w:tcPr>
            <w:gridSpan w:val="2"/>
            <w:tcW w:w="2608" w:type="dxa"/>
          </w:tcPr>
          <w:p>
            <w:pPr>
              <w:pStyle w:val="0"/>
            </w:pPr>
            <w:r>
              <w:rPr>
                <w:sz w:val="24"/>
              </w:rPr>
              <w:t xml:space="preserve">Изменение оценки рисковой маржи в резерве убытков (РМУ)</w:t>
            </w:r>
          </w:p>
        </w:tc>
        <w:tc>
          <w:tcPr>
            <w:tcW w:w="2608" w:type="dxa"/>
          </w:tcPr>
          <w:p>
            <w:pPr>
              <w:pStyle w:val="0"/>
            </w:pPr>
            <w:r>
              <w:rPr>
                <w:sz w:val="24"/>
              </w:rPr>
            </w:r>
          </w:p>
        </w:tc>
        <w:tc>
          <w:tcPr>
            <w:tcW w:w="2948" w:type="dxa"/>
          </w:tcPr>
          <w:p>
            <w:pPr>
              <w:pStyle w:val="0"/>
            </w:pPr>
            <w:r>
              <w:rPr>
                <w:sz w:val="24"/>
              </w:rPr>
              <w:t xml:space="preserve">ins-dic:IzmRezUbytIznOczRiskMarzhiVRU_RMU</w:t>
            </w:r>
          </w:p>
        </w:tc>
      </w:tr>
      <w:tr>
        <w:tc>
          <w:tcPr>
            <w:tcW w:w="907" w:type="dxa"/>
          </w:tcPr>
          <w:p>
            <w:pPr>
              <w:pStyle w:val="0"/>
            </w:pPr>
            <w:r>
              <w:rPr>
                <w:sz w:val="24"/>
              </w:rPr>
              <w:t xml:space="preserve">95.1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914" w:name="P33914"/>
          <w:bookmarkEnd w:id="33914"/>
          <w:p>
            <w:pPr>
              <w:pStyle w:val="0"/>
            </w:pPr>
            <w:r>
              <w:rPr>
                <w:sz w:val="24"/>
              </w:rPr>
              <w:t xml:space="preserve">96</w:t>
            </w:r>
          </w:p>
        </w:tc>
        <w:tc>
          <w:tcPr>
            <w:gridSpan w:val="2"/>
            <w:tcW w:w="2608" w:type="dxa"/>
          </w:tcPr>
          <w:p>
            <w:pPr>
              <w:pStyle w:val="0"/>
            </w:pPr>
            <w:r>
              <w:rPr>
                <w:sz w:val="24"/>
              </w:rPr>
              <w:t xml:space="preserve">Изменение доли перестраховщиков в резерве убытков (ДДПУ)</w:t>
            </w:r>
          </w:p>
        </w:tc>
        <w:tc>
          <w:tcPr>
            <w:tcW w:w="2608" w:type="dxa"/>
          </w:tcPr>
          <w:p>
            <w:pPr>
              <w:pStyle w:val="0"/>
            </w:pPr>
            <w:r>
              <w:rPr>
                <w:sz w:val="24"/>
              </w:rPr>
            </w:r>
          </w:p>
        </w:tc>
        <w:tc>
          <w:tcPr>
            <w:tcW w:w="2948" w:type="dxa"/>
          </w:tcPr>
          <w:p>
            <w:pPr>
              <w:pStyle w:val="0"/>
            </w:pPr>
            <w:r>
              <w:rPr>
                <w:sz w:val="24"/>
              </w:rPr>
              <w:t xml:space="preserve">ins-dic:IzmDolPerestrVRU_DDPU</w:t>
            </w:r>
          </w:p>
        </w:tc>
      </w:tr>
      <w:tr>
        <w:tc>
          <w:tcPr>
            <w:tcW w:w="907" w:type="dxa"/>
          </w:tcPr>
          <w:p>
            <w:pPr>
              <w:pStyle w:val="0"/>
            </w:pPr>
            <w:r>
              <w:rPr>
                <w:sz w:val="24"/>
              </w:rPr>
              <w:t xml:space="preserve">96.1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922" w:name="P33922"/>
          <w:bookmarkEnd w:id="33922"/>
          <w:p>
            <w:pPr>
              <w:pStyle w:val="0"/>
            </w:pPr>
            <w:r>
              <w:rPr>
                <w:sz w:val="24"/>
              </w:rPr>
              <w:t xml:space="preserve">97</w:t>
            </w:r>
          </w:p>
        </w:tc>
        <w:tc>
          <w:tcPr>
            <w:gridSpan w:val="2"/>
            <w:tcW w:w="2608" w:type="dxa"/>
          </w:tcPr>
          <w:p>
            <w:pPr>
              <w:pStyle w:val="0"/>
            </w:pPr>
            <w:r>
              <w:rPr>
                <w:sz w:val="24"/>
              </w:rPr>
              <w:t xml:space="preserve">Изменение суммы СПРУ</w:t>
            </w:r>
            <w:r>
              <w:rPr>
                <w:sz w:val="24"/>
                <w:vertAlign w:val="superscript"/>
              </w:rPr>
              <w:t xml:space="preserve">НО</w:t>
            </w:r>
            <w:r>
              <w:rPr>
                <w:sz w:val="24"/>
              </w:rPr>
              <w:t xml:space="preserve">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ins-dic:IzmSumNailOczPrivedStDPIspOczDPU_SPRUNO</w:t>
            </w:r>
          </w:p>
        </w:tc>
      </w:tr>
      <w:tr>
        <w:tc>
          <w:tcPr>
            <w:tcW w:w="907" w:type="dxa"/>
          </w:tcPr>
          <w:p>
            <w:pPr>
              <w:pStyle w:val="0"/>
            </w:pPr>
            <w:r>
              <w:rPr>
                <w:sz w:val="24"/>
              </w:rPr>
              <w:t xml:space="preserve">97.1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930" w:name="P33930"/>
          <w:bookmarkEnd w:id="33930"/>
          <w:p>
            <w:pPr>
              <w:pStyle w:val="0"/>
            </w:pPr>
            <w:r>
              <w:rPr>
                <w:sz w:val="24"/>
              </w:rPr>
              <w:t xml:space="preserve">98</w:t>
            </w:r>
          </w:p>
        </w:tc>
        <w:tc>
          <w:tcPr>
            <w:gridSpan w:val="2"/>
            <w:tcW w:w="2608" w:type="dxa"/>
          </w:tcPr>
          <w:p>
            <w:pPr>
              <w:pStyle w:val="0"/>
            </w:pPr>
            <w:r>
              <w:rPr>
                <w:sz w:val="24"/>
              </w:rPr>
              <w:t xml:space="preserve">Изменение корректировки на риск неплатежа по резерву убытков (КРНУ)</w:t>
            </w:r>
          </w:p>
        </w:tc>
        <w:tc>
          <w:tcPr>
            <w:tcW w:w="2608" w:type="dxa"/>
          </w:tcPr>
          <w:p>
            <w:pPr>
              <w:pStyle w:val="0"/>
            </w:pPr>
            <w:r>
              <w:rPr>
                <w:sz w:val="24"/>
              </w:rPr>
            </w:r>
          </w:p>
        </w:tc>
        <w:tc>
          <w:tcPr>
            <w:tcW w:w="2948" w:type="dxa"/>
          </w:tcPr>
          <w:p>
            <w:pPr>
              <w:pStyle w:val="0"/>
            </w:pPr>
            <w:r>
              <w:rPr>
                <w:sz w:val="24"/>
              </w:rPr>
              <w:t xml:space="preserve">ins-dic:IzmKorrektNaRiskNeplatezhaPoRU_KRNU</w:t>
            </w:r>
          </w:p>
        </w:tc>
      </w:tr>
      <w:tr>
        <w:tc>
          <w:tcPr>
            <w:tcW w:w="907" w:type="dxa"/>
          </w:tcPr>
          <w:p>
            <w:pPr>
              <w:pStyle w:val="0"/>
            </w:pPr>
            <w:r>
              <w:rPr>
                <w:sz w:val="24"/>
              </w:rPr>
              <w:t xml:space="preserve">98.1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938" w:name="P33938"/>
          <w:bookmarkEnd w:id="33938"/>
          <w:p>
            <w:pPr>
              <w:pStyle w:val="0"/>
            </w:pPr>
            <w:r>
              <w:rPr>
                <w:sz w:val="24"/>
              </w:rPr>
              <w:t xml:space="preserve">99</w:t>
            </w:r>
          </w:p>
        </w:tc>
        <w:tc>
          <w:tcPr>
            <w:gridSpan w:val="2"/>
            <w:tcW w:w="2608" w:type="dxa"/>
          </w:tcPr>
          <w:p>
            <w:pPr>
              <w:pStyle w:val="0"/>
            </w:pPr>
            <w:r>
              <w:rPr>
                <w:sz w:val="24"/>
              </w:rPr>
              <w:t xml:space="preserve">Изменение резерва инвестиционных обязательств</w:t>
            </w:r>
          </w:p>
        </w:tc>
        <w:tc>
          <w:tcPr>
            <w:tcW w:w="2608" w:type="dxa"/>
          </w:tcPr>
          <w:p>
            <w:pPr>
              <w:pStyle w:val="0"/>
            </w:pPr>
            <w:r>
              <w:rPr>
                <w:sz w:val="24"/>
              </w:rPr>
            </w:r>
          </w:p>
        </w:tc>
        <w:tc>
          <w:tcPr>
            <w:tcW w:w="2948" w:type="dxa"/>
          </w:tcPr>
          <w:p>
            <w:pPr>
              <w:pStyle w:val="0"/>
            </w:pPr>
            <w:r>
              <w:rPr>
                <w:sz w:val="24"/>
              </w:rPr>
              <w:t xml:space="preserve">ins-dic:IzmRezInvesticzionObyazatelstv</w:t>
            </w:r>
          </w:p>
        </w:tc>
      </w:tr>
      <w:tr>
        <w:tc>
          <w:tcPr>
            <w:tcW w:w="907" w:type="dxa"/>
          </w:tcPr>
          <w:p>
            <w:pPr>
              <w:pStyle w:val="0"/>
            </w:pPr>
            <w:r>
              <w:rPr>
                <w:sz w:val="24"/>
              </w:rPr>
              <w:t xml:space="preserve">99.1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dim-int:PerechenUchet_Grupp_Axis</w:t>
            </w:r>
          </w:p>
        </w:tc>
      </w:tr>
      <w:tr>
        <w:tc>
          <w:tcPr>
            <w:tcW w:w="907" w:type="dxa"/>
          </w:tcPr>
          <w:p>
            <w:pPr>
              <w:pStyle w:val="0"/>
            </w:pPr>
            <w:r>
              <w:rPr>
                <w:sz w:val="24"/>
              </w:rPr>
              <w:t xml:space="preserve">100</w:t>
            </w:r>
          </w:p>
        </w:tc>
        <w:tc>
          <w:tcPr>
            <w:gridSpan w:val="2"/>
            <w:tcW w:w="2608" w:type="dxa"/>
          </w:tcPr>
          <w:p>
            <w:pPr>
              <w:pStyle w:val="0"/>
            </w:pPr>
            <w:r>
              <w:rPr>
                <w:sz w:val="24"/>
              </w:rPr>
              <w:t xml:space="preserve">Страховые премии по договорам страхования, сострахования и входящего перестрахования, подлежащие возврату страхователям, перестрахователям (за предоставление страхового покрытия до верхней границы соответствующих договоров)</w:t>
            </w:r>
          </w:p>
        </w:tc>
        <w:tc>
          <w:tcPr>
            <w:tcW w:w="2608" w:type="dxa"/>
          </w:tcPr>
          <w:p>
            <w:pPr>
              <w:pStyle w:val="0"/>
            </w:pPr>
            <w:r>
              <w:rPr>
                <w:sz w:val="24"/>
              </w:rPr>
            </w:r>
          </w:p>
        </w:tc>
        <w:tc>
          <w:tcPr>
            <w:tcW w:w="2948" w:type="dxa"/>
          </w:tcPr>
          <w:p>
            <w:pPr>
              <w:pStyle w:val="0"/>
            </w:pPr>
            <w:r>
              <w:rPr>
                <w:sz w:val="24"/>
              </w:rPr>
              <w:t xml:space="preserve">ins-dic:SumStPrDogPredStPokVerxGrDogStrSostrVxPrstrPodlVozvrStr</w:t>
            </w:r>
          </w:p>
        </w:tc>
      </w:tr>
      <w:tr>
        <w:tc>
          <w:tcPr>
            <w:tcW w:w="907" w:type="dxa"/>
          </w:tcPr>
          <w:p>
            <w:pPr>
              <w:pStyle w:val="0"/>
            </w:pPr>
            <w:r>
              <w:rPr>
                <w:sz w:val="24"/>
              </w:rPr>
              <w:t xml:space="preserve">100.1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101</w:t>
            </w:r>
          </w:p>
        </w:tc>
        <w:tc>
          <w:tcPr>
            <w:gridSpan w:val="2"/>
            <w:tcW w:w="2608" w:type="dxa"/>
          </w:tcPr>
          <w:p>
            <w:pPr>
              <w:pStyle w:val="0"/>
            </w:pPr>
            <w:r>
              <w:rPr>
                <w:sz w:val="24"/>
              </w:rPr>
              <w:t xml:space="preserve">Страховые премии за перестрахование договоров страхования, сострахования и входящего перестрахования, причитающиеся к возврату перестраховщиками</w:t>
            </w:r>
          </w:p>
        </w:tc>
        <w:tc>
          <w:tcPr>
            <w:tcW w:w="2608" w:type="dxa"/>
          </w:tcPr>
          <w:p>
            <w:pPr>
              <w:pStyle w:val="0"/>
            </w:pPr>
            <w:r>
              <w:rPr>
                <w:sz w:val="24"/>
              </w:rPr>
            </w:r>
          </w:p>
        </w:tc>
        <w:tc>
          <w:tcPr>
            <w:tcW w:w="2948" w:type="dxa"/>
          </w:tcPr>
          <w:p>
            <w:pPr>
              <w:pStyle w:val="0"/>
            </w:pPr>
            <w:r>
              <w:rPr>
                <w:sz w:val="24"/>
              </w:rPr>
              <w:t xml:space="preserve">ins-dic:SumPrstrPrOplPodOplzaPrstrOsnDogVxPrstrPrichKVozvrPrstr</w:t>
            </w:r>
          </w:p>
        </w:tc>
      </w:tr>
      <w:tr>
        <w:tc>
          <w:tcPr>
            <w:tcW w:w="907" w:type="dxa"/>
          </w:tcPr>
          <w:p>
            <w:pPr>
              <w:pStyle w:val="0"/>
            </w:pPr>
            <w:r>
              <w:rPr>
                <w:sz w:val="24"/>
              </w:rPr>
              <w:t xml:space="preserve">101.1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blPrEx>
          <w:tblBorders>
            <w:insideV w:val="nil"/>
          </w:tblBorders>
        </w:tblPrEx>
        <w:tc>
          <w:tcPr>
            <w:gridSpan w:val="2"/>
            <w:tcW w:w="1165" w:type="dxa"/>
            <w:tcBorders>
              <w:left w:val="single" w:sz="4"/>
            </w:tcBorders>
          </w:tcPr>
          <w:bookmarkStart w:id="33962" w:name="P33962"/>
          <w:bookmarkEnd w:id="33962"/>
          <w:p>
            <w:pPr>
              <w:pStyle w:val="0"/>
              <w:outlineLvl w:val="3"/>
            </w:pPr>
            <w:r>
              <w:rPr>
                <w:sz w:val="24"/>
              </w:rPr>
              <w:t xml:space="preserve">Раздел 4.</w:t>
            </w:r>
          </w:p>
        </w:tc>
        <w:tc>
          <w:tcPr>
            <w:gridSpan w:val="3"/>
            <w:tcW w:w="7906" w:type="dxa"/>
            <w:tcBorders>
              <w:right w:val="single" w:sz="4"/>
            </w:tcBorders>
          </w:tcPr>
          <w:p>
            <w:pPr>
              <w:pStyle w:val="0"/>
            </w:pPr>
            <w:r>
              <w:rPr>
                <w:sz w:val="24"/>
              </w:rPr>
              <w:t xml:space="preserve">Структура финансового результата по страхованию иному, чем страхование жизни, по учетным группам</w:t>
            </w:r>
          </w:p>
        </w:tc>
      </w:tr>
      <w:tr>
        <w:tc>
          <w:tcPr>
            <w:tcW w:w="907" w:type="dxa"/>
          </w:tcPr>
          <w:bookmarkStart w:id="33964" w:name="P33964"/>
          <w:bookmarkEnd w:id="33964"/>
          <w:p>
            <w:pPr>
              <w:pStyle w:val="0"/>
            </w:pPr>
            <w:r>
              <w:rPr>
                <w:sz w:val="24"/>
              </w:rPr>
              <w:t xml:space="preserve">102</w:t>
            </w:r>
          </w:p>
        </w:tc>
        <w:tc>
          <w:tcPr>
            <w:gridSpan w:val="2"/>
            <w:tcW w:w="2608" w:type="dxa"/>
          </w:tcPr>
          <w:p>
            <w:pPr>
              <w:pStyle w:val="0"/>
            </w:pPr>
            <w:r>
              <w:rPr>
                <w:sz w:val="24"/>
              </w:rPr>
              <w:t xml:space="preserve">Страховые премии по договорам страхования, сострахования и входящего перестрахования (за предоставление страхового покрытия до верхней границы соответствующих договоров)</w:t>
            </w:r>
          </w:p>
        </w:tc>
        <w:tc>
          <w:tcPr>
            <w:tcW w:w="2608" w:type="dxa"/>
          </w:tcPr>
          <w:p>
            <w:pPr>
              <w:pStyle w:val="0"/>
            </w:pPr>
            <w:r>
              <w:rPr>
                <w:sz w:val="24"/>
              </w:rPr>
            </w:r>
          </w:p>
        </w:tc>
        <w:tc>
          <w:tcPr>
            <w:tcW w:w="2948" w:type="dxa"/>
          </w:tcPr>
          <w:p>
            <w:pPr>
              <w:pStyle w:val="0"/>
            </w:pPr>
            <w:r>
              <w:rPr>
                <w:sz w:val="24"/>
              </w:rPr>
              <w:t xml:space="preserve">ins-dic:StrPrDogStrSostrVxPerestrZaPredStrPokrDoVerxGranDog</w:t>
            </w:r>
          </w:p>
        </w:tc>
      </w:tr>
      <w:tr>
        <w:tc>
          <w:tcPr>
            <w:tcW w:w="907" w:type="dxa"/>
          </w:tcPr>
          <w:p>
            <w:pPr>
              <w:pStyle w:val="0"/>
            </w:pPr>
            <w:r>
              <w:rPr>
                <w:sz w:val="24"/>
              </w:rPr>
              <w:t xml:space="preserve">102.1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3972" w:name="P33972"/>
          <w:bookmarkEnd w:id="33972"/>
          <w:p>
            <w:pPr>
              <w:pStyle w:val="0"/>
            </w:pPr>
            <w:r>
              <w:rPr>
                <w:sz w:val="24"/>
              </w:rPr>
              <w:t xml:space="preserve">103</w:t>
            </w:r>
          </w:p>
        </w:tc>
        <w:tc>
          <w:tcPr>
            <w:gridSpan w:val="2"/>
            <w:tcW w:w="2608" w:type="dxa"/>
          </w:tcPr>
          <w:p>
            <w:pPr>
              <w:pStyle w:val="0"/>
            </w:pPr>
            <w:r>
              <w:rPr>
                <w:sz w:val="24"/>
              </w:rPr>
              <w:t xml:space="preserve">Страховые премии за перестрахование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ins-dic:StraxPremZaPerestraxDogStraxSostraxVxodPerestr</w:t>
            </w:r>
          </w:p>
        </w:tc>
      </w:tr>
      <w:tr>
        <w:tc>
          <w:tcPr>
            <w:tcW w:w="907" w:type="dxa"/>
          </w:tcPr>
          <w:p>
            <w:pPr>
              <w:pStyle w:val="0"/>
            </w:pPr>
            <w:r>
              <w:rPr>
                <w:sz w:val="24"/>
              </w:rPr>
              <w:t xml:space="preserve">103.1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104</w:t>
            </w:r>
          </w:p>
        </w:tc>
        <w:tc>
          <w:tcPr>
            <w:gridSpan w:val="2"/>
            <w:tcW w:w="2608" w:type="dxa"/>
          </w:tcPr>
          <w:p>
            <w:pPr>
              <w:pStyle w:val="0"/>
            </w:pPr>
            <w:r>
              <w:rPr>
                <w:sz w:val="24"/>
              </w:rPr>
              <w:t xml:space="preserve">Произведенные выплаты в связи с досрочным прекращением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ins-dic:SummaProizvedVyplatVSvyaziSDosrochPrekrashDogovorov</w:t>
            </w:r>
          </w:p>
        </w:tc>
      </w:tr>
      <w:tr>
        <w:tc>
          <w:tcPr>
            <w:tcW w:w="907" w:type="dxa"/>
          </w:tcPr>
          <w:p>
            <w:pPr>
              <w:pStyle w:val="0"/>
            </w:pPr>
            <w:r>
              <w:rPr>
                <w:sz w:val="24"/>
              </w:rPr>
              <w:t xml:space="preserve">104.1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105</w:t>
            </w:r>
          </w:p>
        </w:tc>
        <w:tc>
          <w:tcPr>
            <w:gridSpan w:val="2"/>
            <w:tcW w:w="2608" w:type="dxa"/>
          </w:tcPr>
          <w:p>
            <w:pPr>
              <w:pStyle w:val="0"/>
            </w:pPr>
            <w:r>
              <w:rPr>
                <w:sz w:val="24"/>
              </w:rPr>
              <w:t xml:space="preserve">Полученные выплаты в связи с досрочным прекращением договоров исходящего перестрахования</w:t>
            </w:r>
          </w:p>
        </w:tc>
        <w:tc>
          <w:tcPr>
            <w:tcW w:w="2608" w:type="dxa"/>
          </w:tcPr>
          <w:p>
            <w:pPr>
              <w:pStyle w:val="0"/>
            </w:pPr>
            <w:r>
              <w:rPr>
                <w:sz w:val="24"/>
              </w:rPr>
            </w:r>
          </w:p>
        </w:tc>
        <w:tc>
          <w:tcPr>
            <w:tcW w:w="2948" w:type="dxa"/>
          </w:tcPr>
          <w:p>
            <w:pPr>
              <w:pStyle w:val="0"/>
            </w:pPr>
            <w:r>
              <w:rPr>
                <w:sz w:val="24"/>
              </w:rPr>
              <w:t xml:space="preserve">ins-dic:SummaProizvedVyplatVSvyaziSDosrochPrekrashhDogIsxodPerestrax</w:t>
            </w:r>
          </w:p>
        </w:tc>
      </w:tr>
      <w:tr>
        <w:tc>
          <w:tcPr>
            <w:tcW w:w="907" w:type="dxa"/>
          </w:tcPr>
          <w:p>
            <w:pPr>
              <w:pStyle w:val="0"/>
            </w:pPr>
            <w:r>
              <w:rPr>
                <w:sz w:val="24"/>
              </w:rPr>
              <w:t xml:space="preserve">105.1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106</w:t>
            </w:r>
          </w:p>
        </w:tc>
        <w:tc>
          <w:tcPr>
            <w:gridSpan w:val="2"/>
            <w:tcW w:w="2608" w:type="dxa"/>
          </w:tcPr>
          <w:p>
            <w:pPr>
              <w:pStyle w:val="0"/>
            </w:pPr>
            <w:r>
              <w:rPr>
                <w:sz w:val="24"/>
              </w:rPr>
              <w:t xml:space="preserve">Прямые расходы на заключение договоров страхования, сострахования и входящего перестрахование (за предоставление страхового покрытия до верхней границы соответствующих договоров)</w:t>
            </w:r>
          </w:p>
        </w:tc>
        <w:tc>
          <w:tcPr>
            <w:tcW w:w="2608" w:type="dxa"/>
          </w:tcPr>
          <w:p>
            <w:pPr>
              <w:pStyle w:val="0"/>
            </w:pPr>
            <w:r>
              <w:rPr>
                <w:sz w:val="24"/>
              </w:rPr>
            </w:r>
          </w:p>
        </w:tc>
        <w:tc>
          <w:tcPr>
            <w:tcW w:w="2948" w:type="dxa"/>
          </w:tcPr>
          <w:p>
            <w:pPr>
              <w:pStyle w:val="0"/>
            </w:pPr>
            <w:r>
              <w:rPr>
                <w:sz w:val="24"/>
              </w:rPr>
              <w:t xml:space="preserve">ins-dic:PrRasxZaklDogStrSostrVxPrstrZaPredStrPokrDoVerxGrDog</w:t>
            </w:r>
          </w:p>
        </w:tc>
      </w:tr>
      <w:tr>
        <w:tc>
          <w:tcPr>
            <w:tcW w:w="907" w:type="dxa"/>
          </w:tcPr>
          <w:p>
            <w:pPr>
              <w:pStyle w:val="0"/>
            </w:pPr>
            <w:r>
              <w:rPr>
                <w:sz w:val="24"/>
              </w:rPr>
              <w:t xml:space="preserve">106.1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107</w:t>
            </w:r>
          </w:p>
        </w:tc>
        <w:tc>
          <w:tcPr>
            <w:gridSpan w:val="2"/>
            <w:tcW w:w="2608" w:type="dxa"/>
          </w:tcPr>
          <w:p>
            <w:pPr>
              <w:pStyle w:val="0"/>
            </w:pPr>
            <w:r>
              <w:rPr>
                <w:sz w:val="24"/>
              </w:rPr>
              <w:t xml:space="preserve">Прочие расходы на заключение договоров страхования, сострахования и входящего перестрахования, кроме прямых расходов на их заключение</w:t>
            </w:r>
          </w:p>
        </w:tc>
        <w:tc>
          <w:tcPr>
            <w:tcW w:w="2608" w:type="dxa"/>
          </w:tcPr>
          <w:p>
            <w:pPr>
              <w:pStyle w:val="0"/>
            </w:pPr>
            <w:r>
              <w:rPr>
                <w:sz w:val="24"/>
              </w:rPr>
            </w:r>
          </w:p>
        </w:tc>
        <w:tc>
          <w:tcPr>
            <w:tcW w:w="2948" w:type="dxa"/>
          </w:tcPr>
          <w:p>
            <w:pPr>
              <w:pStyle w:val="0"/>
            </w:pPr>
            <w:r>
              <w:rPr>
                <w:sz w:val="24"/>
              </w:rPr>
              <w:t xml:space="preserve">ins-dic:ProchRasxZaklDogStrSostrVxPstrKromePryamRasxNaIxZakl</w:t>
            </w:r>
          </w:p>
        </w:tc>
      </w:tr>
      <w:tr>
        <w:tc>
          <w:tcPr>
            <w:tcW w:w="907" w:type="dxa"/>
          </w:tcPr>
          <w:p>
            <w:pPr>
              <w:pStyle w:val="0"/>
            </w:pPr>
            <w:r>
              <w:rPr>
                <w:sz w:val="24"/>
              </w:rPr>
              <w:t xml:space="preserve">107.1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108</w:t>
            </w:r>
          </w:p>
        </w:tc>
        <w:tc>
          <w:tcPr>
            <w:gridSpan w:val="2"/>
            <w:tcW w:w="2608" w:type="dxa"/>
          </w:tcPr>
          <w:p>
            <w:pPr>
              <w:pStyle w:val="0"/>
            </w:pPr>
            <w:r>
              <w:rPr>
                <w:sz w:val="24"/>
              </w:rPr>
              <w:t xml:space="preserve">Перестраховочные вознаграждения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ins-dic:PrstrVoznagrDogIsxPrstr</w:t>
            </w:r>
          </w:p>
        </w:tc>
      </w:tr>
      <w:tr>
        <w:tc>
          <w:tcPr>
            <w:tcW w:w="907" w:type="dxa"/>
          </w:tcPr>
          <w:p>
            <w:pPr>
              <w:pStyle w:val="0"/>
            </w:pPr>
            <w:r>
              <w:rPr>
                <w:sz w:val="24"/>
              </w:rPr>
              <w:t xml:space="preserve">108.1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109</w:t>
            </w:r>
          </w:p>
        </w:tc>
        <w:tc>
          <w:tcPr>
            <w:gridSpan w:val="2"/>
            <w:tcW w:w="2608" w:type="dxa"/>
          </w:tcPr>
          <w:p>
            <w:pPr>
              <w:pStyle w:val="0"/>
            </w:pPr>
            <w:r>
              <w:rPr>
                <w:sz w:val="24"/>
              </w:rPr>
              <w:t xml:space="preserve">Расходы на сопровождение договоров страхования, сострахования, входящего перестрахования и соответствующих договоров исходящего перестрахования</w:t>
            </w:r>
          </w:p>
        </w:tc>
        <w:tc>
          <w:tcPr>
            <w:tcW w:w="2608" w:type="dxa"/>
          </w:tcPr>
          <w:p>
            <w:pPr>
              <w:pStyle w:val="0"/>
            </w:pPr>
            <w:r>
              <w:rPr>
                <w:sz w:val="24"/>
              </w:rPr>
            </w:r>
          </w:p>
        </w:tc>
        <w:tc>
          <w:tcPr>
            <w:tcW w:w="2948" w:type="dxa"/>
          </w:tcPr>
          <w:p>
            <w:pPr>
              <w:pStyle w:val="0"/>
            </w:pPr>
            <w:r>
              <w:rPr>
                <w:sz w:val="24"/>
              </w:rPr>
              <w:t xml:space="preserve">ins-dic:RasxNaSoprDogStrSostVxPrstrISootvetDogIsxPrstr</w:t>
            </w:r>
          </w:p>
        </w:tc>
      </w:tr>
      <w:tr>
        <w:tc>
          <w:tcPr>
            <w:tcW w:w="907" w:type="dxa"/>
          </w:tcPr>
          <w:p>
            <w:pPr>
              <w:pStyle w:val="0"/>
            </w:pPr>
            <w:r>
              <w:rPr>
                <w:sz w:val="24"/>
              </w:rPr>
              <w:t xml:space="preserve">109.1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110</w:t>
            </w:r>
          </w:p>
        </w:tc>
        <w:tc>
          <w:tcPr>
            <w:gridSpan w:val="2"/>
            <w:tcW w:w="2608" w:type="dxa"/>
          </w:tcPr>
          <w:p>
            <w:pPr>
              <w:pStyle w:val="0"/>
            </w:pPr>
            <w:r>
              <w:rPr>
                <w:sz w:val="24"/>
              </w:rPr>
              <w:t xml:space="preserve">Произведенные выплаты тантьем по договорам входящего перестрахования</w:t>
            </w:r>
          </w:p>
        </w:tc>
        <w:tc>
          <w:tcPr>
            <w:tcW w:w="2608" w:type="dxa"/>
          </w:tcPr>
          <w:p>
            <w:pPr>
              <w:pStyle w:val="0"/>
            </w:pPr>
            <w:r>
              <w:rPr>
                <w:sz w:val="24"/>
              </w:rPr>
            </w:r>
          </w:p>
        </w:tc>
        <w:tc>
          <w:tcPr>
            <w:tcW w:w="2948" w:type="dxa"/>
          </w:tcPr>
          <w:p>
            <w:pPr>
              <w:pStyle w:val="0"/>
            </w:pPr>
            <w:r>
              <w:rPr>
                <w:sz w:val="24"/>
              </w:rPr>
              <w:t xml:space="preserve">ins-dic:SummaProizvedennyxTantem</w:t>
            </w:r>
          </w:p>
        </w:tc>
      </w:tr>
      <w:tr>
        <w:tc>
          <w:tcPr>
            <w:tcW w:w="907" w:type="dxa"/>
          </w:tcPr>
          <w:p>
            <w:pPr>
              <w:pStyle w:val="0"/>
            </w:pPr>
            <w:r>
              <w:rPr>
                <w:sz w:val="24"/>
              </w:rPr>
              <w:t xml:space="preserve">110.1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111</w:t>
            </w:r>
          </w:p>
        </w:tc>
        <w:tc>
          <w:tcPr>
            <w:gridSpan w:val="2"/>
            <w:tcW w:w="2608" w:type="dxa"/>
          </w:tcPr>
          <w:p>
            <w:pPr>
              <w:pStyle w:val="0"/>
            </w:pPr>
            <w:r>
              <w:rPr>
                <w:sz w:val="24"/>
              </w:rPr>
              <w:t xml:space="preserve">Полученные тантьемы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ins-dic:SummaPoluchennyxTantem</w:t>
            </w:r>
          </w:p>
        </w:tc>
      </w:tr>
      <w:tr>
        <w:tc>
          <w:tcPr>
            <w:tcW w:w="907" w:type="dxa"/>
          </w:tcPr>
          <w:p>
            <w:pPr>
              <w:pStyle w:val="0"/>
            </w:pPr>
            <w:r>
              <w:rPr>
                <w:sz w:val="24"/>
              </w:rPr>
              <w:t xml:space="preserve">111.1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112</w:t>
            </w:r>
          </w:p>
        </w:tc>
        <w:tc>
          <w:tcPr>
            <w:gridSpan w:val="2"/>
            <w:tcW w:w="2608" w:type="dxa"/>
          </w:tcPr>
          <w:p>
            <w:pPr>
              <w:pStyle w:val="0"/>
            </w:pPr>
            <w:r>
              <w:rPr>
                <w:sz w:val="24"/>
              </w:rPr>
              <w:t xml:space="preserve">Отчисления в фонды компенсационных выплат по договорам страхования, сострахования</w:t>
            </w:r>
          </w:p>
        </w:tc>
        <w:tc>
          <w:tcPr>
            <w:tcW w:w="2608" w:type="dxa"/>
          </w:tcPr>
          <w:p>
            <w:pPr>
              <w:pStyle w:val="0"/>
            </w:pPr>
            <w:r>
              <w:rPr>
                <w:sz w:val="24"/>
              </w:rPr>
            </w:r>
          </w:p>
        </w:tc>
        <w:tc>
          <w:tcPr>
            <w:tcW w:w="2948" w:type="dxa"/>
          </w:tcPr>
          <w:p>
            <w:pPr>
              <w:pStyle w:val="0"/>
            </w:pPr>
            <w:r>
              <w:rPr>
                <w:sz w:val="24"/>
              </w:rPr>
              <w:t xml:space="preserve">ins-dic:OtchisleniyaVFondyKompensaczionnyxVyplatDogStrSostr</w:t>
            </w:r>
          </w:p>
        </w:tc>
      </w:tr>
      <w:tr>
        <w:tc>
          <w:tcPr>
            <w:tcW w:w="907" w:type="dxa"/>
          </w:tcPr>
          <w:p>
            <w:pPr>
              <w:pStyle w:val="0"/>
            </w:pPr>
            <w:r>
              <w:rPr>
                <w:sz w:val="24"/>
              </w:rPr>
              <w:t xml:space="preserve">112.1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113</w:t>
            </w:r>
          </w:p>
        </w:tc>
        <w:tc>
          <w:tcPr>
            <w:gridSpan w:val="2"/>
            <w:tcW w:w="2608" w:type="dxa"/>
          </w:tcPr>
          <w:p>
            <w:pPr>
              <w:pStyle w:val="0"/>
            </w:pPr>
            <w:r>
              <w:rPr>
                <w:sz w:val="24"/>
              </w:rPr>
              <w:t xml:space="preserve">Произведенные страховые выплаты по договорам страхования, сострахования и входящего перестрахования, за исключением величины не разнесенных по убыткам списаний по инкассо</w:t>
            </w:r>
          </w:p>
        </w:tc>
        <w:tc>
          <w:tcPr>
            <w:tcW w:w="2608" w:type="dxa"/>
          </w:tcPr>
          <w:p>
            <w:pPr>
              <w:pStyle w:val="0"/>
            </w:pPr>
            <w:r>
              <w:rPr>
                <w:sz w:val="24"/>
              </w:rPr>
            </w:r>
          </w:p>
        </w:tc>
        <w:tc>
          <w:tcPr>
            <w:tcW w:w="2948" w:type="dxa"/>
          </w:tcPr>
          <w:p>
            <w:pPr>
              <w:pStyle w:val="0"/>
            </w:pPr>
            <w:r>
              <w:rPr>
                <w:sz w:val="24"/>
              </w:rPr>
              <w:t xml:space="preserve">ins-dic:SumProizvedenStraxVyplatZaIsklVelNeRaznesPoUbytSpisanijPoInkasso</w:t>
            </w:r>
          </w:p>
        </w:tc>
      </w:tr>
      <w:tr>
        <w:tc>
          <w:tcPr>
            <w:tcW w:w="907" w:type="dxa"/>
          </w:tcPr>
          <w:p>
            <w:pPr>
              <w:pStyle w:val="0"/>
            </w:pPr>
            <w:r>
              <w:rPr>
                <w:sz w:val="24"/>
              </w:rPr>
              <w:t xml:space="preserve">113.1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060" w:name="P34060"/>
          <w:bookmarkEnd w:id="34060"/>
          <w:p>
            <w:pPr>
              <w:pStyle w:val="0"/>
            </w:pPr>
            <w:r>
              <w:rPr>
                <w:sz w:val="24"/>
              </w:rPr>
              <w:t xml:space="preserve">114</w:t>
            </w:r>
          </w:p>
        </w:tc>
        <w:tc>
          <w:tcPr>
            <w:gridSpan w:val="2"/>
            <w:tcW w:w="2608" w:type="dxa"/>
          </w:tcPr>
          <w:p>
            <w:pPr>
              <w:pStyle w:val="0"/>
            </w:pPr>
            <w:r>
              <w:rPr>
                <w:sz w:val="24"/>
              </w:rPr>
              <w:t xml:space="preserve">Не разнесенные по убыткам списания по инкассо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ins-dic:SummyNeraznesennyxInkasso</w:t>
            </w:r>
          </w:p>
        </w:tc>
      </w:tr>
      <w:tr>
        <w:tc>
          <w:tcPr>
            <w:tcW w:w="907" w:type="dxa"/>
          </w:tcPr>
          <w:p>
            <w:pPr>
              <w:pStyle w:val="0"/>
            </w:pPr>
            <w:r>
              <w:rPr>
                <w:sz w:val="24"/>
              </w:rPr>
              <w:t xml:space="preserve">114.1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115</w:t>
            </w:r>
          </w:p>
        </w:tc>
        <w:tc>
          <w:tcPr>
            <w:gridSpan w:val="2"/>
            <w:tcW w:w="2608" w:type="dxa"/>
          </w:tcPr>
          <w:p>
            <w:pPr>
              <w:pStyle w:val="0"/>
            </w:pPr>
            <w:r>
              <w:rPr>
                <w:sz w:val="24"/>
              </w:rPr>
              <w:t xml:space="preserve">Полученные возмещения доли перестраховщиков в страховых выплатах и права требования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ins-dic:SumPrVozmDPIPravTrebStrPoVozmDPVStrVyplZaIsklNeRaznPoUbSpisInk</w:t>
            </w:r>
          </w:p>
        </w:tc>
      </w:tr>
      <w:tr>
        <w:tc>
          <w:tcPr>
            <w:tcW w:w="907" w:type="dxa"/>
          </w:tcPr>
          <w:p>
            <w:pPr>
              <w:pStyle w:val="0"/>
            </w:pPr>
            <w:r>
              <w:rPr>
                <w:sz w:val="24"/>
              </w:rPr>
              <w:t xml:space="preserve">115.1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116</w:t>
            </w:r>
          </w:p>
        </w:tc>
        <w:tc>
          <w:tcPr>
            <w:gridSpan w:val="2"/>
            <w:tcW w:w="2608" w:type="dxa"/>
          </w:tcPr>
          <w:p>
            <w:pPr>
              <w:pStyle w:val="0"/>
            </w:pPr>
            <w:r>
              <w:rPr>
                <w:sz w:val="24"/>
              </w:rPr>
              <w:t xml:space="preserve">Поступления денежных средств по суброгациям и регрессам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ins-dic:PostupleniyaDenSredstvPoSubrogacziyamIRegressam</w:t>
            </w:r>
          </w:p>
        </w:tc>
      </w:tr>
      <w:tr>
        <w:tc>
          <w:tcPr>
            <w:tcW w:w="907" w:type="dxa"/>
          </w:tcPr>
          <w:p>
            <w:pPr>
              <w:pStyle w:val="0"/>
            </w:pPr>
            <w:r>
              <w:rPr>
                <w:sz w:val="24"/>
              </w:rPr>
              <w:t xml:space="preserve">116.1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117</w:t>
            </w:r>
          </w:p>
        </w:tc>
        <w:tc>
          <w:tcPr>
            <w:gridSpan w:val="2"/>
            <w:tcW w:w="2608" w:type="dxa"/>
          </w:tcPr>
          <w:p>
            <w:pPr>
              <w:pStyle w:val="0"/>
            </w:pPr>
            <w:r>
              <w:rPr>
                <w:sz w:val="24"/>
              </w:rPr>
              <w:t xml:space="preserve">Произведенные возмещения доли перестраховщиков в поступлениях денежных средств по суброгациям и регрессам и обязательства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ins-dic:SumProizvVozmDPIObyazStraxPoVozmeshDPVPostuplPoSubrIRegres</w:t>
            </w:r>
          </w:p>
        </w:tc>
      </w:tr>
      <w:tr>
        <w:tc>
          <w:tcPr>
            <w:tcW w:w="907" w:type="dxa"/>
          </w:tcPr>
          <w:p>
            <w:pPr>
              <w:pStyle w:val="0"/>
            </w:pPr>
            <w:r>
              <w:rPr>
                <w:sz w:val="24"/>
              </w:rPr>
              <w:t xml:space="preserve">117.1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118</w:t>
            </w:r>
          </w:p>
        </w:tc>
        <w:tc>
          <w:tcPr>
            <w:gridSpan w:val="2"/>
            <w:tcW w:w="2608" w:type="dxa"/>
          </w:tcPr>
          <w:p>
            <w:pPr>
              <w:pStyle w:val="0"/>
            </w:pPr>
            <w:r>
              <w:rPr>
                <w:sz w:val="24"/>
              </w:rPr>
              <w:t xml:space="preserve">Поступления от реализации годных остатков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ins-dic:DoxodyOtRealizacziiZastraxImushOtPravOtkaz</w:t>
            </w:r>
          </w:p>
        </w:tc>
      </w:tr>
      <w:tr>
        <w:tc>
          <w:tcPr>
            <w:tcW w:w="907" w:type="dxa"/>
          </w:tcPr>
          <w:p>
            <w:pPr>
              <w:pStyle w:val="0"/>
            </w:pPr>
            <w:r>
              <w:rPr>
                <w:sz w:val="24"/>
              </w:rPr>
              <w:t xml:space="preserve">118.1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119</w:t>
            </w:r>
          </w:p>
        </w:tc>
        <w:tc>
          <w:tcPr>
            <w:gridSpan w:val="2"/>
            <w:tcW w:w="2608" w:type="dxa"/>
          </w:tcPr>
          <w:p>
            <w:pPr>
              <w:pStyle w:val="0"/>
            </w:pPr>
            <w:r>
              <w:rPr>
                <w:sz w:val="24"/>
              </w:rPr>
              <w:t xml:space="preserve">Произведенные возмещения доли перестраховщиков в поступлениях от реализации годных остатков и обязательства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ins-dic:SumProizvVozmDPVDoxIObyazSoglDoxOtRealizZastraxImushOtPravOtkaz</w:t>
            </w:r>
          </w:p>
        </w:tc>
      </w:tr>
      <w:tr>
        <w:tc>
          <w:tcPr>
            <w:tcW w:w="907" w:type="dxa"/>
          </w:tcPr>
          <w:p>
            <w:pPr>
              <w:pStyle w:val="0"/>
            </w:pPr>
            <w:r>
              <w:rPr>
                <w:sz w:val="24"/>
              </w:rPr>
              <w:t xml:space="preserve">119.1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120</w:t>
            </w:r>
          </w:p>
        </w:tc>
        <w:tc>
          <w:tcPr>
            <w:gridSpan w:val="2"/>
            <w:tcW w:w="2608" w:type="dxa"/>
          </w:tcPr>
          <w:p>
            <w:pPr>
              <w:pStyle w:val="0"/>
            </w:pPr>
            <w:r>
              <w:rPr>
                <w:sz w:val="24"/>
              </w:rPr>
              <w:t xml:space="preserve">Прямые расходы на исполнение обязательств по страховым случаям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ins-dic:PryamyeRasxodyNaUregUbytkov</w:t>
            </w:r>
          </w:p>
        </w:tc>
      </w:tr>
      <w:tr>
        <w:tc>
          <w:tcPr>
            <w:tcW w:w="907" w:type="dxa"/>
          </w:tcPr>
          <w:p>
            <w:pPr>
              <w:pStyle w:val="0"/>
            </w:pPr>
            <w:r>
              <w:rPr>
                <w:sz w:val="24"/>
              </w:rPr>
              <w:t xml:space="preserve">120.1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121</w:t>
            </w:r>
          </w:p>
        </w:tc>
        <w:tc>
          <w:tcPr>
            <w:gridSpan w:val="2"/>
            <w:tcW w:w="2608" w:type="dxa"/>
          </w:tcPr>
          <w:p>
            <w:pPr>
              <w:pStyle w:val="0"/>
            </w:pPr>
            <w:r>
              <w:rPr>
                <w:sz w:val="24"/>
              </w:rPr>
              <w:t xml:space="preserve">Полученные возмещения доли перестраховщиков в прямых расходах на исполнение обязательств по страховым случаям и права требования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ins-dic:SumProizvVozmPoDPIPravTrebVPrRasxUregUbytkov</w:t>
            </w:r>
          </w:p>
        </w:tc>
      </w:tr>
      <w:tr>
        <w:tc>
          <w:tcPr>
            <w:tcW w:w="907" w:type="dxa"/>
          </w:tcPr>
          <w:p>
            <w:pPr>
              <w:pStyle w:val="0"/>
            </w:pPr>
            <w:r>
              <w:rPr>
                <w:sz w:val="24"/>
              </w:rPr>
              <w:t xml:space="preserve">121.1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122</w:t>
            </w:r>
          </w:p>
        </w:tc>
        <w:tc>
          <w:tcPr>
            <w:gridSpan w:val="2"/>
            <w:tcW w:w="2608" w:type="dxa"/>
          </w:tcPr>
          <w:p>
            <w:pPr>
              <w:pStyle w:val="0"/>
            </w:pPr>
            <w:r>
              <w:rPr>
                <w:sz w:val="24"/>
              </w:rPr>
              <w:t xml:space="preserve">Косвенные расходы на исполнение обязательств по страховым случаям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ins-dic:KosvenRasxodyNaUregUbytkov</w:t>
            </w:r>
          </w:p>
        </w:tc>
      </w:tr>
      <w:tr>
        <w:tc>
          <w:tcPr>
            <w:tcW w:w="907" w:type="dxa"/>
          </w:tcPr>
          <w:p>
            <w:pPr>
              <w:pStyle w:val="0"/>
            </w:pPr>
            <w:r>
              <w:rPr>
                <w:sz w:val="24"/>
              </w:rPr>
              <w:t xml:space="preserve">122.1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123</w:t>
            </w:r>
          </w:p>
        </w:tc>
        <w:tc>
          <w:tcPr>
            <w:gridSpan w:val="2"/>
            <w:tcW w:w="2608" w:type="dxa"/>
          </w:tcPr>
          <w:p>
            <w:pPr>
              <w:pStyle w:val="0"/>
            </w:pPr>
            <w:r>
              <w:rPr>
                <w:sz w:val="24"/>
              </w:rPr>
              <w:t xml:space="preserve">Полученные возмещения доли перестраховщиков в косвенных расходах на исполнение обязательств по страховым случаям и права требования страховщика по возмещению указанной доли перестраховщиков</w:t>
            </w:r>
          </w:p>
        </w:tc>
        <w:tc>
          <w:tcPr>
            <w:tcW w:w="2608" w:type="dxa"/>
          </w:tcPr>
          <w:p>
            <w:pPr>
              <w:pStyle w:val="0"/>
            </w:pPr>
            <w:r>
              <w:rPr>
                <w:sz w:val="24"/>
              </w:rPr>
            </w:r>
          </w:p>
        </w:tc>
        <w:tc>
          <w:tcPr>
            <w:tcW w:w="2948" w:type="dxa"/>
          </w:tcPr>
          <w:p>
            <w:pPr>
              <w:pStyle w:val="0"/>
            </w:pPr>
            <w:r>
              <w:rPr>
                <w:sz w:val="24"/>
              </w:rPr>
              <w:t xml:space="preserve">ins-dic:SumProizvVozmeshPoDPIPravTrebStraxVKosvRasxUregUb</w:t>
            </w:r>
          </w:p>
        </w:tc>
      </w:tr>
      <w:tr>
        <w:tc>
          <w:tcPr>
            <w:tcW w:w="907" w:type="dxa"/>
          </w:tcPr>
          <w:p>
            <w:pPr>
              <w:pStyle w:val="0"/>
            </w:pPr>
            <w:r>
              <w:rPr>
                <w:sz w:val="24"/>
              </w:rPr>
              <w:t xml:space="preserve">123.1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dim-int:Perechen_Uchet_GruppAxis</w:t>
            </w:r>
          </w:p>
        </w:tc>
      </w:tr>
      <w:tr>
        <w:tc>
          <w:tcPr>
            <w:tcW w:w="907" w:type="dxa"/>
          </w:tcPr>
          <w:bookmarkStart w:id="34140" w:name="P34140"/>
          <w:bookmarkEnd w:id="34140"/>
          <w:p>
            <w:pPr>
              <w:pStyle w:val="0"/>
            </w:pPr>
            <w:r>
              <w:rPr>
                <w:sz w:val="24"/>
              </w:rPr>
              <w:t xml:space="preserve">124</w:t>
            </w:r>
          </w:p>
        </w:tc>
        <w:tc>
          <w:tcPr>
            <w:gridSpan w:val="2"/>
            <w:tcW w:w="2608" w:type="dxa"/>
          </w:tcPr>
          <w:p>
            <w:pPr>
              <w:pStyle w:val="0"/>
            </w:pPr>
            <w:r>
              <w:rPr>
                <w:sz w:val="24"/>
              </w:rPr>
              <w:t xml:space="preserve">Произведенные страховые выплаты по соглашению о прямом возмещении убытков, за исключением величины не разнесенных по убыткам списаний по инкассо</w:t>
            </w:r>
          </w:p>
        </w:tc>
        <w:tc>
          <w:tcPr>
            <w:tcW w:w="2608" w:type="dxa"/>
          </w:tcPr>
          <w:p>
            <w:pPr>
              <w:pStyle w:val="0"/>
            </w:pPr>
            <w:r>
              <w:rPr>
                <w:sz w:val="24"/>
              </w:rPr>
            </w:r>
          </w:p>
        </w:tc>
        <w:tc>
          <w:tcPr>
            <w:tcW w:w="2948" w:type="dxa"/>
          </w:tcPr>
          <w:p>
            <w:pPr>
              <w:pStyle w:val="0"/>
            </w:pPr>
            <w:r>
              <w:rPr>
                <w:sz w:val="24"/>
              </w:rPr>
              <w:t xml:space="preserve">ins-dic:SumProizvStraxVyplPoPVUZaIsklVelNeRaznesenPoUbytSpisanPoInkasso</w:t>
            </w:r>
          </w:p>
        </w:tc>
      </w:tr>
      <w:tr>
        <w:tc>
          <w:tcPr>
            <w:tcW w:w="907" w:type="dxa"/>
          </w:tcPr>
          <w:p>
            <w:pPr>
              <w:pStyle w:val="0"/>
            </w:pPr>
            <w:r>
              <w:rPr>
                <w:sz w:val="24"/>
              </w:rPr>
              <w:t xml:space="preserve">124.1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148" w:name="P34148"/>
          <w:bookmarkEnd w:id="34148"/>
          <w:p>
            <w:pPr>
              <w:pStyle w:val="0"/>
            </w:pPr>
            <w:r>
              <w:rPr>
                <w:sz w:val="24"/>
              </w:rPr>
              <w:t xml:space="preserve">125</w:t>
            </w:r>
          </w:p>
        </w:tc>
        <w:tc>
          <w:tcPr>
            <w:gridSpan w:val="2"/>
            <w:tcW w:w="2608" w:type="dxa"/>
          </w:tcPr>
          <w:p>
            <w:pPr>
              <w:pStyle w:val="0"/>
            </w:pPr>
            <w:r>
              <w:rPr>
                <w:sz w:val="24"/>
              </w:rPr>
              <w:t xml:space="preserve">Сумма выплат потерпевшим по их требованиям о прямом возмещении убытков (без учета дополнительного возмещения убытков потерпевшим)</w:t>
            </w:r>
          </w:p>
        </w:tc>
        <w:tc>
          <w:tcPr>
            <w:tcW w:w="2608" w:type="dxa"/>
          </w:tcPr>
          <w:p>
            <w:pPr>
              <w:pStyle w:val="0"/>
            </w:pPr>
            <w:r>
              <w:rPr>
                <w:sz w:val="24"/>
              </w:rPr>
            </w:r>
          </w:p>
        </w:tc>
        <w:tc>
          <w:tcPr>
            <w:tcW w:w="2948" w:type="dxa"/>
          </w:tcPr>
          <w:p>
            <w:pPr>
              <w:pStyle w:val="0"/>
            </w:pPr>
            <w:r>
              <w:rPr>
                <w:sz w:val="24"/>
              </w:rPr>
              <w:t xml:space="preserve">ins-dic:SumVyplPoterpTrebPVUBezDopVozmUbPoterp</w:t>
            </w:r>
          </w:p>
        </w:tc>
      </w:tr>
      <w:tr>
        <w:tc>
          <w:tcPr>
            <w:tcW w:w="907" w:type="dxa"/>
          </w:tcPr>
          <w:p>
            <w:pPr>
              <w:pStyle w:val="0"/>
            </w:pPr>
            <w:r>
              <w:rPr>
                <w:sz w:val="24"/>
              </w:rPr>
              <w:t xml:space="preserve">125.1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156" w:name="P34156"/>
          <w:bookmarkEnd w:id="34156"/>
          <w:p>
            <w:pPr>
              <w:pStyle w:val="0"/>
            </w:pPr>
            <w:r>
              <w:rPr>
                <w:sz w:val="24"/>
              </w:rPr>
              <w:t xml:space="preserve">126</w:t>
            </w:r>
          </w:p>
        </w:tc>
        <w:tc>
          <w:tcPr>
            <w:gridSpan w:val="2"/>
            <w:tcW w:w="2608" w:type="dxa"/>
          </w:tcPr>
          <w:p>
            <w:pPr>
              <w:pStyle w:val="0"/>
            </w:pPr>
            <w:r>
              <w:rPr>
                <w:sz w:val="24"/>
              </w:rPr>
              <w:t xml:space="preserve">Сумма выплат потерпевшим по их требованиям о прямом возмещении убытков (дополнительное возмещение убытков потерпевшим)</w:t>
            </w:r>
          </w:p>
        </w:tc>
        <w:tc>
          <w:tcPr>
            <w:tcW w:w="2608" w:type="dxa"/>
          </w:tcPr>
          <w:p>
            <w:pPr>
              <w:pStyle w:val="0"/>
            </w:pPr>
            <w:r>
              <w:rPr>
                <w:sz w:val="24"/>
              </w:rPr>
            </w:r>
          </w:p>
        </w:tc>
        <w:tc>
          <w:tcPr>
            <w:tcW w:w="2948" w:type="dxa"/>
          </w:tcPr>
          <w:p>
            <w:pPr>
              <w:pStyle w:val="0"/>
            </w:pPr>
            <w:r>
              <w:rPr>
                <w:sz w:val="24"/>
              </w:rPr>
              <w:t xml:space="preserve">ins-dic:SumVyplPoterpTrebPVUDopInoeVozmUbPoterp</w:t>
            </w:r>
          </w:p>
        </w:tc>
      </w:tr>
      <w:tr>
        <w:tc>
          <w:tcPr>
            <w:tcW w:w="907" w:type="dxa"/>
          </w:tcPr>
          <w:p>
            <w:pPr>
              <w:pStyle w:val="0"/>
            </w:pPr>
            <w:r>
              <w:rPr>
                <w:sz w:val="24"/>
              </w:rPr>
              <w:t xml:space="preserve">126.1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164" w:name="P34164"/>
          <w:bookmarkEnd w:id="34164"/>
          <w:p>
            <w:pPr>
              <w:pStyle w:val="0"/>
            </w:pPr>
            <w:r>
              <w:rPr>
                <w:sz w:val="24"/>
              </w:rPr>
              <w:t xml:space="preserve">127</w:t>
            </w:r>
          </w:p>
        </w:tc>
        <w:tc>
          <w:tcPr>
            <w:gridSpan w:val="2"/>
            <w:tcW w:w="2608" w:type="dxa"/>
          </w:tcPr>
          <w:p>
            <w:pPr>
              <w:pStyle w:val="0"/>
            </w:pPr>
            <w:r>
              <w:rPr>
                <w:sz w:val="24"/>
              </w:rPr>
              <w:t xml:space="preserve">Сумма поступивших денежных средств по требованиям об оплате возмещенного вреда</w:t>
            </w:r>
          </w:p>
        </w:tc>
        <w:tc>
          <w:tcPr>
            <w:tcW w:w="2608" w:type="dxa"/>
          </w:tcPr>
          <w:p>
            <w:pPr>
              <w:pStyle w:val="0"/>
            </w:pPr>
            <w:r>
              <w:rPr>
                <w:sz w:val="24"/>
              </w:rPr>
            </w:r>
          </w:p>
        </w:tc>
        <w:tc>
          <w:tcPr>
            <w:tcW w:w="2948" w:type="dxa"/>
          </w:tcPr>
          <w:p>
            <w:pPr>
              <w:pStyle w:val="0"/>
            </w:pPr>
            <w:r>
              <w:rPr>
                <w:sz w:val="24"/>
              </w:rPr>
              <w:t xml:space="preserve">ins-dic:SumPostDenSrPoTrebOplVozmeshVreda</w:t>
            </w:r>
          </w:p>
        </w:tc>
      </w:tr>
      <w:tr>
        <w:tc>
          <w:tcPr>
            <w:tcW w:w="907" w:type="dxa"/>
          </w:tcPr>
          <w:p>
            <w:pPr>
              <w:pStyle w:val="0"/>
            </w:pPr>
            <w:r>
              <w:rPr>
                <w:sz w:val="24"/>
              </w:rPr>
              <w:t xml:space="preserve">127.1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128</w:t>
            </w:r>
          </w:p>
        </w:tc>
        <w:tc>
          <w:tcPr>
            <w:gridSpan w:val="2"/>
            <w:tcW w:w="2608" w:type="dxa"/>
          </w:tcPr>
          <w:p>
            <w:pPr>
              <w:pStyle w:val="0"/>
            </w:pPr>
            <w:r>
              <w:rPr>
                <w:sz w:val="24"/>
              </w:rPr>
              <w:t xml:space="preserve">Прочие доходы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ins-dic:ProchDoxPoDogStrSostrVxPerestr</w:t>
            </w:r>
          </w:p>
        </w:tc>
      </w:tr>
      <w:tr>
        <w:tc>
          <w:tcPr>
            <w:tcW w:w="907" w:type="dxa"/>
          </w:tcPr>
          <w:p>
            <w:pPr>
              <w:pStyle w:val="0"/>
            </w:pPr>
            <w:r>
              <w:rPr>
                <w:sz w:val="24"/>
              </w:rPr>
              <w:t xml:space="preserve">128.1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129</w:t>
            </w:r>
          </w:p>
        </w:tc>
        <w:tc>
          <w:tcPr>
            <w:gridSpan w:val="2"/>
            <w:tcW w:w="2608" w:type="dxa"/>
          </w:tcPr>
          <w:p>
            <w:pPr>
              <w:pStyle w:val="0"/>
            </w:pPr>
            <w:r>
              <w:rPr>
                <w:sz w:val="24"/>
              </w:rPr>
              <w:t xml:space="preserve">Прочие доходы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ins-dic:ProchDoxDogIsxodPstr</w:t>
            </w:r>
          </w:p>
        </w:tc>
      </w:tr>
      <w:tr>
        <w:tc>
          <w:tcPr>
            <w:tcW w:w="907" w:type="dxa"/>
          </w:tcPr>
          <w:p>
            <w:pPr>
              <w:pStyle w:val="0"/>
            </w:pPr>
            <w:r>
              <w:rPr>
                <w:sz w:val="24"/>
              </w:rPr>
              <w:t xml:space="preserve">129.1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130</w:t>
            </w:r>
          </w:p>
        </w:tc>
        <w:tc>
          <w:tcPr>
            <w:gridSpan w:val="2"/>
            <w:tcW w:w="2608" w:type="dxa"/>
          </w:tcPr>
          <w:p>
            <w:pPr>
              <w:pStyle w:val="0"/>
            </w:pPr>
            <w:r>
              <w:rPr>
                <w:sz w:val="24"/>
              </w:rPr>
              <w:t xml:space="preserve">Прочие расходы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ins-dic:ProchRasxPoDogStrSostrVxPerestr</w:t>
            </w:r>
          </w:p>
        </w:tc>
      </w:tr>
      <w:tr>
        <w:tc>
          <w:tcPr>
            <w:tcW w:w="907" w:type="dxa"/>
          </w:tcPr>
          <w:p>
            <w:pPr>
              <w:pStyle w:val="0"/>
            </w:pPr>
            <w:r>
              <w:rPr>
                <w:sz w:val="24"/>
              </w:rPr>
              <w:t xml:space="preserve">130.1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131</w:t>
            </w:r>
          </w:p>
        </w:tc>
        <w:tc>
          <w:tcPr>
            <w:gridSpan w:val="2"/>
            <w:tcW w:w="2608" w:type="dxa"/>
          </w:tcPr>
          <w:p>
            <w:pPr>
              <w:pStyle w:val="0"/>
            </w:pPr>
            <w:r>
              <w:rPr>
                <w:sz w:val="24"/>
              </w:rPr>
              <w:t xml:space="preserve">Прочие расходы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ins-dic:ProchRasxDogIsxodPstr</w:t>
            </w:r>
          </w:p>
        </w:tc>
      </w:tr>
      <w:tr>
        <w:tc>
          <w:tcPr>
            <w:tcW w:w="907" w:type="dxa"/>
          </w:tcPr>
          <w:p>
            <w:pPr>
              <w:pStyle w:val="0"/>
            </w:pPr>
            <w:r>
              <w:rPr>
                <w:sz w:val="24"/>
              </w:rPr>
              <w:t xml:space="preserve">131.1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04" w:name="P34204"/>
          <w:bookmarkEnd w:id="34204"/>
          <w:p>
            <w:pPr>
              <w:pStyle w:val="0"/>
            </w:pPr>
            <w:r>
              <w:rPr>
                <w:sz w:val="24"/>
              </w:rPr>
              <w:t xml:space="preserve">132</w:t>
            </w:r>
          </w:p>
        </w:tc>
        <w:tc>
          <w:tcPr>
            <w:gridSpan w:val="2"/>
            <w:tcW w:w="2608" w:type="dxa"/>
          </w:tcPr>
          <w:p>
            <w:pPr>
              <w:pStyle w:val="0"/>
            </w:pPr>
            <w:r>
              <w:rPr>
                <w:sz w:val="24"/>
              </w:rPr>
              <w:t xml:space="preserve">Изменение резерва премий</w:t>
            </w:r>
          </w:p>
        </w:tc>
        <w:tc>
          <w:tcPr>
            <w:tcW w:w="2608" w:type="dxa"/>
          </w:tcPr>
          <w:p>
            <w:pPr>
              <w:pStyle w:val="0"/>
            </w:pPr>
            <w:r>
              <w:rPr>
                <w:sz w:val="24"/>
              </w:rPr>
            </w:r>
          </w:p>
        </w:tc>
        <w:tc>
          <w:tcPr>
            <w:tcW w:w="2948" w:type="dxa"/>
          </w:tcPr>
          <w:p>
            <w:pPr>
              <w:pStyle w:val="0"/>
            </w:pPr>
            <w:r>
              <w:rPr>
                <w:sz w:val="24"/>
              </w:rPr>
              <w:t xml:space="preserve">ins-dic:IzmenRezervaPremii</w:t>
            </w:r>
          </w:p>
        </w:tc>
      </w:tr>
      <w:tr>
        <w:tc>
          <w:tcPr>
            <w:tcW w:w="907" w:type="dxa"/>
          </w:tcPr>
          <w:p>
            <w:pPr>
              <w:pStyle w:val="0"/>
            </w:pPr>
            <w:r>
              <w:rPr>
                <w:sz w:val="24"/>
              </w:rPr>
              <w:t xml:space="preserve">132.1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12" w:name="P34212"/>
          <w:bookmarkEnd w:id="34212"/>
          <w:p>
            <w:pPr>
              <w:pStyle w:val="0"/>
            </w:pPr>
            <w:r>
              <w:rPr>
                <w:sz w:val="24"/>
              </w:rPr>
              <w:t xml:space="preserve">133</w:t>
            </w:r>
          </w:p>
        </w:tc>
        <w:tc>
          <w:tcPr>
            <w:gridSpan w:val="2"/>
            <w:tcW w:w="2608" w:type="dxa"/>
          </w:tcPr>
          <w:p>
            <w:pPr>
              <w:pStyle w:val="0"/>
            </w:pPr>
            <w:r>
              <w:rPr>
                <w:sz w:val="24"/>
              </w:rPr>
              <w:t xml:space="preserve">Изменение оценки ожидаемой величины обязательств по резерву премий (ДПП)</w:t>
            </w:r>
          </w:p>
        </w:tc>
        <w:tc>
          <w:tcPr>
            <w:tcW w:w="2608" w:type="dxa"/>
          </w:tcPr>
          <w:p>
            <w:pPr>
              <w:pStyle w:val="0"/>
            </w:pPr>
            <w:r>
              <w:rPr>
                <w:sz w:val="24"/>
              </w:rPr>
            </w:r>
          </w:p>
        </w:tc>
        <w:tc>
          <w:tcPr>
            <w:tcW w:w="2948" w:type="dxa"/>
          </w:tcPr>
          <w:p>
            <w:pPr>
              <w:pStyle w:val="0"/>
            </w:pPr>
            <w:r>
              <w:rPr>
                <w:sz w:val="24"/>
              </w:rPr>
              <w:t xml:space="preserve">ins-dic:IzmRezervPremIzmOczenOzhidVelObyazPoRP_DPP</w:t>
            </w:r>
          </w:p>
        </w:tc>
      </w:tr>
      <w:tr>
        <w:tc>
          <w:tcPr>
            <w:tcW w:w="907" w:type="dxa"/>
          </w:tcPr>
          <w:p>
            <w:pPr>
              <w:pStyle w:val="0"/>
            </w:pPr>
            <w:r>
              <w:rPr>
                <w:sz w:val="24"/>
              </w:rPr>
              <w:t xml:space="preserve">133.1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20" w:name="P34220"/>
          <w:bookmarkEnd w:id="34220"/>
          <w:p>
            <w:pPr>
              <w:pStyle w:val="0"/>
            </w:pPr>
            <w:r>
              <w:rPr>
                <w:sz w:val="24"/>
              </w:rPr>
              <w:t xml:space="preserve">134</w:t>
            </w:r>
          </w:p>
        </w:tc>
        <w:tc>
          <w:tcPr>
            <w:gridSpan w:val="2"/>
            <w:tcW w:w="2608" w:type="dxa"/>
          </w:tcPr>
          <w:p>
            <w:pPr>
              <w:pStyle w:val="0"/>
            </w:pPr>
            <w:r>
              <w:rPr>
                <w:sz w:val="24"/>
              </w:rPr>
              <w:t xml:space="preserve">Изменение оценки ожидаемой величины прав требования в части уплаты страховых премий (взносов)</w:t>
            </w:r>
          </w:p>
        </w:tc>
        <w:tc>
          <w:tcPr>
            <w:tcW w:w="2608" w:type="dxa"/>
          </w:tcPr>
          <w:p>
            <w:pPr>
              <w:pStyle w:val="0"/>
            </w:pPr>
            <w:r>
              <w:rPr>
                <w:sz w:val="24"/>
              </w:rPr>
            </w:r>
          </w:p>
        </w:tc>
        <w:tc>
          <w:tcPr>
            <w:tcW w:w="2948" w:type="dxa"/>
          </w:tcPr>
          <w:p>
            <w:pPr>
              <w:pStyle w:val="0"/>
            </w:pPr>
            <w:r>
              <w:rPr>
                <w:sz w:val="24"/>
              </w:rPr>
              <w:t xml:space="preserve">ins-dic:IzmPravTrebVChastiUplStrPremijStrVnosov</w:t>
            </w:r>
          </w:p>
        </w:tc>
      </w:tr>
      <w:tr>
        <w:tc>
          <w:tcPr>
            <w:tcW w:w="907" w:type="dxa"/>
          </w:tcPr>
          <w:p>
            <w:pPr>
              <w:pStyle w:val="0"/>
            </w:pPr>
            <w:r>
              <w:rPr>
                <w:sz w:val="24"/>
              </w:rPr>
              <w:t xml:space="preserve">134.1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28" w:name="P34228"/>
          <w:bookmarkEnd w:id="34228"/>
          <w:p>
            <w:pPr>
              <w:pStyle w:val="0"/>
            </w:pPr>
            <w:r>
              <w:rPr>
                <w:sz w:val="24"/>
              </w:rPr>
              <w:t xml:space="preserve">135</w:t>
            </w:r>
          </w:p>
        </w:tc>
        <w:tc>
          <w:tcPr>
            <w:gridSpan w:val="2"/>
            <w:tcW w:w="2608" w:type="dxa"/>
          </w:tcPr>
          <w:p>
            <w:pPr>
              <w:pStyle w:val="0"/>
            </w:pPr>
            <w:r>
              <w:rPr>
                <w:sz w:val="24"/>
              </w:rPr>
              <w:t xml:space="preserve">Изменение оценки ожидаемой величины обязательств в части расходов на заключение (аквизицию)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ins-dic:IzmOczenOzhidVelichObyazVRasxNaZaklDogStraxSostrVxPer</w:t>
            </w:r>
          </w:p>
        </w:tc>
      </w:tr>
      <w:tr>
        <w:tc>
          <w:tcPr>
            <w:tcW w:w="907" w:type="dxa"/>
          </w:tcPr>
          <w:p>
            <w:pPr>
              <w:pStyle w:val="0"/>
            </w:pPr>
            <w:r>
              <w:rPr>
                <w:sz w:val="24"/>
              </w:rPr>
              <w:t xml:space="preserve">135.1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36" w:name="P34236"/>
          <w:bookmarkEnd w:id="34236"/>
          <w:p>
            <w:pPr>
              <w:pStyle w:val="0"/>
            </w:pPr>
            <w:r>
              <w:rPr>
                <w:sz w:val="24"/>
              </w:rPr>
              <w:t xml:space="preserve">136</w:t>
            </w:r>
          </w:p>
        </w:tc>
        <w:tc>
          <w:tcPr>
            <w:gridSpan w:val="2"/>
            <w:tcW w:w="2608" w:type="dxa"/>
          </w:tcPr>
          <w:p>
            <w:pPr>
              <w:pStyle w:val="0"/>
            </w:pPr>
            <w:r>
              <w:rPr>
                <w:sz w:val="24"/>
              </w:rPr>
              <w:t xml:space="preserve">Изменение оценки ожидаемой величины обязательств в части расходов на сопровождение договоров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ins-dic:IzmOczenOzhidVelichObyazVRasxNaSoprovDogStraxSostrVxPer</w:t>
            </w:r>
          </w:p>
        </w:tc>
      </w:tr>
      <w:tr>
        <w:tc>
          <w:tcPr>
            <w:tcW w:w="907" w:type="dxa"/>
          </w:tcPr>
          <w:p>
            <w:pPr>
              <w:pStyle w:val="0"/>
            </w:pPr>
            <w:r>
              <w:rPr>
                <w:sz w:val="24"/>
              </w:rPr>
              <w:t xml:space="preserve">136.1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44" w:name="P34244"/>
          <w:bookmarkEnd w:id="34244"/>
          <w:p>
            <w:pPr>
              <w:pStyle w:val="0"/>
            </w:pPr>
            <w:r>
              <w:rPr>
                <w:sz w:val="24"/>
              </w:rPr>
              <w:t xml:space="preserve">137</w:t>
            </w:r>
          </w:p>
        </w:tc>
        <w:tc>
          <w:tcPr>
            <w:gridSpan w:val="2"/>
            <w:tcW w:w="2608" w:type="dxa"/>
          </w:tcPr>
          <w:p>
            <w:pPr>
              <w:pStyle w:val="0"/>
            </w:pPr>
            <w:r>
              <w:rPr>
                <w:sz w:val="24"/>
              </w:rPr>
              <w:t xml:space="preserve">Изменение оценки ожидаемой величины обязательств в части расходов на исполнение обязательств страховщика по страховым случаям</w:t>
            </w:r>
          </w:p>
        </w:tc>
        <w:tc>
          <w:tcPr>
            <w:tcW w:w="2608" w:type="dxa"/>
          </w:tcPr>
          <w:p>
            <w:pPr>
              <w:pStyle w:val="0"/>
            </w:pPr>
            <w:r>
              <w:rPr>
                <w:sz w:val="24"/>
              </w:rPr>
            </w:r>
          </w:p>
        </w:tc>
        <w:tc>
          <w:tcPr>
            <w:tcW w:w="2948" w:type="dxa"/>
          </w:tcPr>
          <w:p>
            <w:pPr>
              <w:pStyle w:val="0"/>
            </w:pPr>
            <w:r>
              <w:rPr>
                <w:sz w:val="24"/>
              </w:rPr>
              <w:t xml:space="preserve">ins-dic:IzmOczenOzhidVelichObyazatPoOplIUregulirUbyt</w:t>
            </w:r>
          </w:p>
        </w:tc>
      </w:tr>
      <w:tr>
        <w:tc>
          <w:tcPr>
            <w:tcW w:w="907" w:type="dxa"/>
          </w:tcPr>
          <w:p>
            <w:pPr>
              <w:pStyle w:val="0"/>
            </w:pPr>
            <w:r>
              <w:rPr>
                <w:sz w:val="24"/>
              </w:rPr>
              <w:t xml:space="preserve">137.1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52" w:name="P34252"/>
          <w:bookmarkEnd w:id="34252"/>
          <w:p>
            <w:pPr>
              <w:pStyle w:val="0"/>
            </w:pPr>
            <w:r>
              <w:rPr>
                <w:sz w:val="24"/>
              </w:rPr>
              <w:t xml:space="preserve">138</w:t>
            </w:r>
          </w:p>
        </w:tc>
        <w:tc>
          <w:tcPr>
            <w:gridSpan w:val="2"/>
            <w:tcW w:w="2608" w:type="dxa"/>
          </w:tcPr>
          <w:p>
            <w:pPr>
              <w:pStyle w:val="0"/>
            </w:pPr>
            <w:r>
              <w:rPr>
                <w:sz w:val="24"/>
              </w:rPr>
              <w:t xml:space="preserve">Изменение оценки рисковой маржи (РМП)</w:t>
            </w:r>
          </w:p>
        </w:tc>
        <w:tc>
          <w:tcPr>
            <w:tcW w:w="2608" w:type="dxa"/>
          </w:tcPr>
          <w:p>
            <w:pPr>
              <w:pStyle w:val="0"/>
            </w:pPr>
            <w:r>
              <w:rPr>
                <w:sz w:val="24"/>
              </w:rPr>
            </w:r>
          </w:p>
        </w:tc>
        <w:tc>
          <w:tcPr>
            <w:tcW w:w="2948" w:type="dxa"/>
          </w:tcPr>
          <w:p>
            <w:pPr>
              <w:pStyle w:val="0"/>
            </w:pPr>
            <w:r>
              <w:rPr>
                <w:sz w:val="24"/>
              </w:rPr>
              <w:t xml:space="preserve">ins-dic:IzmRezervPremIzmOczenRiskMarzhi_RMP</w:t>
            </w:r>
          </w:p>
        </w:tc>
      </w:tr>
      <w:tr>
        <w:tc>
          <w:tcPr>
            <w:tcW w:w="907" w:type="dxa"/>
          </w:tcPr>
          <w:p>
            <w:pPr>
              <w:pStyle w:val="0"/>
            </w:pPr>
            <w:r>
              <w:rPr>
                <w:sz w:val="24"/>
              </w:rPr>
              <w:t xml:space="preserve">138.1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60" w:name="P34260"/>
          <w:bookmarkEnd w:id="34260"/>
          <w:p>
            <w:pPr>
              <w:pStyle w:val="0"/>
            </w:pPr>
            <w:r>
              <w:rPr>
                <w:sz w:val="24"/>
              </w:rPr>
              <w:t xml:space="preserve">139</w:t>
            </w:r>
          </w:p>
        </w:tc>
        <w:tc>
          <w:tcPr>
            <w:gridSpan w:val="2"/>
            <w:tcW w:w="2608" w:type="dxa"/>
          </w:tcPr>
          <w:p>
            <w:pPr>
              <w:pStyle w:val="0"/>
            </w:pPr>
            <w:r>
              <w:rPr>
                <w:sz w:val="24"/>
              </w:rPr>
              <w:t xml:space="preserve">Изменение суммы заработанной страховой премии по договорам страхования, сострахования и входящего перестрахования</w:t>
            </w:r>
          </w:p>
        </w:tc>
        <w:tc>
          <w:tcPr>
            <w:tcW w:w="2608" w:type="dxa"/>
          </w:tcPr>
          <w:p>
            <w:pPr>
              <w:pStyle w:val="0"/>
            </w:pPr>
            <w:r>
              <w:rPr>
                <w:sz w:val="24"/>
              </w:rPr>
            </w:r>
          </w:p>
        </w:tc>
        <w:tc>
          <w:tcPr>
            <w:tcW w:w="2948" w:type="dxa"/>
          </w:tcPr>
          <w:p>
            <w:pPr>
              <w:pStyle w:val="0"/>
            </w:pPr>
            <w:r>
              <w:rPr>
                <w:sz w:val="24"/>
              </w:rPr>
              <w:t xml:space="preserve">ins-dic:IzmSumZarStrPremDogStrVsePerPosleRaschetDaty</w:t>
            </w:r>
          </w:p>
        </w:tc>
      </w:tr>
      <w:tr>
        <w:tc>
          <w:tcPr>
            <w:tcW w:w="907" w:type="dxa"/>
          </w:tcPr>
          <w:p>
            <w:pPr>
              <w:pStyle w:val="0"/>
            </w:pPr>
            <w:r>
              <w:rPr>
                <w:sz w:val="24"/>
              </w:rPr>
              <w:t xml:space="preserve">139.1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68" w:name="P34268"/>
          <w:bookmarkEnd w:id="34268"/>
          <w:p>
            <w:pPr>
              <w:pStyle w:val="0"/>
            </w:pPr>
            <w:r>
              <w:rPr>
                <w:sz w:val="24"/>
              </w:rPr>
              <w:t xml:space="preserve">140</w:t>
            </w:r>
          </w:p>
        </w:tc>
        <w:tc>
          <w:tcPr>
            <w:gridSpan w:val="2"/>
            <w:tcW w:w="2608" w:type="dxa"/>
          </w:tcPr>
          <w:p>
            <w:pPr>
              <w:pStyle w:val="0"/>
            </w:pPr>
            <w:r>
              <w:rPr>
                <w:sz w:val="24"/>
              </w:rPr>
              <w:t xml:space="preserve">Изменение доли перестраховщиков в резерве премий (ДДПП)</w:t>
            </w:r>
          </w:p>
        </w:tc>
        <w:tc>
          <w:tcPr>
            <w:tcW w:w="2608" w:type="dxa"/>
          </w:tcPr>
          <w:p>
            <w:pPr>
              <w:pStyle w:val="0"/>
            </w:pPr>
            <w:r>
              <w:rPr>
                <w:sz w:val="24"/>
              </w:rPr>
            </w:r>
          </w:p>
        </w:tc>
        <w:tc>
          <w:tcPr>
            <w:tcW w:w="2948" w:type="dxa"/>
          </w:tcPr>
          <w:p>
            <w:pPr>
              <w:pStyle w:val="0"/>
            </w:pPr>
            <w:r>
              <w:rPr>
                <w:sz w:val="24"/>
              </w:rPr>
              <w:t xml:space="preserve">ins-dic:IzmDoliPerestrVRP_DDPP</w:t>
            </w:r>
          </w:p>
        </w:tc>
      </w:tr>
      <w:tr>
        <w:tc>
          <w:tcPr>
            <w:tcW w:w="907" w:type="dxa"/>
          </w:tcPr>
          <w:p>
            <w:pPr>
              <w:pStyle w:val="0"/>
            </w:pPr>
            <w:r>
              <w:rPr>
                <w:sz w:val="24"/>
              </w:rPr>
              <w:t xml:space="preserve">140.1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76" w:name="P34276"/>
          <w:bookmarkEnd w:id="34276"/>
          <w:p>
            <w:pPr>
              <w:pStyle w:val="0"/>
            </w:pPr>
            <w:r>
              <w:rPr>
                <w:sz w:val="24"/>
              </w:rPr>
              <w:t xml:space="preserve">141</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ins-dic:IzmSumNailOczPrivedStDPIspOczDPP_SPRPNO</w:t>
            </w:r>
          </w:p>
        </w:tc>
      </w:tr>
      <w:tr>
        <w:tc>
          <w:tcPr>
            <w:tcW w:w="907" w:type="dxa"/>
          </w:tcPr>
          <w:p>
            <w:pPr>
              <w:pStyle w:val="0"/>
            </w:pPr>
            <w:r>
              <w:rPr>
                <w:sz w:val="24"/>
              </w:rPr>
              <w:t xml:space="preserve">141.1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84" w:name="P34284"/>
          <w:bookmarkEnd w:id="34284"/>
          <w:p>
            <w:pPr>
              <w:pStyle w:val="0"/>
            </w:pPr>
            <w:r>
              <w:rPr>
                <w:sz w:val="24"/>
              </w:rPr>
              <w:t xml:space="preserve">142</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в части ожидаемой величины уплаты страховых премий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ins-dic:IzmDolPerestrVPravTrebVChastiUplStrPremStrVznos</w:t>
            </w:r>
          </w:p>
        </w:tc>
      </w:tr>
      <w:tr>
        <w:tc>
          <w:tcPr>
            <w:tcW w:w="907" w:type="dxa"/>
          </w:tcPr>
          <w:p>
            <w:pPr>
              <w:pStyle w:val="0"/>
            </w:pPr>
            <w:r>
              <w:rPr>
                <w:sz w:val="24"/>
              </w:rPr>
              <w:t xml:space="preserve">142.1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292" w:name="P34292"/>
          <w:bookmarkEnd w:id="34292"/>
          <w:p>
            <w:pPr>
              <w:pStyle w:val="0"/>
            </w:pPr>
            <w:r>
              <w:rPr>
                <w:sz w:val="24"/>
              </w:rPr>
              <w:t xml:space="preserve">143</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в части ожидаемой величины перестраховочного вознаграждения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ins-dic:IzmSPRPNOvChastiOzhidVelichPerestrVoznPoDogIsxPerestrax</w:t>
            </w:r>
          </w:p>
        </w:tc>
      </w:tr>
      <w:tr>
        <w:tc>
          <w:tcPr>
            <w:tcW w:w="907" w:type="dxa"/>
          </w:tcPr>
          <w:p>
            <w:pPr>
              <w:pStyle w:val="0"/>
            </w:pPr>
            <w:r>
              <w:rPr>
                <w:sz w:val="24"/>
              </w:rPr>
              <w:t xml:space="preserve">143.1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00" w:name="P34300"/>
          <w:bookmarkEnd w:id="34300"/>
          <w:p>
            <w:pPr>
              <w:pStyle w:val="0"/>
            </w:pPr>
            <w:r>
              <w:rPr>
                <w:sz w:val="24"/>
              </w:rPr>
              <w:t xml:space="preserve">144</w:t>
            </w:r>
          </w:p>
        </w:tc>
        <w:tc>
          <w:tcPr>
            <w:gridSpan w:val="2"/>
            <w:tcW w:w="2608" w:type="dxa"/>
          </w:tcPr>
          <w:p>
            <w:pPr>
              <w:pStyle w:val="0"/>
            </w:pPr>
            <w:r>
              <w:rPr>
                <w:sz w:val="24"/>
              </w:rPr>
              <w:t xml:space="preserve">Изменение суммы СПРП</w:t>
            </w:r>
            <w:r>
              <w:rPr>
                <w:sz w:val="24"/>
                <w:vertAlign w:val="superscript"/>
              </w:rPr>
              <w:t xml:space="preserve">НО</w:t>
            </w:r>
            <w:r>
              <w:rPr>
                <w:sz w:val="24"/>
              </w:rPr>
              <w:t xml:space="preserve"> в части ожидаемой величины обязательств по расходам на исполнение обязательств страховщика по страховым случаям</w:t>
            </w:r>
          </w:p>
        </w:tc>
        <w:tc>
          <w:tcPr>
            <w:tcW w:w="2608" w:type="dxa"/>
          </w:tcPr>
          <w:p>
            <w:pPr>
              <w:pStyle w:val="0"/>
            </w:pPr>
            <w:r>
              <w:rPr>
                <w:sz w:val="24"/>
              </w:rPr>
            </w:r>
          </w:p>
        </w:tc>
        <w:tc>
          <w:tcPr>
            <w:tcW w:w="2948" w:type="dxa"/>
          </w:tcPr>
          <w:p>
            <w:pPr>
              <w:pStyle w:val="0"/>
            </w:pPr>
            <w:r>
              <w:rPr>
                <w:sz w:val="24"/>
              </w:rPr>
              <w:t xml:space="preserve">ins-dic:IzmDolPerestrVOczenOzhidVelichObyazatPoOplIUregUbyt</w:t>
            </w:r>
          </w:p>
        </w:tc>
      </w:tr>
      <w:tr>
        <w:tc>
          <w:tcPr>
            <w:tcW w:w="907" w:type="dxa"/>
          </w:tcPr>
          <w:p>
            <w:pPr>
              <w:pStyle w:val="0"/>
            </w:pPr>
            <w:r>
              <w:rPr>
                <w:sz w:val="24"/>
              </w:rPr>
              <w:t xml:space="preserve">144.1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08" w:name="P34308"/>
          <w:bookmarkEnd w:id="34308"/>
          <w:p>
            <w:pPr>
              <w:pStyle w:val="0"/>
            </w:pPr>
            <w:r>
              <w:rPr>
                <w:sz w:val="24"/>
              </w:rPr>
              <w:t xml:space="preserve">145</w:t>
            </w:r>
          </w:p>
        </w:tc>
        <w:tc>
          <w:tcPr>
            <w:gridSpan w:val="2"/>
            <w:tcW w:w="2608" w:type="dxa"/>
          </w:tcPr>
          <w:p>
            <w:pPr>
              <w:pStyle w:val="0"/>
            </w:pPr>
            <w:r>
              <w:rPr>
                <w:sz w:val="24"/>
              </w:rPr>
              <w:t xml:space="preserve">Изменение корректировки на риск неплатежа по резерву премий (КРНП)</w:t>
            </w:r>
          </w:p>
        </w:tc>
        <w:tc>
          <w:tcPr>
            <w:tcW w:w="2608" w:type="dxa"/>
          </w:tcPr>
          <w:p>
            <w:pPr>
              <w:pStyle w:val="0"/>
            </w:pPr>
            <w:r>
              <w:rPr>
                <w:sz w:val="24"/>
              </w:rPr>
            </w:r>
          </w:p>
        </w:tc>
        <w:tc>
          <w:tcPr>
            <w:tcW w:w="2948" w:type="dxa"/>
          </w:tcPr>
          <w:p>
            <w:pPr>
              <w:pStyle w:val="0"/>
            </w:pPr>
            <w:r>
              <w:rPr>
                <w:sz w:val="24"/>
              </w:rPr>
              <w:t xml:space="preserve">ins-dic:IzmKorrektNaRiskNeplatezhaPoRP_KRNP</w:t>
            </w:r>
          </w:p>
        </w:tc>
      </w:tr>
      <w:tr>
        <w:tc>
          <w:tcPr>
            <w:tcW w:w="907" w:type="dxa"/>
          </w:tcPr>
          <w:p>
            <w:pPr>
              <w:pStyle w:val="0"/>
            </w:pPr>
            <w:r>
              <w:rPr>
                <w:sz w:val="24"/>
              </w:rPr>
              <w:t xml:space="preserve">145.1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16" w:name="P34316"/>
          <w:bookmarkEnd w:id="34316"/>
          <w:p>
            <w:pPr>
              <w:pStyle w:val="0"/>
            </w:pPr>
            <w:r>
              <w:rPr>
                <w:sz w:val="24"/>
              </w:rPr>
              <w:t xml:space="preserve">146</w:t>
            </w:r>
          </w:p>
        </w:tc>
        <w:tc>
          <w:tcPr>
            <w:gridSpan w:val="2"/>
            <w:tcW w:w="2608" w:type="dxa"/>
          </w:tcPr>
          <w:p>
            <w:pPr>
              <w:pStyle w:val="0"/>
            </w:pPr>
            <w:r>
              <w:rPr>
                <w:sz w:val="24"/>
              </w:rPr>
              <w:t xml:space="preserve">Изменение резерва убытков</w:t>
            </w:r>
          </w:p>
        </w:tc>
        <w:tc>
          <w:tcPr>
            <w:tcW w:w="2608" w:type="dxa"/>
          </w:tcPr>
          <w:p>
            <w:pPr>
              <w:pStyle w:val="0"/>
            </w:pPr>
            <w:r>
              <w:rPr>
                <w:sz w:val="24"/>
              </w:rPr>
            </w:r>
          </w:p>
        </w:tc>
        <w:tc>
          <w:tcPr>
            <w:tcW w:w="2948" w:type="dxa"/>
          </w:tcPr>
          <w:p>
            <w:pPr>
              <w:pStyle w:val="0"/>
            </w:pPr>
            <w:r>
              <w:rPr>
                <w:sz w:val="24"/>
              </w:rPr>
              <w:t xml:space="preserve">ins-dic:IzmRezervaUbytkov</w:t>
            </w:r>
          </w:p>
        </w:tc>
      </w:tr>
      <w:tr>
        <w:tc>
          <w:tcPr>
            <w:tcW w:w="907" w:type="dxa"/>
          </w:tcPr>
          <w:p>
            <w:pPr>
              <w:pStyle w:val="0"/>
            </w:pPr>
            <w:r>
              <w:rPr>
                <w:sz w:val="24"/>
              </w:rPr>
              <w:t xml:space="preserve">146.1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24" w:name="P34324"/>
          <w:bookmarkEnd w:id="34324"/>
          <w:p>
            <w:pPr>
              <w:pStyle w:val="0"/>
            </w:pPr>
            <w:r>
              <w:rPr>
                <w:sz w:val="24"/>
              </w:rPr>
              <w:t xml:space="preserve">147</w:t>
            </w:r>
          </w:p>
        </w:tc>
        <w:tc>
          <w:tcPr>
            <w:gridSpan w:val="2"/>
            <w:tcW w:w="2608" w:type="dxa"/>
          </w:tcPr>
          <w:p>
            <w:pPr>
              <w:pStyle w:val="0"/>
            </w:pPr>
            <w:r>
              <w:rPr>
                <w:sz w:val="24"/>
              </w:rPr>
              <w:t xml:space="preserve">Изменение оценки ожидаемой величины убытков (ДПУ)</w:t>
            </w:r>
          </w:p>
        </w:tc>
        <w:tc>
          <w:tcPr>
            <w:tcW w:w="2608" w:type="dxa"/>
          </w:tcPr>
          <w:p>
            <w:pPr>
              <w:pStyle w:val="0"/>
            </w:pPr>
            <w:r>
              <w:rPr>
                <w:sz w:val="24"/>
              </w:rPr>
            </w:r>
          </w:p>
        </w:tc>
        <w:tc>
          <w:tcPr>
            <w:tcW w:w="2948" w:type="dxa"/>
          </w:tcPr>
          <w:p>
            <w:pPr>
              <w:pStyle w:val="0"/>
            </w:pPr>
            <w:r>
              <w:rPr>
                <w:sz w:val="24"/>
              </w:rPr>
              <w:t xml:space="preserve">ins-dic:IzmRezUbytIzmOczOzhidVelUbyt_DPU</w:t>
            </w:r>
          </w:p>
        </w:tc>
      </w:tr>
      <w:tr>
        <w:tc>
          <w:tcPr>
            <w:tcW w:w="907" w:type="dxa"/>
          </w:tcPr>
          <w:p>
            <w:pPr>
              <w:pStyle w:val="0"/>
            </w:pPr>
            <w:r>
              <w:rPr>
                <w:sz w:val="24"/>
              </w:rPr>
              <w:t xml:space="preserve">147.1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32" w:name="P34332"/>
          <w:bookmarkEnd w:id="34332"/>
          <w:p>
            <w:pPr>
              <w:pStyle w:val="0"/>
            </w:pPr>
            <w:r>
              <w:rPr>
                <w:sz w:val="24"/>
              </w:rPr>
              <w:t xml:space="preserve">148</w:t>
            </w:r>
          </w:p>
        </w:tc>
        <w:tc>
          <w:tcPr>
            <w:gridSpan w:val="2"/>
            <w:tcW w:w="2608" w:type="dxa"/>
          </w:tcPr>
          <w:p>
            <w:pPr>
              <w:pStyle w:val="0"/>
            </w:pPr>
            <w:r>
              <w:rPr>
                <w:sz w:val="24"/>
              </w:rPr>
              <w:t xml:space="preserve">Изменение оценки рисковой маржи в резерве убытков (РМУ)</w:t>
            </w:r>
          </w:p>
        </w:tc>
        <w:tc>
          <w:tcPr>
            <w:tcW w:w="2608" w:type="dxa"/>
          </w:tcPr>
          <w:p>
            <w:pPr>
              <w:pStyle w:val="0"/>
            </w:pPr>
            <w:r>
              <w:rPr>
                <w:sz w:val="24"/>
              </w:rPr>
            </w:r>
          </w:p>
        </w:tc>
        <w:tc>
          <w:tcPr>
            <w:tcW w:w="2948" w:type="dxa"/>
          </w:tcPr>
          <w:p>
            <w:pPr>
              <w:pStyle w:val="0"/>
            </w:pPr>
            <w:r>
              <w:rPr>
                <w:sz w:val="24"/>
              </w:rPr>
              <w:t xml:space="preserve">ins-dic:IzmRezUbytIznOczRiskMarzhiVRU_RMU</w:t>
            </w:r>
          </w:p>
        </w:tc>
      </w:tr>
      <w:tr>
        <w:tc>
          <w:tcPr>
            <w:tcW w:w="907" w:type="dxa"/>
          </w:tcPr>
          <w:p>
            <w:pPr>
              <w:pStyle w:val="0"/>
            </w:pPr>
            <w:r>
              <w:rPr>
                <w:sz w:val="24"/>
              </w:rPr>
              <w:t xml:space="preserve">148.1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40" w:name="P34340"/>
          <w:bookmarkEnd w:id="34340"/>
          <w:p>
            <w:pPr>
              <w:pStyle w:val="0"/>
            </w:pPr>
            <w:r>
              <w:rPr>
                <w:sz w:val="24"/>
              </w:rPr>
              <w:t xml:space="preserve">149</w:t>
            </w:r>
          </w:p>
        </w:tc>
        <w:tc>
          <w:tcPr>
            <w:gridSpan w:val="2"/>
            <w:tcW w:w="2608" w:type="dxa"/>
          </w:tcPr>
          <w:p>
            <w:pPr>
              <w:pStyle w:val="0"/>
            </w:pPr>
            <w:r>
              <w:rPr>
                <w:sz w:val="24"/>
              </w:rPr>
              <w:t xml:space="preserve">Изменение доли перестраховщиков в резерве убытков (ДДПУ)</w:t>
            </w:r>
          </w:p>
        </w:tc>
        <w:tc>
          <w:tcPr>
            <w:tcW w:w="2608" w:type="dxa"/>
          </w:tcPr>
          <w:p>
            <w:pPr>
              <w:pStyle w:val="0"/>
            </w:pPr>
            <w:r>
              <w:rPr>
                <w:sz w:val="24"/>
              </w:rPr>
            </w:r>
          </w:p>
        </w:tc>
        <w:tc>
          <w:tcPr>
            <w:tcW w:w="2948" w:type="dxa"/>
          </w:tcPr>
          <w:p>
            <w:pPr>
              <w:pStyle w:val="0"/>
            </w:pPr>
            <w:r>
              <w:rPr>
                <w:sz w:val="24"/>
              </w:rPr>
              <w:t xml:space="preserve">ins-dic:IzmDolPerestrVRU_DDPU</w:t>
            </w:r>
          </w:p>
        </w:tc>
      </w:tr>
      <w:tr>
        <w:tc>
          <w:tcPr>
            <w:tcW w:w="907" w:type="dxa"/>
          </w:tcPr>
          <w:p>
            <w:pPr>
              <w:pStyle w:val="0"/>
            </w:pPr>
            <w:r>
              <w:rPr>
                <w:sz w:val="24"/>
              </w:rPr>
              <w:t xml:space="preserve">149.1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48" w:name="P34348"/>
          <w:bookmarkEnd w:id="34348"/>
          <w:p>
            <w:pPr>
              <w:pStyle w:val="0"/>
            </w:pPr>
            <w:r>
              <w:rPr>
                <w:sz w:val="24"/>
              </w:rPr>
              <w:t xml:space="preserve">150</w:t>
            </w:r>
          </w:p>
        </w:tc>
        <w:tc>
          <w:tcPr>
            <w:gridSpan w:val="2"/>
            <w:tcW w:w="2608" w:type="dxa"/>
          </w:tcPr>
          <w:p>
            <w:pPr>
              <w:pStyle w:val="0"/>
            </w:pPr>
            <w:r>
              <w:rPr>
                <w:sz w:val="24"/>
              </w:rPr>
              <w:t xml:space="preserve">Изменение суммы СПРУ</w:t>
            </w:r>
            <w:r>
              <w:rPr>
                <w:sz w:val="24"/>
                <w:vertAlign w:val="superscript"/>
              </w:rPr>
              <w:t xml:space="preserve">НО</w:t>
            </w:r>
            <w:r>
              <w:rPr>
                <w:sz w:val="24"/>
              </w:rPr>
              <w:t xml:space="preserve">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ins-dic:IzmSumNailOczPrivedStDPIspOczDPU_SPRUNO</w:t>
            </w:r>
          </w:p>
        </w:tc>
      </w:tr>
      <w:tr>
        <w:tc>
          <w:tcPr>
            <w:tcW w:w="907" w:type="dxa"/>
          </w:tcPr>
          <w:p>
            <w:pPr>
              <w:pStyle w:val="0"/>
            </w:pPr>
            <w:r>
              <w:rPr>
                <w:sz w:val="24"/>
              </w:rPr>
              <w:t xml:space="preserve">150.1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56" w:name="P34356"/>
          <w:bookmarkEnd w:id="34356"/>
          <w:p>
            <w:pPr>
              <w:pStyle w:val="0"/>
            </w:pPr>
            <w:r>
              <w:rPr>
                <w:sz w:val="24"/>
              </w:rPr>
              <w:t xml:space="preserve">151</w:t>
            </w:r>
          </w:p>
        </w:tc>
        <w:tc>
          <w:tcPr>
            <w:gridSpan w:val="2"/>
            <w:tcW w:w="2608" w:type="dxa"/>
          </w:tcPr>
          <w:p>
            <w:pPr>
              <w:pStyle w:val="0"/>
            </w:pPr>
            <w:r>
              <w:rPr>
                <w:sz w:val="24"/>
              </w:rPr>
              <w:t xml:space="preserve">Изменение корректировки на риск неплатежа по резерву убытков (КРНУ)</w:t>
            </w:r>
          </w:p>
        </w:tc>
        <w:tc>
          <w:tcPr>
            <w:tcW w:w="2608" w:type="dxa"/>
          </w:tcPr>
          <w:p>
            <w:pPr>
              <w:pStyle w:val="0"/>
            </w:pPr>
            <w:r>
              <w:rPr>
                <w:sz w:val="24"/>
              </w:rPr>
            </w:r>
          </w:p>
        </w:tc>
        <w:tc>
          <w:tcPr>
            <w:tcW w:w="2948" w:type="dxa"/>
          </w:tcPr>
          <w:p>
            <w:pPr>
              <w:pStyle w:val="0"/>
            </w:pPr>
            <w:r>
              <w:rPr>
                <w:sz w:val="24"/>
              </w:rPr>
              <w:t xml:space="preserve">ins-dic:IzmKorrektNaRiskNeplatezhaPoRU_KRNU</w:t>
            </w:r>
          </w:p>
        </w:tc>
      </w:tr>
      <w:tr>
        <w:tc>
          <w:tcPr>
            <w:tcW w:w="907" w:type="dxa"/>
          </w:tcPr>
          <w:p>
            <w:pPr>
              <w:pStyle w:val="0"/>
            </w:pPr>
            <w:r>
              <w:rPr>
                <w:sz w:val="24"/>
              </w:rPr>
              <w:t xml:space="preserve">151.1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64" w:name="P34364"/>
          <w:bookmarkEnd w:id="34364"/>
          <w:p>
            <w:pPr>
              <w:pStyle w:val="0"/>
            </w:pPr>
            <w:r>
              <w:rPr>
                <w:sz w:val="24"/>
              </w:rPr>
              <w:t xml:space="preserve">152</w:t>
            </w:r>
          </w:p>
        </w:tc>
        <w:tc>
          <w:tcPr>
            <w:gridSpan w:val="2"/>
            <w:tcW w:w="2608" w:type="dxa"/>
          </w:tcPr>
          <w:p>
            <w:pPr>
              <w:pStyle w:val="0"/>
            </w:pPr>
            <w:r>
              <w:rPr>
                <w:sz w:val="24"/>
              </w:rPr>
              <w:t xml:space="preserve">Изменение стабилизационного резерва</w:t>
            </w:r>
          </w:p>
        </w:tc>
        <w:tc>
          <w:tcPr>
            <w:tcW w:w="2608" w:type="dxa"/>
          </w:tcPr>
          <w:p>
            <w:pPr>
              <w:pStyle w:val="0"/>
            </w:pPr>
            <w:r>
              <w:rPr>
                <w:sz w:val="24"/>
              </w:rPr>
            </w:r>
          </w:p>
        </w:tc>
        <w:tc>
          <w:tcPr>
            <w:tcW w:w="2948" w:type="dxa"/>
          </w:tcPr>
          <w:p>
            <w:pPr>
              <w:pStyle w:val="0"/>
            </w:pPr>
            <w:r>
              <w:rPr>
                <w:sz w:val="24"/>
              </w:rPr>
              <w:t xml:space="preserve">ins-dic:IzmStabilizRezerva</w:t>
            </w:r>
          </w:p>
        </w:tc>
      </w:tr>
      <w:tr>
        <w:tc>
          <w:tcPr>
            <w:tcW w:w="907" w:type="dxa"/>
          </w:tcPr>
          <w:p>
            <w:pPr>
              <w:pStyle w:val="0"/>
            </w:pPr>
            <w:r>
              <w:rPr>
                <w:sz w:val="24"/>
              </w:rPr>
              <w:t xml:space="preserve">152.1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dim-int:Perechen_Uchet_GruppAxis</w:t>
            </w:r>
          </w:p>
        </w:tc>
      </w:tr>
      <w:tr>
        <w:tc>
          <w:tcPr>
            <w:tcW w:w="907" w:type="dxa"/>
          </w:tcPr>
          <w:bookmarkStart w:id="34372" w:name="P34372"/>
          <w:bookmarkEnd w:id="34372"/>
          <w:p>
            <w:pPr>
              <w:pStyle w:val="0"/>
            </w:pPr>
            <w:r>
              <w:rPr>
                <w:sz w:val="24"/>
              </w:rPr>
              <w:t xml:space="preserve">153</w:t>
            </w:r>
          </w:p>
        </w:tc>
        <w:tc>
          <w:tcPr>
            <w:gridSpan w:val="2"/>
            <w:tcW w:w="2608" w:type="dxa"/>
          </w:tcPr>
          <w:p>
            <w:pPr>
              <w:pStyle w:val="0"/>
            </w:pPr>
            <w:r>
              <w:rPr>
                <w:sz w:val="24"/>
              </w:rPr>
              <w:t xml:space="preserve">Изменение резерва по прямому возмещению убытков (РПВУ)</w:t>
            </w:r>
          </w:p>
        </w:tc>
        <w:tc>
          <w:tcPr>
            <w:tcW w:w="2608" w:type="dxa"/>
          </w:tcPr>
          <w:p>
            <w:pPr>
              <w:pStyle w:val="0"/>
            </w:pPr>
            <w:r>
              <w:rPr>
                <w:sz w:val="24"/>
              </w:rPr>
            </w:r>
          </w:p>
        </w:tc>
        <w:tc>
          <w:tcPr>
            <w:tcW w:w="2948" w:type="dxa"/>
          </w:tcPr>
          <w:p>
            <w:pPr>
              <w:pStyle w:val="0"/>
            </w:pPr>
            <w:r>
              <w:rPr>
                <w:sz w:val="24"/>
              </w:rPr>
              <w:t xml:space="preserve">ins-dic:IzmRezPryamVozmUb_RPVU</w:t>
            </w:r>
          </w:p>
        </w:tc>
      </w:tr>
      <w:tr>
        <w:tc>
          <w:tcPr>
            <w:tcW w:w="907" w:type="dxa"/>
          </w:tcPr>
          <w:p>
            <w:pPr>
              <w:pStyle w:val="0"/>
            </w:pPr>
            <w:r>
              <w:rPr>
                <w:sz w:val="24"/>
              </w:rPr>
              <w:t xml:space="preserve">153.1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80" w:name="P34380"/>
          <w:bookmarkEnd w:id="34380"/>
          <w:p>
            <w:pPr>
              <w:pStyle w:val="0"/>
            </w:pPr>
            <w:r>
              <w:rPr>
                <w:sz w:val="24"/>
              </w:rPr>
              <w:t xml:space="preserve">154</w:t>
            </w:r>
          </w:p>
        </w:tc>
        <w:tc>
          <w:tcPr>
            <w:gridSpan w:val="2"/>
            <w:tcW w:w="2608" w:type="dxa"/>
          </w:tcPr>
          <w:p>
            <w:pPr>
              <w:pStyle w:val="0"/>
            </w:pPr>
            <w:r>
              <w:rPr>
                <w:sz w:val="24"/>
              </w:rPr>
              <w:t xml:space="preserve">Изменение доли перестраховщиков в резерве по прямому возмещению убытков (ДРПВУ)</w:t>
            </w:r>
          </w:p>
        </w:tc>
        <w:tc>
          <w:tcPr>
            <w:tcW w:w="2608" w:type="dxa"/>
          </w:tcPr>
          <w:p>
            <w:pPr>
              <w:pStyle w:val="0"/>
            </w:pPr>
            <w:r>
              <w:rPr>
                <w:sz w:val="24"/>
              </w:rPr>
            </w:r>
          </w:p>
        </w:tc>
        <w:tc>
          <w:tcPr>
            <w:tcW w:w="2948" w:type="dxa"/>
          </w:tcPr>
          <w:p>
            <w:pPr>
              <w:pStyle w:val="0"/>
            </w:pPr>
            <w:r>
              <w:rPr>
                <w:sz w:val="24"/>
              </w:rPr>
              <w:t xml:space="preserve">ins-dic:IzmDolPstrVRPVU</w:t>
            </w:r>
          </w:p>
        </w:tc>
      </w:tr>
      <w:tr>
        <w:tc>
          <w:tcPr>
            <w:tcW w:w="907" w:type="dxa"/>
          </w:tcPr>
          <w:p>
            <w:pPr>
              <w:pStyle w:val="0"/>
            </w:pPr>
            <w:r>
              <w:rPr>
                <w:sz w:val="24"/>
              </w:rPr>
              <w:t xml:space="preserve">154.1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88" w:name="P34388"/>
          <w:bookmarkEnd w:id="34388"/>
          <w:p>
            <w:pPr>
              <w:pStyle w:val="0"/>
            </w:pPr>
            <w:r>
              <w:rPr>
                <w:sz w:val="24"/>
              </w:rPr>
              <w:t xml:space="preserve">155</w:t>
            </w:r>
          </w:p>
        </w:tc>
        <w:tc>
          <w:tcPr>
            <w:gridSpan w:val="2"/>
            <w:tcW w:w="2608" w:type="dxa"/>
          </w:tcPr>
          <w:p>
            <w:pPr>
              <w:pStyle w:val="0"/>
            </w:pPr>
            <w:r>
              <w:rPr>
                <w:sz w:val="24"/>
              </w:rPr>
              <w:t xml:space="preserve">Изменение суммы СПРПВУ</w:t>
            </w:r>
            <w:r>
              <w:rPr>
                <w:sz w:val="24"/>
                <w:vertAlign w:val="superscript"/>
              </w:rPr>
              <w:t xml:space="preserve">НО</w:t>
            </w:r>
            <w:r>
              <w:rPr>
                <w:sz w:val="24"/>
              </w:rPr>
              <w:t xml:space="preserve"> по договорам исходящего перестрахования</w:t>
            </w:r>
          </w:p>
        </w:tc>
        <w:tc>
          <w:tcPr>
            <w:tcW w:w="2608" w:type="dxa"/>
          </w:tcPr>
          <w:p>
            <w:pPr>
              <w:pStyle w:val="0"/>
            </w:pPr>
            <w:r>
              <w:rPr>
                <w:sz w:val="24"/>
              </w:rPr>
            </w:r>
          </w:p>
        </w:tc>
        <w:tc>
          <w:tcPr>
            <w:tcW w:w="2948" w:type="dxa"/>
          </w:tcPr>
          <w:p>
            <w:pPr>
              <w:pStyle w:val="0"/>
            </w:pPr>
            <w:r>
              <w:rPr>
                <w:sz w:val="24"/>
              </w:rPr>
              <w:t xml:space="preserve">ins-dic:IzmSumNailOczPrivedStDPIspOczRPVU_SPRPVUNO</w:t>
            </w:r>
          </w:p>
        </w:tc>
      </w:tr>
      <w:tr>
        <w:tc>
          <w:tcPr>
            <w:tcW w:w="907" w:type="dxa"/>
          </w:tcPr>
          <w:p>
            <w:pPr>
              <w:pStyle w:val="0"/>
            </w:pPr>
            <w:r>
              <w:rPr>
                <w:sz w:val="24"/>
              </w:rPr>
              <w:t xml:space="preserve">155.1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4396" w:name="P34396"/>
          <w:bookmarkEnd w:id="34396"/>
          <w:p>
            <w:pPr>
              <w:pStyle w:val="0"/>
            </w:pPr>
            <w:r>
              <w:rPr>
                <w:sz w:val="24"/>
              </w:rPr>
              <w:t xml:space="preserve">156</w:t>
            </w:r>
          </w:p>
        </w:tc>
        <w:tc>
          <w:tcPr>
            <w:gridSpan w:val="2"/>
            <w:tcW w:w="2608" w:type="dxa"/>
          </w:tcPr>
          <w:p>
            <w:pPr>
              <w:pStyle w:val="0"/>
            </w:pPr>
            <w:r>
              <w:rPr>
                <w:sz w:val="24"/>
              </w:rPr>
              <w:t xml:space="preserve">Изменение корректировки на риск неплатежа по РПВУ (КРНПВУ)</w:t>
            </w:r>
          </w:p>
        </w:tc>
        <w:tc>
          <w:tcPr>
            <w:tcW w:w="2608" w:type="dxa"/>
          </w:tcPr>
          <w:p>
            <w:pPr>
              <w:pStyle w:val="0"/>
            </w:pPr>
            <w:r>
              <w:rPr>
                <w:sz w:val="24"/>
              </w:rPr>
            </w:r>
          </w:p>
        </w:tc>
        <w:tc>
          <w:tcPr>
            <w:tcW w:w="2948" w:type="dxa"/>
          </w:tcPr>
          <w:p>
            <w:pPr>
              <w:pStyle w:val="0"/>
            </w:pPr>
            <w:r>
              <w:rPr>
                <w:sz w:val="24"/>
              </w:rPr>
              <w:t xml:space="preserve">ins-dic:IzmKorrektNaRiskNeplatezhaPoRPVU_KRNPVU</w:t>
            </w:r>
          </w:p>
        </w:tc>
      </w:tr>
      <w:tr>
        <w:tc>
          <w:tcPr>
            <w:tcW w:w="907" w:type="dxa"/>
          </w:tcPr>
          <w:p>
            <w:pPr>
              <w:pStyle w:val="0"/>
            </w:pPr>
            <w:r>
              <w:rPr>
                <w:sz w:val="24"/>
              </w:rPr>
              <w:t xml:space="preserve">156.1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157</w:t>
            </w:r>
          </w:p>
        </w:tc>
        <w:tc>
          <w:tcPr>
            <w:gridSpan w:val="2"/>
            <w:tcW w:w="2608" w:type="dxa"/>
          </w:tcPr>
          <w:p>
            <w:pPr>
              <w:pStyle w:val="0"/>
            </w:pPr>
            <w:r>
              <w:rPr>
                <w:sz w:val="24"/>
              </w:rPr>
              <w:t xml:space="preserve">Страховые премии по договорам страхования, сострахования и входящего перестрахования, подлежащие возврату страхователям, перестрахователям (за предоставление страхового покрытия до верхней границы соответствующих договоров)</w:t>
            </w:r>
          </w:p>
        </w:tc>
        <w:tc>
          <w:tcPr>
            <w:tcW w:w="2608" w:type="dxa"/>
          </w:tcPr>
          <w:p>
            <w:pPr>
              <w:pStyle w:val="0"/>
            </w:pPr>
            <w:r>
              <w:rPr>
                <w:sz w:val="24"/>
              </w:rPr>
            </w:r>
          </w:p>
        </w:tc>
        <w:tc>
          <w:tcPr>
            <w:tcW w:w="2948" w:type="dxa"/>
          </w:tcPr>
          <w:p>
            <w:pPr>
              <w:pStyle w:val="0"/>
            </w:pPr>
            <w:r>
              <w:rPr>
                <w:sz w:val="24"/>
              </w:rPr>
              <w:t xml:space="preserve">ins-dic:SumStPrDogPredStPokVerxGrDogStrSostrVxPrstrPodlVozvrStr</w:t>
            </w:r>
          </w:p>
        </w:tc>
      </w:tr>
      <w:tr>
        <w:tc>
          <w:tcPr>
            <w:tcW w:w="907" w:type="dxa"/>
          </w:tcPr>
          <w:p>
            <w:pPr>
              <w:pStyle w:val="0"/>
            </w:pPr>
            <w:r>
              <w:rPr>
                <w:sz w:val="24"/>
              </w:rPr>
              <w:t xml:space="preserve">157.1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158</w:t>
            </w:r>
          </w:p>
        </w:tc>
        <w:tc>
          <w:tcPr>
            <w:gridSpan w:val="2"/>
            <w:tcW w:w="2608" w:type="dxa"/>
          </w:tcPr>
          <w:p>
            <w:pPr>
              <w:pStyle w:val="0"/>
            </w:pPr>
            <w:r>
              <w:rPr>
                <w:sz w:val="24"/>
              </w:rPr>
              <w:t xml:space="preserve">Страховые премии за перестрахование договоров страхования, сострахования и входящего перестрахования, причитающиеся к возврату перестраховщиками</w:t>
            </w:r>
          </w:p>
        </w:tc>
        <w:tc>
          <w:tcPr>
            <w:tcW w:w="2608" w:type="dxa"/>
          </w:tcPr>
          <w:p>
            <w:pPr>
              <w:pStyle w:val="0"/>
            </w:pPr>
            <w:r>
              <w:rPr>
                <w:sz w:val="24"/>
              </w:rPr>
            </w:r>
          </w:p>
        </w:tc>
        <w:tc>
          <w:tcPr>
            <w:tcW w:w="2948" w:type="dxa"/>
          </w:tcPr>
          <w:p>
            <w:pPr>
              <w:pStyle w:val="0"/>
            </w:pPr>
            <w:r>
              <w:rPr>
                <w:sz w:val="24"/>
              </w:rPr>
              <w:t xml:space="preserve">ins-dic:SumPrstrPrOplPodOplzaPrstrOsnDogVxPrstrPrichKVozvrPrstr</w:t>
            </w:r>
          </w:p>
        </w:tc>
      </w:tr>
      <w:tr>
        <w:tc>
          <w:tcPr>
            <w:tcW w:w="907" w:type="dxa"/>
          </w:tcPr>
          <w:p>
            <w:pPr>
              <w:pStyle w:val="0"/>
            </w:pPr>
            <w:r>
              <w:rPr>
                <w:sz w:val="24"/>
              </w:rPr>
              <w:t xml:space="preserve">158.1</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bl>
    <w:p>
      <w:pPr>
        <w:pStyle w:val="0"/>
        <w:ind w:firstLine="540"/>
        <w:jc w:val="both"/>
      </w:pPr>
      <w:r>
        <w:rPr>
          <w:sz w:val="24"/>
        </w:rPr>
      </w:r>
    </w:p>
    <w:p>
      <w:pPr>
        <w:pStyle w:val="0"/>
        <w:ind w:firstLine="540"/>
        <w:jc w:val="both"/>
      </w:pPr>
      <w:r>
        <w:rPr>
          <w:sz w:val="24"/>
        </w:rPr>
        <w:t xml:space="preserve">--------------------------------</w:t>
      </w:r>
    </w:p>
    <w:bookmarkStart w:id="34422" w:name="P34422"/>
    <w:bookmarkEnd w:id="34422"/>
    <w:p>
      <w:pPr>
        <w:pStyle w:val="0"/>
        <w:spacing w:before="240" w:lineRule="auto"/>
        <w:ind w:firstLine="540"/>
        <w:jc w:val="both"/>
      </w:pPr>
      <w:r>
        <w:rPr>
          <w:sz w:val="24"/>
        </w:rPr>
        <w:t xml:space="preserve">&lt;1&gt; Общероссийский </w:t>
      </w:r>
      <w:hyperlink w:history="0" r:id="rId55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0420158 "Отчет о структуре</w:t>
      </w:r>
    </w:p>
    <w:p>
      <w:pPr>
        <w:pStyle w:val="0"/>
        <w:jc w:val="center"/>
      </w:pPr>
      <w:r>
        <w:rPr>
          <w:sz w:val="24"/>
        </w:rPr>
        <w:t xml:space="preserve">финансового результата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2937" w:tooltip="Отчетность по форме 0420158">
        <w:r>
          <w:rPr>
            <w:sz w:val="24"/>
            <w:color w:val="0000ff"/>
          </w:rPr>
          <w:t xml:space="preserve">форме 0420158</w:t>
        </w:r>
      </w:hyperlink>
      <w:r>
        <w:rPr>
          <w:sz w:val="24"/>
        </w:rPr>
        <w:t xml:space="preserve"> "Отчет о структуре финансового результата страховщика" (далее - отчетность по форме 0420158) составляется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 в следующие сроки:</w:t>
      </w:r>
    </w:p>
    <w:p>
      <w:pPr>
        <w:pStyle w:val="0"/>
        <w:spacing w:before="240" w:lineRule="auto"/>
        <w:ind w:firstLine="540"/>
        <w:jc w:val="both"/>
      </w:pPr>
      <w:hyperlink w:history="0" w:anchor="P32952" w:tooltip="Раздел 1.">
        <w:r>
          <w:rPr>
            <w:sz w:val="24"/>
            <w:color w:val="0000ff"/>
          </w:rPr>
          <w:t xml:space="preserve">раздел 1</w:t>
        </w:r>
      </w:hyperlink>
      <w:r>
        <w:rPr>
          <w:sz w:val="24"/>
        </w:rPr>
        <w:t xml:space="preserve"> - за I квартал, первое полугодие, 9 месяцев, год нарастающим итогом с начала года по состоянию на последний календарный день I квартала, первого полугодия, 9 месяцев, года включительно;</w:t>
      </w:r>
    </w:p>
    <w:p>
      <w:pPr>
        <w:pStyle w:val="0"/>
        <w:spacing w:before="240" w:lineRule="auto"/>
        <w:ind w:firstLine="540"/>
        <w:jc w:val="both"/>
      </w:pPr>
      <w:hyperlink w:history="0" w:anchor="P33222" w:tooltip="Раздел 2.">
        <w:r>
          <w:rPr>
            <w:sz w:val="24"/>
            <w:color w:val="0000ff"/>
          </w:rPr>
          <w:t xml:space="preserve">раздел 2</w:t>
        </w:r>
      </w:hyperlink>
      <w:r>
        <w:rPr>
          <w:sz w:val="24"/>
        </w:rPr>
        <w:t xml:space="preserve"> - ежегодно по состоянию на 31 декабря календарного года включительно;</w:t>
      </w:r>
    </w:p>
    <w:p>
      <w:pPr>
        <w:pStyle w:val="0"/>
        <w:spacing w:before="240" w:lineRule="auto"/>
        <w:ind w:firstLine="540"/>
        <w:jc w:val="both"/>
      </w:pPr>
      <w:hyperlink w:history="0" w:anchor="P33608" w:tooltip="Раздел 3.">
        <w:r>
          <w:rPr>
            <w:sz w:val="24"/>
            <w:color w:val="0000ff"/>
          </w:rPr>
          <w:t xml:space="preserve">разделы 3</w:t>
        </w:r>
      </w:hyperlink>
      <w:r>
        <w:rPr>
          <w:sz w:val="24"/>
        </w:rPr>
        <w:t xml:space="preserve"> и </w:t>
      </w:r>
      <w:hyperlink w:history="0" w:anchor="P33962" w:tooltip="Раздел 4.">
        <w:r>
          <w:rPr>
            <w:sz w:val="24"/>
            <w:color w:val="0000ff"/>
          </w:rPr>
          <w:t xml:space="preserve">4</w:t>
        </w:r>
      </w:hyperlink>
      <w:r>
        <w:rPr>
          <w:sz w:val="24"/>
        </w:rPr>
        <w:t xml:space="preserve"> - ежемесячно за календарный месяц (далее - отчетный месяц) нарастающим итогом с начала года по состоянию на последний календарный день отчетного месяца включительно.</w:t>
      </w:r>
    </w:p>
    <w:p>
      <w:pPr>
        <w:pStyle w:val="0"/>
        <w:spacing w:before="240" w:lineRule="auto"/>
        <w:ind w:firstLine="540"/>
        <w:jc w:val="both"/>
      </w:pPr>
      <w:r>
        <w:rPr>
          <w:sz w:val="24"/>
        </w:rPr>
        <w:t xml:space="preserve">Требования настоящих Порядка и сроков в отношении отражения в </w:t>
      </w:r>
      <w:hyperlink w:history="0" w:anchor="P33608" w:tooltip="Раздел 3.">
        <w:r>
          <w:rPr>
            <w:sz w:val="24"/>
            <w:color w:val="0000ff"/>
          </w:rPr>
          <w:t xml:space="preserve">разделах 3</w:t>
        </w:r>
      </w:hyperlink>
      <w:r>
        <w:rPr>
          <w:sz w:val="24"/>
        </w:rPr>
        <w:t xml:space="preserve"> и </w:t>
      </w:r>
      <w:hyperlink w:history="0" w:anchor="P33962" w:tooltip="Раздел 4.">
        <w:r>
          <w:rPr>
            <w:sz w:val="24"/>
            <w:color w:val="0000ff"/>
          </w:rPr>
          <w:t xml:space="preserve">4</w:t>
        </w:r>
      </w:hyperlink>
      <w:r>
        <w:rPr>
          <w:sz w:val="24"/>
        </w:rPr>
        <w:t xml:space="preserve"> отчетности по форме 0420158 сведений об операциях с перестраховщиками распространяются также на акционерное общество "Российское агентство по страхованию экспортных кредитов и инвестиций" в случае, если страховщик заключал с указанным акционерным обществом в соответствии с </w:t>
      </w:r>
      <w:hyperlink w:history="0" r:id="rId557"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договоры перестрахования, в которых страховщик выступает перестрахователем (далее - договоры исходящего перестрахования).</w:t>
      </w:r>
    </w:p>
    <w:p>
      <w:pPr>
        <w:pStyle w:val="0"/>
        <w:spacing w:before="240" w:lineRule="auto"/>
        <w:ind w:firstLine="540"/>
        <w:jc w:val="both"/>
      </w:pPr>
      <w:r>
        <w:rPr>
          <w:sz w:val="24"/>
        </w:rPr>
        <w:t xml:space="preserve">2. По показателям </w:t>
      </w:r>
      <w:hyperlink w:history="0" w:anchor="P32952" w:tooltip="Раздел 1.">
        <w:r>
          <w:rPr>
            <w:sz w:val="24"/>
            <w:color w:val="0000ff"/>
          </w:rPr>
          <w:t xml:space="preserve">раздела 1</w:t>
        </w:r>
      </w:hyperlink>
      <w:r>
        <w:rPr>
          <w:sz w:val="24"/>
        </w:rPr>
        <w:t xml:space="preserve"> отчетности по форме 0420158 указываются сведения о структуре финансового результата от операций по страхованию жизни и о структуре финансового результата от операций по страхованию иному, чем страхование жизни, отраженных за I квартал, первое полугодие, 9 месяцев, год в </w:t>
      </w:r>
      <w:hyperlink w:history="0" r:id="rId558"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форме</w:t>
        </w:r>
      </w:hyperlink>
      <w:r>
        <w:rPr>
          <w:sz w:val="24"/>
        </w:rPr>
        <w:t xml:space="preserve"> отчетности 0420126 "Отчет о финансовых результатах страховой организации" или в </w:t>
      </w:r>
      <w:hyperlink w:history="0" r:id="rId559"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форме</w:t>
        </w:r>
      </w:hyperlink>
      <w:r>
        <w:rPr>
          <w:sz w:val="24"/>
        </w:rPr>
        <w:t xml:space="preserve"> отчетности 0420142 "Отчет о финансовых результатах общества взаимного страхования", установленных Положением Банка России от 6 июля 2020 года N 728-П "О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 &lt;1&gt; (далее соответственно - Положение Банка России N 728-П, отчет о финансовых результатах).</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5 августа 2020 года, регистрационный N 59191, с изменениями, внесенными Указаниями Банка России от 4 октября 2021 года N 5961-У (зарегистрировано Минюстом России 1 декабря 2021 года, регистрационный N 66179), от 16 августа 2022 года N 6219-У (зарегистрировано Минюстом России 20 сентября 2022 года, регистрационный N 70157), от 16 августа 2023 года N 6508-У (зарегистрировано Минюстом России 20 сентября 2023 года, регистрационный N 75277), от 10 сентября 2024 года N 6846-У (зарегистрировано Минюстом России 17 октября 2024 года, регистрационный N 79804).</w:t>
      </w:r>
    </w:p>
    <w:p>
      <w:pPr>
        <w:pStyle w:val="0"/>
        <w:ind w:firstLine="540"/>
        <w:jc w:val="both"/>
      </w:pPr>
      <w:r>
        <w:rPr>
          <w:sz w:val="24"/>
        </w:rPr>
      </w:r>
    </w:p>
    <w:p>
      <w:pPr>
        <w:pStyle w:val="0"/>
        <w:ind w:firstLine="540"/>
        <w:jc w:val="both"/>
      </w:pPr>
      <w:r>
        <w:rPr>
          <w:sz w:val="24"/>
        </w:rPr>
        <w:t xml:space="preserve">По показателям </w:t>
      </w:r>
      <w:hyperlink w:history="0" w:anchor="P33222" w:tooltip="Раздел 2.">
        <w:r>
          <w:rPr>
            <w:sz w:val="24"/>
            <w:color w:val="0000ff"/>
          </w:rPr>
          <w:t xml:space="preserve">раздела 2</w:t>
        </w:r>
      </w:hyperlink>
      <w:r>
        <w:rPr>
          <w:sz w:val="24"/>
        </w:rPr>
        <w:t xml:space="preserve"> отчетности по форме 0420158 указываются сведения о структуре финансового результата от операций по страхованию жизни и о структуре финансового результата от операций по страхованию иному, чем страхование жизни, отраженных за год в отчете о финансовых результатах.</w:t>
      </w:r>
    </w:p>
    <w:p>
      <w:pPr>
        <w:pStyle w:val="0"/>
        <w:spacing w:before="240" w:lineRule="auto"/>
        <w:ind w:firstLine="540"/>
        <w:jc w:val="both"/>
      </w:pPr>
      <w:r>
        <w:rPr>
          <w:sz w:val="24"/>
        </w:rPr>
        <w:t xml:space="preserve">В случае если обществом взаимного страхования в соответствии с </w:t>
      </w:r>
      <w:hyperlink w:history="0" r:id="rId560"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пунктом 7</w:t>
        </w:r>
      </w:hyperlink>
      <w:r>
        <w:rPr>
          <w:sz w:val="24"/>
        </w:rPr>
        <w:t xml:space="preserve"> Положения Банка России N 728-П принято решение не составлять отчет о финансовых результатах, по показателям </w:t>
      </w:r>
      <w:hyperlink w:history="0" w:anchor="P32952" w:tooltip="Раздел 1.">
        <w:r>
          <w:rPr>
            <w:sz w:val="24"/>
            <w:color w:val="0000ff"/>
          </w:rPr>
          <w:t xml:space="preserve">разделов 1</w:t>
        </w:r>
      </w:hyperlink>
      <w:r>
        <w:rPr>
          <w:sz w:val="24"/>
        </w:rPr>
        <w:t xml:space="preserve"> и </w:t>
      </w:r>
      <w:hyperlink w:history="0" w:anchor="P33222" w:tooltip="Раздел 2.">
        <w:r>
          <w:rPr>
            <w:sz w:val="24"/>
            <w:color w:val="0000ff"/>
          </w:rPr>
          <w:t xml:space="preserve">2</w:t>
        </w:r>
      </w:hyperlink>
      <w:r>
        <w:rPr>
          <w:sz w:val="24"/>
        </w:rPr>
        <w:t xml:space="preserve"> отчетности по форме 0420158 указываются сведения о структуре финансового результата от операций по страхованию иному, чем страхование жизни, отраженных обществом взаимного страхования в соответствии с </w:t>
      </w:r>
      <w:hyperlink w:history="0" r:id="rId561"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пунктом 7</w:t>
        </w:r>
      </w:hyperlink>
      <w:r>
        <w:rPr>
          <w:sz w:val="24"/>
        </w:rPr>
        <w:t xml:space="preserve"> Положения Банка России N 728-П в </w:t>
      </w:r>
      <w:hyperlink w:history="0" r:id="rId562"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пояснениях</w:t>
        </w:r>
      </w:hyperlink>
      <w:r>
        <w:rPr>
          <w:sz w:val="24"/>
        </w:rPr>
        <w:t xml:space="preserve"> к форме отчетности 0420140 "Бухгалтерский баланс общества взаимного страхования" и в </w:t>
      </w:r>
      <w:hyperlink w:history="0" r:id="rId563"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пояснениях</w:t>
        </w:r>
      </w:hyperlink>
      <w:r>
        <w:rPr>
          <w:sz w:val="24"/>
        </w:rPr>
        <w:t xml:space="preserve"> к форме отчетности 0420141 "Отчет о целевом использовании средств общества взаимного страхования".</w:t>
      </w:r>
    </w:p>
    <w:p>
      <w:pPr>
        <w:pStyle w:val="0"/>
        <w:spacing w:before="240" w:lineRule="auto"/>
        <w:ind w:firstLine="540"/>
        <w:jc w:val="both"/>
      </w:pPr>
      <w:r>
        <w:rPr>
          <w:sz w:val="24"/>
        </w:rPr>
        <w:t xml:space="preserve">Значение показателя "Выручка по страхованию по группам договоров страхования и выпущенных (принятых) договоров перестрахования, в том числе:" (</w:t>
      </w:r>
      <w:hyperlink w:history="0" w:anchor="P32954" w:tooltip="1">
        <w:r>
          <w:rPr>
            <w:sz w:val="24"/>
            <w:color w:val="0000ff"/>
          </w:rPr>
          <w:t xml:space="preserve">строки 1</w:t>
        </w:r>
      </w:hyperlink>
      <w:r>
        <w:rPr>
          <w:sz w:val="24"/>
        </w:rPr>
        <w:t xml:space="preserve">, </w:t>
      </w:r>
      <w:hyperlink w:history="0" w:anchor="P33224" w:tooltip="30">
        <w:r>
          <w:rPr>
            <w:sz w:val="24"/>
            <w:color w:val="0000ff"/>
          </w:rPr>
          <w:t xml:space="preserve">30</w:t>
        </w:r>
      </w:hyperlink>
      <w:r>
        <w:rPr>
          <w:sz w:val="24"/>
        </w:rPr>
        <w:t xml:space="preserve">) должно быть равно сумме значений показателей "Суммы, связанные с оказанием услуг, в том числе:" (</w:t>
      </w:r>
      <w:hyperlink w:history="0" w:anchor="P32962" w:tooltip="2">
        <w:r>
          <w:rPr>
            <w:sz w:val="24"/>
            <w:color w:val="0000ff"/>
          </w:rPr>
          <w:t xml:space="preserve">строки 2</w:t>
        </w:r>
      </w:hyperlink>
      <w:r>
        <w:rPr>
          <w:sz w:val="24"/>
        </w:rPr>
        <w:t xml:space="preserve">, </w:t>
      </w:r>
      <w:hyperlink w:history="0" w:anchor="P33236" w:tooltip="31">
        <w:r>
          <w:rPr>
            <w:sz w:val="24"/>
            <w:color w:val="0000ff"/>
          </w:rPr>
          <w:t xml:space="preserve">31</w:t>
        </w:r>
      </w:hyperlink>
      <w:r>
        <w:rPr>
          <w:sz w:val="24"/>
        </w:rPr>
        <w:t xml:space="preserve">) и "Суммы, относящиеся к аквизиционным денежным потокам" (</w:t>
      </w:r>
      <w:hyperlink w:history="0" w:anchor="P33010" w:tooltip="8">
        <w:r>
          <w:rPr>
            <w:sz w:val="24"/>
            <w:color w:val="0000ff"/>
          </w:rPr>
          <w:t xml:space="preserve">строки 8</w:t>
        </w:r>
      </w:hyperlink>
      <w:r>
        <w:rPr>
          <w:sz w:val="24"/>
        </w:rPr>
        <w:t xml:space="preserve">, </w:t>
      </w:r>
      <w:hyperlink w:history="0" w:anchor="P33308" w:tooltip="37">
        <w:r>
          <w:rPr>
            <w:sz w:val="24"/>
            <w:color w:val="0000ff"/>
          </w:rPr>
          <w:t xml:space="preserve">37</w:t>
        </w:r>
      </w:hyperlink>
      <w:r>
        <w:rPr>
          <w:sz w:val="24"/>
        </w:rPr>
        <w:t xml:space="preserve">).</w:t>
      </w:r>
    </w:p>
    <w:p>
      <w:pPr>
        <w:pStyle w:val="0"/>
        <w:spacing w:before="240" w:lineRule="auto"/>
        <w:ind w:firstLine="540"/>
        <w:jc w:val="both"/>
      </w:pPr>
      <w:r>
        <w:rPr>
          <w:sz w:val="24"/>
        </w:rPr>
        <w:t xml:space="preserve">Значение показателя "Суммы, связанные с оказанием услуг, в том числе:" (</w:t>
      </w:r>
      <w:hyperlink w:history="0" w:anchor="P32962" w:tooltip="2">
        <w:r>
          <w:rPr>
            <w:sz w:val="24"/>
            <w:color w:val="0000ff"/>
          </w:rPr>
          <w:t xml:space="preserve">строки 2</w:t>
        </w:r>
      </w:hyperlink>
      <w:r>
        <w:rPr>
          <w:sz w:val="24"/>
        </w:rPr>
        <w:t xml:space="preserve">, </w:t>
      </w:r>
      <w:hyperlink w:history="0" w:anchor="P33236" w:tooltip="31">
        <w:r>
          <w:rPr>
            <w:sz w:val="24"/>
            <w:color w:val="0000ff"/>
          </w:rPr>
          <w:t xml:space="preserve">31</w:t>
        </w:r>
      </w:hyperlink>
      <w:r>
        <w:rPr>
          <w:sz w:val="24"/>
        </w:rPr>
        <w:t xml:space="preserve">) должно быть равно сумме значений показателей "Расходы по услугам страхования, понесенные в течение отчетного периода, не отнесенные к компоненту убытка" (</w:t>
      </w:r>
      <w:hyperlink w:history="0" w:anchor="P32970" w:tooltip="3">
        <w:r>
          <w:rPr>
            <w:sz w:val="24"/>
            <w:color w:val="0000ff"/>
          </w:rPr>
          <w:t xml:space="preserve">строки 3</w:t>
        </w:r>
      </w:hyperlink>
      <w:r>
        <w:rPr>
          <w:sz w:val="24"/>
        </w:rPr>
        <w:t xml:space="preserve">, </w:t>
      </w:r>
      <w:hyperlink w:history="0" w:anchor="P33248" w:tooltip="32">
        <w:r>
          <w:rPr>
            <w:sz w:val="24"/>
            <w:color w:val="0000ff"/>
          </w:rPr>
          <w:t xml:space="preserve">32</w:t>
        </w:r>
      </w:hyperlink>
      <w:r>
        <w:rPr>
          <w:sz w:val="24"/>
        </w:rPr>
        <w:t xml:space="preserve">), "Изменение рисковой поправки на нефинансовый риск, не отнесенное к компоненту убытка" (</w:t>
      </w:r>
      <w:hyperlink w:history="0" w:anchor="P32978" w:tooltip="4">
        <w:r>
          <w:rPr>
            <w:sz w:val="24"/>
            <w:color w:val="0000ff"/>
          </w:rPr>
          <w:t xml:space="preserve">строки 4</w:t>
        </w:r>
      </w:hyperlink>
      <w:r>
        <w:rPr>
          <w:sz w:val="24"/>
        </w:rPr>
        <w:t xml:space="preserve">, </w:t>
      </w:r>
      <w:hyperlink w:history="0" w:anchor="P33260" w:tooltip="33">
        <w:r>
          <w:rPr>
            <w:sz w:val="24"/>
            <w:color w:val="0000ff"/>
          </w:rPr>
          <w:t xml:space="preserve">33</w:t>
        </w:r>
      </w:hyperlink>
      <w:r>
        <w:rPr>
          <w:sz w:val="24"/>
        </w:rPr>
        <w:t xml:space="preserve">), "Сумма маржи за предусмотренные договором услуги, признанной в составе прибыли или убытка вследствие предоставления услуг по договору страхования в отчетном периоде" (</w:t>
      </w:r>
      <w:hyperlink w:history="0" w:anchor="P32986" w:tooltip="5">
        <w:r>
          <w:rPr>
            <w:sz w:val="24"/>
            <w:color w:val="0000ff"/>
          </w:rPr>
          <w:t xml:space="preserve">строки 5</w:t>
        </w:r>
      </w:hyperlink>
      <w:r>
        <w:rPr>
          <w:sz w:val="24"/>
        </w:rPr>
        <w:t xml:space="preserve">, </w:t>
      </w:r>
      <w:hyperlink w:history="0" w:anchor="P33272" w:tooltip="34">
        <w:r>
          <w:rPr>
            <w:sz w:val="24"/>
            <w:color w:val="0000ff"/>
          </w:rPr>
          <w:t xml:space="preserve">34</w:t>
        </w:r>
      </w:hyperlink>
      <w:r>
        <w:rPr>
          <w:sz w:val="24"/>
        </w:rPr>
        <w:t xml:space="preserve">), "Выручка по страхованию по договорам страхования, оцениваемым с применением подхода на основе распределения премии" (</w:t>
      </w:r>
      <w:hyperlink w:history="0" w:anchor="P32994" w:tooltip="6">
        <w:r>
          <w:rPr>
            <w:sz w:val="24"/>
            <w:color w:val="0000ff"/>
          </w:rPr>
          <w:t xml:space="preserve">строки 6</w:t>
        </w:r>
      </w:hyperlink>
      <w:r>
        <w:rPr>
          <w:sz w:val="24"/>
        </w:rPr>
        <w:t xml:space="preserve">, </w:t>
      </w:r>
      <w:hyperlink w:history="0" w:anchor="P33284" w:tooltip="35">
        <w:r>
          <w:rPr>
            <w:sz w:val="24"/>
            <w:color w:val="0000ff"/>
          </w:rPr>
          <w:t xml:space="preserve">35</w:t>
        </w:r>
      </w:hyperlink>
      <w:r>
        <w:rPr>
          <w:sz w:val="24"/>
        </w:rPr>
        <w:t xml:space="preserve">) и "Прочее" (</w:t>
      </w:r>
      <w:hyperlink w:history="0" w:anchor="P33002" w:tooltip="7">
        <w:r>
          <w:rPr>
            <w:sz w:val="24"/>
            <w:color w:val="0000ff"/>
          </w:rPr>
          <w:t xml:space="preserve">строки 7</w:t>
        </w:r>
      </w:hyperlink>
      <w:r>
        <w:rPr>
          <w:sz w:val="24"/>
        </w:rPr>
        <w:t xml:space="preserve">, </w:t>
      </w:r>
      <w:hyperlink w:history="0" w:anchor="P33296" w:tooltip="36">
        <w:r>
          <w:rPr>
            <w:sz w:val="24"/>
            <w:color w:val="0000ff"/>
          </w:rPr>
          <w:t xml:space="preserve">36</w:t>
        </w:r>
      </w:hyperlink>
      <w:r>
        <w:rPr>
          <w:sz w:val="24"/>
        </w:rPr>
        <w:t xml:space="preserve">).</w:t>
      </w:r>
    </w:p>
    <w:p>
      <w:pPr>
        <w:pStyle w:val="0"/>
        <w:spacing w:before="240" w:lineRule="auto"/>
        <w:ind w:firstLine="540"/>
        <w:jc w:val="both"/>
      </w:pPr>
      <w:r>
        <w:rPr>
          <w:sz w:val="24"/>
        </w:rPr>
        <w:t xml:space="preserve">Значение показателя "Расходы по страхованию по группам договоров страхования и выпущенных (принятых) договоров перестрахования, в том числе:" (</w:t>
      </w:r>
      <w:hyperlink w:history="0" w:anchor="P33018" w:tooltip="9">
        <w:r>
          <w:rPr>
            <w:sz w:val="24"/>
            <w:color w:val="0000ff"/>
          </w:rPr>
          <w:t xml:space="preserve">строки 9</w:t>
        </w:r>
      </w:hyperlink>
      <w:r>
        <w:rPr>
          <w:sz w:val="24"/>
        </w:rPr>
        <w:t xml:space="preserve">, </w:t>
      </w:r>
      <w:hyperlink w:history="0" w:anchor="P33320" w:tooltip="38">
        <w:r>
          <w:rPr>
            <w:sz w:val="24"/>
            <w:color w:val="0000ff"/>
          </w:rPr>
          <w:t xml:space="preserve">38</w:t>
        </w:r>
      </w:hyperlink>
      <w:r>
        <w:rPr>
          <w:sz w:val="24"/>
        </w:rPr>
        <w:t xml:space="preserve">) должно быть равно сумме значений показателей "Убытки и восстановление убытков по группам обременительных договоров" (</w:t>
      </w:r>
      <w:hyperlink w:history="0" w:anchor="P33026" w:tooltip="10">
        <w:r>
          <w:rPr>
            <w:sz w:val="24"/>
            <w:color w:val="0000ff"/>
          </w:rPr>
          <w:t xml:space="preserve">строки 10</w:t>
        </w:r>
      </w:hyperlink>
      <w:r>
        <w:rPr>
          <w:sz w:val="24"/>
        </w:rPr>
        <w:t xml:space="preserve">, </w:t>
      </w:r>
      <w:hyperlink w:history="0" w:anchor="P33332" w:tooltip="39">
        <w:r>
          <w:rPr>
            <w:sz w:val="24"/>
            <w:color w:val="0000ff"/>
          </w:rPr>
          <w:t xml:space="preserve">39</w:t>
        </w:r>
      </w:hyperlink>
      <w:r>
        <w:rPr>
          <w:sz w:val="24"/>
        </w:rPr>
        <w:t xml:space="preserve">), "Амортизация аквизиционных денежных потоков" (</w:t>
      </w:r>
      <w:hyperlink w:history="0" w:anchor="P33034" w:tooltip="11">
        <w:r>
          <w:rPr>
            <w:sz w:val="24"/>
            <w:color w:val="0000ff"/>
          </w:rPr>
          <w:t xml:space="preserve">строки 11</w:t>
        </w:r>
      </w:hyperlink>
      <w:r>
        <w:rPr>
          <w:sz w:val="24"/>
        </w:rPr>
        <w:t xml:space="preserve">, </w:t>
      </w:r>
      <w:hyperlink w:history="0" w:anchor="P33344" w:tooltip="40">
        <w:r>
          <w:rPr>
            <w:sz w:val="24"/>
            <w:color w:val="0000ff"/>
          </w:rPr>
          <w:t xml:space="preserve">40</w:t>
        </w:r>
      </w:hyperlink>
      <w:r>
        <w:rPr>
          <w:sz w:val="24"/>
        </w:rPr>
        <w:t xml:space="preserve">), "Изменение величины обязательств по возникшим требованиям" (</w:t>
      </w:r>
      <w:hyperlink w:history="0" w:anchor="P33042" w:tooltip="12">
        <w:r>
          <w:rPr>
            <w:sz w:val="24"/>
            <w:color w:val="0000ff"/>
          </w:rPr>
          <w:t xml:space="preserve">строки 12</w:t>
        </w:r>
      </w:hyperlink>
      <w:r>
        <w:rPr>
          <w:sz w:val="24"/>
        </w:rPr>
        <w:t xml:space="preserve">, </w:t>
      </w:r>
      <w:hyperlink w:history="0" w:anchor="P33356" w:tooltip="41">
        <w:r>
          <w:rPr>
            <w:sz w:val="24"/>
            <w:color w:val="0000ff"/>
          </w:rPr>
          <w:t xml:space="preserve">41</w:t>
        </w:r>
      </w:hyperlink>
      <w:r>
        <w:rPr>
          <w:sz w:val="24"/>
        </w:rPr>
        <w:t xml:space="preserve">) и "Возникшие требования и прочие расходы по страховым услугам" (</w:t>
      </w:r>
      <w:hyperlink w:history="0" w:anchor="P33050" w:tooltip="13">
        <w:r>
          <w:rPr>
            <w:sz w:val="24"/>
            <w:color w:val="0000ff"/>
          </w:rPr>
          <w:t xml:space="preserve">строки 13</w:t>
        </w:r>
      </w:hyperlink>
      <w:r>
        <w:rPr>
          <w:sz w:val="24"/>
        </w:rPr>
        <w:t xml:space="preserve">, </w:t>
      </w:r>
      <w:hyperlink w:history="0" w:anchor="P33368" w:tooltip="42">
        <w:r>
          <w:rPr>
            <w:sz w:val="24"/>
            <w:color w:val="0000ff"/>
          </w:rPr>
          <w:t xml:space="preserve">42</w:t>
        </w:r>
      </w:hyperlink>
      <w:r>
        <w:rPr>
          <w:sz w:val="24"/>
        </w:rPr>
        <w:t xml:space="preserve">).</w:t>
      </w:r>
    </w:p>
    <w:bookmarkStart w:id="34442" w:name="P34442"/>
    <w:bookmarkEnd w:id="34442"/>
    <w:p>
      <w:pPr>
        <w:pStyle w:val="0"/>
        <w:spacing w:before="240" w:lineRule="auto"/>
        <w:ind w:firstLine="540"/>
        <w:jc w:val="both"/>
      </w:pPr>
      <w:r>
        <w:rPr>
          <w:sz w:val="24"/>
        </w:rPr>
        <w:t xml:space="preserve">Значение показателя "Доходы (расходы), возникающие в связи с удерживаемыми (переданными) договорами перестрахования, в том числе:" (</w:t>
      </w:r>
      <w:hyperlink w:history="0" w:anchor="P33066" w:tooltip="15">
        <w:r>
          <w:rPr>
            <w:sz w:val="24"/>
            <w:color w:val="0000ff"/>
          </w:rPr>
          <w:t xml:space="preserve">строки 15</w:t>
        </w:r>
      </w:hyperlink>
      <w:r>
        <w:rPr>
          <w:sz w:val="24"/>
        </w:rPr>
        <w:t xml:space="preserve">, </w:t>
      </w:r>
      <w:hyperlink w:history="0" w:anchor="P33392" w:tooltip="44">
        <w:r>
          <w:rPr>
            <w:sz w:val="24"/>
            <w:color w:val="0000ff"/>
          </w:rPr>
          <w:t xml:space="preserve">44</w:t>
        </w:r>
      </w:hyperlink>
      <w:r>
        <w:rPr>
          <w:sz w:val="24"/>
        </w:rPr>
        <w:t xml:space="preserve">) должно быть равно сумме значений показателей "Распределение уплаченных страховых премий" (</w:t>
      </w:r>
      <w:hyperlink w:history="0" w:anchor="P33074" w:tooltip="16">
        <w:r>
          <w:rPr>
            <w:sz w:val="24"/>
            <w:color w:val="0000ff"/>
          </w:rPr>
          <w:t xml:space="preserve">строки 16</w:t>
        </w:r>
      </w:hyperlink>
      <w:r>
        <w:rPr>
          <w:sz w:val="24"/>
        </w:rPr>
        <w:t xml:space="preserve">, </w:t>
      </w:r>
      <w:hyperlink w:history="0" w:anchor="P33404" w:tooltip="45">
        <w:r>
          <w:rPr>
            <w:sz w:val="24"/>
            <w:color w:val="0000ff"/>
          </w:rPr>
          <w:t xml:space="preserve">45</w:t>
        </w:r>
      </w:hyperlink>
      <w:r>
        <w:rPr>
          <w:sz w:val="24"/>
        </w:rPr>
        <w:t xml:space="preserve">), "Ожидаемая сумма возмещения от перестраховщика" (</w:t>
      </w:r>
      <w:hyperlink w:history="0" w:anchor="P33082" w:tooltip="17">
        <w:r>
          <w:rPr>
            <w:sz w:val="24"/>
            <w:color w:val="0000ff"/>
          </w:rPr>
          <w:t xml:space="preserve">строки 17</w:t>
        </w:r>
      </w:hyperlink>
      <w:r>
        <w:rPr>
          <w:sz w:val="24"/>
        </w:rPr>
        <w:t xml:space="preserve">, </w:t>
      </w:r>
      <w:hyperlink w:history="0" w:anchor="P33416" w:tooltip="46">
        <w:r>
          <w:rPr>
            <w:sz w:val="24"/>
            <w:color w:val="0000ff"/>
          </w:rPr>
          <w:t xml:space="preserve">46</w:t>
        </w:r>
      </w:hyperlink>
      <w:r>
        <w:rPr>
          <w:sz w:val="24"/>
        </w:rPr>
        <w:t xml:space="preserve">), "Изменение величины требований к перестраховщикам в части возмещения страховых выплат" (</w:t>
      </w:r>
      <w:hyperlink w:history="0" w:anchor="P33090" w:tooltip="18">
        <w:r>
          <w:rPr>
            <w:sz w:val="24"/>
            <w:color w:val="0000ff"/>
          </w:rPr>
          <w:t xml:space="preserve">строки 18</w:t>
        </w:r>
      </w:hyperlink>
      <w:r>
        <w:rPr>
          <w:sz w:val="24"/>
        </w:rPr>
        <w:t xml:space="preserve">, </w:t>
      </w:r>
      <w:hyperlink w:history="0" w:anchor="P33428" w:tooltip="47">
        <w:r>
          <w:rPr>
            <w:sz w:val="24"/>
            <w:color w:val="0000ff"/>
          </w:rPr>
          <w:t xml:space="preserve">47</w:t>
        </w:r>
      </w:hyperlink>
      <w:r>
        <w:rPr>
          <w:sz w:val="24"/>
        </w:rPr>
        <w:t xml:space="preserve">) и "Прочие доходы (расходы) по перестрахованию" (</w:t>
      </w:r>
      <w:hyperlink w:history="0" w:anchor="P33098" w:tooltip="19">
        <w:r>
          <w:rPr>
            <w:sz w:val="24"/>
            <w:color w:val="0000ff"/>
          </w:rPr>
          <w:t xml:space="preserve">строки 19</w:t>
        </w:r>
      </w:hyperlink>
      <w:r>
        <w:rPr>
          <w:sz w:val="24"/>
        </w:rPr>
        <w:t xml:space="preserve">, </w:t>
      </w:r>
      <w:hyperlink w:history="0" w:anchor="P33440" w:tooltip="48">
        <w:r>
          <w:rPr>
            <w:sz w:val="24"/>
            <w:color w:val="0000ff"/>
          </w:rPr>
          <w:t xml:space="preserve">48</w:t>
        </w:r>
      </w:hyperlink>
      <w:r>
        <w:rPr>
          <w:sz w:val="24"/>
        </w:rPr>
        <w:t xml:space="preserve">).</w:t>
      </w:r>
    </w:p>
    <w:bookmarkStart w:id="34443" w:name="P34443"/>
    <w:bookmarkEnd w:id="34443"/>
    <w:p>
      <w:pPr>
        <w:pStyle w:val="0"/>
        <w:spacing w:before="240" w:lineRule="auto"/>
        <w:ind w:firstLine="540"/>
        <w:jc w:val="both"/>
      </w:pPr>
      <w:r>
        <w:rPr>
          <w:sz w:val="24"/>
        </w:rPr>
        <w:t xml:space="preserve">Значение показателя "Результат оказания страховых услуг" (</w:t>
      </w:r>
      <w:hyperlink w:history="0" w:anchor="P33106" w:tooltip="20">
        <w:r>
          <w:rPr>
            <w:sz w:val="24"/>
            <w:color w:val="0000ff"/>
          </w:rPr>
          <w:t xml:space="preserve">строки 20</w:t>
        </w:r>
      </w:hyperlink>
      <w:r>
        <w:rPr>
          <w:sz w:val="24"/>
        </w:rPr>
        <w:t xml:space="preserve">, </w:t>
      </w:r>
      <w:hyperlink w:history="0" w:anchor="P33452" w:tooltip="49">
        <w:r>
          <w:rPr>
            <w:sz w:val="24"/>
            <w:color w:val="0000ff"/>
          </w:rPr>
          <w:t xml:space="preserve">49</w:t>
        </w:r>
      </w:hyperlink>
      <w:r>
        <w:rPr>
          <w:sz w:val="24"/>
        </w:rPr>
        <w:t xml:space="preserve">) должно быть равно сумме значений показателей "Выручка по страхованию по группам договоров страхования и выпущенных (принятых) договоров перестрахования, в том числе:" (</w:t>
      </w:r>
      <w:hyperlink w:history="0" w:anchor="P32954" w:tooltip="1">
        <w:r>
          <w:rPr>
            <w:sz w:val="24"/>
            <w:color w:val="0000ff"/>
          </w:rPr>
          <w:t xml:space="preserve">строки 1</w:t>
        </w:r>
      </w:hyperlink>
      <w:r>
        <w:rPr>
          <w:sz w:val="24"/>
        </w:rPr>
        <w:t xml:space="preserve">, </w:t>
      </w:r>
      <w:hyperlink w:history="0" w:anchor="P33224" w:tooltip="30">
        <w:r>
          <w:rPr>
            <w:sz w:val="24"/>
            <w:color w:val="0000ff"/>
          </w:rPr>
          <w:t xml:space="preserve">30</w:t>
        </w:r>
      </w:hyperlink>
      <w:r>
        <w:rPr>
          <w:sz w:val="24"/>
        </w:rPr>
        <w:t xml:space="preserve">), "Расходы по страхованию по группам договоров страхования и выпущенных (принятых) договоров перестрахования, в том числе:" (</w:t>
      </w:r>
      <w:hyperlink w:history="0" w:anchor="P33018" w:tooltip="9">
        <w:r>
          <w:rPr>
            <w:sz w:val="24"/>
            <w:color w:val="0000ff"/>
          </w:rPr>
          <w:t xml:space="preserve">строки 9</w:t>
        </w:r>
      </w:hyperlink>
      <w:r>
        <w:rPr>
          <w:sz w:val="24"/>
        </w:rPr>
        <w:t xml:space="preserve">, </w:t>
      </w:r>
      <w:hyperlink w:history="0" w:anchor="P33320" w:tooltip="38">
        <w:r>
          <w:rPr>
            <w:sz w:val="24"/>
            <w:color w:val="0000ff"/>
          </w:rPr>
          <w:t xml:space="preserve">38</w:t>
        </w:r>
      </w:hyperlink>
      <w:r>
        <w:rPr>
          <w:sz w:val="24"/>
        </w:rPr>
        <w:t xml:space="preserve">), "Убытки и восстановление убытков от обесценения активов, признанных в отношении аквизиционных денежных потоков" (</w:t>
      </w:r>
      <w:hyperlink w:history="0" w:anchor="P33058" w:tooltip="14">
        <w:r>
          <w:rPr>
            <w:sz w:val="24"/>
            <w:color w:val="0000ff"/>
          </w:rPr>
          <w:t xml:space="preserve">строки 14</w:t>
        </w:r>
      </w:hyperlink>
      <w:r>
        <w:rPr>
          <w:sz w:val="24"/>
        </w:rPr>
        <w:t xml:space="preserve">, </w:t>
      </w:r>
      <w:hyperlink w:history="0" w:anchor="P33380" w:tooltip="43">
        <w:r>
          <w:rPr>
            <w:sz w:val="24"/>
            <w:color w:val="0000ff"/>
          </w:rPr>
          <w:t xml:space="preserve">43</w:t>
        </w:r>
      </w:hyperlink>
      <w:r>
        <w:rPr>
          <w:sz w:val="24"/>
        </w:rPr>
        <w:t xml:space="preserve">) и "Доходы (расходы), возникающие в связи с удерживаемыми (переданными) договорами перестрахования, в том числе:" (</w:t>
      </w:r>
      <w:hyperlink w:history="0" w:anchor="P33066" w:tooltip="15">
        <w:r>
          <w:rPr>
            <w:sz w:val="24"/>
            <w:color w:val="0000ff"/>
          </w:rPr>
          <w:t xml:space="preserve">строки 15</w:t>
        </w:r>
      </w:hyperlink>
      <w:r>
        <w:rPr>
          <w:sz w:val="24"/>
        </w:rPr>
        <w:t xml:space="preserve">, </w:t>
      </w:r>
      <w:hyperlink w:history="0" w:anchor="P33392" w:tooltip="44">
        <w:r>
          <w:rPr>
            <w:sz w:val="24"/>
            <w:color w:val="0000ff"/>
          </w:rPr>
          <w:t xml:space="preserve">44</w:t>
        </w:r>
      </w:hyperlink>
      <w:r>
        <w:rPr>
          <w:sz w:val="24"/>
        </w:rPr>
        <w:t xml:space="preserve">).</w:t>
      </w:r>
    </w:p>
    <w:p>
      <w:pPr>
        <w:pStyle w:val="0"/>
        <w:spacing w:before="240" w:lineRule="auto"/>
        <w:ind w:firstLine="540"/>
        <w:jc w:val="both"/>
      </w:pPr>
      <w:r>
        <w:rPr>
          <w:sz w:val="24"/>
        </w:rPr>
        <w:t xml:space="preserve">Значение показателя "Финансовые доходы (расходы) по страхованию" (</w:t>
      </w:r>
      <w:hyperlink w:history="0" w:anchor="P33114" w:tooltip="21">
        <w:r>
          <w:rPr>
            <w:sz w:val="24"/>
            <w:color w:val="0000ff"/>
          </w:rPr>
          <w:t xml:space="preserve">строки 21</w:t>
        </w:r>
      </w:hyperlink>
      <w:r>
        <w:rPr>
          <w:sz w:val="24"/>
        </w:rPr>
        <w:t xml:space="preserve">, </w:t>
      </w:r>
      <w:hyperlink w:history="0" w:anchor="P33464" w:tooltip="50">
        <w:r>
          <w:rPr>
            <w:sz w:val="24"/>
            <w:color w:val="0000ff"/>
          </w:rPr>
          <w:t xml:space="preserve">50</w:t>
        </w:r>
      </w:hyperlink>
      <w:r>
        <w:rPr>
          <w:sz w:val="24"/>
        </w:rPr>
        <w:t xml:space="preserve">) должно быть равно сумме значений показателей "Отражено в составе прибыли или убытка, в том числе:" (</w:t>
      </w:r>
      <w:hyperlink w:history="0" w:anchor="P33126" w:tooltip="22">
        <w:r>
          <w:rPr>
            <w:sz w:val="24"/>
            <w:color w:val="0000ff"/>
          </w:rPr>
          <w:t xml:space="preserve">строки 22</w:t>
        </w:r>
      </w:hyperlink>
      <w:r>
        <w:rPr>
          <w:sz w:val="24"/>
        </w:rPr>
        <w:t xml:space="preserve">, </w:t>
      </w:r>
      <w:hyperlink w:history="0" w:anchor="P33480" w:tooltip="51">
        <w:r>
          <w:rPr>
            <w:sz w:val="24"/>
            <w:color w:val="0000ff"/>
          </w:rPr>
          <w:t xml:space="preserve">51</w:t>
        </w:r>
      </w:hyperlink>
      <w:r>
        <w:rPr>
          <w:sz w:val="24"/>
        </w:rPr>
        <w:t xml:space="preserve">) и "Отражено в составе прочего совокупного дохода" (</w:t>
      </w:r>
      <w:hyperlink w:history="0" w:anchor="P33210" w:tooltip="29">
        <w:r>
          <w:rPr>
            <w:sz w:val="24"/>
            <w:color w:val="0000ff"/>
          </w:rPr>
          <w:t xml:space="preserve">строки 29</w:t>
        </w:r>
      </w:hyperlink>
      <w:r>
        <w:rPr>
          <w:sz w:val="24"/>
        </w:rPr>
        <w:t xml:space="preserve">, </w:t>
      </w:r>
      <w:hyperlink w:history="0" w:anchor="P33592" w:tooltip="58">
        <w:r>
          <w:rPr>
            <w:sz w:val="24"/>
            <w:color w:val="0000ff"/>
          </w:rPr>
          <w:t xml:space="preserve">58</w:t>
        </w:r>
      </w:hyperlink>
      <w:r>
        <w:rPr>
          <w:sz w:val="24"/>
        </w:rPr>
        <w:t xml:space="preserve">).</w:t>
      </w:r>
    </w:p>
    <w:p>
      <w:pPr>
        <w:pStyle w:val="0"/>
        <w:spacing w:before="240" w:lineRule="auto"/>
        <w:ind w:firstLine="540"/>
        <w:jc w:val="both"/>
      </w:pPr>
      <w:r>
        <w:rPr>
          <w:sz w:val="24"/>
        </w:rPr>
        <w:t xml:space="preserve">Значение показателя "Отражено в составе прибыли или убытка, в том числе:" (</w:t>
      </w:r>
      <w:hyperlink w:history="0" w:anchor="P33126" w:tooltip="22">
        <w:r>
          <w:rPr>
            <w:sz w:val="24"/>
            <w:color w:val="0000ff"/>
          </w:rPr>
          <w:t xml:space="preserve">строки 22</w:t>
        </w:r>
      </w:hyperlink>
      <w:r>
        <w:rPr>
          <w:sz w:val="24"/>
        </w:rPr>
        <w:t xml:space="preserve">, </w:t>
      </w:r>
      <w:hyperlink w:history="0" w:anchor="P33480" w:tooltip="51">
        <w:r>
          <w:rPr>
            <w:sz w:val="24"/>
            <w:color w:val="0000ff"/>
          </w:rPr>
          <w:t xml:space="preserve">51</w:t>
        </w:r>
      </w:hyperlink>
      <w:r>
        <w:rPr>
          <w:sz w:val="24"/>
        </w:rPr>
        <w:t xml:space="preserve">) должно быть равно сумме значений показателей "Изменения в справедливой стоимости базовых активов по группам договоров страхования жизни, оцениваемых с применением модели с переменным вознаграждением" (</w:t>
      </w:r>
      <w:hyperlink w:history="0" w:anchor="P33138" w:tooltip="23">
        <w:r>
          <w:rPr>
            <w:sz w:val="24"/>
            <w:color w:val="0000ff"/>
          </w:rPr>
          <w:t xml:space="preserve">строки 23</w:t>
        </w:r>
      </w:hyperlink>
      <w:r>
        <w:rPr>
          <w:sz w:val="24"/>
        </w:rPr>
        <w:t xml:space="preserve">, </w:t>
      </w:r>
      <w:hyperlink w:history="0" w:anchor="P33496" w:tooltip="52">
        <w:r>
          <w:rPr>
            <w:sz w:val="24"/>
            <w:color w:val="0000ff"/>
          </w:rPr>
          <w:t xml:space="preserve">52</w:t>
        </w:r>
      </w:hyperlink>
      <w:r>
        <w:rPr>
          <w:sz w:val="24"/>
        </w:rPr>
        <w:t xml:space="preserve">), "Эффект снижения влияния временной стоимости денег и финансового риска" (</w:t>
      </w:r>
      <w:hyperlink w:history="0" w:anchor="P33150" w:tooltip="24">
        <w:r>
          <w:rPr>
            <w:sz w:val="24"/>
            <w:color w:val="0000ff"/>
          </w:rPr>
          <w:t xml:space="preserve">строки 24</w:t>
        </w:r>
      </w:hyperlink>
      <w:r>
        <w:rPr>
          <w:sz w:val="24"/>
        </w:rPr>
        <w:t xml:space="preserve">, </w:t>
      </w:r>
      <w:hyperlink w:history="0" w:anchor="P33512" w:tooltip="53">
        <w:r>
          <w:rPr>
            <w:sz w:val="24"/>
            <w:color w:val="0000ff"/>
          </w:rPr>
          <w:t xml:space="preserve">53</w:t>
        </w:r>
      </w:hyperlink>
      <w:r>
        <w:rPr>
          <w:sz w:val="24"/>
        </w:rPr>
        <w:t xml:space="preserve">), "Процентные доходы (расходы) для отражения влияния и изменения временной стоимости денег" (</w:t>
      </w:r>
      <w:hyperlink w:history="0" w:anchor="P33162" w:tooltip="25">
        <w:r>
          <w:rPr>
            <w:sz w:val="24"/>
            <w:color w:val="0000ff"/>
          </w:rPr>
          <w:t xml:space="preserve">строки 25</w:t>
        </w:r>
      </w:hyperlink>
      <w:r>
        <w:rPr>
          <w:sz w:val="24"/>
        </w:rPr>
        <w:t xml:space="preserve">, </w:t>
      </w:r>
      <w:hyperlink w:history="0" w:anchor="P33528" w:tooltip="54">
        <w:r>
          <w:rPr>
            <w:sz w:val="24"/>
            <w:color w:val="0000ff"/>
          </w:rPr>
          <w:t xml:space="preserve">54</w:t>
        </w:r>
      </w:hyperlink>
      <w:r>
        <w:rPr>
          <w:sz w:val="24"/>
        </w:rPr>
        <w:t xml:space="preserve">), "Эффект изменения в процентных ставках и допущениях" (</w:t>
      </w:r>
      <w:hyperlink w:history="0" w:anchor="P33174" w:tooltip="26">
        <w:r>
          <w:rPr>
            <w:sz w:val="24"/>
            <w:color w:val="0000ff"/>
          </w:rPr>
          <w:t xml:space="preserve">строки 26</w:t>
        </w:r>
      </w:hyperlink>
      <w:r>
        <w:rPr>
          <w:sz w:val="24"/>
        </w:rPr>
        <w:t xml:space="preserve">, </w:t>
      </w:r>
      <w:hyperlink w:history="0" w:anchor="P33544" w:tooltip="55">
        <w:r>
          <w:rPr>
            <w:sz w:val="24"/>
            <w:color w:val="0000ff"/>
          </w:rPr>
          <w:t xml:space="preserve">55</w:t>
        </w:r>
      </w:hyperlink>
      <w:r>
        <w:rPr>
          <w:sz w:val="24"/>
        </w:rPr>
        <w:t xml:space="preserve">), "Курсовые разницы" (</w:t>
      </w:r>
      <w:hyperlink w:history="0" w:anchor="P33186" w:tooltip="27">
        <w:r>
          <w:rPr>
            <w:sz w:val="24"/>
            <w:color w:val="0000ff"/>
          </w:rPr>
          <w:t xml:space="preserve">строки 27</w:t>
        </w:r>
      </w:hyperlink>
      <w:r>
        <w:rPr>
          <w:sz w:val="24"/>
        </w:rPr>
        <w:t xml:space="preserve">, </w:t>
      </w:r>
      <w:hyperlink w:history="0" w:anchor="P33560" w:tooltip="56">
        <w:r>
          <w:rPr>
            <w:sz w:val="24"/>
            <w:color w:val="0000ff"/>
          </w:rPr>
          <w:t xml:space="preserve">56</w:t>
        </w:r>
      </w:hyperlink>
      <w:r>
        <w:rPr>
          <w:sz w:val="24"/>
        </w:rPr>
        <w:t xml:space="preserve">) и "Прочее" (</w:t>
      </w:r>
      <w:hyperlink w:history="0" w:anchor="P33198" w:tooltip="28">
        <w:r>
          <w:rPr>
            <w:sz w:val="24"/>
            <w:color w:val="0000ff"/>
          </w:rPr>
          <w:t xml:space="preserve">строки 28</w:t>
        </w:r>
      </w:hyperlink>
      <w:r>
        <w:rPr>
          <w:sz w:val="24"/>
        </w:rPr>
        <w:t xml:space="preserve">, </w:t>
      </w:r>
      <w:hyperlink w:history="0" w:anchor="P33576" w:tooltip="57">
        <w:r>
          <w:rPr>
            <w:sz w:val="24"/>
            <w:color w:val="0000ff"/>
          </w:rPr>
          <w:t xml:space="preserve">57</w:t>
        </w:r>
      </w:hyperlink>
      <w:r>
        <w:rPr>
          <w:sz w:val="24"/>
        </w:rPr>
        <w:t xml:space="preserve">).</w:t>
      </w:r>
    </w:p>
    <w:p>
      <w:pPr>
        <w:pStyle w:val="0"/>
        <w:spacing w:before="240" w:lineRule="auto"/>
        <w:ind w:firstLine="540"/>
        <w:jc w:val="both"/>
      </w:pPr>
      <w:r>
        <w:rPr>
          <w:sz w:val="24"/>
        </w:rPr>
        <w:t xml:space="preserve">Итоговое значение каждого показателя из указанных в </w:t>
      </w:r>
      <w:hyperlink w:history="0" w:anchor="P34442" w:tooltip="Значение показателя &quot;Доходы (расходы), возникающие в связи с удерживаемыми (переданными) договорами перестрахования, в том числе:&quot; (строки 15, 44) должно быть равно сумме значений показателей &quot;Распределение уплаченных страховых премий&quot; (строки 16, 45), &quot;Ожидаемая сумма возмещения от перестраховщика&quot; (строки 17, 46), &quot;Изменение величины требований к перестраховщикам в части возмещения страховых выплат&quot; (строки 18, 47) и &quot;Прочие доходы (расходы) по перестрахованию&quot; (строки 19, 48).">
        <w:r>
          <w:rPr>
            <w:sz w:val="24"/>
            <w:color w:val="0000ff"/>
          </w:rPr>
          <w:t xml:space="preserve">абзацах седьмом</w:t>
        </w:r>
      </w:hyperlink>
      <w:r>
        <w:rPr>
          <w:sz w:val="24"/>
        </w:rPr>
        <w:t xml:space="preserve"> и </w:t>
      </w:r>
      <w:hyperlink w:history="0" w:anchor="P34443" w:tooltip="Значение показателя &quot;Результат оказания страховых услуг&quot; (строки 20, 49) должно быть равно сумме значений показателей &quot;Выручка по страхованию по группам договоров страхования и выпущенных (принятых) договоров перестрахования, в том числе:&quot; (строки 1, 30), &quot;Расходы по страхованию по группам договоров страхования и выпущенных (принятых) договоров перестрахования, в том числе:&quot; (строки 9, 38), &quot;Убытки и восстановление убытков от обесценения активов, признанных в отношении аквизиционных денежных потоков&quot; (ст...">
        <w:r>
          <w:rPr>
            <w:sz w:val="24"/>
            <w:color w:val="0000ff"/>
          </w:rPr>
          <w:t xml:space="preserve">восьмом</w:t>
        </w:r>
      </w:hyperlink>
      <w:r>
        <w:rPr>
          <w:sz w:val="24"/>
        </w:rPr>
        <w:t xml:space="preserve"> настоящего пункта определяется путем суммирования значений этого показателя по аналитическим признакам "Группы договоров страхования и выпущенных (принятых) договоров перестрахования" и "Группы удерживаемых (переданных) договоров перестрахования" группы аналитических признаков "Группы договоров".</w:t>
      </w:r>
    </w:p>
    <w:p>
      <w:pPr>
        <w:pStyle w:val="0"/>
        <w:spacing w:before="240" w:lineRule="auto"/>
        <w:ind w:firstLine="540"/>
        <w:jc w:val="both"/>
      </w:pPr>
      <w:r>
        <w:rPr>
          <w:sz w:val="24"/>
        </w:rPr>
        <w:t xml:space="preserve">Значения показателей </w:t>
      </w:r>
      <w:hyperlink w:history="0" w:anchor="P32952" w:tooltip="Раздел 1.">
        <w:r>
          <w:rPr>
            <w:sz w:val="24"/>
            <w:color w:val="0000ff"/>
          </w:rPr>
          <w:t xml:space="preserve">раздела 1</w:t>
        </w:r>
      </w:hyperlink>
      <w:r>
        <w:rPr>
          <w:sz w:val="24"/>
        </w:rPr>
        <w:t xml:space="preserve"> отчетности по форме 0420158 определяются по каждому аналитическому признаку группы аналитических признаков "Группы видов страхования", значения показателей </w:t>
      </w:r>
      <w:hyperlink w:history="0" w:anchor="P33222" w:tooltip="Раздел 2.">
        <w:r>
          <w:rPr>
            <w:sz w:val="24"/>
            <w:color w:val="0000ff"/>
          </w:rPr>
          <w:t xml:space="preserve">раздела 2</w:t>
        </w:r>
      </w:hyperlink>
      <w:r>
        <w:rPr>
          <w:sz w:val="24"/>
        </w:rPr>
        <w:t xml:space="preserve"> отчетности по форме 0420158 - по каждому аналитическому признаку группы аналитических признаков "Идентификатор портфеля договоров".</w:t>
      </w:r>
    </w:p>
    <w:p>
      <w:pPr>
        <w:pStyle w:val="0"/>
        <w:spacing w:before="240" w:lineRule="auto"/>
        <w:ind w:firstLine="540"/>
        <w:jc w:val="both"/>
      </w:pPr>
      <w:r>
        <w:rPr>
          <w:sz w:val="24"/>
        </w:rPr>
        <w:t xml:space="preserve">Значения показателей </w:t>
      </w:r>
      <w:hyperlink w:history="0" w:anchor="P32952" w:tooltip="Раздел 1.">
        <w:r>
          <w:rPr>
            <w:sz w:val="24"/>
            <w:color w:val="0000ff"/>
          </w:rPr>
          <w:t xml:space="preserve">раздела 1</w:t>
        </w:r>
      </w:hyperlink>
      <w:r>
        <w:rPr>
          <w:sz w:val="24"/>
        </w:rPr>
        <w:t xml:space="preserve"> отчетности по форме 0420158 по каждому аналитическому признаку группы аналитических признаков "Группы видов страхования" должно соответствовать значениям соответствующих показателей </w:t>
      </w:r>
      <w:hyperlink w:history="0" w:anchor="P33222" w:tooltip="Раздел 2.">
        <w:r>
          <w:rPr>
            <w:sz w:val="24"/>
            <w:color w:val="0000ff"/>
          </w:rPr>
          <w:t xml:space="preserve">раздела 2</w:t>
        </w:r>
      </w:hyperlink>
      <w:r>
        <w:rPr>
          <w:sz w:val="24"/>
        </w:rPr>
        <w:t xml:space="preserve"> отчетности по форме 0420158 по этому же аналитическому признаку группы аналитических признаков "Группы видов страхования" (сумма значений по портфелям договоров страхования, выпущенных (принятых) договоров перестрахования, удерживаемых (переданных) договоров перестрахования (далее - портфель договоров).</w:t>
      </w:r>
    </w:p>
    <w:bookmarkStart w:id="34449" w:name="P34449"/>
    <w:bookmarkEnd w:id="34449"/>
    <w:p>
      <w:pPr>
        <w:pStyle w:val="0"/>
        <w:spacing w:before="240" w:lineRule="auto"/>
        <w:ind w:firstLine="540"/>
        <w:jc w:val="both"/>
      </w:pPr>
      <w:r>
        <w:rPr>
          <w:sz w:val="24"/>
        </w:rPr>
        <w:t xml:space="preserve">2.1. Структура финансового результата в </w:t>
      </w:r>
      <w:hyperlink w:history="0" w:anchor="P32952" w:tooltip="Раздел 1.">
        <w:r>
          <w:rPr>
            <w:sz w:val="24"/>
            <w:color w:val="0000ff"/>
          </w:rPr>
          <w:t xml:space="preserve">разделе 1</w:t>
        </w:r>
      </w:hyperlink>
      <w:r>
        <w:rPr>
          <w:sz w:val="24"/>
        </w:rPr>
        <w:t xml:space="preserve"> отчетности по форме 0420158 раскрывается в разрезе следующих групп договоров страхования, сострахования, перестрахования, относящихся к отдельным видам страхования (по аналитическим признакам группы аналитических признаков "Группы видов страхования"):</w:t>
      </w:r>
    </w:p>
    <w:bookmarkStart w:id="34450" w:name="P34450"/>
    <w:bookmarkEnd w:id="34450"/>
    <w:p>
      <w:pPr>
        <w:pStyle w:val="0"/>
        <w:spacing w:before="240" w:lineRule="auto"/>
        <w:ind w:firstLine="540"/>
        <w:jc w:val="both"/>
      </w:pPr>
      <w:r>
        <w:rPr>
          <w:sz w:val="24"/>
        </w:rPr>
        <w:t xml:space="preserve">договоры обязательного страхования гражданской ответственности владельцев транспортных средств (по аналитическому признаку "Обязательное страхование гражданской ответственности владельцев транспортных средств");</w:t>
      </w:r>
    </w:p>
    <w:bookmarkStart w:id="34451" w:name="P34451"/>
    <w:bookmarkEnd w:id="34451"/>
    <w:p>
      <w:pPr>
        <w:pStyle w:val="0"/>
        <w:spacing w:before="240" w:lineRule="auto"/>
        <w:ind w:firstLine="540"/>
        <w:jc w:val="both"/>
      </w:pPr>
      <w:r>
        <w:rPr>
          <w:sz w:val="24"/>
        </w:rPr>
        <w:t xml:space="preserve">договоры страхования средств наземного транспорта (за исключением средств железнодорожного транспорта), договоры страхования гражданской ответственности владельцев автотранспортных средств, договоры страхования от несчастных случаев и болезней и договоры страхования финансовых рисков на транспорте (по аналитическому признаку "Автострахование, включая страхование от несчастных случаев и болезней на транспорте");</w:t>
      </w:r>
    </w:p>
    <w:bookmarkStart w:id="34452" w:name="P34452"/>
    <w:bookmarkEnd w:id="34452"/>
    <w:p>
      <w:pPr>
        <w:pStyle w:val="0"/>
        <w:spacing w:before="240" w:lineRule="auto"/>
        <w:ind w:firstLine="540"/>
        <w:jc w:val="both"/>
      </w:pPr>
      <w:r>
        <w:rPr>
          <w:sz w:val="24"/>
        </w:rPr>
        <w:t xml:space="preserve">договоры страхования от несчастных случаев и болезней лиц, выезжающих за пределы постоянного места жительства (за исключением несчастных случаев и болезней на транспорте), и договоры медицинского страхования (по аналитическому признаку "Страхование от несчастных случаев и болезней лиц, выезжающих за пределы постоянного места жительства, и медицинское страхование");</w:t>
      </w:r>
    </w:p>
    <w:p>
      <w:pPr>
        <w:pStyle w:val="0"/>
        <w:spacing w:before="240" w:lineRule="auto"/>
        <w:ind w:firstLine="540"/>
        <w:jc w:val="both"/>
      </w:pPr>
      <w:r>
        <w:rPr>
          <w:sz w:val="24"/>
        </w:rPr>
        <w:t xml:space="preserve">договоры страхования от несчастных случаев и болезней, кроме договоров страхования от несчастных случаев и болезней, указанных в </w:t>
      </w:r>
      <w:hyperlink w:history="0" w:anchor="P34451" w:tooltip="договоры страхования средств наземного транспорта (за исключением средств железнодорожного транспорта), договоры страхования гражданской ответственности владельцев автотранспортных средств, договоры страхования от несчастных случаев и болезней и договоры страхования финансовых рисков на транспорте (по аналитическому признаку &quot;Автострахование, включая страхование от несчастных случаев и болезней на транспорте&quot;);">
        <w:r>
          <w:rPr>
            <w:sz w:val="24"/>
            <w:color w:val="0000ff"/>
          </w:rPr>
          <w:t xml:space="preserve">абзацах третьем</w:t>
        </w:r>
      </w:hyperlink>
      <w:r>
        <w:rPr>
          <w:sz w:val="24"/>
        </w:rPr>
        <w:t xml:space="preserve">, </w:t>
      </w:r>
      <w:hyperlink w:history="0" w:anchor="P34452" w:tooltip="договоры страхования от несчастных случаев и болезней лиц, выезжающих за пределы постоянного места жительства (за исключением несчастных случаев и болезней на транспорте), и договоры медицинского страхования (по аналитическому признаку &quot;Страхование от несчастных случаев и болезней лиц, выезжающих за пределы постоянного места жительства, и медицинское страхование&quot;);">
        <w:r>
          <w:rPr>
            <w:sz w:val="24"/>
            <w:color w:val="0000ff"/>
          </w:rPr>
          <w:t xml:space="preserve">четвертом</w:t>
        </w:r>
      </w:hyperlink>
      <w:r>
        <w:rPr>
          <w:sz w:val="24"/>
        </w:rPr>
        <w:t xml:space="preserve"> и </w:t>
      </w:r>
      <w:hyperlink w:history="0" w:anchor="P34456" w:tooltip="договоры страхования финансовых рисков и договоры страхования от несчастных случаев и болезней, предусматривающие обязательства страховщика по страховым выплатам, связанным с договорами о залоге недвижимого имущества (договорами об ипотеке), заключенными с заемщиками - физическими лицами (по аналитическому признаку &quot;Ипотечное страхование&quot;);">
        <w:r>
          <w:rPr>
            <w:sz w:val="24"/>
            <w:color w:val="0000ff"/>
          </w:rPr>
          <w:t xml:space="preserve">восьмом</w:t>
        </w:r>
      </w:hyperlink>
      <w:r>
        <w:rPr>
          <w:sz w:val="24"/>
        </w:rPr>
        <w:t xml:space="preserve"> настоящего подпункта (по аналитическому признаку "Страхование от несчастных случаев и болезней (кроме страхования от несчастных случаев и болезней, включенного в другие группы видов страхования)");</w:t>
      </w:r>
    </w:p>
    <w:p>
      <w:pPr>
        <w:pStyle w:val="0"/>
        <w:spacing w:before="240" w:lineRule="auto"/>
        <w:ind w:firstLine="540"/>
        <w:jc w:val="both"/>
      </w:pPr>
      <w:r>
        <w:rPr>
          <w:sz w:val="24"/>
        </w:rPr>
        <w:t xml:space="preserve">договоры страхования средств железнодорожного, воздушного и водного транспорта, договоры страхования грузов, договоры страхования имущества юридических лиц, за исключением транспортных средств, договоры страхования гражданской ответственности владельцев средств железнодорожного, воздушного и водного транспорта, договоры страхования гражданской ответственности организаций, эксплуатирующих опасные объекты, договоры страхования гражданской ответственности за причинение вреда вследствие недостатков товаров, работ, услуг, договоры страхования гражданской ответственности за причинение вреда третьим лицам, договоры страхования гражданской ответственности за неисполнение или ненадлежащее исполнение обязательств по договору, договоры страхования предпринимательских рисков и договоры страхования финансовых рисков (кроме договоров страхования финансовых рисков, указанных в </w:t>
      </w:r>
      <w:hyperlink w:history="0" w:anchor="P34451" w:tooltip="договоры страхования средств наземного транспорта (за исключением средств железнодорожного транспорта), договоры страхования гражданской ответственности владельцев автотранспортных средств, договоры страхования от несчастных случаев и болезней и договоры страхования финансовых рисков на транспорте (по аналитическому признаку &quot;Автострахование, включая страхование от несчастных случаев и болезней на транспорте&quot;);">
        <w:r>
          <w:rPr>
            <w:sz w:val="24"/>
            <w:color w:val="0000ff"/>
          </w:rPr>
          <w:t xml:space="preserve">абзацах третьем</w:t>
        </w:r>
      </w:hyperlink>
      <w:r>
        <w:rPr>
          <w:sz w:val="24"/>
        </w:rPr>
        <w:t xml:space="preserve"> и </w:t>
      </w:r>
      <w:hyperlink w:history="0" w:anchor="P34457" w:tooltip="договоры страхования финансовых рисков, кроме договоров страхования финансовых рисков, указанных в абзаце восьмом настоящего подпункта (по аналитическому признаку &quot;Прочее кредитное страхование&quot;);">
        <w:r>
          <w:rPr>
            <w:sz w:val="24"/>
            <w:color w:val="0000ff"/>
          </w:rPr>
          <w:t xml:space="preserve">девятом</w:t>
        </w:r>
      </w:hyperlink>
      <w:r>
        <w:rPr>
          <w:sz w:val="24"/>
        </w:rPr>
        <w:t xml:space="preserve"> настоящего подпункта), заключенные с юридическими лицами и индивидуальными предпринимателями (по аналитическому признаку "Корпоративное страхование (имущество, ответственность, предпринимательские и финансовые риски)");</w:t>
      </w:r>
    </w:p>
    <w:p>
      <w:pPr>
        <w:pStyle w:val="0"/>
        <w:spacing w:before="240" w:lineRule="auto"/>
        <w:ind w:firstLine="540"/>
        <w:jc w:val="both"/>
      </w:pPr>
      <w:r>
        <w:rPr>
          <w:sz w:val="24"/>
        </w:rPr>
        <w:t xml:space="preserve">договоры страхования имущества граждан, за исключением транспортных средств, договоры страхования гражданской ответственности за причинение вреда третьим лицам и договоры страхования гражданской ответственности за неисполнение или ненадлежащее исполнение обязательств по договору, заключенные с физическим лицами (по аналитическому признаку "Розничное страхование (имущество, ответственность)");</w:t>
      </w:r>
    </w:p>
    <w:bookmarkStart w:id="34456" w:name="P34456"/>
    <w:bookmarkEnd w:id="34456"/>
    <w:p>
      <w:pPr>
        <w:pStyle w:val="0"/>
        <w:spacing w:before="240" w:lineRule="auto"/>
        <w:ind w:firstLine="540"/>
        <w:jc w:val="both"/>
      </w:pPr>
      <w:r>
        <w:rPr>
          <w:sz w:val="24"/>
        </w:rPr>
        <w:t xml:space="preserve">договоры страхования финансовых рисков и договоры страхования от несчастных случаев и болезней, предусматривающие обязательства страховщика по страховым выплатам, связанным с договорами о залоге недвижимого имущества (договорами об ипотеке), заключенными с заемщиками - физическими лицами (по аналитическому признаку "Ипотечное страхование");</w:t>
      </w:r>
    </w:p>
    <w:bookmarkStart w:id="34457" w:name="P34457"/>
    <w:bookmarkEnd w:id="34457"/>
    <w:p>
      <w:pPr>
        <w:pStyle w:val="0"/>
        <w:spacing w:before="240" w:lineRule="auto"/>
        <w:ind w:firstLine="540"/>
        <w:jc w:val="both"/>
      </w:pPr>
      <w:r>
        <w:rPr>
          <w:sz w:val="24"/>
        </w:rPr>
        <w:t xml:space="preserve">договоры страхования финансовых рисков, кроме договоров страхования финансовых рисков, указанных в </w:t>
      </w:r>
      <w:hyperlink w:history="0" w:anchor="P34456" w:tooltip="договоры страхования финансовых рисков и договоры страхования от несчастных случаев и болезней, предусматривающие обязательства страховщика по страховым выплатам, связанным с договорами о залоге недвижимого имущества (договорами об ипотеке), заключенными с заемщиками - физическими лицами (по аналитическому признаку &quot;Ипотечное страхование&quot;);">
        <w:r>
          <w:rPr>
            <w:sz w:val="24"/>
            <w:color w:val="0000ff"/>
          </w:rPr>
          <w:t xml:space="preserve">абзаце восьмом</w:t>
        </w:r>
      </w:hyperlink>
      <w:r>
        <w:rPr>
          <w:sz w:val="24"/>
        </w:rPr>
        <w:t xml:space="preserve"> настоящего подпункта (по аналитическому признаку "Прочее кредитное страхование");</w:t>
      </w:r>
    </w:p>
    <w:bookmarkStart w:id="34458" w:name="P34458"/>
    <w:bookmarkEnd w:id="34458"/>
    <w:p>
      <w:pPr>
        <w:pStyle w:val="0"/>
        <w:spacing w:before="240" w:lineRule="auto"/>
        <w:ind w:firstLine="540"/>
        <w:jc w:val="both"/>
      </w:pPr>
      <w:r>
        <w:rPr>
          <w:sz w:val="24"/>
        </w:rPr>
        <w:t xml:space="preserve">договоры страхования жизни на случай дожития до определенного возраста или срока и договоры страхования жизни на случай смерти и дожития до определенного возраста или срока, предусматривающие дополнительные выплаты и не предусматривающие негарантированных выплат, а также договоры долевого страхования жизни (по аналитическому признаку "Инвестиционное страхование жизни");</w:t>
      </w:r>
    </w:p>
    <w:p>
      <w:pPr>
        <w:pStyle w:val="0"/>
        <w:spacing w:before="240" w:lineRule="auto"/>
        <w:ind w:firstLine="540"/>
        <w:jc w:val="both"/>
      </w:pPr>
      <w:r>
        <w:rPr>
          <w:sz w:val="24"/>
        </w:rPr>
        <w:t xml:space="preserve">договоры страхования жизни на случай дожития до определенного возраста или срока и договоры страхования жизни на случай смерти и дожития до определенного возраста или срока, не предусматривающие дополнительных выплат и периодических выплат пенсии (ренты, аннуитетов) (по аналитическому признаку "Накопительное страхование жизни");</w:t>
      </w:r>
    </w:p>
    <w:bookmarkStart w:id="34460" w:name="P34460"/>
    <w:bookmarkEnd w:id="34460"/>
    <w:p>
      <w:pPr>
        <w:pStyle w:val="0"/>
        <w:spacing w:before="240" w:lineRule="auto"/>
        <w:ind w:firstLine="540"/>
        <w:jc w:val="both"/>
      </w:pPr>
      <w:r>
        <w:rPr>
          <w:sz w:val="24"/>
        </w:rPr>
        <w:t xml:space="preserve">договоры пенсионного страхования и договоры страхования жизни с условием периодических страховых выплат (ренты, аннуитетов), не предусматривающие дополнительных выплат, кроме договоров страхования, указанных в </w:t>
      </w:r>
      <w:hyperlink w:history="0" w:anchor="P34458" w:tooltip="договоры страхования жизни на случай дожития до определенного возраста или срока и договоры страхования жизни на случай смерти и дожития до определенного возраста или срока, предусматривающие дополнительные выплаты и не предусматривающие негарантированных выплат, а также договоры долевого страхования жизни (по аналитическому признаку &quot;Инвестиционное страхование жизни&quot;);">
        <w:r>
          <w:rPr>
            <w:sz w:val="24"/>
            <w:color w:val="0000ff"/>
          </w:rPr>
          <w:t xml:space="preserve">абзаце десятом</w:t>
        </w:r>
      </w:hyperlink>
      <w:r>
        <w:rPr>
          <w:sz w:val="24"/>
        </w:rPr>
        <w:t xml:space="preserve"> настоящего подпункта (по аналитическому признаку "Пенсионное страхование");</w:t>
      </w:r>
    </w:p>
    <w:bookmarkStart w:id="34461" w:name="P34461"/>
    <w:bookmarkEnd w:id="34461"/>
    <w:p>
      <w:pPr>
        <w:pStyle w:val="0"/>
        <w:spacing w:before="240" w:lineRule="auto"/>
        <w:ind w:firstLine="540"/>
        <w:jc w:val="both"/>
      </w:pPr>
      <w:r>
        <w:rPr>
          <w:sz w:val="24"/>
        </w:rPr>
        <w:t xml:space="preserve">договоры страхования жизни, кроме договоров страхования жизни, указанных в </w:t>
      </w:r>
      <w:hyperlink w:history="0" w:anchor="P34458" w:tooltip="договоры страхования жизни на случай дожития до определенного возраста или срока и договоры страхования жизни на случай смерти и дожития до определенного возраста или срока, предусматривающие дополнительные выплаты и не предусматривающие негарантированных выплат, а также договоры долевого страхования жизни (по аналитическому признаку &quot;Инвестиционное страхование жизни&quot;);">
        <w:r>
          <w:rPr>
            <w:sz w:val="24"/>
            <w:color w:val="0000ff"/>
          </w:rPr>
          <w:t xml:space="preserve">абзацах десятом</w:t>
        </w:r>
      </w:hyperlink>
      <w:r>
        <w:rPr>
          <w:sz w:val="24"/>
        </w:rPr>
        <w:t xml:space="preserve"> - </w:t>
      </w:r>
      <w:hyperlink w:history="0" w:anchor="P34460" w:tooltip="договоры пенсионного страхования и договоры страхования жизни с условием периодических страховых выплат (ренты, аннуитетов), не предусматривающие дополнительных выплат, кроме договоров страхования, указанных в абзаце десятом настоящего подпункта (по аналитическому признаку &quot;Пенсионное страхование&quot;);">
        <w:r>
          <w:rPr>
            <w:sz w:val="24"/>
            <w:color w:val="0000ff"/>
          </w:rPr>
          <w:t xml:space="preserve">двенадцатом</w:t>
        </w:r>
      </w:hyperlink>
      <w:r>
        <w:rPr>
          <w:sz w:val="24"/>
        </w:rPr>
        <w:t xml:space="preserve"> настоящего подпункта (по аналитическому признаку "Прочее страхование жизни").</w:t>
      </w:r>
    </w:p>
    <w:p>
      <w:pPr>
        <w:pStyle w:val="0"/>
        <w:spacing w:before="240" w:lineRule="auto"/>
        <w:ind w:firstLine="540"/>
        <w:jc w:val="both"/>
      </w:pPr>
      <w:r>
        <w:rPr>
          <w:sz w:val="24"/>
        </w:rPr>
        <w:t xml:space="preserve">В случае если договор страхования содержит несколько рисков, раскрытие сведений в разрезе аналитических признаков группы аналитических признаков "Группы видов страхования" осуществляется в соответствии с преобладающим в договоре страхования страховым риском.</w:t>
      </w:r>
    </w:p>
    <w:p>
      <w:pPr>
        <w:pStyle w:val="0"/>
        <w:spacing w:before="240" w:lineRule="auto"/>
        <w:ind w:firstLine="540"/>
        <w:jc w:val="both"/>
      </w:pPr>
      <w:r>
        <w:rPr>
          <w:sz w:val="24"/>
        </w:rPr>
        <w:t xml:space="preserve">В случае если вид страхования, указанный в договоре страхования, не перечислен в </w:t>
      </w:r>
      <w:hyperlink w:history="0" w:anchor="P34450" w:tooltip="договоры обязательного страхования гражданской ответственности владельцев транспортных средств (по аналитическому признаку &quot;Обязательное страхование гражданской ответственности владельцев транспортных средств&quot;);">
        <w:r>
          <w:rPr>
            <w:sz w:val="24"/>
            <w:color w:val="0000ff"/>
          </w:rPr>
          <w:t xml:space="preserve">абзацах втором</w:t>
        </w:r>
      </w:hyperlink>
      <w:r>
        <w:rPr>
          <w:sz w:val="24"/>
        </w:rPr>
        <w:t xml:space="preserve"> - </w:t>
      </w:r>
      <w:hyperlink w:history="0" w:anchor="P34461" w:tooltip="договоры страхования жизни, кроме договоров страхования жизни, указанных в абзацах десятом - двенадцатом настоящего подпункта (по аналитическому признаку &quot;Прочее страхование жизни&quot;).">
        <w:r>
          <w:rPr>
            <w:sz w:val="24"/>
            <w:color w:val="0000ff"/>
          </w:rPr>
          <w:t xml:space="preserve">тринадцатом</w:t>
        </w:r>
      </w:hyperlink>
      <w:r>
        <w:rPr>
          <w:sz w:val="24"/>
        </w:rPr>
        <w:t xml:space="preserve"> настоящего подпункта, страховщик определяет аналитический признак группы аналитических признаков "Группы видов страхования", к которому относится вид страхования, по экономическому содержанию указанного вида страхования, исходя из условий договора страхования и правил страхования.</w:t>
      </w:r>
    </w:p>
    <w:p>
      <w:pPr>
        <w:pStyle w:val="0"/>
        <w:spacing w:before="240" w:lineRule="auto"/>
        <w:ind w:firstLine="540"/>
        <w:jc w:val="both"/>
      </w:pPr>
      <w:r>
        <w:rPr>
          <w:sz w:val="24"/>
        </w:rPr>
        <w:t xml:space="preserve">Значение каждого показателя </w:t>
      </w:r>
      <w:hyperlink w:history="0" w:anchor="P32952" w:tooltip="Раздел 1.">
        <w:r>
          <w:rPr>
            <w:sz w:val="24"/>
            <w:color w:val="0000ff"/>
          </w:rPr>
          <w:t xml:space="preserve">раздела 1</w:t>
        </w:r>
      </w:hyperlink>
      <w:r>
        <w:rPr>
          <w:sz w:val="24"/>
        </w:rPr>
        <w:t xml:space="preserve"> отчетности по форме 0420158 по аналитическому признаку "Всего по группам видов страхования" группы аналитических признаков "Группы видов страхования" определяется путем суммирования значений этого же показателя по остальным аналитическим признакам группы аналитических признаков "Группы видов страхования".</w:t>
      </w:r>
    </w:p>
    <w:p>
      <w:pPr>
        <w:pStyle w:val="0"/>
        <w:spacing w:before="240" w:lineRule="auto"/>
        <w:ind w:firstLine="540"/>
        <w:jc w:val="both"/>
      </w:pPr>
      <w:r>
        <w:rPr>
          <w:sz w:val="24"/>
        </w:rPr>
        <w:t xml:space="preserve">2.2. Структура финансового результата в </w:t>
      </w:r>
      <w:hyperlink w:history="0" w:anchor="P33222" w:tooltip="Раздел 2.">
        <w:r>
          <w:rPr>
            <w:sz w:val="24"/>
            <w:color w:val="0000ff"/>
          </w:rPr>
          <w:t xml:space="preserve">разделе 2</w:t>
        </w:r>
      </w:hyperlink>
      <w:r>
        <w:rPr>
          <w:sz w:val="24"/>
        </w:rPr>
        <w:t xml:space="preserve"> отчетности по форме 0420158 раскрывается в разрезе портфелей договоров, разделенных в соответствии с Международным </w:t>
      </w:r>
      <w:hyperlink w:history="0" r:id="rId564"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стандартом</w:t>
        </w:r>
      </w:hyperlink>
      <w:r>
        <w:rPr>
          <w:sz w:val="24"/>
        </w:rPr>
        <w:t xml:space="preserve"> финансовой отчетности (IFRS) 17 "Договоры страхования" &lt;2&gt;, с указанием преобладающего в портфеле договоров страхового риска в соответствии с аналитическими признаками группы аналитических признаков "Группы видов страхования", указанными в </w:t>
      </w:r>
      <w:hyperlink w:history="0" w:anchor="P34449" w:tooltip="2.1. Структура финансового результата в разделе 1 отчетности по форме 0420158 раскрывается в разрезе следующих групп договоров страхования, сострахования, перестрахования, относящихся к отдельным видам страхования (по аналитическим признакам группы аналитических признаков &quot;Группы видов страхования&quot;):">
        <w:r>
          <w:rPr>
            <w:sz w:val="24"/>
            <w:color w:val="0000ff"/>
          </w:rPr>
          <w:t xml:space="preserve">подпункте 2.1</w:t>
        </w:r>
      </w:hyperlink>
      <w:r>
        <w:rPr>
          <w:sz w:val="24"/>
        </w:rPr>
        <w:t xml:space="preserve"> настоящего пункта (по группе аналитических признаков "Идентификатор портфеля договоров").</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Введен в действие на территории Российской Федерации </w:t>
      </w:r>
      <w:hyperlink w:history="0" r:id="rId565" w:tooltip="Приказ Минфина России от 20.04.2021 N 65н &quot;О введении Международного стандарта финансовой отчетности (IFRS) 17 &quot;Договоры страхования&quot; в действие на территории Российской Федерации и о прекращении действия отдельных положений приказов Министерства финансов Российской Федерации на территории Российской Федерации&quot; (Зарегистрировано в Минюсте России 21.05.2021 N 63562) {КонсультантПлюс}">
        <w:r>
          <w:rPr>
            <w:sz w:val="24"/>
            <w:color w:val="0000ff"/>
          </w:rPr>
          <w:t xml:space="preserve">приказом</w:t>
        </w:r>
      </w:hyperlink>
      <w:r>
        <w:rPr>
          <w:sz w:val="24"/>
        </w:rPr>
        <w:t xml:space="preserve"> Минфина России от 20 апреля 2021 года N 65н "О введении Международного стандарта финансовой отчетности (IFR.S) 17 "Договоры страхования" в действие на территории Российской Федерации и о прекращении действия отдельных положений приказов Министерства финансов Российской Федерации на территории Российской Федерации" (зарегистрирован Минюстом России 21 мая 2021 года, регистрационный N 63562), с поправками, введенными в действие на территории Российской Федерации приказом Минфина России от 4 октября 2023 года N 155н "О введении документов Международных стандартов финансовой отчетности "Первоначальное применение </w:t>
      </w:r>
      <w:hyperlink w:history="0" r:id="rId566"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и МСФО (IFRS) 9 - Сравнительная информация (Поправка к </w:t>
      </w:r>
      <w:hyperlink w:history="0" r:id="rId567"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"Определение бухгалтерских оценок (Поправки к МСФО (IAS) 8 "Учетная политика, изменения в бухгалтерских оценках и ошибки")", "Обязательство по аренде в операции продажи с обратной арендой (Поправки к МСФО (IFRS) 16)" в действие на территории Российской Федерации" (зарегистрирован Минюстом России 23 ноября 2023 года, регистрационный N 76077).</w:t>
      </w:r>
    </w:p>
    <w:p>
      <w:pPr>
        <w:pStyle w:val="0"/>
        <w:ind w:firstLine="540"/>
        <w:jc w:val="both"/>
      </w:pPr>
      <w:r>
        <w:rPr>
          <w:sz w:val="24"/>
        </w:rPr>
      </w:r>
    </w:p>
    <w:p>
      <w:pPr>
        <w:pStyle w:val="0"/>
        <w:ind w:firstLine="540"/>
        <w:jc w:val="both"/>
      </w:pPr>
      <w:r>
        <w:rPr>
          <w:sz w:val="24"/>
        </w:rPr>
        <w:t xml:space="preserve">По группе аналитических признаков "Идентификатор портфеля договоров" указывается сформированный страховщиком самостоятельно идентификатор портфеля договоров (целое число), позволяющий выделить один портфель договоров из других портфелей договоров. По группе аналитических признаков "Идентификатор портфеля договоров" указывается значение "НП" в отношении показателей </w:t>
      </w:r>
      <w:hyperlink w:history="0" w:anchor="P33222" w:tooltip="Раздел 2.">
        <w:r>
          <w:rPr>
            <w:sz w:val="24"/>
            <w:color w:val="0000ff"/>
          </w:rPr>
          <w:t xml:space="preserve">раздела 2</w:t>
        </w:r>
      </w:hyperlink>
      <w:r>
        <w:rPr>
          <w:sz w:val="24"/>
        </w:rPr>
        <w:t xml:space="preserve"> отчетности по форме 0420158, указанных по аналитическому признаку "Всего по группам видов страхования" группы аналитических признаков "Группы видов страхования".</w:t>
      </w:r>
    </w:p>
    <w:p>
      <w:pPr>
        <w:pStyle w:val="0"/>
        <w:spacing w:before="240" w:lineRule="auto"/>
        <w:ind w:firstLine="540"/>
        <w:jc w:val="both"/>
      </w:pPr>
      <w:r>
        <w:rPr>
          <w:sz w:val="24"/>
        </w:rPr>
        <w:t xml:space="preserve">3. По показателям </w:t>
      </w:r>
      <w:hyperlink w:history="0" w:anchor="P33608" w:tooltip="Раздел 3.">
        <w:r>
          <w:rPr>
            <w:sz w:val="24"/>
            <w:color w:val="0000ff"/>
          </w:rPr>
          <w:t xml:space="preserve">раздела 3</w:t>
        </w:r>
      </w:hyperlink>
      <w:r>
        <w:rPr>
          <w:sz w:val="24"/>
        </w:rPr>
        <w:t xml:space="preserve"> отчетности по форме 0420158 указываются сведения о структуре финансового результата от операций по страхованию жизни в разрезе учетных групп, предусмотренных </w:t>
      </w:r>
      <w:hyperlink w:history="0" r:id="rId56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5.1.4 пункта 5.1</w:t>
        </w:r>
      </w:hyperlink>
      <w:r>
        <w:rPr>
          <w:sz w:val="24"/>
        </w:rPr>
        <w:t xml:space="preserve"> Положения Банка России от 17 июня 2025 года N 858-П "О требованиях к финансовой устойчивости и платежеспособности страховщиков" &lt;3&gt; (далее - Положение Банка России N 858-П).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Зарегистрировано Минюстом России 27 августа 2025 года, регистрационный N 83340.</w:t>
      </w:r>
    </w:p>
    <w:p>
      <w:pPr>
        <w:pStyle w:val="0"/>
        <w:ind w:firstLine="540"/>
        <w:jc w:val="both"/>
      </w:pPr>
      <w:r>
        <w:rPr>
          <w:sz w:val="24"/>
        </w:rPr>
      </w:r>
    </w:p>
    <w:p>
      <w:pPr>
        <w:pStyle w:val="0"/>
        <w:ind w:firstLine="540"/>
        <w:jc w:val="both"/>
      </w:pPr>
      <w:r>
        <w:rPr>
          <w:sz w:val="24"/>
        </w:rPr>
        <w:t xml:space="preserve">Значение каждого показателя </w:t>
      </w:r>
      <w:hyperlink w:history="0" w:anchor="P33608" w:tooltip="Раздел 3.">
        <w:r>
          <w:rPr>
            <w:sz w:val="24"/>
            <w:color w:val="0000ff"/>
          </w:rPr>
          <w:t xml:space="preserve">раздела 3</w:t>
        </w:r>
      </w:hyperlink>
      <w:r>
        <w:rPr>
          <w:sz w:val="24"/>
        </w:rPr>
        <w:t xml:space="preserve"> отчетности по форме 0420158 по аналитическому признаку "Всего по учетным группам по страхованию жизни" группы аналитических признаков "Перечень учетных групп" определяется путем суммирования значений этого же показателя по остальным аналитическим признакам группы аналитических признаков "Перечень учетных групп".</w:t>
      </w:r>
    </w:p>
    <w:p>
      <w:pPr>
        <w:pStyle w:val="0"/>
        <w:spacing w:before="240" w:lineRule="auto"/>
        <w:ind w:firstLine="540"/>
        <w:jc w:val="both"/>
      </w:pPr>
      <w:r>
        <w:rPr>
          <w:sz w:val="24"/>
        </w:rPr>
        <w:t xml:space="preserve">По показателям </w:t>
      </w:r>
      <w:hyperlink w:history="0" w:anchor="P33962" w:tooltip="Раздел 4.">
        <w:r>
          <w:rPr>
            <w:sz w:val="24"/>
            <w:color w:val="0000ff"/>
          </w:rPr>
          <w:t xml:space="preserve">раздела 4</w:t>
        </w:r>
      </w:hyperlink>
      <w:r>
        <w:rPr>
          <w:sz w:val="24"/>
        </w:rPr>
        <w:t xml:space="preserve"> отчетности по форме 0420158 указываются сведения о структуре финансового результата от операций по страхованию иному, чем страхование жизни, в разрезе учетных групп, предусмотренных </w:t>
      </w:r>
      <w:hyperlink w:history="0" r:id="rId56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5.1.3 пункта 5.1</w:t>
        </w:r>
      </w:hyperlink>
      <w:r>
        <w:rPr>
          <w:sz w:val="24"/>
        </w:rPr>
        <w:t xml:space="preserve"> Положения Банка России N 858-П.</w:t>
      </w:r>
    </w:p>
    <w:p>
      <w:pPr>
        <w:pStyle w:val="0"/>
        <w:spacing w:before="240" w:lineRule="auto"/>
        <w:ind w:firstLine="540"/>
        <w:jc w:val="both"/>
      </w:pPr>
      <w:r>
        <w:rPr>
          <w:sz w:val="24"/>
        </w:rPr>
        <w:t xml:space="preserve">Значение каждого показателя </w:t>
      </w:r>
      <w:hyperlink w:history="0" w:anchor="P33962" w:tooltip="Раздел 4.">
        <w:r>
          <w:rPr>
            <w:sz w:val="24"/>
            <w:color w:val="0000ff"/>
          </w:rPr>
          <w:t xml:space="preserve">раздела 4</w:t>
        </w:r>
      </w:hyperlink>
      <w:r>
        <w:rPr>
          <w:sz w:val="24"/>
        </w:rPr>
        <w:t xml:space="preserve"> отчетности по форме 0420158 по аналитическому признаку "Всего по учетным группам по страхованию иному, чем страхование жизни" группы аналитических признаков "Перечень учетных групп" определяется путем суммирования значений этого же показателя по остальным аналитическим признакам группы аналитических признаков "Перечень учетных групп".</w:t>
      </w:r>
    </w:p>
    <w:p>
      <w:pPr>
        <w:pStyle w:val="0"/>
        <w:spacing w:before="240" w:lineRule="auto"/>
        <w:ind w:firstLine="540"/>
        <w:jc w:val="both"/>
      </w:pPr>
      <w:r>
        <w:rPr>
          <w:sz w:val="24"/>
        </w:rPr>
        <w:t xml:space="preserve">Значения показателей "Произведенные страховые выплаты по соглашению о прямом возмещении убытков, за исключением величины не разнесенных по убыткам списаний по инкассо" </w:t>
      </w:r>
      <w:hyperlink w:history="0" w:anchor="P34140" w:tooltip="124">
        <w:r>
          <w:rPr>
            <w:sz w:val="24"/>
            <w:color w:val="0000ff"/>
          </w:rPr>
          <w:t xml:space="preserve">(строка 124)</w:t>
        </w:r>
      </w:hyperlink>
      <w:r>
        <w:rPr>
          <w:sz w:val="24"/>
        </w:rPr>
        <w:t xml:space="preserve">, "Сумма выплат потерпевшим по их требованиям о прямом возмещении убытков (без учета дополнительного возмещения убытков потерпевшим)" </w:t>
      </w:r>
      <w:hyperlink w:history="0" w:anchor="P34148" w:tooltip="125">
        <w:r>
          <w:rPr>
            <w:sz w:val="24"/>
            <w:color w:val="0000ff"/>
          </w:rPr>
          <w:t xml:space="preserve">(строка 125)</w:t>
        </w:r>
      </w:hyperlink>
      <w:r>
        <w:rPr>
          <w:sz w:val="24"/>
        </w:rPr>
        <w:t xml:space="preserve">, "Сумма выплат потерпевшим по их требованиям о прямом возмещении убытков (дополнительное возмещение убытков потерпевшим)" </w:t>
      </w:r>
      <w:hyperlink w:history="0" w:anchor="P34156" w:tooltip="126">
        <w:r>
          <w:rPr>
            <w:sz w:val="24"/>
            <w:color w:val="0000ff"/>
          </w:rPr>
          <w:t xml:space="preserve">(строка 126)</w:t>
        </w:r>
      </w:hyperlink>
      <w:r>
        <w:rPr>
          <w:sz w:val="24"/>
        </w:rPr>
        <w:t xml:space="preserve"> и "Сумма поступивших денежных средств по требованиям об оплате возмещенного вреда" </w:t>
      </w:r>
      <w:hyperlink w:history="0" w:anchor="P34164" w:tooltip="127">
        <w:r>
          <w:rPr>
            <w:sz w:val="24"/>
            <w:color w:val="0000ff"/>
          </w:rPr>
          <w:t xml:space="preserve">(строка 127)</w:t>
        </w:r>
      </w:hyperlink>
      <w:r>
        <w:rPr>
          <w:sz w:val="24"/>
        </w:rPr>
        <w:t xml:space="preserve"> указываются по учетной группе 3.</w:t>
      </w:r>
    </w:p>
    <w:p>
      <w:pPr>
        <w:pStyle w:val="0"/>
        <w:spacing w:before="240" w:lineRule="auto"/>
        <w:ind w:firstLine="540"/>
        <w:jc w:val="both"/>
      </w:pPr>
      <w:hyperlink w:history="0" w:anchor="P32970" w:tooltip="3">
        <w:r>
          <w:rPr>
            <w:sz w:val="24"/>
            <w:color w:val="0000ff"/>
          </w:rPr>
          <w:t xml:space="preserve">Разделы 3</w:t>
        </w:r>
      </w:hyperlink>
      <w:r>
        <w:rPr>
          <w:sz w:val="24"/>
        </w:rPr>
        <w:t xml:space="preserve"> и </w:t>
      </w:r>
      <w:hyperlink w:history="0" w:anchor="P32978" w:tooltip="4">
        <w:r>
          <w:rPr>
            <w:sz w:val="24"/>
            <w:color w:val="0000ff"/>
          </w:rPr>
          <w:t xml:space="preserve">4</w:t>
        </w:r>
      </w:hyperlink>
      <w:r>
        <w:rPr>
          <w:sz w:val="24"/>
        </w:rPr>
        <w:t xml:space="preserve"> отчетности по форме 0420158 составляются на основании сведений, содержащихся в журналах, указанных в </w:t>
      </w:r>
      <w:hyperlink w:history="0" r:id="rId570"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5.9.1 пункта 5.9</w:t>
        </w:r>
      </w:hyperlink>
      <w:r>
        <w:rPr>
          <w:sz w:val="24"/>
        </w:rPr>
        <w:t xml:space="preserve"> Положения Банка России N 858-П, и на основании данных расчета страховых резервов и доли перестраховщиков в них в соответствии с разработанными и утвержденными страховщиком положениями о формировании страховых резервов.</w:t>
      </w:r>
    </w:p>
    <w:p>
      <w:pPr>
        <w:pStyle w:val="0"/>
        <w:spacing w:before="240" w:lineRule="auto"/>
        <w:ind w:firstLine="540"/>
        <w:jc w:val="both"/>
      </w:pPr>
      <w:r>
        <w:rPr>
          <w:sz w:val="24"/>
        </w:rPr>
        <w:t xml:space="preserve">3.1. По показателю "Страховые премии по договорам страхования, сострахования и входящего перестрахования (за предоставление страхового покрытия до верхней границы соответствующих договоров)" (</w:t>
      </w:r>
      <w:hyperlink w:history="0" w:anchor="P33610" w:tooltip="59">
        <w:r>
          <w:rPr>
            <w:sz w:val="24"/>
            <w:color w:val="0000ff"/>
          </w:rPr>
          <w:t xml:space="preserve">строки 59</w:t>
        </w:r>
      </w:hyperlink>
      <w:r>
        <w:rPr>
          <w:sz w:val="24"/>
        </w:rPr>
        <w:t xml:space="preserve">, </w:t>
      </w:r>
      <w:hyperlink w:history="0" w:anchor="P33964" w:tooltip="102">
        <w:r>
          <w:rPr>
            <w:sz w:val="24"/>
            <w:color w:val="0000ff"/>
          </w:rPr>
          <w:t xml:space="preserve">102</w:t>
        </w:r>
      </w:hyperlink>
      <w:r>
        <w:rPr>
          <w:sz w:val="24"/>
        </w:rPr>
        <w:t xml:space="preserve">) для каждой учетной группы указывается сумма страховых премий по договорам страхования, сострахования и договорам перестрахования, в которых страховщик выступает перестраховщиком (далее - договоры входящего перестрахования), фактически полученных с начала года по конец отчетного месяца (далее - отчетный период) или причитающихся к получению от страхователей, перестрахователей с начала отчетного периода и до верхней по времени границы (даты окончания) максимально длинного непрерывного периода действия страхового покрытия, в течение которого условия соответствующего договора, влияющие на величину страховых резервов, однозначно определены и не подлежат изменению страховщиком в одностороннем порядке (далее - верхняя граница).</w:t>
      </w:r>
    </w:p>
    <w:p>
      <w:pPr>
        <w:pStyle w:val="0"/>
        <w:spacing w:before="240" w:lineRule="auto"/>
        <w:ind w:firstLine="540"/>
        <w:jc w:val="both"/>
      </w:pPr>
      <w:r>
        <w:rPr>
          <w:sz w:val="24"/>
        </w:rPr>
        <w:t xml:space="preserve">Данные указываются по признанным в отчетном периоде договорам страхования, сострахования, входящего перестрахования, а также по признанным до отчетного периода договорам страхования, сострахования, входящего перестрахования в случае изменения размера страховых премий в течение отчетного периода в связи с изменением условий указанных договоров, их досрочным расторжением.</w:t>
      </w:r>
    </w:p>
    <w:p>
      <w:pPr>
        <w:pStyle w:val="0"/>
        <w:spacing w:before="240" w:lineRule="auto"/>
        <w:ind w:firstLine="540"/>
        <w:jc w:val="both"/>
      </w:pPr>
      <w:r>
        <w:rPr>
          <w:sz w:val="24"/>
        </w:rPr>
        <w:t xml:space="preserve">3.2. По показателю "Страховые премии за перестрахование договоров страхования, сострахования и входящего перестрахования" (</w:t>
      </w:r>
      <w:hyperlink w:history="0" w:anchor="P33618" w:tooltip="60">
        <w:r>
          <w:rPr>
            <w:sz w:val="24"/>
            <w:color w:val="0000ff"/>
          </w:rPr>
          <w:t xml:space="preserve">строки 60</w:t>
        </w:r>
      </w:hyperlink>
      <w:r>
        <w:rPr>
          <w:sz w:val="24"/>
        </w:rPr>
        <w:t xml:space="preserve">, </w:t>
      </w:r>
      <w:hyperlink w:history="0" w:anchor="P33972" w:tooltip="103">
        <w:r>
          <w:rPr>
            <w:sz w:val="24"/>
            <w:color w:val="0000ff"/>
          </w:rPr>
          <w:t xml:space="preserve">103</w:t>
        </w:r>
      </w:hyperlink>
      <w:r>
        <w:rPr>
          <w:sz w:val="24"/>
        </w:rPr>
        <w:t xml:space="preserve">) для каждой учетной группы указывается сумма страховых премий, которые будут перечислены перестраховщику по всем основным договорам, подпадающим под действие договоров исходящего перестрахования, с начала отчетного периода и до верхней границы.</w:t>
      </w:r>
    </w:p>
    <w:p>
      <w:pPr>
        <w:pStyle w:val="0"/>
        <w:spacing w:before="240" w:lineRule="auto"/>
        <w:ind w:firstLine="540"/>
        <w:jc w:val="both"/>
      </w:pPr>
      <w:r>
        <w:rPr>
          <w:sz w:val="24"/>
        </w:rPr>
        <w:t xml:space="preserve">Данные указываются по признанным в отчетном периоде договорам исходящего перестрахования, а также по признанным до отчетного периода договорам исходящего перестрахования в случае изменения размера страховых премий в течение отчетного периода в связи с изменением условий договоров исходящего перестрахования, их досрочным расторжением.</w:t>
      </w:r>
    </w:p>
    <w:p>
      <w:pPr>
        <w:pStyle w:val="0"/>
        <w:spacing w:before="240" w:lineRule="auto"/>
        <w:ind w:firstLine="540"/>
        <w:jc w:val="both"/>
      </w:pPr>
      <w:r>
        <w:rPr>
          <w:sz w:val="24"/>
        </w:rPr>
        <w:t xml:space="preserve">3.3. Итоговое значение показателя "Произведенные выплаты по договорам страхования, сострахования и входящего перестрахования, за исключением величины не разнесенных по убыткам списаний по инкассо" </w:t>
      </w:r>
      <w:hyperlink w:history="0" w:anchor="P33690" w:tooltip="69">
        <w:r>
          <w:rPr>
            <w:sz w:val="24"/>
            <w:color w:val="0000ff"/>
          </w:rPr>
          <w:t xml:space="preserve">(строка 69)</w:t>
        </w:r>
      </w:hyperlink>
      <w:r>
        <w:rPr>
          <w:sz w:val="24"/>
        </w:rPr>
        <w:t xml:space="preserve"> определяется путем суммирования значений этого показателя по аналитическим признакам "Выплаты по риску смерти", "Выплаты по риску дожития до определенного возраста или срока", "Выплаты по риску утраты трудоспособности (инвалидности)", "Выплаты по риску наступления иного события в жизни застрахованного", "Выкупные суммы", "Негарантированные выплаты" и "Дополнительные выплаты" группы аналитических признаков "Виды выплат".</w:t>
      </w:r>
    </w:p>
    <w:p>
      <w:pPr>
        <w:pStyle w:val="0"/>
        <w:spacing w:before="240" w:lineRule="auto"/>
        <w:ind w:firstLine="540"/>
        <w:jc w:val="both"/>
      </w:pPr>
      <w:r>
        <w:rPr>
          <w:sz w:val="24"/>
        </w:rPr>
        <w:t xml:space="preserve">3.4. По показателю "Не разнесенные по убыткам списания по инкассо по договорам страхования, сострахования и входящего перестрахования" (</w:t>
      </w:r>
      <w:hyperlink w:history="0" w:anchor="P33702" w:tooltip="70">
        <w:r>
          <w:rPr>
            <w:sz w:val="24"/>
            <w:color w:val="0000ff"/>
          </w:rPr>
          <w:t xml:space="preserve">строки 70</w:t>
        </w:r>
      </w:hyperlink>
      <w:r>
        <w:rPr>
          <w:sz w:val="24"/>
        </w:rPr>
        <w:t xml:space="preserve">, </w:t>
      </w:r>
      <w:hyperlink w:history="0" w:anchor="P34060" w:tooltip="114">
        <w:r>
          <w:rPr>
            <w:sz w:val="24"/>
            <w:color w:val="0000ff"/>
          </w:rPr>
          <w:t xml:space="preserve">114</w:t>
        </w:r>
      </w:hyperlink>
      <w:r>
        <w:rPr>
          <w:sz w:val="24"/>
        </w:rPr>
        <w:t xml:space="preserve">) для каждой учетной группы указывается сумма не разнесенных на конец отчетного периода по убыткам списаний по инкассо с расчетных счетов страховщика по договорам страхования, сострахования, входящего перестрахования.</w:t>
      </w:r>
    </w:p>
    <w:p>
      <w:pPr>
        <w:pStyle w:val="0"/>
        <w:spacing w:before="240" w:lineRule="auto"/>
        <w:ind w:firstLine="540"/>
        <w:jc w:val="both"/>
      </w:pPr>
      <w:r>
        <w:rPr>
          <w:sz w:val="24"/>
        </w:rPr>
        <w:t xml:space="preserve">3.5. Итоговое значение показателя "Полученные возмещения доли перестраховщиков в выплатах и права требования страховщика по возмещению указанной доли перестраховщиков" </w:t>
      </w:r>
      <w:hyperlink w:history="0" w:anchor="P33710" w:tooltip="71">
        <w:r>
          <w:rPr>
            <w:sz w:val="24"/>
            <w:color w:val="0000ff"/>
          </w:rPr>
          <w:t xml:space="preserve">(строка 71)</w:t>
        </w:r>
      </w:hyperlink>
      <w:r>
        <w:rPr>
          <w:sz w:val="24"/>
        </w:rPr>
        <w:t xml:space="preserve"> определяется путем суммирования значений этого показателя по аналитическим признакам "Выплаты по риску смерти", "Выплаты по риску утраты трудоспособности (инвалидности)", "Выплаты по риску наступления иного события в жизни застрахованного" и "Выкупные суммы" группы аналитических признаков "Виды доли перестраховщиков в выплатах".</w:t>
      </w:r>
    </w:p>
    <w:p>
      <w:pPr>
        <w:pStyle w:val="0"/>
        <w:spacing w:before="240" w:lineRule="auto"/>
        <w:ind w:firstLine="540"/>
        <w:jc w:val="both"/>
      </w:pPr>
      <w:r>
        <w:rPr>
          <w:sz w:val="24"/>
        </w:rPr>
        <w:t xml:space="preserve">3.6. По показателю "Изменение резерва премий" (</w:t>
      </w:r>
      <w:hyperlink w:history="0" w:anchor="P33786" w:tooltip="80">
        <w:r>
          <w:rPr>
            <w:sz w:val="24"/>
            <w:color w:val="0000ff"/>
          </w:rPr>
          <w:t xml:space="preserve">строки 80</w:t>
        </w:r>
      </w:hyperlink>
      <w:r>
        <w:rPr>
          <w:sz w:val="24"/>
        </w:rPr>
        <w:t xml:space="preserve">, </w:t>
      </w:r>
      <w:hyperlink w:history="0" w:anchor="P34204" w:tooltip="132">
        <w:r>
          <w:rPr>
            <w:sz w:val="24"/>
            <w:color w:val="0000ff"/>
          </w:rPr>
          <w:t xml:space="preserve">132</w:t>
        </w:r>
      </w:hyperlink>
      <w:r>
        <w:rPr>
          <w:sz w:val="24"/>
        </w:rPr>
        <w:t xml:space="preserve">) для каждой учетной группы указывается сумма изменения за отчетный период величины резерва премий.</w:t>
      </w:r>
    </w:p>
    <w:p>
      <w:pPr>
        <w:pStyle w:val="0"/>
        <w:spacing w:before="240" w:lineRule="auto"/>
        <w:ind w:firstLine="540"/>
        <w:jc w:val="both"/>
      </w:pPr>
      <w:r>
        <w:rPr>
          <w:sz w:val="24"/>
        </w:rPr>
        <w:t xml:space="preserve">Значение показателя "Изменение резерва премий" (</w:t>
      </w:r>
      <w:hyperlink w:history="0" w:anchor="P33786" w:tooltip="80">
        <w:r>
          <w:rPr>
            <w:sz w:val="24"/>
            <w:color w:val="0000ff"/>
          </w:rPr>
          <w:t xml:space="preserve">строки 80</w:t>
        </w:r>
      </w:hyperlink>
      <w:r>
        <w:rPr>
          <w:sz w:val="24"/>
        </w:rPr>
        <w:t xml:space="preserve">, </w:t>
      </w:r>
      <w:hyperlink w:history="0" w:anchor="P34204" w:tooltip="132">
        <w:r>
          <w:rPr>
            <w:sz w:val="24"/>
            <w:color w:val="0000ff"/>
          </w:rPr>
          <w:t xml:space="preserve">132</w:t>
        </w:r>
      </w:hyperlink>
      <w:r>
        <w:rPr>
          <w:sz w:val="24"/>
        </w:rPr>
        <w:t xml:space="preserve">) должно быть равно сумме значений показателей "Изменение оценки ожидаемой величины обязательств по резерву премий (ДПП)" (</w:t>
      </w:r>
      <w:hyperlink w:history="0" w:anchor="P33794" w:tooltip="81">
        <w:r>
          <w:rPr>
            <w:sz w:val="24"/>
            <w:color w:val="0000ff"/>
          </w:rPr>
          <w:t xml:space="preserve">строки 81</w:t>
        </w:r>
      </w:hyperlink>
      <w:r>
        <w:rPr>
          <w:sz w:val="24"/>
        </w:rPr>
        <w:t xml:space="preserve">, </w:t>
      </w:r>
      <w:hyperlink w:history="0" w:anchor="P34212" w:tooltip="133">
        <w:r>
          <w:rPr>
            <w:sz w:val="24"/>
            <w:color w:val="0000ff"/>
          </w:rPr>
          <w:t xml:space="preserve">133</w:t>
        </w:r>
      </w:hyperlink>
      <w:r>
        <w:rPr>
          <w:sz w:val="24"/>
        </w:rPr>
        <w:t xml:space="preserve">) и "Изменение оценки рисковой маржи (РМП)" (</w:t>
      </w:r>
      <w:hyperlink w:history="0" w:anchor="P33834" w:tooltip="86">
        <w:r>
          <w:rPr>
            <w:sz w:val="24"/>
            <w:color w:val="0000ff"/>
          </w:rPr>
          <w:t xml:space="preserve">строки 86</w:t>
        </w:r>
      </w:hyperlink>
      <w:r>
        <w:rPr>
          <w:sz w:val="24"/>
        </w:rPr>
        <w:t xml:space="preserve">, </w:t>
      </w:r>
      <w:hyperlink w:history="0" w:anchor="P34252" w:tooltip="138">
        <w:r>
          <w:rPr>
            <w:sz w:val="24"/>
            <w:color w:val="0000ff"/>
          </w:rPr>
          <w:t xml:space="preserve">138</w:t>
        </w:r>
      </w:hyperlink>
      <w:r>
        <w:rPr>
          <w:sz w:val="24"/>
        </w:rPr>
        <w:t xml:space="preserve">).</w:t>
      </w:r>
    </w:p>
    <w:p>
      <w:pPr>
        <w:pStyle w:val="0"/>
        <w:spacing w:before="240" w:lineRule="auto"/>
        <w:ind w:firstLine="540"/>
        <w:jc w:val="both"/>
      </w:pPr>
      <w:r>
        <w:rPr>
          <w:sz w:val="24"/>
        </w:rPr>
        <w:t xml:space="preserve">3.7. По показателю "Изменение оценки ожидаемой величины обязательств по резерву премий (ДПП)" (</w:t>
      </w:r>
      <w:hyperlink w:history="0" w:anchor="P33794" w:tooltip="81">
        <w:r>
          <w:rPr>
            <w:sz w:val="24"/>
            <w:color w:val="0000ff"/>
          </w:rPr>
          <w:t xml:space="preserve">строки 81</w:t>
        </w:r>
      </w:hyperlink>
      <w:r>
        <w:rPr>
          <w:sz w:val="24"/>
        </w:rPr>
        <w:t xml:space="preserve">, </w:t>
      </w:r>
      <w:hyperlink w:history="0" w:anchor="P34212" w:tooltip="133">
        <w:r>
          <w:rPr>
            <w:sz w:val="24"/>
            <w:color w:val="0000ff"/>
          </w:rPr>
          <w:t xml:space="preserve">133</w:t>
        </w:r>
      </w:hyperlink>
      <w:r>
        <w:rPr>
          <w:sz w:val="24"/>
        </w:rPr>
        <w:t xml:space="preserve">) для каждой учетной группы указывается сумма изменения за отчетный период неотрицательной взвешенной по вероятности реализации денежного потока суммы денежных потоков, дисконтированных на срок денежного потока, определенный в соответствии с </w:t>
      </w:r>
      <w:hyperlink w:history="0" r:id="rId57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абзацами четырнадцатым</w:t>
        </w:r>
      </w:hyperlink>
      <w:r>
        <w:rPr>
          <w:sz w:val="24"/>
        </w:rPr>
        <w:t xml:space="preserve"> и </w:t>
      </w:r>
      <w:hyperlink w:history="0" r:id="rId57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пятнадцатым подпункта 5.3.14 пункта 5.3</w:t>
        </w:r>
      </w:hyperlink>
      <w:r>
        <w:rPr>
          <w:sz w:val="24"/>
        </w:rPr>
        <w:t xml:space="preserve"> Положения Банка России N 858-П (далее - наилучшая оценка приведенной стоимости всех денежных потоков) (для учетных групп 18 - 21 - наилучшая оценка приведенной стоимости всех денежных потоков), входящих в прогноз денежных потоков, по исполнению обязательств, учитываемых в расчете величины резерва премий, до наиболее поздней предполагаемой даты полного исполнения обязательств по договорам страхования, сострахования, входящего перестрахования (далее - ожидаемая величина обязательств по резерву премий (ДПП).</w:t>
      </w:r>
    </w:p>
    <w:p>
      <w:pPr>
        <w:pStyle w:val="0"/>
        <w:spacing w:before="240" w:lineRule="auto"/>
        <w:ind w:firstLine="540"/>
        <w:jc w:val="both"/>
      </w:pPr>
      <w:r>
        <w:rPr>
          <w:sz w:val="24"/>
        </w:rPr>
        <w:t xml:space="preserve">3.8. По показателю "Изменение оценки ожидаемой величины прав требования в части уплаты страховых премий (взносов)" (</w:t>
      </w:r>
      <w:hyperlink w:history="0" w:anchor="P33802" w:tooltip="82">
        <w:r>
          <w:rPr>
            <w:sz w:val="24"/>
            <w:color w:val="0000ff"/>
          </w:rPr>
          <w:t xml:space="preserve">строки 82</w:t>
        </w:r>
      </w:hyperlink>
      <w:r>
        <w:rPr>
          <w:sz w:val="24"/>
        </w:rPr>
        <w:t xml:space="preserve">, </w:t>
      </w:r>
      <w:hyperlink w:history="0" w:anchor="P34220" w:tooltip="134">
        <w:r>
          <w:rPr>
            <w:sz w:val="24"/>
            <w:color w:val="0000ff"/>
          </w:rPr>
          <w:t xml:space="preserve">134</w:t>
        </w:r>
      </w:hyperlink>
      <w:r>
        <w:rPr>
          <w:sz w:val="24"/>
        </w:rPr>
        <w:t xml:space="preserve">) для каждой учетной группы указывается учтенная при определении значения показателя "Изменение оценки ожидаемой величины обязательств по резерву премий (ДПП)" (</w:t>
      </w:r>
      <w:hyperlink w:history="0" w:anchor="P33794" w:tooltip="81">
        <w:r>
          <w:rPr>
            <w:sz w:val="24"/>
            <w:color w:val="0000ff"/>
          </w:rPr>
          <w:t xml:space="preserve">строки 81</w:t>
        </w:r>
      </w:hyperlink>
      <w:r>
        <w:rPr>
          <w:sz w:val="24"/>
        </w:rPr>
        <w:t xml:space="preserve">, </w:t>
      </w:r>
      <w:hyperlink w:history="0" w:anchor="P34212" w:tooltip="133">
        <w:r>
          <w:rPr>
            <w:sz w:val="24"/>
            <w:color w:val="0000ff"/>
          </w:rPr>
          <w:t xml:space="preserve">133</w:t>
        </w:r>
      </w:hyperlink>
      <w:r>
        <w:rPr>
          <w:sz w:val="24"/>
        </w:rPr>
        <w:t xml:space="preserve">) сумма изменения за отчетный период оценки ожидаемой величины прав требования страховщика в части уплаты страховых премий (взносов) по договорам страхования, сострахования, входящего перестрахования с учетом дисконтирования и вероятности реализации денежных потоков.</w:t>
      </w:r>
    </w:p>
    <w:p>
      <w:pPr>
        <w:pStyle w:val="0"/>
        <w:spacing w:before="240" w:lineRule="auto"/>
        <w:ind w:firstLine="540"/>
        <w:jc w:val="both"/>
      </w:pPr>
      <w:r>
        <w:rPr>
          <w:sz w:val="24"/>
        </w:rPr>
        <w:t xml:space="preserve">3.9. По показателю "Изменение оценки ожидаемой величины обязательств в части расходов на заключение (аквизицию) договоров страхования, сострахования и входящего перестрахования" (</w:t>
      </w:r>
      <w:hyperlink w:history="0" w:anchor="P33810" w:tooltip="83">
        <w:r>
          <w:rPr>
            <w:sz w:val="24"/>
            <w:color w:val="0000ff"/>
          </w:rPr>
          <w:t xml:space="preserve">строки 83</w:t>
        </w:r>
      </w:hyperlink>
      <w:r>
        <w:rPr>
          <w:sz w:val="24"/>
        </w:rPr>
        <w:t xml:space="preserve">, </w:t>
      </w:r>
      <w:hyperlink w:history="0" w:anchor="P34228" w:tooltip="135">
        <w:r>
          <w:rPr>
            <w:sz w:val="24"/>
            <w:color w:val="0000ff"/>
          </w:rPr>
          <w:t xml:space="preserve">135</w:t>
        </w:r>
      </w:hyperlink>
      <w:r>
        <w:rPr>
          <w:sz w:val="24"/>
        </w:rPr>
        <w:t xml:space="preserve">) для каждой учетной группы указывается учтенная при определении значения показателя "Изменение оценки ожидаемой величины обязательств по резерву премий (ДПП)" (</w:t>
      </w:r>
      <w:hyperlink w:history="0" w:anchor="P33794" w:tooltip="81">
        <w:r>
          <w:rPr>
            <w:sz w:val="24"/>
            <w:color w:val="0000ff"/>
          </w:rPr>
          <w:t xml:space="preserve">строки 81</w:t>
        </w:r>
      </w:hyperlink>
      <w:r>
        <w:rPr>
          <w:sz w:val="24"/>
        </w:rPr>
        <w:t xml:space="preserve">, </w:t>
      </w:r>
      <w:hyperlink w:history="0" w:anchor="P34212" w:tooltip="133">
        <w:r>
          <w:rPr>
            <w:sz w:val="24"/>
            <w:color w:val="0000ff"/>
          </w:rPr>
          <w:t xml:space="preserve">133</w:t>
        </w:r>
      </w:hyperlink>
      <w:r>
        <w:rPr>
          <w:sz w:val="24"/>
        </w:rPr>
        <w:t xml:space="preserve">) сумма изменения за отчетный период оценки ожидаемой величины обязательств страховщика в части расходов на заключение (аквизицию) договоров страхования, сострахования, входящего перестрахования, указанных в </w:t>
      </w:r>
      <w:hyperlink w:history="0" r:id="rId573"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5.3.10 пункта 5.3</w:t>
        </w:r>
      </w:hyperlink>
      <w:r>
        <w:rPr>
          <w:sz w:val="24"/>
        </w:rPr>
        <w:t xml:space="preserve"> Положения Банка России N 858-П, с учетом дисконтирования и вероятности реализации денежных потоков.</w:t>
      </w:r>
    </w:p>
    <w:p>
      <w:pPr>
        <w:pStyle w:val="0"/>
        <w:spacing w:before="240" w:lineRule="auto"/>
        <w:ind w:firstLine="540"/>
        <w:jc w:val="both"/>
      </w:pPr>
      <w:r>
        <w:rPr>
          <w:sz w:val="24"/>
        </w:rPr>
        <w:t xml:space="preserve">3.10. По показателю "Изменение оценки ожидаемой величины обязательств в части расходов на сопровождение договоров страхования, сострахования и входящего перестрахования" (</w:t>
      </w:r>
      <w:hyperlink w:history="0" w:anchor="P33818" w:tooltip="84">
        <w:r>
          <w:rPr>
            <w:sz w:val="24"/>
            <w:color w:val="0000ff"/>
          </w:rPr>
          <w:t xml:space="preserve">строки 84</w:t>
        </w:r>
      </w:hyperlink>
      <w:r>
        <w:rPr>
          <w:sz w:val="24"/>
        </w:rPr>
        <w:t xml:space="preserve">, </w:t>
      </w:r>
      <w:hyperlink w:history="0" w:anchor="P34236" w:tooltip="136">
        <w:r>
          <w:rPr>
            <w:sz w:val="24"/>
            <w:color w:val="0000ff"/>
          </w:rPr>
          <w:t xml:space="preserve">136</w:t>
        </w:r>
      </w:hyperlink>
      <w:r>
        <w:rPr>
          <w:sz w:val="24"/>
        </w:rPr>
        <w:t xml:space="preserve">) для каждой учетной группы указывается учтенная при определении значения показателя "Изменение оценки ожидаемой величины обязательств по резерву премий (ДПП)" (</w:t>
      </w:r>
      <w:hyperlink w:history="0" w:anchor="P33794" w:tooltip="81">
        <w:r>
          <w:rPr>
            <w:sz w:val="24"/>
            <w:color w:val="0000ff"/>
          </w:rPr>
          <w:t xml:space="preserve">строки 81</w:t>
        </w:r>
      </w:hyperlink>
      <w:r>
        <w:rPr>
          <w:sz w:val="24"/>
        </w:rPr>
        <w:t xml:space="preserve">, </w:t>
      </w:r>
      <w:hyperlink w:history="0" w:anchor="P34212" w:tooltip="133">
        <w:r>
          <w:rPr>
            <w:sz w:val="24"/>
            <w:color w:val="0000ff"/>
          </w:rPr>
          <w:t xml:space="preserve">133</w:t>
        </w:r>
      </w:hyperlink>
      <w:r>
        <w:rPr>
          <w:sz w:val="24"/>
        </w:rPr>
        <w:t xml:space="preserve">) сумма изменения за отчетный период оценки ожидаемой величины обязательств страховщика в части расходов на сопровождение договоров страхования, сострахования, входящего перестрахования, указанных в </w:t>
      </w:r>
      <w:hyperlink w:history="0" r:id="rId57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5.3.11 пункта 5.3</w:t>
        </w:r>
      </w:hyperlink>
      <w:r>
        <w:rPr>
          <w:sz w:val="24"/>
        </w:rPr>
        <w:t xml:space="preserve"> Положения Банка России N 858-П, с учетом дисконтирования и вероятности реализации денежных потоков.</w:t>
      </w:r>
    </w:p>
    <w:p>
      <w:pPr>
        <w:pStyle w:val="0"/>
        <w:spacing w:before="240" w:lineRule="auto"/>
        <w:ind w:firstLine="540"/>
        <w:jc w:val="both"/>
      </w:pPr>
      <w:r>
        <w:rPr>
          <w:sz w:val="24"/>
        </w:rPr>
        <w:t xml:space="preserve">3.11. По показателю "Изменение оценки ожидаемой величины обязательств в части расходов на исполнение обязательств страховщика по страховым случаям" (</w:t>
      </w:r>
      <w:hyperlink w:history="0" w:anchor="P33826" w:tooltip="85">
        <w:r>
          <w:rPr>
            <w:sz w:val="24"/>
            <w:color w:val="0000ff"/>
          </w:rPr>
          <w:t xml:space="preserve">строки 85</w:t>
        </w:r>
      </w:hyperlink>
      <w:r>
        <w:rPr>
          <w:sz w:val="24"/>
        </w:rPr>
        <w:t xml:space="preserve">, </w:t>
      </w:r>
      <w:hyperlink w:history="0" w:anchor="P34244" w:tooltip="137">
        <w:r>
          <w:rPr>
            <w:sz w:val="24"/>
            <w:color w:val="0000ff"/>
          </w:rPr>
          <w:t xml:space="preserve">137</w:t>
        </w:r>
      </w:hyperlink>
      <w:r>
        <w:rPr>
          <w:sz w:val="24"/>
        </w:rPr>
        <w:t xml:space="preserve">) для каждой учетной группы указывается учтенная при определении значения показателя "Изменение оценки ожидаемой величины обязательств по резерву премий (ДПП)" (</w:t>
      </w:r>
      <w:hyperlink w:history="0" w:anchor="P33794" w:tooltip="81">
        <w:r>
          <w:rPr>
            <w:sz w:val="24"/>
            <w:color w:val="0000ff"/>
          </w:rPr>
          <w:t xml:space="preserve">строки 81</w:t>
        </w:r>
      </w:hyperlink>
      <w:r>
        <w:rPr>
          <w:sz w:val="24"/>
        </w:rPr>
        <w:t xml:space="preserve">, </w:t>
      </w:r>
      <w:hyperlink w:history="0" w:anchor="P34212" w:tooltip="133">
        <w:r>
          <w:rPr>
            <w:sz w:val="24"/>
            <w:color w:val="0000ff"/>
          </w:rPr>
          <w:t xml:space="preserve">133</w:t>
        </w:r>
      </w:hyperlink>
      <w:r>
        <w:rPr>
          <w:sz w:val="24"/>
        </w:rPr>
        <w:t xml:space="preserve">) сумма изменения за отчетный период оценки ожидаемой величины обязательств страховщика в части расходов на исполнение обязательств страховщика по страховым случаям, указанных в </w:t>
      </w:r>
      <w:hyperlink w:history="0" r:id="rId57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5.3.12 пункта 5.3</w:t>
        </w:r>
      </w:hyperlink>
      <w:r>
        <w:rPr>
          <w:sz w:val="24"/>
        </w:rPr>
        <w:t xml:space="preserve"> Положения Банка России N 858-П, с учетом дисконтирования и вероятности реализации денежных потоков.</w:t>
      </w:r>
    </w:p>
    <w:p>
      <w:pPr>
        <w:pStyle w:val="0"/>
        <w:spacing w:before="240" w:lineRule="auto"/>
        <w:ind w:firstLine="540"/>
        <w:jc w:val="both"/>
      </w:pPr>
      <w:r>
        <w:rPr>
          <w:sz w:val="24"/>
        </w:rPr>
        <w:t xml:space="preserve">3.12. По показателю "Изменение оценки рисковой маржи (РМП)" (</w:t>
      </w:r>
      <w:hyperlink w:history="0" w:anchor="P33320" w:tooltip="38">
        <w:r>
          <w:rPr>
            <w:sz w:val="24"/>
            <w:color w:val="0000ff"/>
          </w:rPr>
          <w:t xml:space="preserve">строки 86</w:t>
        </w:r>
      </w:hyperlink>
      <w:r>
        <w:rPr>
          <w:sz w:val="24"/>
        </w:rPr>
        <w:t xml:space="preserve">, </w:t>
      </w:r>
      <w:hyperlink w:history="0" w:anchor="P34252" w:tooltip="138">
        <w:r>
          <w:rPr>
            <w:sz w:val="24"/>
            <w:color w:val="0000ff"/>
          </w:rPr>
          <w:t xml:space="preserve">138</w:t>
        </w:r>
      </w:hyperlink>
      <w:r>
        <w:rPr>
          <w:sz w:val="24"/>
        </w:rPr>
        <w:t xml:space="preserve">) для каждой учетной группы указывается сумма изменения за отчетный период величины оценки рисковой маржи в резерве премий, определенной в соответствии с </w:t>
      </w:r>
      <w:hyperlink w:history="0" r:id="rId57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5.3.8 пункта 5.3</w:t>
        </w:r>
      </w:hyperlink>
      <w:r>
        <w:rPr>
          <w:sz w:val="24"/>
        </w:rPr>
        <w:t xml:space="preserve"> Положения Банка России N 858-П.</w:t>
      </w:r>
    </w:p>
    <w:p>
      <w:pPr>
        <w:pStyle w:val="0"/>
        <w:spacing w:before="240" w:lineRule="auto"/>
        <w:ind w:firstLine="540"/>
        <w:jc w:val="both"/>
      </w:pPr>
      <w:r>
        <w:rPr>
          <w:sz w:val="24"/>
        </w:rPr>
        <w:t xml:space="preserve">3.13. По показателю "Изменение суммы заработанной страховой премии по договорам страхования, сострахования и входящего перестрахования" </w:t>
      </w:r>
      <w:hyperlink w:history="0" w:anchor="P34260" w:tooltip="139">
        <w:r>
          <w:rPr>
            <w:sz w:val="24"/>
            <w:color w:val="0000ff"/>
          </w:rPr>
          <w:t xml:space="preserve">(строка 139)</w:t>
        </w:r>
      </w:hyperlink>
      <w:r>
        <w:rPr>
          <w:sz w:val="24"/>
        </w:rPr>
        <w:t xml:space="preserve"> для каждой учетной группы, предусмотренной </w:t>
      </w:r>
      <w:hyperlink w:history="0" r:id="rId57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5.1.3 пункта 5.1</w:t>
        </w:r>
      </w:hyperlink>
      <w:r>
        <w:rPr>
          <w:sz w:val="24"/>
        </w:rPr>
        <w:t xml:space="preserve"> Положения Банка России N 858-П, указывается сумма изменения за отчетный период величины заработанной страховой премии по договорам страхования, сострахования, входящего перестрахования, определенной в соответствии с </w:t>
      </w:r>
      <w:hyperlink w:history="0" r:id="rId57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5.5.5 пункта 5.5</w:t>
        </w:r>
      </w:hyperlink>
      <w:r>
        <w:rPr>
          <w:sz w:val="24"/>
        </w:rPr>
        <w:t xml:space="preserve"> Положения Банка России N 858-П.</w:t>
      </w:r>
    </w:p>
    <w:p>
      <w:pPr>
        <w:pStyle w:val="0"/>
        <w:spacing w:before="240" w:lineRule="auto"/>
        <w:ind w:firstLine="540"/>
        <w:jc w:val="both"/>
      </w:pPr>
      <w:r>
        <w:rPr>
          <w:sz w:val="24"/>
        </w:rPr>
        <w:t xml:space="preserve">3.14. По показателю "Изменение доли перестраховщиков в резерве премий (ДДПП)" (</w:t>
      </w:r>
      <w:hyperlink w:history="0" w:anchor="P33842" w:tooltip="87">
        <w:r>
          <w:rPr>
            <w:sz w:val="24"/>
            <w:color w:val="0000ff"/>
          </w:rPr>
          <w:t xml:space="preserve">строки 87</w:t>
        </w:r>
      </w:hyperlink>
      <w:r>
        <w:rPr>
          <w:sz w:val="24"/>
        </w:rPr>
        <w:t xml:space="preserve">, </w:t>
      </w:r>
      <w:hyperlink w:history="0" w:anchor="P34268" w:tooltip="140">
        <w:r>
          <w:rPr>
            <w:sz w:val="24"/>
            <w:color w:val="0000ff"/>
          </w:rPr>
          <w:t xml:space="preserve">140</w:t>
        </w:r>
      </w:hyperlink>
      <w:r>
        <w:rPr>
          <w:sz w:val="24"/>
        </w:rPr>
        <w:t xml:space="preserve">) для каждой учетной группы указывается сумма изменения за отчетный период величины доли перестраховщиков в резерве премий (ДДПП).</w:t>
      </w:r>
    </w:p>
    <w:p>
      <w:pPr>
        <w:pStyle w:val="0"/>
        <w:spacing w:before="240" w:lineRule="auto"/>
        <w:ind w:firstLine="540"/>
        <w:jc w:val="both"/>
      </w:pPr>
      <w:r>
        <w:rPr>
          <w:sz w:val="24"/>
        </w:rPr>
        <w:t xml:space="preserve">Значение показателя "Изменение доли перестраховщиков в резерве премий (ДДПП)" (</w:t>
      </w:r>
      <w:hyperlink w:history="0" w:anchor="P33842" w:tooltip="87">
        <w:r>
          <w:rPr>
            <w:sz w:val="24"/>
            <w:color w:val="0000ff"/>
          </w:rPr>
          <w:t xml:space="preserve">строки 87</w:t>
        </w:r>
      </w:hyperlink>
      <w:r>
        <w:rPr>
          <w:sz w:val="24"/>
        </w:rPr>
        <w:t xml:space="preserve">, </w:t>
      </w:r>
      <w:hyperlink w:history="0" w:anchor="P34268" w:tooltip="140">
        <w:r>
          <w:rPr>
            <w:sz w:val="24"/>
            <w:color w:val="0000ff"/>
          </w:rPr>
          <w:t xml:space="preserve">140</w:t>
        </w:r>
      </w:hyperlink>
      <w:r>
        <w:rPr>
          <w:sz w:val="24"/>
        </w:rPr>
        <w:t xml:space="preserve">) должно быть равно сумме значений показателей "Изменение суммы СПРП</w:t>
      </w:r>
      <w:r>
        <w:rPr>
          <w:sz w:val="24"/>
          <w:vertAlign w:val="superscript"/>
        </w:rPr>
        <w:t xml:space="preserve">НО</w:t>
      </w:r>
      <w:r>
        <w:rPr>
          <w:sz w:val="24"/>
        </w:rPr>
        <w:t xml:space="preserve"> по договорам исходящего перестрахования" (</w:t>
      </w:r>
      <w:hyperlink w:history="0" w:anchor="P33850" w:tooltip="88">
        <w:r>
          <w:rPr>
            <w:sz w:val="24"/>
            <w:color w:val="0000ff"/>
          </w:rPr>
          <w:t xml:space="preserve">строки 88</w:t>
        </w:r>
      </w:hyperlink>
      <w:r>
        <w:rPr>
          <w:sz w:val="24"/>
        </w:rPr>
        <w:t xml:space="preserve">, </w:t>
      </w:r>
      <w:hyperlink w:history="0" w:anchor="P34276" w:tooltip="141">
        <w:r>
          <w:rPr>
            <w:sz w:val="24"/>
            <w:color w:val="0000ff"/>
          </w:rPr>
          <w:t xml:space="preserve">141</w:t>
        </w:r>
      </w:hyperlink>
      <w:r>
        <w:rPr>
          <w:sz w:val="24"/>
        </w:rPr>
        <w:t xml:space="preserve">) и "Изменение корректировки на риск неплатежа по резерву премий (КРНП)" (</w:t>
      </w:r>
      <w:hyperlink w:history="0" w:anchor="P33882" w:tooltip="92">
        <w:r>
          <w:rPr>
            <w:sz w:val="24"/>
            <w:color w:val="0000ff"/>
          </w:rPr>
          <w:t xml:space="preserve">строки 92</w:t>
        </w:r>
      </w:hyperlink>
      <w:r>
        <w:rPr>
          <w:sz w:val="24"/>
        </w:rPr>
        <w:t xml:space="preserve">, </w:t>
      </w:r>
      <w:hyperlink w:history="0" w:anchor="P34308" w:tooltip="145">
        <w:r>
          <w:rPr>
            <w:sz w:val="24"/>
            <w:color w:val="0000ff"/>
          </w:rPr>
          <w:t xml:space="preserve">145</w:t>
        </w:r>
      </w:hyperlink>
      <w:r>
        <w:rPr>
          <w:sz w:val="24"/>
        </w:rPr>
        <w:t xml:space="preserve">).</w:t>
      </w:r>
    </w:p>
    <w:p>
      <w:pPr>
        <w:pStyle w:val="0"/>
        <w:spacing w:before="240" w:lineRule="auto"/>
        <w:ind w:firstLine="540"/>
        <w:jc w:val="both"/>
      </w:pPr>
      <w:r>
        <w:rPr>
          <w:sz w:val="24"/>
        </w:rPr>
        <w:t xml:space="preserve">3.15. По показателю "Изменение суммы СПРП</w:t>
      </w:r>
      <w:r>
        <w:rPr>
          <w:sz w:val="24"/>
          <w:vertAlign w:val="superscript"/>
        </w:rPr>
        <w:t xml:space="preserve">НО</w:t>
      </w:r>
      <w:r>
        <w:rPr>
          <w:sz w:val="24"/>
        </w:rPr>
        <w:t xml:space="preserve"> по договорам исходящего перестрахования" (</w:t>
      </w:r>
      <w:hyperlink w:history="0" w:anchor="P33850" w:tooltip="88">
        <w:r>
          <w:rPr>
            <w:sz w:val="24"/>
            <w:color w:val="0000ff"/>
          </w:rPr>
          <w:t xml:space="preserve">строки 88</w:t>
        </w:r>
      </w:hyperlink>
      <w:r>
        <w:rPr>
          <w:sz w:val="24"/>
        </w:rPr>
        <w:t xml:space="preserve">, </w:t>
      </w:r>
      <w:hyperlink w:history="0" w:anchor="P34276" w:tooltip="141">
        <w:r>
          <w:rPr>
            <w:sz w:val="24"/>
            <w:color w:val="0000ff"/>
          </w:rPr>
          <w:t xml:space="preserve">141</w:t>
        </w:r>
      </w:hyperlink>
      <w:r>
        <w:rPr>
          <w:sz w:val="24"/>
        </w:rPr>
        <w:t xml:space="preserve">) для каждой учетной группы указывается сумма изменения за отчетный период наилучшей оценки приведенной стоимости всех денежных потоков, входящих в прогноз денежных потоков по договорам исходящего перестрахования, полученных путем применения условий этих договоров исходящего перестрахования к прогнозу денежных потоков по основным договорам страхования, сострахования, входящего перестрахования, используемых для оценки ожидаемой величины обязательств по резерву премий (ДПП) (далее - сумма СПРП</w:t>
      </w:r>
      <w:r>
        <w:rPr>
          <w:sz w:val="24"/>
          <w:vertAlign w:val="superscript"/>
        </w:rPr>
        <w:t xml:space="preserve">НО</w:t>
      </w:r>
      <w:r>
        <w:rPr>
          <w:sz w:val="24"/>
        </w:rPr>
        <w:t xml:space="preserve">).</w:t>
      </w:r>
    </w:p>
    <w:p>
      <w:pPr>
        <w:pStyle w:val="0"/>
        <w:spacing w:before="240" w:lineRule="auto"/>
        <w:ind w:firstLine="540"/>
        <w:jc w:val="both"/>
      </w:pPr>
      <w:r>
        <w:rPr>
          <w:sz w:val="24"/>
        </w:rPr>
        <w:t xml:space="preserve">3.16. По показателю "Изменение суммы СПРП</w:t>
      </w:r>
      <w:r>
        <w:rPr>
          <w:sz w:val="24"/>
          <w:vertAlign w:val="superscript"/>
        </w:rPr>
        <w:t xml:space="preserve">НО</w:t>
      </w:r>
      <w:r>
        <w:rPr>
          <w:sz w:val="24"/>
        </w:rPr>
        <w:t xml:space="preserve"> в части ожидаемой величины уплаты страховых премий по договорам исходящего перестрахования" (</w:t>
      </w:r>
      <w:hyperlink w:history="0" w:anchor="P33858" w:tooltip="89">
        <w:r>
          <w:rPr>
            <w:sz w:val="24"/>
            <w:color w:val="0000ff"/>
          </w:rPr>
          <w:t xml:space="preserve">строки 89</w:t>
        </w:r>
      </w:hyperlink>
      <w:r>
        <w:rPr>
          <w:sz w:val="24"/>
        </w:rPr>
        <w:t xml:space="preserve">, </w:t>
      </w:r>
      <w:hyperlink w:history="0" w:anchor="P34284" w:tooltip="142">
        <w:r>
          <w:rPr>
            <w:sz w:val="24"/>
            <w:color w:val="0000ff"/>
          </w:rPr>
          <w:t xml:space="preserve">142</w:t>
        </w:r>
      </w:hyperlink>
      <w:r>
        <w:rPr>
          <w:sz w:val="24"/>
        </w:rPr>
        <w:t xml:space="preserve">) для каждой учетной группы указывается учтенная при определении значения показателя "Изменение суммы СПРП</w:t>
      </w:r>
      <w:r>
        <w:rPr>
          <w:sz w:val="24"/>
          <w:vertAlign w:val="superscript"/>
        </w:rPr>
        <w:t xml:space="preserve">НО</w:t>
      </w:r>
      <w:r>
        <w:rPr>
          <w:sz w:val="24"/>
        </w:rPr>
        <w:t xml:space="preserve"> по договорам исходящего перестрахования" (</w:t>
      </w:r>
      <w:hyperlink w:history="0" w:anchor="P33850" w:tooltip="88">
        <w:r>
          <w:rPr>
            <w:sz w:val="24"/>
            <w:color w:val="0000ff"/>
          </w:rPr>
          <w:t xml:space="preserve">строки 88</w:t>
        </w:r>
      </w:hyperlink>
      <w:r>
        <w:rPr>
          <w:sz w:val="24"/>
        </w:rPr>
        <w:t xml:space="preserve">, </w:t>
      </w:r>
      <w:hyperlink w:history="0" w:anchor="P34276" w:tooltip="141">
        <w:r>
          <w:rPr>
            <w:sz w:val="24"/>
            <w:color w:val="0000ff"/>
          </w:rPr>
          <w:t xml:space="preserve">141</w:t>
        </w:r>
      </w:hyperlink>
      <w:r>
        <w:rPr>
          <w:sz w:val="24"/>
        </w:rPr>
        <w:t xml:space="preserve">) сумма изменения за отчетный период суммы СПРП</w:t>
      </w:r>
      <w:r>
        <w:rPr>
          <w:sz w:val="24"/>
          <w:vertAlign w:val="superscript"/>
        </w:rPr>
        <w:t xml:space="preserve">НО</w:t>
      </w:r>
      <w:r>
        <w:rPr>
          <w:sz w:val="24"/>
        </w:rPr>
        <w:t xml:space="preserve"> в части ожидаемой величины уплаты страховых премий (взносов) по договорам исходящего перестрахования с учетом дисконтирования и вероятности реализации денежных потоков.</w:t>
      </w:r>
    </w:p>
    <w:p>
      <w:pPr>
        <w:pStyle w:val="0"/>
        <w:spacing w:before="240" w:lineRule="auto"/>
        <w:ind w:firstLine="540"/>
        <w:jc w:val="both"/>
      </w:pPr>
      <w:r>
        <w:rPr>
          <w:sz w:val="24"/>
        </w:rPr>
        <w:t xml:space="preserve">3.17. По показателю "Изменение суммы СПРП</w:t>
      </w:r>
      <w:r>
        <w:rPr>
          <w:sz w:val="24"/>
          <w:vertAlign w:val="superscript"/>
        </w:rPr>
        <w:t xml:space="preserve">НО</w:t>
      </w:r>
      <w:r>
        <w:rPr>
          <w:sz w:val="24"/>
        </w:rPr>
        <w:t xml:space="preserve"> в части ожидаемой величины перестраховочного вознаграждения по договорам исходящего перестрахования" (</w:t>
      </w:r>
      <w:hyperlink w:history="0" w:anchor="P33866" w:tooltip="90">
        <w:r>
          <w:rPr>
            <w:sz w:val="24"/>
            <w:color w:val="0000ff"/>
          </w:rPr>
          <w:t xml:space="preserve">строки 90</w:t>
        </w:r>
      </w:hyperlink>
      <w:r>
        <w:rPr>
          <w:sz w:val="24"/>
        </w:rPr>
        <w:t xml:space="preserve">, </w:t>
      </w:r>
      <w:hyperlink w:history="0" w:anchor="P34292" w:tooltip="143">
        <w:r>
          <w:rPr>
            <w:sz w:val="24"/>
            <w:color w:val="0000ff"/>
          </w:rPr>
          <w:t xml:space="preserve">143</w:t>
        </w:r>
      </w:hyperlink>
      <w:r>
        <w:rPr>
          <w:sz w:val="24"/>
        </w:rPr>
        <w:t xml:space="preserve">) для каждой учетной группы указывается учтенная при определении значения показателя "Изменение суммы СПРП</w:t>
      </w:r>
      <w:r>
        <w:rPr>
          <w:sz w:val="24"/>
          <w:vertAlign w:val="superscript"/>
        </w:rPr>
        <w:t xml:space="preserve">НО</w:t>
      </w:r>
      <w:r>
        <w:rPr>
          <w:sz w:val="24"/>
        </w:rPr>
        <w:t xml:space="preserve"> по договорам исходящего перестрахования" (</w:t>
      </w:r>
      <w:hyperlink w:history="0" w:anchor="P33850" w:tooltip="88">
        <w:r>
          <w:rPr>
            <w:sz w:val="24"/>
            <w:color w:val="0000ff"/>
          </w:rPr>
          <w:t xml:space="preserve">строки 88</w:t>
        </w:r>
      </w:hyperlink>
      <w:r>
        <w:rPr>
          <w:sz w:val="24"/>
        </w:rPr>
        <w:t xml:space="preserve">, </w:t>
      </w:r>
      <w:hyperlink w:history="0" w:anchor="P34276" w:tooltip="141">
        <w:r>
          <w:rPr>
            <w:sz w:val="24"/>
            <w:color w:val="0000ff"/>
          </w:rPr>
          <w:t xml:space="preserve">141</w:t>
        </w:r>
      </w:hyperlink>
      <w:r>
        <w:rPr>
          <w:sz w:val="24"/>
        </w:rPr>
        <w:t xml:space="preserve">) сумма изменения за отчетный период суммы СПРП</w:t>
      </w:r>
      <w:r>
        <w:rPr>
          <w:sz w:val="24"/>
          <w:vertAlign w:val="superscript"/>
        </w:rPr>
        <w:t xml:space="preserve">НО</w:t>
      </w:r>
      <w:r>
        <w:rPr>
          <w:sz w:val="24"/>
        </w:rPr>
        <w:t xml:space="preserve"> в части ожидаемой величины перестраховочного вознаграждения по договорам исходящего перестрахования с учетом дисконтирования и вероятности реализации денежных потоков.</w:t>
      </w:r>
    </w:p>
    <w:p>
      <w:pPr>
        <w:pStyle w:val="0"/>
        <w:spacing w:before="240" w:lineRule="auto"/>
        <w:ind w:firstLine="540"/>
        <w:jc w:val="both"/>
      </w:pPr>
      <w:r>
        <w:rPr>
          <w:sz w:val="24"/>
        </w:rPr>
        <w:t xml:space="preserve">3.18. По показателю "Изменение суммы СПРП</w:t>
      </w:r>
      <w:r>
        <w:rPr>
          <w:sz w:val="24"/>
          <w:vertAlign w:val="superscript"/>
        </w:rPr>
        <w:t xml:space="preserve">НО</w:t>
      </w:r>
      <w:r>
        <w:rPr>
          <w:sz w:val="24"/>
        </w:rPr>
        <w:t xml:space="preserve"> в части ожидаемой величины обязательств по расходам на исполнение обязательств страховщика по страховым случаям" (</w:t>
      </w:r>
      <w:hyperlink w:history="0" w:anchor="P33874" w:tooltip="91">
        <w:r>
          <w:rPr>
            <w:sz w:val="24"/>
            <w:color w:val="0000ff"/>
          </w:rPr>
          <w:t xml:space="preserve">строки 91</w:t>
        </w:r>
      </w:hyperlink>
      <w:r>
        <w:rPr>
          <w:sz w:val="24"/>
        </w:rPr>
        <w:t xml:space="preserve">, </w:t>
      </w:r>
      <w:hyperlink w:history="0" w:anchor="P34300" w:tooltip="144">
        <w:r>
          <w:rPr>
            <w:sz w:val="24"/>
            <w:color w:val="0000ff"/>
          </w:rPr>
          <w:t xml:space="preserve">144</w:t>
        </w:r>
      </w:hyperlink>
      <w:r>
        <w:rPr>
          <w:sz w:val="24"/>
        </w:rPr>
        <w:t xml:space="preserve">) для каждой учетной группы указывается учтенная при определении значения показателя "Изменение суммы СПРПНО по договорам исходящего перестрахования" (</w:t>
      </w:r>
      <w:hyperlink w:history="0" w:anchor="P33850" w:tooltip="88">
        <w:r>
          <w:rPr>
            <w:sz w:val="24"/>
            <w:color w:val="0000ff"/>
          </w:rPr>
          <w:t xml:space="preserve">строки 88</w:t>
        </w:r>
      </w:hyperlink>
      <w:r>
        <w:rPr>
          <w:sz w:val="24"/>
        </w:rPr>
        <w:t xml:space="preserve">, </w:t>
      </w:r>
      <w:hyperlink w:history="0" w:anchor="P34276" w:tooltip="141">
        <w:r>
          <w:rPr>
            <w:sz w:val="24"/>
            <w:color w:val="0000ff"/>
          </w:rPr>
          <w:t xml:space="preserve">141</w:t>
        </w:r>
      </w:hyperlink>
      <w:r>
        <w:rPr>
          <w:sz w:val="24"/>
        </w:rPr>
        <w:t xml:space="preserve">) сумма изменения за отчетный период суммы СПРП</w:t>
      </w:r>
      <w:r>
        <w:rPr>
          <w:sz w:val="24"/>
          <w:vertAlign w:val="superscript"/>
        </w:rPr>
        <w:t xml:space="preserve">НО</w:t>
      </w:r>
      <w:r>
        <w:rPr>
          <w:sz w:val="24"/>
        </w:rPr>
        <w:t xml:space="preserve"> в части ожидаемой величины обязательств страховщика по расходам на исполнение обязательств страховщика по страховым случаям с учетом дисконтирования и вероятности реализации денежных потоков.</w:t>
      </w:r>
    </w:p>
    <w:p>
      <w:pPr>
        <w:pStyle w:val="0"/>
        <w:spacing w:before="240" w:lineRule="auto"/>
        <w:ind w:firstLine="540"/>
        <w:jc w:val="both"/>
      </w:pPr>
      <w:r>
        <w:rPr>
          <w:sz w:val="24"/>
        </w:rPr>
        <w:t xml:space="preserve">3.19. По показателю "Изменение корректировки на риск неплатежа по резерву премий (КРНП)" (</w:t>
      </w:r>
      <w:hyperlink w:history="0" w:anchor="P33882" w:tooltip="92">
        <w:r>
          <w:rPr>
            <w:sz w:val="24"/>
            <w:color w:val="0000ff"/>
          </w:rPr>
          <w:t xml:space="preserve">строки 92</w:t>
        </w:r>
      </w:hyperlink>
      <w:r>
        <w:rPr>
          <w:sz w:val="24"/>
        </w:rPr>
        <w:t xml:space="preserve">, </w:t>
      </w:r>
      <w:hyperlink w:history="0" w:anchor="P34308" w:tooltip="145">
        <w:r>
          <w:rPr>
            <w:sz w:val="24"/>
            <w:color w:val="0000ff"/>
          </w:rPr>
          <w:t xml:space="preserve">145</w:t>
        </w:r>
      </w:hyperlink>
      <w:r>
        <w:rPr>
          <w:sz w:val="24"/>
        </w:rPr>
        <w:t xml:space="preserve">) для каждой учетной группы указывается сумма изменения за отчетный период корректировки на риск неплатежа по договорам исходящего перестрахования по резерву премий (КРНП).</w:t>
      </w:r>
    </w:p>
    <w:p>
      <w:pPr>
        <w:pStyle w:val="0"/>
        <w:spacing w:before="240" w:lineRule="auto"/>
        <w:ind w:firstLine="540"/>
        <w:jc w:val="both"/>
      </w:pPr>
      <w:r>
        <w:rPr>
          <w:sz w:val="24"/>
        </w:rPr>
        <w:t xml:space="preserve">3.20. По показателю "Изменение резерва убытков" (</w:t>
      </w:r>
      <w:hyperlink w:history="0" w:anchor="P33890" w:tooltip="93">
        <w:r>
          <w:rPr>
            <w:sz w:val="24"/>
            <w:color w:val="0000ff"/>
          </w:rPr>
          <w:t xml:space="preserve">строки 93</w:t>
        </w:r>
      </w:hyperlink>
      <w:r>
        <w:rPr>
          <w:sz w:val="24"/>
        </w:rPr>
        <w:t xml:space="preserve">, </w:t>
      </w:r>
      <w:hyperlink w:history="0" w:anchor="P34316" w:tooltip="146">
        <w:r>
          <w:rPr>
            <w:sz w:val="24"/>
            <w:color w:val="0000ff"/>
          </w:rPr>
          <w:t xml:space="preserve">146</w:t>
        </w:r>
      </w:hyperlink>
      <w:r>
        <w:rPr>
          <w:sz w:val="24"/>
        </w:rPr>
        <w:t xml:space="preserve">) для каждой учетной группы указывается сумма изменения за отчетный период величины резерва убытков.</w:t>
      </w:r>
    </w:p>
    <w:p>
      <w:pPr>
        <w:pStyle w:val="0"/>
        <w:spacing w:before="240" w:lineRule="auto"/>
        <w:ind w:firstLine="540"/>
        <w:jc w:val="both"/>
      </w:pPr>
      <w:r>
        <w:rPr>
          <w:sz w:val="24"/>
        </w:rPr>
        <w:t xml:space="preserve">Значение показателя "Изменение резерва убытков" (</w:t>
      </w:r>
      <w:hyperlink w:history="0" w:anchor="P33890" w:tooltip="93">
        <w:r>
          <w:rPr>
            <w:sz w:val="24"/>
            <w:color w:val="0000ff"/>
          </w:rPr>
          <w:t xml:space="preserve">строки 93</w:t>
        </w:r>
      </w:hyperlink>
      <w:r>
        <w:rPr>
          <w:sz w:val="24"/>
        </w:rPr>
        <w:t xml:space="preserve">, </w:t>
      </w:r>
      <w:hyperlink w:history="0" w:anchor="P34316" w:tooltip="146">
        <w:r>
          <w:rPr>
            <w:sz w:val="24"/>
            <w:color w:val="0000ff"/>
          </w:rPr>
          <w:t xml:space="preserve">146</w:t>
        </w:r>
      </w:hyperlink>
      <w:r>
        <w:rPr>
          <w:sz w:val="24"/>
        </w:rPr>
        <w:t xml:space="preserve">) должно быть равно сумме значений показателей "Изменение оценки ожидаемой величины убытков (ДПУ)" (</w:t>
      </w:r>
      <w:hyperlink w:history="0" w:anchor="P33898" w:tooltip="94">
        <w:r>
          <w:rPr>
            <w:sz w:val="24"/>
            <w:color w:val="0000ff"/>
          </w:rPr>
          <w:t xml:space="preserve">строки 94</w:t>
        </w:r>
      </w:hyperlink>
      <w:r>
        <w:rPr>
          <w:sz w:val="24"/>
        </w:rPr>
        <w:t xml:space="preserve">, </w:t>
      </w:r>
      <w:hyperlink w:history="0" w:anchor="P33428" w:tooltip="47">
        <w:r>
          <w:rPr>
            <w:sz w:val="24"/>
            <w:color w:val="0000ff"/>
          </w:rPr>
          <w:t xml:space="preserve">147</w:t>
        </w:r>
      </w:hyperlink>
      <w:r>
        <w:rPr>
          <w:sz w:val="24"/>
        </w:rPr>
        <w:t xml:space="preserve">) и "Изменение оценки рисковой маржи в резерве убытков (РМУ)" (</w:t>
      </w:r>
      <w:hyperlink w:history="0" w:anchor="P33906" w:tooltip="95">
        <w:r>
          <w:rPr>
            <w:sz w:val="24"/>
            <w:color w:val="0000ff"/>
          </w:rPr>
          <w:t xml:space="preserve">строки 95</w:t>
        </w:r>
      </w:hyperlink>
      <w:r>
        <w:rPr>
          <w:sz w:val="24"/>
        </w:rPr>
        <w:t xml:space="preserve">, </w:t>
      </w:r>
      <w:hyperlink w:history="0" w:anchor="P34332" w:tooltip="148">
        <w:r>
          <w:rPr>
            <w:sz w:val="24"/>
            <w:color w:val="0000ff"/>
          </w:rPr>
          <w:t xml:space="preserve">148</w:t>
        </w:r>
      </w:hyperlink>
      <w:r>
        <w:rPr>
          <w:sz w:val="24"/>
        </w:rPr>
        <w:t xml:space="preserve">).</w:t>
      </w:r>
    </w:p>
    <w:p>
      <w:pPr>
        <w:pStyle w:val="0"/>
        <w:spacing w:before="240" w:lineRule="auto"/>
        <w:ind w:firstLine="540"/>
        <w:jc w:val="both"/>
      </w:pPr>
      <w:r>
        <w:rPr>
          <w:sz w:val="24"/>
        </w:rPr>
        <w:t xml:space="preserve">3.21. По показателю "Изменение оценки ожидаемой величины убытков (ДПУ)" (</w:t>
      </w:r>
      <w:hyperlink w:history="0" w:anchor="P33898" w:tooltip="94">
        <w:r>
          <w:rPr>
            <w:sz w:val="24"/>
            <w:color w:val="0000ff"/>
          </w:rPr>
          <w:t xml:space="preserve">строки 94</w:t>
        </w:r>
      </w:hyperlink>
      <w:r>
        <w:rPr>
          <w:sz w:val="24"/>
        </w:rPr>
        <w:t xml:space="preserve">, </w:t>
      </w:r>
      <w:hyperlink w:history="0" w:anchor="P34324" w:tooltip="147">
        <w:r>
          <w:rPr>
            <w:sz w:val="24"/>
            <w:color w:val="0000ff"/>
          </w:rPr>
          <w:t xml:space="preserve">147</w:t>
        </w:r>
      </w:hyperlink>
      <w:r>
        <w:rPr>
          <w:sz w:val="24"/>
        </w:rPr>
        <w:t xml:space="preserve">) для каждой учетной группы указывается сумма изменения за отчетный период неотрицательной наилучшей оценки приведенной стоимости всех денежных потоков, входящих в прогноз денежных потоков, по исполнению обязательств, учитываемых в расчете величины резерва убытков, до наиболее поздней предполагаемой даты полного исполнения обязательств по договорам страхования, сострахования, входящего перестрахования (далее - ожидаемая величина обязательств по резерву убытков (ДПУ).</w:t>
      </w:r>
    </w:p>
    <w:p>
      <w:pPr>
        <w:pStyle w:val="0"/>
        <w:spacing w:before="240" w:lineRule="auto"/>
        <w:ind w:firstLine="540"/>
        <w:jc w:val="both"/>
      </w:pPr>
      <w:r>
        <w:rPr>
          <w:sz w:val="24"/>
        </w:rPr>
        <w:t xml:space="preserve">3.22. По показателю "Изменение оценки рисковой маржи в резерве убытков (РМУ)" (</w:t>
      </w:r>
      <w:hyperlink w:history="0" w:anchor="P33906" w:tooltip="95">
        <w:r>
          <w:rPr>
            <w:sz w:val="24"/>
            <w:color w:val="0000ff"/>
          </w:rPr>
          <w:t xml:space="preserve">строки 95</w:t>
        </w:r>
      </w:hyperlink>
      <w:r>
        <w:rPr>
          <w:sz w:val="24"/>
        </w:rPr>
        <w:t xml:space="preserve">, </w:t>
      </w:r>
      <w:hyperlink w:history="0" w:anchor="P34332" w:tooltip="148">
        <w:r>
          <w:rPr>
            <w:sz w:val="24"/>
            <w:color w:val="0000ff"/>
          </w:rPr>
          <w:t xml:space="preserve">148</w:t>
        </w:r>
      </w:hyperlink>
      <w:r>
        <w:rPr>
          <w:sz w:val="24"/>
        </w:rPr>
        <w:t xml:space="preserve">) для каждой учетной группы указывается сумма изменения за отчетный период величины оценки рисковой маржи в резерве убытков, определенной в соответствии с </w:t>
      </w:r>
      <w:hyperlink w:history="0" r:id="rId57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подпунктом 5.3.8 пункта 5.3</w:t>
        </w:r>
      </w:hyperlink>
      <w:r>
        <w:rPr>
          <w:sz w:val="24"/>
        </w:rPr>
        <w:t xml:space="preserve"> Положения Банка России N 858-П.</w:t>
      </w:r>
    </w:p>
    <w:p>
      <w:pPr>
        <w:pStyle w:val="0"/>
        <w:spacing w:before="240" w:lineRule="auto"/>
        <w:ind w:firstLine="540"/>
        <w:jc w:val="both"/>
      </w:pPr>
      <w:r>
        <w:rPr>
          <w:sz w:val="24"/>
        </w:rPr>
        <w:t xml:space="preserve">3.23. По показателю "Изменение доли перестраховщиков в резерве убытков (ДДПУ)" (</w:t>
      </w:r>
      <w:hyperlink w:history="0" w:anchor="P33914" w:tooltip="96">
        <w:r>
          <w:rPr>
            <w:sz w:val="24"/>
            <w:color w:val="0000ff"/>
          </w:rPr>
          <w:t xml:space="preserve">строки 96</w:t>
        </w:r>
      </w:hyperlink>
      <w:r>
        <w:rPr>
          <w:sz w:val="24"/>
        </w:rPr>
        <w:t xml:space="preserve">, </w:t>
      </w:r>
      <w:hyperlink w:history="0" w:anchor="P34340" w:tooltip="149">
        <w:r>
          <w:rPr>
            <w:sz w:val="24"/>
            <w:color w:val="0000ff"/>
          </w:rPr>
          <w:t xml:space="preserve">149</w:t>
        </w:r>
      </w:hyperlink>
      <w:r>
        <w:rPr>
          <w:sz w:val="24"/>
        </w:rPr>
        <w:t xml:space="preserve">) для каждой учетной группы указывается сумма изменения за отчетный период величины доли перестраховщиков в резерве убытков (ДДПУ).</w:t>
      </w:r>
    </w:p>
    <w:p>
      <w:pPr>
        <w:pStyle w:val="0"/>
        <w:spacing w:before="240" w:lineRule="auto"/>
        <w:ind w:firstLine="540"/>
        <w:jc w:val="both"/>
      </w:pPr>
      <w:r>
        <w:rPr>
          <w:sz w:val="24"/>
        </w:rPr>
        <w:t xml:space="preserve">Значение показателя "Изменение доли перестраховщиков в резерве убытков (ДДПУ)" (</w:t>
      </w:r>
      <w:hyperlink w:history="0" w:anchor="P33914" w:tooltip="96">
        <w:r>
          <w:rPr>
            <w:sz w:val="24"/>
            <w:color w:val="0000ff"/>
          </w:rPr>
          <w:t xml:space="preserve">строки 96</w:t>
        </w:r>
      </w:hyperlink>
      <w:r>
        <w:rPr>
          <w:sz w:val="24"/>
        </w:rPr>
        <w:t xml:space="preserve">, </w:t>
      </w:r>
      <w:hyperlink w:history="0" w:anchor="P34340" w:tooltip="149">
        <w:r>
          <w:rPr>
            <w:sz w:val="24"/>
            <w:color w:val="0000ff"/>
          </w:rPr>
          <w:t xml:space="preserve">149</w:t>
        </w:r>
      </w:hyperlink>
      <w:r>
        <w:rPr>
          <w:sz w:val="24"/>
        </w:rPr>
        <w:t xml:space="preserve">) должно быть равно сумме значений показателей "Изменение суммы СПРУ</w:t>
      </w:r>
      <w:r>
        <w:rPr>
          <w:sz w:val="24"/>
          <w:vertAlign w:val="superscript"/>
        </w:rPr>
        <w:t xml:space="preserve">НО</w:t>
      </w:r>
      <w:r>
        <w:rPr>
          <w:sz w:val="24"/>
        </w:rPr>
        <w:t xml:space="preserve"> по договорам исходящего перестрахования" (</w:t>
      </w:r>
      <w:hyperlink w:history="0" w:anchor="P33922" w:tooltip="97">
        <w:r>
          <w:rPr>
            <w:sz w:val="24"/>
            <w:color w:val="0000ff"/>
          </w:rPr>
          <w:t xml:space="preserve">строки 97</w:t>
        </w:r>
      </w:hyperlink>
      <w:r>
        <w:rPr>
          <w:sz w:val="24"/>
        </w:rPr>
        <w:t xml:space="preserve">, </w:t>
      </w:r>
      <w:hyperlink w:history="0" w:anchor="P34348" w:tooltip="150">
        <w:r>
          <w:rPr>
            <w:sz w:val="24"/>
            <w:color w:val="0000ff"/>
          </w:rPr>
          <w:t xml:space="preserve">150</w:t>
        </w:r>
      </w:hyperlink>
      <w:r>
        <w:rPr>
          <w:sz w:val="24"/>
        </w:rPr>
        <w:t xml:space="preserve">) и "Изменение корректировки на риск неплатежа по резерву убытков (КРНУ)" (</w:t>
      </w:r>
      <w:hyperlink w:history="0" w:anchor="P33930" w:tooltip="98">
        <w:r>
          <w:rPr>
            <w:sz w:val="24"/>
            <w:color w:val="0000ff"/>
          </w:rPr>
          <w:t xml:space="preserve">строки 98</w:t>
        </w:r>
      </w:hyperlink>
      <w:r>
        <w:rPr>
          <w:sz w:val="24"/>
        </w:rPr>
        <w:t xml:space="preserve">, </w:t>
      </w:r>
      <w:hyperlink w:history="0" w:anchor="P34356" w:tooltip="151">
        <w:r>
          <w:rPr>
            <w:sz w:val="24"/>
            <w:color w:val="0000ff"/>
          </w:rPr>
          <w:t xml:space="preserve">151</w:t>
        </w:r>
      </w:hyperlink>
      <w:r>
        <w:rPr>
          <w:sz w:val="24"/>
        </w:rPr>
        <w:t xml:space="preserve">).</w:t>
      </w:r>
    </w:p>
    <w:p>
      <w:pPr>
        <w:pStyle w:val="0"/>
        <w:spacing w:before="240" w:lineRule="auto"/>
        <w:ind w:firstLine="540"/>
        <w:jc w:val="both"/>
      </w:pPr>
      <w:r>
        <w:rPr>
          <w:sz w:val="24"/>
        </w:rPr>
        <w:t xml:space="preserve">3.24. По показателю "Изменение суммы СПРУ</w:t>
      </w:r>
      <w:r>
        <w:rPr>
          <w:sz w:val="24"/>
          <w:vertAlign w:val="superscript"/>
        </w:rPr>
        <w:t xml:space="preserve">НО</w:t>
      </w:r>
      <w:r>
        <w:rPr>
          <w:sz w:val="24"/>
        </w:rPr>
        <w:t xml:space="preserve"> по договорам исходящего перестрахования" (</w:t>
      </w:r>
      <w:hyperlink w:history="0" w:anchor="P33922" w:tooltip="97">
        <w:r>
          <w:rPr>
            <w:sz w:val="24"/>
            <w:color w:val="0000ff"/>
          </w:rPr>
          <w:t xml:space="preserve">строки 97</w:t>
        </w:r>
      </w:hyperlink>
      <w:r>
        <w:rPr>
          <w:sz w:val="24"/>
        </w:rPr>
        <w:t xml:space="preserve">, </w:t>
      </w:r>
      <w:hyperlink w:history="0" w:anchor="P34348" w:tooltip="150">
        <w:r>
          <w:rPr>
            <w:sz w:val="24"/>
            <w:color w:val="0000ff"/>
          </w:rPr>
          <w:t xml:space="preserve">150</w:t>
        </w:r>
      </w:hyperlink>
      <w:r>
        <w:rPr>
          <w:sz w:val="24"/>
        </w:rPr>
        <w:t xml:space="preserve">) для каждой учетной группы указывается сумма изменения за отчетный период наилучшей оценки приведенной стоимости всех денежных потоков, входящих в прогноз денежных потоков по договорам исходящего перестрахования, полученных путем применения условий этих договоров исходящего перестрахования к прогнозу денежных потоков по основным договорам страхования, сострахования, входящего перестрахования, используемых для оценки ожидаемой величины обязательств по резерву убытков (ДПУ).</w:t>
      </w:r>
    </w:p>
    <w:p>
      <w:pPr>
        <w:pStyle w:val="0"/>
        <w:spacing w:before="240" w:lineRule="auto"/>
        <w:ind w:firstLine="540"/>
        <w:jc w:val="both"/>
      </w:pPr>
      <w:r>
        <w:rPr>
          <w:sz w:val="24"/>
        </w:rPr>
        <w:t xml:space="preserve">3.25. По показателю "Изменение корректировки на риск неплатежа по резерву убытков (КРНУ)" (</w:t>
      </w:r>
      <w:hyperlink w:history="0" w:anchor="P33930" w:tooltip="98">
        <w:r>
          <w:rPr>
            <w:sz w:val="24"/>
            <w:color w:val="0000ff"/>
          </w:rPr>
          <w:t xml:space="preserve">строки 98</w:t>
        </w:r>
      </w:hyperlink>
      <w:r>
        <w:rPr>
          <w:sz w:val="24"/>
        </w:rPr>
        <w:t xml:space="preserve">, </w:t>
      </w:r>
      <w:hyperlink w:history="0" w:anchor="P34356" w:tooltip="151">
        <w:r>
          <w:rPr>
            <w:sz w:val="24"/>
            <w:color w:val="0000ff"/>
          </w:rPr>
          <w:t xml:space="preserve">151</w:t>
        </w:r>
      </w:hyperlink>
      <w:r>
        <w:rPr>
          <w:sz w:val="24"/>
        </w:rPr>
        <w:t xml:space="preserve">) для каждой учетной группы указывается сумма изменения за отчетный период корректировки на риск неплатежа по договорам исходящего перестрахования по резерву убытков (КРНУ).</w:t>
      </w:r>
    </w:p>
    <w:p>
      <w:pPr>
        <w:pStyle w:val="0"/>
        <w:spacing w:before="240" w:lineRule="auto"/>
        <w:ind w:firstLine="540"/>
        <w:jc w:val="both"/>
      </w:pPr>
      <w:r>
        <w:rPr>
          <w:sz w:val="24"/>
        </w:rPr>
        <w:t xml:space="preserve">3.26. По показателю "Изменение резерва инвестиционных обязательств" </w:t>
      </w:r>
      <w:hyperlink w:history="0" w:anchor="P33938" w:tooltip="99">
        <w:r>
          <w:rPr>
            <w:sz w:val="24"/>
            <w:color w:val="0000ff"/>
          </w:rPr>
          <w:t xml:space="preserve">(строка 99)</w:t>
        </w:r>
      </w:hyperlink>
      <w:r>
        <w:rPr>
          <w:sz w:val="24"/>
        </w:rPr>
        <w:t xml:space="preserve"> для учетной группы 19 указывается сумма изменения за отчетный период величины резерва инвестиционных обязательств. Значения данного показателя по учетным группам 18, 20 и 21 не указываются.</w:t>
      </w:r>
    </w:p>
    <w:p>
      <w:pPr>
        <w:pStyle w:val="0"/>
        <w:spacing w:before="240" w:lineRule="auto"/>
        <w:ind w:firstLine="540"/>
        <w:jc w:val="both"/>
      </w:pPr>
      <w:r>
        <w:rPr>
          <w:sz w:val="24"/>
        </w:rPr>
        <w:t xml:space="preserve">3.27. По показателю "Изменение стабилизационного резерва" </w:t>
      </w:r>
      <w:hyperlink w:history="0" w:anchor="P34364" w:tooltip="152">
        <w:r>
          <w:rPr>
            <w:sz w:val="24"/>
            <w:color w:val="0000ff"/>
          </w:rPr>
          <w:t xml:space="preserve">(строка 152)</w:t>
        </w:r>
      </w:hyperlink>
      <w:r>
        <w:rPr>
          <w:sz w:val="24"/>
        </w:rPr>
        <w:t xml:space="preserve"> для учетной группы 9 указывается сумма изменения за отчетный период величины стабилизационного резерва. Значения данного показателя по учетным группам 1 - 8 и 10 - 17 не указываются.</w:t>
      </w:r>
    </w:p>
    <w:p>
      <w:pPr>
        <w:pStyle w:val="0"/>
        <w:spacing w:before="240" w:lineRule="auto"/>
        <w:ind w:firstLine="540"/>
        <w:jc w:val="both"/>
      </w:pPr>
      <w:r>
        <w:rPr>
          <w:sz w:val="24"/>
        </w:rPr>
        <w:t xml:space="preserve">3.28. По показателю "Изменение резерва по прямому возмещению убытков (РПВУ)" </w:t>
      </w:r>
      <w:hyperlink w:history="0" w:anchor="P34372" w:tooltip="153">
        <w:r>
          <w:rPr>
            <w:sz w:val="24"/>
            <w:color w:val="0000ff"/>
          </w:rPr>
          <w:t xml:space="preserve">(строка 153)</w:t>
        </w:r>
      </w:hyperlink>
      <w:r>
        <w:rPr>
          <w:sz w:val="24"/>
        </w:rPr>
        <w:t xml:space="preserve"> для учетной группы 3 указывается сумма изменения за отчетный период величины резерва по прямому возмещению убытков (РПВУ). Значения данного показателя по учетным группам 1, 2 и 4 - 17 не указываются.</w:t>
      </w:r>
    </w:p>
    <w:p>
      <w:pPr>
        <w:pStyle w:val="0"/>
        <w:spacing w:before="240" w:lineRule="auto"/>
        <w:ind w:firstLine="540"/>
        <w:jc w:val="both"/>
      </w:pPr>
      <w:r>
        <w:rPr>
          <w:sz w:val="24"/>
        </w:rPr>
        <w:t xml:space="preserve">3.29. По показателю "Изменение доли перестраховщиков в резерве по прямому возмещению убытков (ДРПВУ)" </w:t>
      </w:r>
      <w:hyperlink w:history="0" w:anchor="P34380" w:tooltip="154">
        <w:r>
          <w:rPr>
            <w:sz w:val="24"/>
            <w:color w:val="0000ff"/>
          </w:rPr>
          <w:t xml:space="preserve">(строка 154)</w:t>
        </w:r>
      </w:hyperlink>
      <w:r>
        <w:rPr>
          <w:sz w:val="24"/>
        </w:rPr>
        <w:t xml:space="preserve"> для учетной группы 3 указывается сумма изменения величины доли перестраховщиков в резерве по прямому возмещению убытков (ДРПВУ). Значения данного показателя по учетным группам 1, 2 и 4 - 17 не указываются.</w:t>
      </w:r>
    </w:p>
    <w:p>
      <w:pPr>
        <w:pStyle w:val="0"/>
        <w:spacing w:before="240" w:lineRule="auto"/>
        <w:ind w:firstLine="540"/>
        <w:jc w:val="both"/>
      </w:pPr>
      <w:r>
        <w:rPr>
          <w:sz w:val="24"/>
        </w:rPr>
        <w:t xml:space="preserve">Значение показателя "Изменение доли перестраховщиков в резерве по прямому возмещению убытков (ДРПВУ)" </w:t>
      </w:r>
      <w:hyperlink w:history="0" w:anchor="P34380" w:tooltip="154">
        <w:r>
          <w:rPr>
            <w:sz w:val="24"/>
            <w:color w:val="0000ff"/>
          </w:rPr>
          <w:t xml:space="preserve">(строка 154)</w:t>
        </w:r>
      </w:hyperlink>
      <w:r>
        <w:rPr>
          <w:sz w:val="24"/>
        </w:rPr>
        <w:t xml:space="preserve"> должно быть равно сумме значений показателей "Изменение суммы СПРПВУ</w:t>
      </w:r>
      <w:r>
        <w:rPr>
          <w:sz w:val="24"/>
          <w:vertAlign w:val="superscript"/>
        </w:rPr>
        <w:t xml:space="preserve">НО</w:t>
      </w:r>
      <w:r>
        <w:rPr>
          <w:sz w:val="24"/>
        </w:rPr>
        <w:t xml:space="preserve"> по договорам исходящего перестрахования" </w:t>
      </w:r>
      <w:hyperlink w:history="0" w:anchor="P34388" w:tooltip="155">
        <w:r>
          <w:rPr>
            <w:sz w:val="24"/>
            <w:color w:val="0000ff"/>
          </w:rPr>
          <w:t xml:space="preserve">(строка 155)</w:t>
        </w:r>
      </w:hyperlink>
      <w:r>
        <w:rPr>
          <w:sz w:val="24"/>
        </w:rPr>
        <w:t xml:space="preserve"> и "Изменение корректировки на риск неплатежа по РПВУ (КРНПВУ)" </w:t>
      </w:r>
      <w:hyperlink w:history="0" w:anchor="P34396" w:tooltip="156">
        <w:r>
          <w:rPr>
            <w:sz w:val="24"/>
            <w:color w:val="0000ff"/>
          </w:rPr>
          <w:t xml:space="preserve">(строка 156)</w:t>
        </w:r>
      </w:hyperlink>
      <w:r>
        <w:rPr>
          <w:sz w:val="24"/>
        </w:rPr>
        <w:t xml:space="preserve">.</w:t>
      </w:r>
    </w:p>
    <w:p>
      <w:pPr>
        <w:pStyle w:val="0"/>
        <w:spacing w:before="240" w:lineRule="auto"/>
        <w:ind w:firstLine="540"/>
        <w:jc w:val="both"/>
      </w:pPr>
      <w:r>
        <w:rPr>
          <w:sz w:val="24"/>
        </w:rPr>
        <w:t xml:space="preserve">3.30. По показателю "Изменение суммы СПРПВУ</w:t>
      </w:r>
      <w:r>
        <w:rPr>
          <w:sz w:val="24"/>
          <w:vertAlign w:val="superscript"/>
        </w:rPr>
        <w:t xml:space="preserve">НО</w:t>
      </w:r>
      <w:r>
        <w:rPr>
          <w:sz w:val="24"/>
        </w:rPr>
        <w:t xml:space="preserve"> по договорам исходящего перестрахования" </w:t>
      </w:r>
      <w:hyperlink w:history="0" w:anchor="P34388" w:tooltip="155">
        <w:r>
          <w:rPr>
            <w:sz w:val="24"/>
            <w:color w:val="0000ff"/>
          </w:rPr>
          <w:t xml:space="preserve">(строка 155)</w:t>
        </w:r>
      </w:hyperlink>
      <w:r>
        <w:rPr>
          <w:sz w:val="24"/>
        </w:rPr>
        <w:t xml:space="preserve"> для учетной группы 3 указывается сумма изменения за отчетный период наилучшей оценки приведенной стоимости всех денежных потоков, входящих в прогноз денежных потоков по договорам исходящего перестрахования, полученных путем применения условий этих договоров исходящего перестрахования к прогнозу денежных потоков по основным договорам страхования, сострахования, входящего перестрахования, используемых для оценки резерва по прямому возмещению убытков (РПВУ). Значения данного показателя по учетным группам 1, 2 и 4 - 17 не указываются.</w:t>
      </w:r>
    </w:p>
    <w:p>
      <w:pPr>
        <w:pStyle w:val="0"/>
        <w:spacing w:before="240" w:lineRule="auto"/>
        <w:ind w:firstLine="540"/>
        <w:jc w:val="both"/>
      </w:pPr>
      <w:r>
        <w:rPr>
          <w:sz w:val="24"/>
        </w:rPr>
        <w:t xml:space="preserve">3.31. По показателю "Изменение корректировки на риск неплатежа по РПВУ (КРНПВУ)" </w:t>
      </w:r>
      <w:hyperlink w:history="0" w:anchor="P34396" w:tooltip="156">
        <w:r>
          <w:rPr>
            <w:sz w:val="24"/>
            <w:color w:val="0000ff"/>
          </w:rPr>
          <w:t xml:space="preserve">(строка 156)</w:t>
        </w:r>
      </w:hyperlink>
      <w:r>
        <w:rPr>
          <w:sz w:val="24"/>
        </w:rPr>
        <w:t xml:space="preserve"> для учетной группы 3 указывается сумма изменения за отчетный период корректировки на риск неплатежа по договорам исходящего перестрахования по резерву по прямому возмещению убытков (КРНПВУ). Значения данного показателя по учетным группам 1, 2 и 4 - 17 не указываются.</w:t>
      </w:r>
    </w:p>
    <w:p>
      <w:pPr>
        <w:pStyle w:val="0"/>
        <w:spacing w:before="240" w:lineRule="auto"/>
        <w:ind w:firstLine="540"/>
        <w:jc w:val="both"/>
      </w:pPr>
      <w:r>
        <w:rPr>
          <w:sz w:val="24"/>
        </w:rPr>
        <w:t xml:space="preserve">3.32. По показателям </w:t>
      </w:r>
      <w:hyperlink w:history="0" w:anchor="P33608" w:tooltip="Раздел 3.">
        <w:r>
          <w:rPr>
            <w:sz w:val="24"/>
            <w:color w:val="0000ff"/>
          </w:rPr>
          <w:t xml:space="preserve">разделов 3</w:t>
        </w:r>
      </w:hyperlink>
      <w:r>
        <w:rPr>
          <w:sz w:val="24"/>
        </w:rPr>
        <w:t xml:space="preserve"> и </w:t>
      </w:r>
      <w:hyperlink w:history="0" w:anchor="P33962" w:tooltip="Раздел 4.">
        <w:r>
          <w:rPr>
            <w:sz w:val="24"/>
            <w:color w:val="0000ff"/>
          </w:rPr>
          <w:t xml:space="preserve">4</w:t>
        </w:r>
      </w:hyperlink>
      <w:r>
        <w:rPr>
          <w:sz w:val="24"/>
        </w:rPr>
        <w:t xml:space="preserve"> отчетности по форме 0420158, относящимся к доходам страховщика, указываются суммы фактически полученных либо причитающихся к получению в отчетном периоде доходов страховщика. По указанным показателям не отражаются суммы фактически полученных в отчетном периоде доходов страховщика, которые отражены страховщиком в предыдущем отчетном периоде как причитающиеся к получению доходы страховщика.</w:t>
      </w:r>
    </w:p>
    <w:p>
      <w:pPr>
        <w:pStyle w:val="0"/>
        <w:spacing w:before="240" w:lineRule="auto"/>
        <w:ind w:firstLine="540"/>
        <w:jc w:val="both"/>
      </w:pPr>
      <w:r>
        <w:rPr>
          <w:sz w:val="24"/>
        </w:rPr>
        <w:t xml:space="preserve">По показателям </w:t>
      </w:r>
      <w:hyperlink w:history="0" w:anchor="P33608" w:tooltip="Раздел 3.">
        <w:r>
          <w:rPr>
            <w:sz w:val="24"/>
            <w:color w:val="0000ff"/>
          </w:rPr>
          <w:t xml:space="preserve">разделов 3</w:t>
        </w:r>
      </w:hyperlink>
      <w:r>
        <w:rPr>
          <w:sz w:val="24"/>
        </w:rPr>
        <w:t xml:space="preserve"> и </w:t>
      </w:r>
      <w:hyperlink w:history="0" w:anchor="P33962" w:tooltip="Раздел 4.">
        <w:r>
          <w:rPr>
            <w:sz w:val="24"/>
            <w:color w:val="0000ff"/>
          </w:rPr>
          <w:t xml:space="preserve">4</w:t>
        </w:r>
      </w:hyperlink>
      <w:r>
        <w:rPr>
          <w:sz w:val="24"/>
        </w:rPr>
        <w:t xml:space="preserve"> отчетности по форме 0420158, относящимся к расходам страховщика, указываются суммы фактически уплаченных либо причитающихся к уплате в отчетном периоде расходов страховщика. По указанным показателям не отражаются суммы фактически уплаченных в отчетном периоде расходов страховщика, которые отражены страховщиком в предыдущем отчетном периоде как причитающиеся к уплате расходы страховщика.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4526" w:name="P34526"/>
    <w:bookmarkEnd w:id="34526"/>
    <w:p>
      <w:pPr>
        <w:pStyle w:val="0"/>
        <w:jc w:val="center"/>
      </w:pPr>
      <w:r>
        <w:rPr>
          <w:sz w:val="24"/>
        </w:rPr>
        <w:t xml:space="preserve">Отчетность по форме 0420159</w:t>
      </w:r>
    </w:p>
    <w:p>
      <w:pPr>
        <w:pStyle w:val="0"/>
        <w:jc w:val="center"/>
      </w:pPr>
      <w:r>
        <w:rPr>
          <w:sz w:val="24"/>
        </w:rPr>
        <w:t xml:space="preserve">"Сведения о сделках страховщика"</w:t>
      </w:r>
    </w:p>
    <w:p>
      <w:pPr>
        <w:pStyle w:val="0"/>
        <w:ind w:firstLine="540"/>
        <w:jc w:val="both"/>
      </w:pPr>
      <w:r>
        <w:rPr>
          <w:sz w:val="24"/>
        </w:rPr>
      </w:r>
    </w:p>
    <w:p>
      <w:pPr>
        <w:pStyle w:val="0"/>
        <w:jc w:val="right"/>
      </w:pPr>
      <w:r>
        <w:rPr>
          <w:sz w:val="24"/>
        </w:rPr>
        <w:t xml:space="preserve">Код формы по </w:t>
      </w:r>
      <w:hyperlink w:history="0" r:id="rId58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5209" w:tooltip="&lt;1&gt; Общероссийский классификатор управленческой документации.">
        <w:r>
          <w:rPr>
            <w:sz w:val="24"/>
            <w:color w:val="0000ff"/>
          </w:rPr>
          <w:t xml:space="preserve">&lt;1&gt;</w:t>
        </w:r>
      </w:hyperlink>
      <w:r>
        <w:rPr>
          <w:sz w:val="24"/>
        </w:rPr>
        <w:t xml:space="preserve"> 0420159</w:t>
      </w:r>
    </w:p>
    <w:p>
      <w:pPr>
        <w:pStyle w:val="0"/>
        <w:ind w:firstLine="540"/>
        <w:jc w:val="both"/>
      </w:pPr>
      <w:r>
        <w:rPr>
          <w:sz w:val="24"/>
        </w:rPr>
      </w:r>
    </w:p>
    <w:p>
      <w:pPr>
        <w:pStyle w:val="0"/>
        <w:jc w:val="right"/>
      </w:pPr>
      <w:r>
        <w:rPr>
          <w:sz w:val="24"/>
        </w:rPr>
        <w:t xml:space="preserve">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309"/>
        <w:gridCol w:w="2299"/>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216" w:type="dxa"/>
            <w:tcBorders>
              <w:left w:val="single" w:sz="4"/>
            </w:tcBorders>
          </w:tcPr>
          <w:bookmarkStart w:id="34541" w:name="P34541"/>
          <w:bookmarkEnd w:id="34541"/>
          <w:p>
            <w:pPr>
              <w:pStyle w:val="0"/>
              <w:outlineLvl w:val="3"/>
            </w:pPr>
            <w:r>
              <w:rPr>
                <w:sz w:val="24"/>
              </w:rPr>
              <w:t xml:space="preserve">Раздел 1.</w:t>
            </w:r>
          </w:p>
        </w:tc>
        <w:tc>
          <w:tcPr>
            <w:gridSpan w:val="3"/>
            <w:tcW w:w="7855" w:type="dxa"/>
            <w:tcBorders>
              <w:right w:val="single" w:sz="4"/>
            </w:tcBorders>
          </w:tcPr>
          <w:p>
            <w:pPr>
              <w:pStyle w:val="0"/>
            </w:pPr>
            <w:r>
              <w:rPr>
                <w:sz w:val="24"/>
              </w:rPr>
              <w:t xml:space="preserve">Договоры страхования, сострахования и входящего перестрахования</w:t>
            </w:r>
          </w:p>
        </w:tc>
      </w:tr>
      <w:tr>
        <w:tc>
          <w:tcPr>
            <w:tcW w:w="907" w:type="dxa"/>
          </w:tcPr>
          <w:bookmarkStart w:id="34543" w:name="P34543"/>
          <w:bookmarkEnd w:id="34543"/>
          <w:p>
            <w:pPr>
              <w:pStyle w:val="0"/>
            </w:pPr>
            <w:r>
              <w:rPr>
                <w:sz w:val="24"/>
              </w:rPr>
              <w:t xml:space="preserve">1</w:t>
            </w:r>
          </w:p>
        </w:tc>
        <w:tc>
          <w:tcPr>
            <w:gridSpan w:val="2"/>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ins-dic:PerechenUchetGruppEnumerator2</w:t>
            </w:r>
          </w:p>
        </w:tc>
      </w:tr>
      <w:tr>
        <w:tc>
          <w:tcPr>
            <w:tcW w:w="907" w:type="dxa"/>
          </w:tcPr>
          <w:p>
            <w:pPr>
              <w:pStyle w:val="0"/>
            </w:pPr>
            <w:r>
              <w:rPr>
                <w:sz w:val="24"/>
              </w:rPr>
              <w:t xml:space="preserve">1.1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555" w:name="P34555"/>
          <w:bookmarkEnd w:id="34555"/>
          <w:p>
            <w:pPr>
              <w:pStyle w:val="0"/>
            </w:pPr>
            <w:r>
              <w:rPr>
                <w:sz w:val="24"/>
              </w:rPr>
              <w:t xml:space="preserve">2</w:t>
            </w:r>
          </w:p>
        </w:tc>
        <w:tc>
          <w:tcPr>
            <w:gridSpan w:val="2"/>
            <w:tcW w:w="2608" w:type="dxa"/>
          </w:tcPr>
          <w:p>
            <w:pPr>
              <w:pStyle w:val="0"/>
            </w:pPr>
            <w:r>
              <w:rPr>
                <w:sz w:val="24"/>
              </w:rPr>
              <w:t xml:space="preserve">Номер договора</w:t>
            </w:r>
          </w:p>
        </w:tc>
        <w:tc>
          <w:tcPr>
            <w:tcW w:w="2608" w:type="dxa"/>
          </w:tcPr>
          <w:p>
            <w:pPr>
              <w:pStyle w:val="0"/>
            </w:pPr>
            <w:r>
              <w:rPr>
                <w:sz w:val="24"/>
              </w:rPr>
            </w:r>
          </w:p>
        </w:tc>
        <w:tc>
          <w:tcPr>
            <w:tcW w:w="2948" w:type="dxa"/>
          </w:tcPr>
          <w:p>
            <w:pPr>
              <w:pStyle w:val="0"/>
            </w:pPr>
            <w:r>
              <w:rPr>
                <w:sz w:val="24"/>
              </w:rPr>
              <w:t xml:space="preserve">ins-dic:Nomer_Dog</w:t>
            </w:r>
          </w:p>
        </w:tc>
      </w:tr>
      <w:tr>
        <w:tc>
          <w:tcPr>
            <w:tcW w:w="907" w:type="dxa"/>
          </w:tcPr>
          <w:p>
            <w:pPr>
              <w:pStyle w:val="0"/>
            </w:pPr>
            <w:r>
              <w:rPr>
                <w:sz w:val="24"/>
              </w:rPr>
              <w:t xml:space="preserve">2.1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567" w:name="P34567"/>
          <w:bookmarkEnd w:id="34567"/>
          <w:p>
            <w:pPr>
              <w:pStyle w:val="0"/>
            </w:pPr>
            <w:r>
              <w:rPr>
                <w:sz w:val="24"/>
              </w:rPr>
              <w:t xml:space="preserve">3</w:t>
            </w:r>
          </w:p>
        </w:tc>
        <w:tc>
          <w:tcPr>
            <w:gridSpan w:val="2"/>
            <w:tcW w:w="2608" w:type="dxa"/>
          </w:tcPr>
          <w:p>
            <w:pPr>
              <w:pStyle w:val="0"/>
            </w:pPr>
            <w:r>
              <w:rPr>
                <w:sz w:val="24"/>
              </w:rPr>
              <w:t xml:space="preserve">Дата заключения договора</w:t>
            </w:r>
          </w:p>
        </w:tc>
        <w:tc>
          <w:tcPr>
            <w:tcW w:w="2608" w:type="dxa"/>
          </w:tcPr>
          <w:p>
            <w:pPr>
              <w:pStyle w:val="0"/>
            </w:pPr>
            <w:r>
              <w:rPr>
                <w:sz w:val="24"/>
              </w:rPr>
            </w:r>
          </w:p>
        </w:tc>
        <w:tc>
          <w:tcPr>
            <w:tcW w:w="2948" w:type="dxa"/>
          </w:tcPr>
          <w:p>
            <w:pPr>
              <w:pStyle w:val="0"/>
            </w:pPr>
            <w:r>
              <w:rPr>
                <w:sz w:val="24"/>
              </w:rPr>
              <w:t xml:space="preserve">ins-dic:Data_Zakl_Dog</w:t>
            </w:r>
          </w:p>
        </w:tc>
      </w:tr>
      <w:tr>
        <w:tc>
          <w:tcPr>
            <w:tcW w:w="907" w:type="dxa"/>
          </w:tcPr>
          <w:p>
            <w:pPr>
              <w:pStyle w:val="0"/>
            </w:pPr>
            <w:r>
              <w:rPr>
                <w:sz w:val="24"/>
              </w:rPr>
              <w:t xml:space="preserve">3.1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579" w:name="P34579"/>
          <w:bookmarkEnd w:id="34579"/>
          <w:p>
            <w:pPr>
              <w:pStyle w:val="0"/>
            </w:pPr>
            <w:r>
              <w:rPr>
                <w:sz w:val="24"/>
              </w:rPr>
              <w:t xml:space="preserve">4</w:t>
            </w:r>
          </w:p>
        </w:tc>
        <w:tc>
          <w:tcPr>
            <w:gridSpan w:val="2"/>
            <w:tcW w:w="2608" w:type="dxa"/>
          </w:tcPr>
          <w:p>
            <w:pPr>
              <w:pStyle w:val="0"/>
            </w:pPr>
            <w:r>
              <w:rPr>
                <w:sz w:val="24"/>
              </w:rPr>
              <w:t xml:space="preserve">Дата начала действия договора</w:t>
            </w:r>
          </w:p>
        </w:tc>
        <w:tc>
          <w:tcPr>
            <w:tcW w:w="2608" w:type="dxa"/>
          </w:tcPr>
          <w:p>
            <w:pPr>
              <w:pStyle w:val="0"/>
            </w:pPr>
            <w:r>
              <w:rPr>
                <w:sz w:val="24"/>
              </w:rPr>
            </w:r>
          </w:p>
        </w:tc>
        <w:tc>
          <w:tcPr>
            <w:tcW w:w="2948" w:type="dxa"/>
          </w:tcPr>
          <w:p>
            <w:pPr>
              <w:pStyle w:val="0"/>
            </w:pPr>
            <w:r>
              <w:rPr>
                <w:sz w:val="24"/>
              </w:rPr>
              <w:t xml:space="preserve">ins-dic:Data_Nach_Dejst_Dog</w:t>
            </w:r>
          </w:p>
        </w:tc>
      </w:tr>
      <w:tr>
        <w:tc>
          <w:tcPr>
            <w:tcW w:w="907" w:type="dxa"/>
          </w:tcPr>
          <w:p>
            <w:pPr>
              <w:pStyle w:val="0"/>
            </w:pPr>
            <w:r>
              <w:rPr>
                <w:sz w:val="24"/>
              </w:rPr>
              <w:t xml:space="preserve">4.1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4.2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591" w:name="P34591"/>
          <w:bookmarkEnd w:id="34591"/>
          <w:p>
            <w:pPr>
              <w:pStyle w:val="0"/>
            </w:pPr>
            <w:r>
              <w:rPr>
                <w:sz w:val="24"/>
              </w:rPr>
              <w:t xml:space="preserve">5</w:t>
            </w:r>
          </w:p>
        </w:tc>
        <w:tc>
          <w:tcPr>
            <w:gridSpan w:val="2"/>
            <w:tcW w:w="2608" w:type="dxa"/>
          </w:tcPr>
          <w:p>
            <w:pPr>
              <w:pStyle w:val="0"/>
            </w:pPr>
            <w:r>
              <w:rPr>
                <w:sz w:val="24"/>
              </w:rPr>
              <w:t xml:space="preserve">Дата окончания срока действия договора</w:t>
            </w:r>
          </w:p>
        </w:tc>
        <w:tc>
          <w:tcPr>
            <w:tcW w:w="2608" w:type="dxa"/>
          </w:tcPr>
          <w:p>
            <w:pPr>
              <w:pStyle w:val="0"/>
            </w:pPr>
            <w:r>
              <w:rPr>
                <w:sz w:val="24"/>
              </w:rPr>
            </w:r>
          </w:p>
        </w:tc>
        <w:tc>
          <w:tcPr>
            <w:tcW w:w="2948" w:type="dxa"/>
          </w:tcPr>
          <w:p>
            <w:pPr>
              <w:pStyle w:val="0"/>
            </w:pPr>
            <w:r>
              <w:rPr>
                <w:sz w:val="24"/>
              </w:rPr>
              <w:t xml:space="preserve">ins-dic:Data_Okonch_Dejst_Dog</w:t>
            </w:r>
          </w:p>
        </w:tc>
      </w:tr>
      <w:tr>
        <w:tc>
          <w:tcPr>
            <w:tcW w:w="907" w:type="dxa"/>
          </w:tcPr>
          <w:p>
            <w:pPr>
              <w:pStyle w:val="0"/>
            </w:pPr>
            <w:r>
              <w:rPr>
                <w:sz w:val="24"/>
              </w:rPr>
              <w:t xml:space="preserve">5.1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5.2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603" w:name="P34603"/>
          <w:bookmarkEnd w:id="34603"/>
          <w:p>
            <w:pPr>
              <w:pStyle w:val="0"/>
            </w:pPr>
            <w:r>
              <w:rPr>
                <w:sz w:val="24"/>
              </w:rPr>
              <w:t xml:space="preserve">6</w:t>
            </w:r>
          </w:p>
        </w:tc>
        <w:tc>
          <w:tcPr>
            <w:gridSpan w:val="2"/>
            <w:tcW w:w="2608" w:type="dxa"/>
          </w:tcPr>
          <w:p>
            <w:pPr>
              <w:pStyle w:val="0"/>
            </w:pPr>
            <w:r>
              <w:rPr>
                <w:sz w:val="24"/>
              </w:rPr>
              <w:t xml:space="preserve">Краткое описание объекта страхования</w:t>
            </w:r>
          </w:p>
        </w:tc>
        <w:tc>
          <w:tcPr>
            <w:tcW w:w="2608" w:type="dxa"/>
          </w:tcPr>
          <w:p>
            <w:pPr>
              <w:pStyle w:val="0"/>
            </w:pPr>
            <w:r>
              <w:rPr>
                <w:sz w:val="24"/>
              </w:rPr>
            </w:r>
          </w:p>
        </w:tc>
        <w:tc>
          <w:tcPr>
            <w:tcW w:w="2948" w:type="dxa"/>
          </w:tcPr>
          <w:p>
            <w:pPr>
              <w:pStyle w:val="0"/>
            </w:pPr>
            <w:r>
              <w:rPr>
                <w:sz w:val="24"/>
              </w:rPr>
              <w:t xml:space="preserve">ins-dic:Kratk_Opis_Obekta_Strax</w:t>
            </w:r>
          </w:p>
        </w:tc>
      </w:tr>
      <w:tr>
        <w:tc>
          <w:tcPr>
            <w:tcW w:w="907" w:type="dxa"/>
          </w:tcPr>
          <w:p>
            <w:pPr>
              <w:pStyle w:val="0"/>
            </w:pPr>
            <w:r>
              <w:rPr>
                <w:sz w:val="24"/>
              </w:rPr>
              <w:t xml:space="preserve">6.1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6.2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615" w:name="P34615"/>
          <w:bookmarkEnd w:id="34615"/>
          <w:p>
            <w:pPr>
              <w:pStyle w:val="0"/>
            </w:pPr>
            <w:r>
              <w:rPr>
                <w:sz w:val="24"/>
              </w:rPr>
              <w:t xml:space="preserve">7</w:t>
            </w:r>
          </w:p>
        </w:tc>
        <w:tc>
          <w:tcPr>
            <w:gridSpan w:val="2"/>
            <w:tcW w:w="2608" w:type="dxa"/>
          </w:tcPr>
          <w:p>
            <w:pPr>
              <w:pStyle w:val="0"/>
            </w:pPr>
            <w:r>
              <w:rPr>
                <w:sz w:val="24"/>
              </w:rPr>
              <w:t xml:space="preserve">Страховая премия по заключенному договору (не более 20 договоров)</w:t>
            </w:r>
          </w:p>
        </w:tc>
        <w:tc>
          <w:tcPr>
            <w:tcW w:w="2608" w:type="dxa"/>
          </w:tcPr>
          <w:p>
            <w:pPr>
              <w:pStyle w:val="0"/>
            </w:pPr>
            <w:r>
              <w:rPr>
                <w:sz w:val="24"/>
              </w:rPr>
            </w:r>
          </w:p>
        </w:tc>
        <w:tc>
          <w:tcPr>
            <w:tcW w:w="2948" w:type="dxa"/>
          </w:tcPr>
          <w:p>
            <w:pPr>
              <w:pStyle w:val="0"/>
            </w:pPr>
            <w:r>
              <w:rPr>
                <w:sz w:val="24"/>
              </w:rPr>
              <w:t xml:space="preserve">ins-dic:Strax_Premiya_Krupnejshie</w:t>
            </w:r>
          </w:p>
        </w:tc>
      </w:tr>
      <w:tr>
        <w:tc>
          <w:tcPr>
            <w:tcW w:w="907" w:type="dxa"/>
          </w:tcPr>
          <w:p>
            <w:pPr>
              <w:pStyle w:val="0"/>
            </w:pPr>
            <w:r>
              <w:rPr>
                <w:sz w:val="24"/>
              </w:rPr>
              <w:t xml:space="preserve">7.1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7.2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627" w:name="P34627"/>
          <w:bookmarkEnd w:id="34627"/>
          <w:p>
            <w:pPr>
              <w:pStyle w:val="0"/>
            </w:pPr>
            <w:r>
              <w:rPr>
                <w:sz w:val="24"/>
              </w:rPr>
              <w:t xml:space="preserve">8</w:t>
            </w:r>
          </w:p>
        </w:tc>
        <w:tc>
          <w:tcPr>
            <w:gridSpan w:val="2"/>
            <w:tcW w:w="2608" w:type="dxa"/>
          </w:tcPr>
          <w:p>
            <w:pPr>
              <w:pStyle w:val="0"/>
            </w:pPr>
            <w:r>
              <w:rPr>
                <w:sz w:val="24"/>
              </w:rPr>
              <w:t xml:space="preserve">Лимит ответственности (страховая сумма)</w:t>
            </w:r>
          </w:p>
        </w:tc>
        <w:tc>
          <w:tcPr>
            <w:tcW w:w="2608" w:type="dxa"/>
          </w:tcPr>
          <w:p>
            <w:pPr>
              <w:pStyle w:val="0"/>
            </w:pPr>
            <w:r>
              <w:rPr>
                <w:sz w:val="24"/>
              </w:rPr>
            </w:r>
          </w:p>
        </w:tc>
        <w:tc>
          <w:tcPr>
            <w:tcW w:w="2948" w:type="dxa"/>
          </w:tcPr>
          <w:p>
            <w:pPr>
              <w:pStyle w:val="0"/>
            </w:pPr>
            <w:r>
              <w:rPr>
                <w:sz w:val="24"/>
              </w:rPr>
              <w:t xml:space="preserve">ins-dic:Maks_Lim_Otv</w:t>
            </w:r>
          </w:p>
        </w:tc>
      </w:tr>
      <w:tr>
        <w:tc>
          <w:tcPr>
            <w:tcW w:w="907" w:type="dxa"/>
          </w:tcPr>
          <w:p>
            <w:pPr>
              <w:pStyle w:val="0"/>
            </w:pPr>
            <w:r>
              <w:rPr>
                <w:sz w:val="24"/>
              </w:rPr>
              <w:t xml:space="preserve">8.1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8.2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639" w:name="P34639"/>
          <w:bookmarkEnd w:id="34639"/>
          <w:p>
            <w:pPr>
              <w:pStyle w:val="0"/>
            </w:pPr>
            <w:r>
              <w:rPr>
                <w:sz w:val="24"/>
              </w:rPr>
              <w:t xml:space="preserve">9</w:t>
            </w:r>
          </w:p>
        </w:tc>
        <w:tc>
          <w:tcPr>
            <w:gridSpan w:val="2"/>
            <w:tcW w:w="2608" w:type="dxa"/>
          </w:tcPr>
          <w:p>
            <w:pPr>
              <w:pStyle w:val="0"/>
            </w:pPr>
            <w:r>
              <w:rPr>
                <w:sz w:val="24"/>
              </w:rPr>
              <w:t xml:space="preserve">Максимальный лимит ответственности (максимальная страховая сумма) по одному страховому событию</w:t>
            </w:r>
          </w:p>
        </w:tc>
        <w:tc>
          <w:tcPr>
            <w:tcW w:w="2608" w:type="dxa"/>
          </w:tcPr>
          <w:p>
            <w:pPr>
              <w:pStyle w:val="0"/>
            </w:pPr>
            <w:r>
              <w:rPr>
                <w:sz w:val="24"/>
              </w:rPr>
            </w:r>
          </w:p>
        </w:tc>
        <w:tc>
          <w:tcPr>
            <w:tcW w:w="2948" w:type="dxa"/>
          </w:tcPr>
          <w:p>
            <w:pPr>
              <w:pStyle w:val="0"/>
            </w:pPr>
            <w:r>
              <w:rPr>
                <w:sz w:val="24"/>
              </w:rPr>
              <w:t xml:space="preserve">ins-dic:Maks_Lim_Otv_Odno_Strax_Sobytie</w:t>
            </w:r>
          </w:p>
        </w:tc>
      </w:tr>
      <w:tr>
        <w:tc>
          <w:tcPr>
            <w:tcW w:w="907" w:type="dxa"/>
          </w:tcPr>
          <w:p>
            <w:pPr>
              <w:pStyle w:val="0"/>
            </w:pPr>
            <w:r>
              <w:rPr>
                <w:sz w:val="24"/>
              </w:rPr>
              <w:t xml:space="preserve">9.1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9.2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651" w:name="P34651"/>
          <w:bookmarkEnd w:id="34651"/>
          <w:p>
            <w:pPr>
              <w:pStyle w:val="0"/>
            </w:pPr>
            <w:r>
              <w:rPr>
                <w:sz w:val="24"/>
              </w:rPr>
              <w:t xml:space="preserve">10</w:t>
            </w:r>
          </w:p>
        </w:tc>
        <w:tc>
          <w:tcPr>
            <w:gridSpan w:val="2"/>
            <w:tcW w:w="2608" w:type="dxa"/>
          </w:tcPr>
          <w:p>
            <w:pPr>
              <w:pStyle w:val="0"/>
            </w:pPr>
            <w:r>
              <w:rPr>
                <w:sz w:val="24"/>
              </w:rPr>
              <w:t xml:space="preserve">Максимальное собственное удержание</w:t>
            </w:r>
          </w:p>
        </w:tc>
        <w:tc>
          <w:tcPr>
            <w:tcW w:w="2608" w:type="dxa"/>
          </w:tcPr>
          <w:p>
            <w:pPr>
              <w:pStyle w:val="0"/>
            </w:pPr>
            <w:r>
              <w:rPr>
                <w:sz w:val="24"/>
              </w:rPr>
            </w:r>
          </w:p>
        </w:tc>
        <w:tc>
          <w:tcPr>
            <w:tcW w:w="2948" w:type="dxa"/>
          </w:tcPr>
          <w:p>
            <w:pPr>
              <w:pStyle w:val="0"/>
            </w:pPr>
            <w:r>
              <w:rPr>
                <w:sz w:val="24"/>
              </w:rPr>
              <w:t xml:space="preserve">ins-dic:Maks_Sobstv_Uderzh</w:t>
            </w:r>
          </w:p>
        </w:tc>
      </w:tr>
      <w:tr>
        <w:tc>
          <w:tcPr>
            <w:tcW w:w="907" w:type="dxa"/>
          </w:tcPr>
          <w:p>
            <w:pPr>
              <w:pStyle w:val="0"/>
            </w:pPr>
            <w:r>
              <w:rPr>
                <w:sz w:val="24"/>
              </w:rPr>
              <w:t xml:space="preserve">10.1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10.2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663" w:name="P34663"/>
          <w:bookmarkEnd w:id="34663"/>
          <w:p>
            <w:pPr>
              <w:pStyle w:val="0"/>
            </w:pPr>
            <w:r>
              <w:rPr>
                <w:sz w:val="24"/>
              </w:rPr>
              <w:t xml:space="preserve">11</w:t>
            </w:r>
          </w:p>
        </w:tc>
        <w:tc>
          <w:tcPr>
            <w:gridSpan w:val="2"/>
            <w:tcW w:w="2608" w:type="dxa"/>
          </w:tcPr>
          <w:p>
            <w:pPr>
              <w:pStyle w:val="0"/>
            </w:pPr>
            <w:r>
              <w:rPr>
                <w:sz w:val="24"/>
              </w:rPr>
              <w:t xml:space="preserve">Страховая премия по договору исходящего перестрахования</w:t>
            </w:r>
          </w:p>
        </w:tc>
        <w:tc>
          <w:tcPr>
            <w:tcW w:w="2608" w:type="dxa"/>
          </w:tcPr>
          <w:p>
            <w:pPr>
              <w:pStyle w:val="0"/>
            </w:pPr>
            <w:r>
              <w:rPr>
                <w:sz w:val="24"/>
              </w:rPr>
            </w:r>
          </w:p>
        </w:tc>
        <w:tc>
          <w:tcPr>
            <w:tcW w:w="2948" w:type="dxa"/>
          </w:tcPr>
          <w:p>
            <w:pPr>
              <w:pStyle w:val="0"/>
            </w:pPr>
            <w:r>
              <w:rPr>
                <w:sz w:val="24"/>
              </w:rPr>
              <w:t xml:space="preserve">ins-dic:Strax_Prem_Per_Perestrax</w:t>
            </w:r>
          </w:p>
        </w:tc>
      </w:tr>
      <w:tr>
        <w:tc>
          <w:tcPr>
            <w:tcW w:w="907" w:type="dxa"/>
          </w:tcPr>
          <w:p>
            <w:pPr>
              <w:pStyle w:val="0"/>
            </w:pPr>
            <w:r>
              <w:rPr>
                <w:sz w:val="24"/>
              </w:rPr>
              <w:t xml:space="preserve">11.1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11.2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dim-int:IDStrlPsITaxis</w:t>
            </w:r>
          </w:p>
        </w:tc>
      </w:tr>
      <w:tr>
        <w:tc>
          <w:tcPr>
            <w:tcW w:w="907" w:type="dxa"/>
          </w:tcPr>
          <w:bookmarkStart w:id="34675" w:name="P34675"/>
          <w:bookmarkEnd w:id="34675"/>
          <w:p>
            <w:pPr>
              <w:pStyle w:val="0"/>
            </w:pPr>
            <w:r>
              <w:rPr>
                <w:sz w:val="24"/>
              </w:rPr>
              <w:t xml:space="preserve">12</w:t>
            </w:r>
          </w:p>
        </w:tc>
        <w:tc>
          <w:tcPr>
            <w:gridSpan w:val="2"/>
            <w:tcW w:w="2608" w:type="dxa"/>
          </w:tcPr>
          <w:p>
            <w:pPr>
              <w:pStyle w:val="0"/>
            </w:pPr>
            <w:r>
              <w:rPr>
                <w:sz w:val="24"/>
              </w:rPr>
              <w:t xml:space="preserve">Лимит ответственности, переданный в перестрахование</w:t>
            </w:r>
          </w:p>
        </w:tc>
        <w:tc>
          <w:tcPr>
            <w:tcW w:w="2608" w:type="dxa"/>
          </w:tcPr>
          <w:p>
            <w:pPr>
              <w:pStyle w:val="0"/>
            </w:pPr>
            <w:r>
              <w:rPr>
                <w:sz w:val="24"/>
              </w:rPr>
            </w:r>
          </w:p>
        </w:tc>
        <w:tc>
          <w:tcPr>
            <w:tcW w:w="2948" w:type="dxa"/>
          </w:tcPr>
          <w:p>
            <w:pPr>
              <w:pStyle w:val="0"/>
            </w:pPr>
            <w:r>
              <w:rPr>
                <w:sz w:val="24"/>
              </w:rPr>
              <w:t xml:space="preserve">ins-dic:Lim_Otv_Per_Perestrax</w:t>
            </w:r>
          </w:p>
        </w:tc>
      </w:tr>
      <w:tr>
        <w:tc>
          <w:tcPr>
            <w:tcW w:w="907" w:type="dxa"/>
          </w:tcPr>
          <w:p>
            <w:pPr>
              <w:pStyle w:val="0"/>
            </w:pPr>
            <w:r>
              <w:rPr>
                <w:sz w:val="24"/>
              </w:rPr>
              <w:t xml:space="preserve">12.1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12.2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bookmarkStart w:id="34687" w:name="P34687"/>
          <w:bookmarkEnd w:id="34687"/>
          <w:p>
            <w:pPr>
              <w:pStyle w:val="0"/>
            </w:pPr>
            <w:r>
              <w:rPr>
                <w:sz w:val="24"/>
              </w:rPr>
              <w:t xml:space="preserve">13</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13.1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13.2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blPrEx>
          <w:tblBorders>
            <w:insideV w:val="nil"/>
          </w:tblBorders>
        </w:tblPrEx>
        <w:tc>
          <w:tcPr>
            <w:gridSpan w:val="2"/>
            <w:tcW w:w="1216" w:type="dxa"/>
            <w:tcBorders>
              <w:left w:val="single" w:sz="4"/>
            </w:tcBorders>
          </w:tcPr>
          <w:bookmarkStart w:id="34699" w:name="P34699"/>
          <w:bookmarkEnd w:id="34699"/>
          <w:p>
            <w:pPr>
              <w:pStyle w:val="0"/>
              <w:outlineLvl w:val="3"/>
            </w:pPr>
            <w:r>
              <w:rPr>
                <w:sz w:val="24"/>
              </w:rPr>
              <w:t xml:space="preserve">Раздел 2.</w:t>
            </w:r>
          </w:p>
        </w:tc>
        <w:tc>
          <w:tcPr>
            <w:gridSpan w:val="3"/>
            <w:tcW w:w="7855" w:type="dxa"/>
            <w:tcBorders>
              <w:right w:val="single" w:sz="4"/>
            </w:tcBorders>
          </w:tcPr>
          <w:p>
            <w:pPr>
              <w:pStyle w:val="0"/>
            </w:pPr>
            <w:r>
              <w:rPr>
                <w:sz w:val="24"/>
              </w:rPr>
              <w:t xml:space="preserve">Договоры страхования, сострахования, заключенные при участии посредников</w:t>
            </w:r>
          </w:p>
        </w:tc>
      </w:tr>
      <w:tr>
        <w:tc>
          <w:tcPr>
            <w:tcW w:w="907" w:type="dxa"/>
          </w:tcPr>
          <w:bookmarkStart w:id="34701" w:name="P34701"/>
          <w:bookmarkEnd w:id="34701"/>
          <w:p>
            <w:pPr>
              <w:pStyle w:val="0"/>
            </w:pPr>
            <w:r>
              <w:rPr>
                <w:sz w:val="24"/>
              </w:rPr>
              <w:t xml:space="preserve">14</w:t>
            </w:r>
          </w:p>
        </w:tc>
        <w:tc>
          <w:tcPr>
            <w:gridSpan w:val="2"/>
            <w:tcW w:w="2608" w:type="dxa"/>
          </w:tcPr>
          <w:p>
            <w:pPr>
              <w:pStyle w:val="0"/>
            </w:pPr>
            <w:r>
              <w:rPr>
                <w:sz w:val="24"/>
              </w:rPr>
              <w:t xml:space="preserve">Страховые премии по договорам, заключенным при участии посредников</w:t>
            </w:r>
          </w:p>
        </w:tc>
        <w:tc>
          <w:tcPr>
            <w:tcW w:w="2608" w:type="dxa"/>
          </w:tcPr>
          <w:p>
            <w:pPr>
              <w:pStyle w:val="0"/>
            </w:pPr>
            <w:r>
              <w:rPr>
                <w:sz w:val="24"/>
              </w:rPr>
            </w:r>
          </w:p>
        </w:tc>
        <w:tc>
          <w:tcPr>
            <w:tcW w:w="2948" w:type="dxa"/>
          </w:tcPr>
          <w:p>
            <w:pPr>
              <w:pStyle w:val="0"/>
            </w:pPr>
            <w:r>
              <w:rPr>
                <w:sz w:val="24"/>
              </w:rPr>
              <w:t xml:space="preserve">ins-dic:Strax_Premiya_Krupnejshie_Posrednik</w:t>
            </w:r>
          </w:p>
        </w:tc>
      </w:tr>
      <w:tr>
        <w:tc>
          <w:tcPr>
            <w:tcW w:w="907" w:type="dxa"/>
          </w:tcPr>
          <w:p>
            <w:pPr>
              <w:pStyle w:val="0"/>
            </w:pPr>
            <w:r>
              <w:rPr>
                <w:sz w:val="24"/>
              </w:rPr>
              <w:t xml:space="preserve">14.1</w:t>
            </w:r>
          </w:p>
        </w:tc>
        <w:tc>
          <w:tcPr>
            <w:gridSpan w:val="2"/>
            <w:tcW w:w="2608" w:type="dxa"/>
          </w:tcPr>
          <w:p>
            <w:pPr>
              <w:pStyle w:val="0"/>
            </w:pPr>
            <w:r>
              <w:rPr>
                <w:sz w:val="24"/>
              </w:rPr>
            </w:r>
          </w:p>
        </w:tc>
        <w:tc>
          <w:tcPr>
            <w:tcW w:w="2608" w:type="dxa"/>
          </w:tcPr>
          <w:p>
            <w:pPr>
              <w:pStyle w:val="0"/>
            </w:pPr>
            <w:r>
              <w:rPr>
                <w:sz w:val="24"/>
              </w:rPr>
              <w:t xml:space="preserve">Типы страхования</w:t>
            </w:r>
          </w:p>
        </w:tc>
        <w:tc>
          <w:tcPr>
            <w:tcW w:w="2948" w:type="dxa"/>
          </w:tcPr>
          <w:p>
            <w:pPr>
              <w:pStyle w:val="0"/>
            </w:pPr>
            <w:r>
              <w:rPr>
                <w:sz w:val="24"/>
              </w:rPr>
              <w:t xml:space="preserve">dim-int:Tipy_Strax_Axis</w:t>
            </w:r>
          </w:p>
        </w:tc>
      </w:tr>
      <w:tr>
        <w:tc>
          <w:tcPr>
            <w:tcW w:w="907" w:type="dxa"/>
          </w:tcPr>
          <w:p>
            <w:pPr>
              <w:pStyle w:val="0"/>
            </w:pPr>
            <w:r>
              <w:rPr>
                <w:sz w:val="24"/>
              </w:rPr>
              <w:t xml:space="preserve">14.2</w:t>
            </w:r>
          </w:p>
        </w:tc>
        <w:tc>
          <w:tcPr>
            <w:gridSpan w:val="2"/>
            <w:tcW w:w="2608" w:type="dxa"/>
          </w:tcPr>
          <w:p>
            <w:pPr>
              <w:pStyle w:val="0"/>
            </w:pPr>
            <w:r>
              <w:rPr>
                <w:sz w:val="24"/>
              </w:rPr>
            </w:r>
          </w:p>
        </w:tc>
        <w:tc>
          <w:tcPr>
            <w:tcW w:w="2608" w:type="dxa"/>
          </w:tcPr>
          <w:p>
            <w:pPr>
              <w:pStyle w:val="0"/>
            </w:pPr>
            <w:r>
              <w:rPr>
                <w:sz w:val="24"/>
              </w:rPr>
              <w:t xml:space="preserve">Идентификатор посредника</w:t>
            </w:r>
          </w:p>
        </w:tc>
        <w:tc>
          <w:tcPr>
            <w:tcW w:w="2948" w:type="dxa"/>
          </w:tcPr>
          <w:p>
            <w:pPr>
              <w:pStyle w:val="0"/>
            </w:pPr>
            <w:r>
              <w:rPr>
                <w:sz w:val="24"/>
              </w:rPr>
              <w:t xml:space="preserve">dim-int:IdPosrednikaTaxis</w:t>
            </w:r>
          </w:p>
        </w:tc>
      </w:tr>
      <w:tr>
        <w:tc>
          <w:tcPr>
            <w:tcW w:w="907" w:type="dxa"/>
          </w:tcPr>
          <w:bookmarkStart w:id="34713" w:name="P34713"/>
          <w:bookmarkEnd w:id="34713"/>
          <w:p>
            <w:pPr>
              <w:pStyle w:val="0"/>
            </w:pPr>
            <w:r>
              <w:rPr>
                <w:sz w:val="24"/>
              </w:rPr>
              <w:t xml:space="preserve">15</w:t>
            </w:r>
          </w:p>
        </w:tc>
        <w:tc>
          <w:tcPr>
            <w:gridSpan w:val="2"/>
            <w:tcW w:w="2608" w:type="dxa"/>
          </w:tcPr>
          <w:p>
            <w:pPr>
              <w:pStyle w:val="0"/>
            </w:pPr>
            <w:r>
              <w:rPr>
                <w:sz w:val="24"/>
              </w:rPr>
              <w:t xml:space="preserve">Вознаграждение посредникам за заключение договоров, оказание услуг, связанных с их заключением</w:t>
            </w:r>
          </w:p>
        </w:tc>
        <w:tc>
          <w:tcPr>
            <w:tcW w:w="2608" w:type="dxa"/>
          </w:tcPr>
          <w:p>
            <w:pPr>
              <w:pStyle w:val="0"/>
            </w:pPr>
            <w:r>
              <w:rPr>
                <w:sz w:val="24"/>
              </w:rPr>
            </w:r>
          </w:p>
        </w:tc>
        <w:tc>
          <w:tcPr>
            <w:tcW w:w="2948" w:type="dxa"/>
          </w:tcPr>
          <w:p>
            <w:pPr>
              <w:pStyle w:val="0"/>
            </w:pPr>
            <w:r>
              <w:rPr>
                <w:sz w:val="24"/>
              </w:rPr>
              <w:t xml:space="preserve">ins-dic:Voznagrazhdenie_Zaklyuch_Dog_Krupnejshie_Posrednik</w:t>
            </w:r>
          </w:p>
        </w:tc>
      </w:tr>
      <w:tr>
        <w:tc>
          <w:tcPr>
            <w:tcW w:w="907" w:type="dxa"/>
          </w:tcPr>
          <w:p>
            <w:pPr>
              <w:pStyle w:val="0"/>
            </w:pPr>
            <w:r>
              <w:rPr>
                <w:sz w:val="24"/>
              </w:rPr>
              <w:t xml:space="preserve">15.1</w:t>
            </w:r>
          </w:p>
        </w:tc>
        <w:tc>
          <w:tcPr>
            <w:gridSpan w:val="2"/>
            <w:tcW w:w="2608" w:type="dxa"/>
          </w:tcPr>
          <w:p>
            <w:pPr>
              <w:pStyle w:val="0"/>
            </w:pPr>
            <w:r>
              <w:rPr>
                <w:sz w:val="24"/>
              </w:rPr>
            </w:r>
          </w:p>
        </w:tc>
        <w:tc>
          <w:tcPr>
            <w:tcW w:w="2608" w:type="dxa"/>
          </w:tcPr>
          <w:p>
            <w:pPr>
              <w:pStyle w:val="0"/>
            </w:pPr>
            <w:r>
              <w:rPr>
                <w:sz w:val="24"/>
              </w:rPr>
              <w:t xml:space="preserve">Типы страхования</w:t>
            </w:r>
          </w:p>
        </w:tc>
        <w:tc>
          <w:tcPr>
            <w:tcW w:w="2948" w:type="dxa"/>
          </w:tcPr>
          <w:p>
            <w:pPr>
              <w:pStyle w:val="0"/>
            </w:pPr>
            <w:r>
              <w:rPr>
                <w:sz w:val="24"/>
              </w:rPr>
              <w:t xml:space="preserve">dim-int:Tipy_Strax_Axis</w:t>
            </w:r>
          </w:p>
        </w:tc>
      </w:tr>
      <w:tr>
        <w:tc>
          <w:tcPr>
            <w:tcW w:w="907" w:type="dxa"/>
          </w:tcPr>
          <w:p>
            <w:pPr>
              <w:pStyle w:val="0"/>
            </w:pPr>
            <w:r>
              <w:rPr>
                <w:sz w:val="24"/>
              </w:rPr>
              <w:t xml:space="preserve">15.2</w:t>
            </w:r>
          </w:p>
        </w:tc>
        <w:tc>
          <w:tcPr>
            <w:gridSpan w:val="2"/>
            <w:tcW w:w="2608" w:type="dxa"/>
          </w:tcPr>
          <w:p>
            <w:pPr>
              <w:pStyle w:val="0"/>
            </w:pPr>
            <w:r>
              <w:rPr>
                <w:sz w:val="24"/>
              </w:rPr>
            </w:r>
          </w:p>
        </w:tc>
        <w:tc>
          <w:tcPr>
            <w:tcW w:w="2608" w:type="dxa"/>
          </w:tcPr>
          <w:p>
            <w:pPr>
              <w:pStyle w:val="0"/>
            </w:pPr>
            <w:r>
              <w:rPr>
                <w:sz w:val="24"/>
              </w:rPr>
              <w:t xml:space="preserve">Идентификатор посредника</w:t>
            </w:r>
          </w:p>
        </w:tc>
        <w:tc>
          <w:tcPr>
            <w:tcW w:w="2948" w:type="dxa"/>
          </w:tcPr>
          <w:p>
            <w:pPr>
              <w:pStyle w:val="0"/>
            </w:pPr>
            <w:r>
              <w:rPr>
                <w:sz w:val="24"/>
              </w:rPr>
              <w:t xml:space="preserve">dim-int:IdPosrednikaTaxis</w:t>
            </w:r>
          </w:p>
        </w:tc>
      </w:tr>
      <w:tr>
        <w:tblPrEx>
          <w:tblBorders>
            <w:insideV w:val="nil"/>
          </w:tblBorders>
        </w:tblPrEx>
        <w:tc>
          <w:tcPr>
            <w:gridSpan w:val="2"/>
            <w:tcW w:w="1216" w:type="dxa"/>
            <w:tcBorders>
              <w:left w:val="single" w:sz="4"/>
            </w:tcBorders>
          </w:tcPr>
          <w:bookmarkStart w:id="34725" w:name="P34725"/>
          <w:bookmarkEnd w:id="34725"/>
          <w:p>
            <w:pPr>
              <w:pStyle w:val="0"/>
              <w:outlineLvl w:val="3"/>
            </w:pPr>
            <w:r>
              <w:rPr>
                <w:sz w:val="24"/>
              </w:rPr>
              <w:t xml:space="preserve">Раздел 3.</w:t>
            </w:r>
          </w:p>
        </w:tc>
        <w:tc>
          <w:tcPr>
            <w:gridSpan w:val="3"/>
            <w:tcW w:w="7855" w:type="dxa"/>
            <w:tcBorders>
              <w:right w:val="single" w:sz="4"/>
            </w:tcBorders>
          </w:tcPr>
          <w:p>
            <w:pPr>
              <w:pStyle w:val="0"/>
            </w:pPr>
            <w:r>
              <w:rPr>
                <w:sz w:val="24"/>
              </w:rPr>
              <w:t xml:space="preserve">Страховые выплаты по договорам страхования, сострахования и входящего перестрахования</w:t>
            </w:r>
          </w:p>
        </w:tc>
      </w:tr>
      <w:tr>
        <w:tc>
          <w:tcPr>
            <w:tcW w:w="907" w:type="dxa"/>
          </w:tcPr>
          <w:bookmarkStart w:id="34727" w:name="P34727"/>
          <w:bookmarkEnd w:id="34727"/>
          <w:p>
            <w:pPr>
              <w:pStyle w:val="0"/>
            </w:pPr>
            <w:r>
              <w:rPr>
                <w:sz w:val="24"/>
              </w:rPr>
              <w:t xml:space="preserve">16</w:t>
            </w:r>
          </w:p>
        </w:tc>
        <w:tc>
          <w:tcPr>
            <w:gridSpan w:val="2"/>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ins-dic:PerechenUchetGruppEnumerator2</w:t>
            </w:r>
          </w:p>
        </w:tc>
      </w:tr>
      <w:tr>
        <w:tc>
          <w:tcPr>
            <w:tcW w:w="907" w:type="dxa"/>
          </w:tcPr>
          <w:p>
            <w:pPr>
              <w:pStyle w:val="0"/>
            </w:pPr>
            <w:r>
              <w:rPr>
                <w:sz w:val="24"/>
              </w:rPr>
              <w:t xml:space="preserve">16.1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16.2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16.3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743" w:name="P34743"/>
          <w:bookmarkEnd w:id="34743"/>
          <w:p>
            <w:pPr>
              <w:pStyle w:val="0"/>
            </w:pPr>
            <w:r>
              <w:rPr>
                <w:sz w:val="24"/>
              </w:rPr>
              <w:t xml:space="preserve">17</w:t>
            </w:r>
          </w:p>
        </w:tc>
        <w:tc>
          <w:tcPr>
            <w:gridSpan w:val="2"/>
            <w:tcW w:w="2608" w:type="dxa"/>
          </w:tcPr>
          <w:p>
            <w:pPr>
              <w:pStyle w:val="0"/>
            </w:pPr>
            <w:r>
              <w:rPr>
                <w:sz w:val="24"/>
              </w:rPr>
              <w:t xml:space="preserve">Номер договора</w:t>
            </w:r>
          </w:p>
        </w:tc>
        <w:tc>
          <w:tcPr>
            <w:tcW w:w="2608" w:type="dxa"/>
          </w:tcPr>
          <w:p>
            <w:pPr>
              <w:pStyle w:val="0"/>
            </w:pPr>
            <w:r>
              <w:rPr>
                <w:sz w:val="24"/>
              </w:rPr>
            </w:r>
          </w:p>
        </w:tc>
        <w:tc>
          <w:tcPr>
            <w:tcW w:w="2948" w:type="dxa"/>
          </w:tcPr>
          <w:p>
            <w:pPr>
              <w:pStyle w:val="0"/>
            </w:pPr>
            <w:r>
              <w:rPr>
                <w:sz w:val="24"/>
              </w:rPr>
              <w:t xml:space="preserve">ins-dic:Nomer_Dog</w:t>
            </w:r>
          </w:p>
        </w:tc>
      </w:tr>
      <w:tr>
        <w:tc>
          <w:tcPr>
            <w:tcW w:w="907" w:type="dxa"/>
          </w:tcPr>
          <w:p>
            <w:pPr>
              <w:pStyle w:val="0"/>
            </w:pPr>
            <w:r>
              <w:rPr>
                <w:sz w:val="24"/>
              </w:rPr>
              <w:t xml:space="preserve">17.1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17.2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17.3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759" w:name="P34759"/>
          <w:bookmarkEnd w:id="34759"/>
          <w:p>
            <w:pPr>
              <w:pStyle w:val="0"/>
            </w:pPr>
            <w:r>
              <w:rPr>
                <w:sz w:val="24"/>
              </w:rPr>
              <w:t xml:space="preserve">18</w:t>
            </w:r>
          </w:p>
        </w:tc>
        <w:tc>
          <w:tcPr>
            <w:gridSpan w:val="2"/>
            <w:tcW w:w="2608" w:type="dxa"/>
          </w:tcPr>
          <w:p>
            <w:pPr>
              <w:pStyle w:val="0"/>
            </w:pPr>
            <w:r>
              <w:rPr>
                <w:sz w:val="24"/>
              </w:rPr>
              <w:t xml:space="preserve">Дата заключения договора</w:t>
            </w:r>
          </w:p>
        </w:tc>
        <w:tc>
          <w:tcPr>
            <w:tcW w:w="2608" w:type="dxa"/>
          </w:tcPr>
          <w:p>
            <w:pPr>
              <w:pStyle w:val="0"/>
            </w:pPr>
            <w:r>
              <w:rPr>
                <w:sz w:val="24"/>
              </w:rPr>
            </w:r>
          </w:p>
        </w:tc>
        <w:tc>
          <w:tcPr>
            <w:tcW w:w="2948" w:type="dxa"/>
          </w:tcPr>
          <w:p>
            <w:pPr>
              <w:pStyle w:val="0"/>
            </w:pPr>
            <w:r>
              <w:rPr>
                <w:sz w:val="24"/>
              </w:rPr>
              <w:t xml:space="preserve">ins-dic:Data_Zakl_Dog</w:t>
            </w:r>
          </w:p>
        </w:tc>
      </w:tr>
      <w:tr>
        <w:tc>
          <w:tcPr>
            <w:tcW w:w="907" w:type="dxa"/>
          </w:tcPr>
          <w:p>
            <w:pPr>
              <w:pStyle w:val="0"/>
            </w:pPr>
            <w:r>
              <w:rPr>
                <w:sz w:val="24"/>
              </w:rPr>
              <w:t xml:space="preserve">18.1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18.2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18.3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775" w:name="P34775"/>
          <w:bookmarkEnd w:id="34775"/>
          <w:p>
            <w:pPr>
              <w:pStyle w:val="0"/>
            </w:pPr>
            <w:r>
              <w:rPr>
                <w:sz w:val="24"/>
              </w:rPr>
              <w:t xml:space="preserve">19</w:t>
            </w:r>
          </w:p>
        </w:tc>
        <w:tc>
          <w:tcPr>
            <w:gridSpan w:val="2"/>
            <w:tcW w:w="2608" w:type="dxa"/>
          </w:tcPr>
          <w:p>
            <w:pPr>
              <w:pStyle w:val="0"/>
            </w:pPr>
            <w:r>
              <w:rPr>
                <w:sz w:val="24"/>
              </w:rPr>
              <w:t xml:space="preserve">Дата начала действия договора</w:t>
            </w:r>
          </w:p>
        </w:tc>
        <w:tc>
          <w:tcPr>
            <w:tcW w:w="2608" w:type="dxa"/>
          </w:tcPr>
          <w:p>
            <w:pPr>
              <w:pStyle w:val="0"/>
            </w:pPr>
            <w:r>
              <w:rPr>
                <w:sz w:val="24"/>
              </w:rPr>
            </w:r>
          </w:p>
        </w:tc>
        <w:tc>
          <w:tcPr>
            <w:tcW w:w="2948" w:type="dxa"/>
          </w:tcPr>
          <w:p>
            <w:pPr>
              <w:pStyle w:val="0"/>
            </w:pPr>
            <w:r>
              <w:rPr>
                <w:sz w:val="24"/>
              </w:rPr>
              <w:t xml:space="preserve">ins-dic:Data_Nach_Dejst_Dog</w:t>
            </w:r>
          </w:p>
        </w:tc>
      </w:tr>
      <w:tr>
        <w:tc>
          <w:tcPr>
            <w:tcW w:w="907" w:type="dxa"/>
          </w:tcPr>
          <w:p>
            <w:pPr>
              <w:pStyle w:val="0"/>
            </w:pPr>
            <w:r>
              <w:rPr>
                <w:sz w:val="24"/>
              </w:rPr>
              <w:t xml:space="preserve">19.1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19.2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19.3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791" w:name="P34791"/>
          <w:bookmarkEnd w:id="34791"/>
          <w:p>
            <w:pPr>
              <w:pStyle w:val="0"/>
            </w:pPr>
            <w:r>
              <w:rPr>
                <w:sz w:val="24"/>
              </w:rPr>
              <w:t xml:space="preserve">20</w:t>
            </w:r>
          </w:p>
        </w:tc>
        <w:tc>
          <w:tcPr>
            <w:gridSpan w:val="2"/>
            <w:tcW w:w="2608" w:type="dxa"/>
          </w:tcPr>
          <w:p>
            <w:pPr>
              <w:pStyle w:val="0"/>
            </w:pPr>
            <w:r>
              <w:rPr>
                <w:sz w:val="24"/>
              </w:rPr>
              <w:t xml:space="preserve">Дата окончания срока действия договора</w:t>
            </w:r>
          </w:p>
        </w:tc>
        <w:tc>
          <w:tcPr>
            <w:tcW w:w="2608" w:type="dxa"/>
          </w:tcPr>
          <w:p>
            <w:pPr>
              <w:pStyle w:val="0"/>
            </w:pPr>
            <w:r>
              <w:rPr>
                <w:sz w:val="24"/>
              </w:rPr>
            </w:r>
          </w:p>
        </w:tc>
        <w:tc>
          <w:tcPr>
            <w:tcW w:w="2948" w:type="dxa"/>
          </w:tcPr>
          <w:p>
            <w:pPr>
              <w:pStyle w:val="0"/>
            </w:pPr>
            <w:r>
              <w:rPr>
                <w:sz w:val="24"/>
              </w:rPr>
              <w:t xml:space="preserve">ins-dic:Data_Okonch_Dejst_Dog</w:t>
            </w:r>
          </w:p>
        </w:tc>
      </w:tr>
      <w:tr>
        <w:tc>
          <w:tcPr>
            <w:tcW w:w="907" w:type="dxa"/>
          </w:tcPr>
          <w:p>
            <w:pPr>
              <w:pStyle w:val="0"/>
            </w:pPr>
            <w:r>
              <w:rPr>
                <w:sz w:val="24"/>
              </w:rPr>
              <w:t xml:space="preserve">20.1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20.2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20.3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807" w:name="P34807"/>
          <w:bookmarkEnd w:id="34807"/>
          <w:p>
            <w:pPr>
              <w:pStyle w:val="0"/>
            </w:pPr>
            <w:r>
              <w:rPr>
                <w:sz w:val="24"/>
              </w:rPr>
              <w:t xml:space="preserve">21</w:t>
            </w:r>
          </w:p>
        </w:tc>
        <w:tc>
          <w:tcPr>
            <w:gridSpan w:val="2"/>
            <w:tcW w:w="2608" w:type="dxa"/>
          </w:tcPr>
          <w:p>
            <w:pPr>
              <w:pStyle w:val="0"/>
            </w:pPr>
            <w:r>
              <w:rPr>
                <w:sz w:val="24"/>
              </w:rPr>
              <w:t xml:space="preserve">Краткое описание объекта страхования</w:t>
            </w:r>
          </w:p>
        </w:tc>
        <w:tc>
          <w:tcPr>
            <w:tcW w:w="2608" w:type="dxa"/>
          </w:tcPr>
          <w:p>
            <w:pPr>
              <w:pStyle w:val="0"/>
            </w:pPr>
            <w:r>
              <w:rPr>
                <w:sz w:val="24"/>
              </w:rPr>
            </w:r>
          </w:p>
        </w:tc>
        <w:tc>
          <w:tcPr>
            <w:tcW w:w="2948" w:type="dxa"/>
          </w:tcPr>
          <w:p>
            <w:pPr>
              <w:pStyle w:val="0"/>
            </w:pPr>
            <w:r>
              <w:rPr>
                <w:sz w:val="24"/>
              </w:rPr>
              <w:t xml:space="preserve">ins-dic:Kratk_Opis_Obekta_Strax</w:t>
            </w:r>
          </w:p>
        </w:tc>
      </w:tr>
      <w:tr>
        <w:tc>
          <w:tcPr>
            <w:tcW w:w="907" w:type="dxa"/>
          </w:tcPr>
          <w:p>
            <w:pPr>
              <w:pStyle w:val="0"/>
            </w:pPr>
            <w:r>
              <w:rPr>
                <w:sz w:val="24"/>
              </w:rPr>
              <w:t xml:space="preserve">21.1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21.2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21.3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823" w:name="P34823"/>
          <w:bookmarkEnd w:id="34823"/>
          <w:p>
            <w:pPr>
              <w:pStyle w:val="0"/>
            </w:pPr>
            <w:r>
              <w:rPr>
                <w:sz w:val="24"/>
              </w:rPr>
              <w:t xml:space="preserve">22</w:t>
            </w:r>
          </w:p>
        </w:tc>
        <w:tc>
          <w:tcPr>
            <w:gridSpan w:val="2"/>
            <w:tcW w:w="2608" w:type="dxa"/>
          </w:tcPr>
          <w:p>
            <w:pPr>
              <w:pStyle w:val="0"/>
            </w:pPr>
            <w:r>
              <w:rPr>
                <w:sz w:val="24"/>
              </w:rPr>
              <w:t xml:space="preserve">Сумма страховой выплаты (не более 20 договоров)</w:t>
            </w:r>
          </w:p>
        </w:tc>
        <w:tc>
          <w:tcPr>
            <w:tcW w:w="2608" w:type="dxa"/>
          </w:tcPr>
          <w:p>
            <w:pPr>
              <w:pStyle w:val="0"/>
            </w:pPr>
            <w:r>
              <w:rPr>
                <w:sz w:val="24"/>
              </w:rPr>
            </w:r>
          </w:p>
        </w:tc>
        <w:tc>
          <w:tcPr>
            <w:tcW w:w="2948" w:type="dxa"/>
          </w:tcPr>
          <w:p>
            <w:pPr>
              <w:pStyle w:val="0"/>
            </w:pPr>
            <w:r>
              <w:rPr>
                <w:sz w:val="24"/>
              </w:rPr>
              <w:t xml:space="preserve">ins-dic:Summa_Strax_Vypl</w:t>
            </w:r>
          </w:p>
        </w:tc>
      </w:tr>
      <w:tr>
        <w:tc>
          <w:tcPr>
            <w:tcW w:w="907" w:type="dxa"/>
          </w:tcPr>
          <w:p>
            <w:pPr>
              <w:pStyle w:val="0"/>
            </w:pPr>
            <w:r>
              <w:rPr>
                <w:sz w:val="24"/>
              </w:rPr>
              <w:t xml:space="preserve">22.1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22.2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22.3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839" w:name="P34839"/>
          <w:bookmarkEnd w:id="34839"/>
          <w:p>
            <w:pPr>
              <w:pStyle w:val="0"/>
            </w:pPr>
            <w:r>
              <w:rPr>
                <w:sz w:val="24"/>
              </w:rPr>
              <w:t xml:space="preserve">23</w:t>
            </w:r>
          </w:p>
        </w:tc>
        <w:tc>
          <w:tcPr>
            <w:gridSpan w:val="2"/>
            <w:tcW w:w="2608" w:type="dxa"/>
          </w:tcPr>
          <w:p>
            <w:pPr>
              <w:pStyle w:val="0"/>
            </w:pPr>
            <w:r>
              <w:rPr>
                <w:sz w:val="24"/>
              </w:rPr>
              <w:t xml:space="preserve">Страховая выплата по договору исходящего перестрахования</w:t>
            </w:r>
          </w:p>
        </w:tc>
        <w:tc>
          <w:tcPr>
            <w:tcW w:w="2608" w:type="dxa"/>
          </w:tcPr>
          <w:p>
            <w:pPr>
              <w:pStyle w:val="0"/>
            </w:pPr>
            <w:r>
              <w:rPr>
                <w:sz w:val="24"/>
              </w:rPr>
            </w:r>
          </w:p>
        </w:tc>
        <w:tc>
          <w:tcPr>
            <w:tcW w:w="2948" w:type="dxa"/>
          </w:tcPr>
          <w:p>
            <w:pPr>
              <w:pStyle w:val="0"/>
            </w:pPr>
            <w:r>
              <w:rPr>
                <w:sz w:val="24"/>
              </w:rPr>
              <w:t xml:space="preserve">ins-dic:Dolya_Psk_Strax_Vypl</w:t>
            </w:r>
          </w:p>
        </w:tc>
      </w:tr>
      <w:tr>
        <w:tc>
          <w:tcPr>
            <w:tcW w:w="907" w:type="dxa"/>
          </w:tcPr>
          <w:p>
            <w:pPr>
              <w:pStyle w:val="0"/>
            </w:pPr>
            <w:r>
              <w:rPr>
                <w:sz w:val="24"/>
              </w:rPr>
              <w:t xml:space="preserve">23.1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23.2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23.3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855" w:name="P34855"/>
          <w:bookmarkEnd w:id="34855"/>
          <w:p>
            <w:pPr>
              <w:pStyle w:val="0"/>
            </w:pPr>
            <w:r>
              <w:rPr>
                <w:sz w:val="24"/>
              </w:rPr>
              <w:t xml:space="preserve">24</w:t>
            </w:r>
          </w:p>
        </w:tc>
        <w:tc>
          <w:tcPr>
            <w:gridSpan w:val="2"/>
            <w:tcW w:w="2608" w:type="dxa"/>
          </w:tcPr>
          <w:p>
            <w:pPr>
              <w:pStyle w:val="0"/>
            </w:pPr>
            <w:r>
              <w:rPr>
                <w:sz w:val="24"/>
              </w:rPr>
              <w:t xml:space="preserve">Краткое описание страхового случая</w:t>
            </w:r>
          </w:p>
        </w:tc>
        <w:tc>
          <w:tcPr>
            <w:tcW w:w="2608" w:type="dxa"/>
          </w:tcPr>
          <w:p>
            <w:pPr>
              <w:pStyle w:val="0"/>
            </w:pPr>
            <w:r>
              <w:rPr>
                <w:sz w:val="24"/>
              </w:rPr>
            </w:r>
          </w:p>
        </w:tc>
        <w:tc>
          <w:tcPr>
            <w:tcW w:w="2948" w:type="dxa"/>
          </w:tcPr>
          <w:p>
            <w:pPr>
              <w:pStyle w:val="0"/>
            </w:pPr>
            <w:r>
              <w:rPr>
                <w:sz w:val="24"/>
              </w:rPr>
              <w:t xml:space="preserve">ins-dic:Kratk_Opis_Strax_Sluch</w:t>
            </w:r>
          </w:p>
        </w:tc>
      </w:tr>
      <w:tr>
        <w:tc>
          <w:tcPr>
            <w:tcW w:w="907" w:type="dxa"/>
          </w:tcPr>
          <w:p>
            <w:pPr>
              <w:pStyle w:val="0"/>
            </w:pPr>
            <w:r>
              <w:rPr>
                <w:sz w:val="24"/>
              </w:rPr>
              <w:t xml:space="preserve">24.1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24.2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24.3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c>
          <w:tcPr>
            <w:tcW w:w="907" w:type="dxa"/>
          </w:tcPr>
          <w:bookmarkStart w:id="34871" w:name="P34871"/>
          <w:bookmarkEnd w:id="34871"/>
          <w:p>
            <w:pPr>
              <w:pStyle w:val="0"/>
            </w:pPr>
            <w:r>
              <w:rPr>
                <w:sz w:val="24"/>
              </w:rPr>
              <w:t xml:space="preserve">25</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25.1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25.2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25.3</w:t>
            </w:r>
          </w:p>
        </w:tc>
        <w:tc>
          <w:tcPr>
            <w:gridSpan w:val="2"/>
            <w:tcW w:w="2608" w:type="dxa"/>
          </w:tcPr>
          <w:p>
            <w:pPr>
              <w:pStyle w:val="0"/>
            </w:pPr>
            <w:r>
              <w:rPr>
                <w:sz w:val="24"/>
              </w:rPr>
            </w:r>
          </w:p>
        </w:tc>
        <w:tc>
          <w:tcPr>
            <w:tcW w:w="2608" w:type="dxa"/>
          </w:tcPr>
          <w:p>
            <w:pPr>
              <w:pStyle w:val="0"/>
            </w:pPr>
            <w:r>
              <w:rPr>
                <w:sz w:val="24"/>
              </w:rPr>
              <w:t xml:space="preserve">Идентификатор страховой выплаты</w:t>
            </w:r>
          </w:p>
        </w:tc>
        <w:tc>
          <w:tcPr>
            <w:tcW w:w="2948" w:type="dxa"/>
          </w:tcPr>
          <w:p>
            <w:pPr>
              <w:pStyle w:val="0"/>
            </w:pPr>
            <w:r>
              <w:rPr>
                <w:sz w:val="24"/>
              </w:rPr>
              <w:t xml:space="preserve">dim-int:IdStraxVyplatyTaxis</w:t>
            </w:r>
          </w:p>
        </w:tc>
      </w:tr>
      <w:tr>
        <w:tblPrEx>
          <w:tblBorders>
            <w:insideV w:val="nil"/>
          </w:tblBorders>
        </w:tblPrEx>
        <w:tc>
          <w:tcPr>
            <w:gridSpan w:val="2"/>
            <w:tcW w:w="1216" w:type="dxa"/>
            <w:tcBorders>
              <w:left w:val="single" w:sz="4"/>
            </w:tcBorders>
          </w:tcPr>
          <w:bookmarkStart w:id="34887" w:name="P34887"/>
          <w:bookmarkEnd w:id="34887"/>
          <w:p>
            <w:pPr>
              <w:pStyle w:val="0"/>
              <w:outlineLvl w:val="3"/>
            </w:pPr>
            <w:r>
              <w:rPr>
                <w:sz w:val="24"/>
              </w:rPr>
              <w:t xml:space="preserve">Раздел 4.</w:t>
            </w:r>
          </w:p>
        </w:tc>
        <w:tc>
          <w:tcPr>
            <w:gridSpan w:val="3"/>
            <w:tcW w:w="7855" w:type="dxa"/>
            <w:tcBorders>
              <w:right w:val="single" w:sz="4"/>
            </w:tcBorders>
          </w:tcPr>
          <w:p>
            <w:pPr>
              <w:pStyle w:val="0"/>
            </w:pPr>
            <w:r>
              <w:rPr>
                <w:sz w:val="24"/>
              </w:rPr>
              <w:t xml:space="preserve">Вспомогательная величина ЗНУ по договорам страхования, сострахования и входящего перестрахования</w:t>
            </w:r>
          </w:p>
        </w:tc>
      </w:tr>
      <w:tr>
        <w:tc>
          <w:tcPr>
            <w:tcW w:w="907" w:type="dxa"/>
          </w:tcPr>
          <w:bookmarkStart w:id="34889" w:name="P34889"/>
          <w:bookmarkEnd w:id="34889"/>
          <w:p>
            <w:pPr>
              <w:pStyle w:val="0"/>
            </w:pPr>
            <w:r>
              <w:rPr>
                <w:sz w:val="24"/>
              </w:rPr>
              <w:t xml:space="preserve">26</w:t>
            </w:r>
          </w:p>
        </w:tc>
        <w:tc>
          <w:tcPr>
            <w:gridSpan w:val="2"/>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ins-dic:PerechenUchetGruppEnumerator2</w:t>
            </w:r>
          </w:p>
        </w:tc>
      </w:tr>
      <w:tr>
        <w:tc>
          <w:tcPr>
            <w:tcW w:w="907" w:type="dxa"/>
          </w:tcPr>
          <w:p>
            <w:pPr>
              <w:pStyle w:val="0"/>
            </w:pPr>
            <w:r>
              <w:rPr>
                <w:sz w:val="24"/>
              </w:rPr>
              <w:t xml:space="preserve">26.1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26.2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26.3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4905" w:name="P34905"/>
          <w:bookmarkEnd w:id="34905"/>
          <w:p>
            <w:pPr>
              <w:pStyle w:val="0"/>
            </w:pPr>
            <w:r>
              <w:rPr>
                <w:sz w:val="24"/>
              </w:rPr>
              <w:t xml:space="preserve">27</w:t>
            </w:r>
          </w:p>
        </w:tc>
        <w:tc>
          <w:tcPr>
            <w:gridSpan w:val="2"/>
            <w:tcW w:w="2608" w:type="dxa"/>
          </w:tcPr>
          <w:p>
            <w:pPr>
              <w:pStyle w:val="0"/>
            </w:pPr>
            <w:r>
              <w:rPr>
                <w:sz w:val="24"/>
              </w:rPr>
              <w:t xml:space="preserve">Номер договора</w:t>
            </w:r>
          </w:p>
        </w:tc>
        <w:tc>
          <w:tcPr>
            <w:tcW w:w="2608" w:type="dxa"/>
          </w:tcPr>
          <w:p>
            <w:pPr>
              <w:pStyle w:val="0"/>
            </w:pPr>
            <w:r>
              <w:rPr>
                <w:sz w:val="24"/>
              </w:rPr>
            </w:r>
          </w:p>
        </w:tc>
        <w:tc>
          <w:tcPr>
            <w:tcW w:w="2948" w:type="dxa"/>
          </w:tcPr>
          <w:p>
            <w:pPr>
              <w:pStyle w:val="0"/>
            </w:pPr>
            <w:r>
              <w:rPr>
                <w:sz w:val="24"/>
              </w:rPr>
              <w:t xml:space="preserve">ins-dic:Nomer_Dog</w:t>
            </w:r>
          </w:p>
        </w:tc>
      </w:tr>
      <w:tr>
        <w:tc>
          <w:tcPr>
            <w:tcW w:w="907" w:type="dxa"/>
          </w:tcPr>
          <w:p>
            <w:pPr>
              <w:pStyle w:val="0"/>
            </w:pPr>
            <w:r>
              <w:rPr>
                <w:sz w:val="24"/>
              </w:rPr>
              <w:t xml:space="preserve">27.1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27.2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27.3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4921" w:name="P34921"/>
          <w:bookmarkEnd w:id="34921"/>
          <w:p>
            <w:pPr>
              <w:pStyle w:val="0"/>
            </w:pPr>
            <w:r>
              <w:rPr>
                <w:sz w:val="24"/>
              </w:rPr>
              <w:t xml:space="preserve">28</w:t>
            </w:r>
          </w:p>
        </w:tc>
        <w:tc>
          <w:tcPr>
            <w:gridSpan w:val="2"/>
            <w:tcW w:w="2608" w:type="dxa"/>
          </w:tcPr>
          <w:p>
            <w:pPr>
              <w:pStyle w:val="0"/>
            </w:pPr>
            <w:r>
              <w:rPr>
                <w:sz w:val="24"/>
              </w:rPr>
              <w:t xml:space="preserve">Дата заключения договора</w:t>
            </w:r>
          </w:p>
        </w:tc>
        <w:tc>
          <w:tcPr>
            <w:tcW w:w="2608" w:type="dxa"/>
          </w:tcPr>
          <w:p>
            <w:pPr>
              <w:pStyle w:val="0"/>
            </w:pPr>
            <w:r>
              <w:rPr>
                <w:sz w:val="24"/>
              </w:rPr>
            </w:r>
          </w:p>
        </w:tc>
        <w:tc>
          <w:tcPr>
            <w:tcW w:w="2948" w:type="dxa"/>
          </w:tcPr>
          <w:p>
            <w:pPr>
              <w:pStyle w:val="0"/>
            </w:pPr>
            <w:r>
              <w:rPr>
                <w:sz w:val="24"/>
              </w:rPr>
              <w:t xml:space="preserve">ins-dic:DataZaklDog</w:t>
            </w:r>
          </w:p>
        </w:tc>
      </w:tr>
      <w:tr>
        <w:tc>
          <w:tcPr>
            <w:tcW w:w="907" w:type="dxa"/>
          </w:tcPr>
          <w:p>
            <w:pPr>
              <w:pStyle w:val="0"/>
            </w:pPr>
            <w:r>
              <w:rPr>
                <w:sz w:val="24"/>
              </w:rPr>
              <w:t xml:space="preserve">28.1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28.2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28.3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4937" w:name="P34937"/>
          <w:bookmarkEnd w:id="34937"/>
          <w:p>
            <w:pPr>
              <w:pStyle w:val="0"/>
            </w:pPr>
            <w:r>
              <w:rPr>
                <w:sz w:val="24"/>
              </w:rPr>
              <w:t xml:space="preserve">29</w:t>
            </w:r>
          </w:p>
        </w:tc>
        <w:tc>
          <w:tcPr>
            <w:gridSpan w:val="2"/>
            <w:tcW w:w="2608" w:type="dxa"/>
          </w:tcPr>
          <w:p>
            <w:pPr>
              <w:pStyle w:val="0"/>
            </w:pPr>
            <w:r>
              <w:rPr>
                <w:sz w:val="24"/>
              </w:rPr>
              <w:t xml:space="preserve">Дата начала действия договора</w:t>
            </w:r>
          </w:p>
        </w:tc>
        <w:tc>
          <w:tcPr>
            <w:tcW w:w="2608" w:type="dxa"/>
          </w:tcPr>
          <w:p>
            <w:pPr>
              <w:pStyle w:val="0"/>
            </w:pPr>
            <w:r>
              <w:rPr>
                <w:sz w:val="24"/>
              </w:rPr>
            </w:r>
          </w:p>
        </w:tc>
        <w:tc>
          <w:tcPr>
            <w:tcW w:w="2948" w:type="dxa"/>
          </w:tcPr>
          <w:p>
            <w:pPr>
              <w:pStyle w:val="0"/>
            </w:pPr>
            <w:r>
              <w:rPr>
                <w:sz w:val="24"/>
              </w:rPr>
              <w:t xml:space="preserve">ins-dic:Data_Nach_Dejst_Dog</w:t>
            </w:r>
          </w:p>
        </w:tc>
      </w:tr>
      <w:tr>
        <w:tc>
          <w:tcPr>
            <w:tcW w:w="907" w:type="dxa"/>
          </w:tcPr>
          <w:p>
            <w:pPr>
              <w:pStyle w:val="0"/>
            </w:pPr>
            <w:r>
              <w:rPr>
                <w:sz w:val="24"/>
              </w:rPr>
              <w:t xml:space="preserve">29.1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29.2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29.3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4953" w:name="P34953"/>
          <w:bookmarkEnd w:id="34953"/>
          <w:p>
            <w:pPr>
              <w:pStyle w:val="0"/>
            </w:pPr>
            <w:r>
              <w:rPr>
                <w:sz w:val="24"/>
              </w:rPr>
              <w:t xml:space="preserve">30</w:t>
            </w:r>
          </w:p>
        </w:tc>
        <w:tc>
          <w:tcPr>
            <w:gridSpan w:val="2"/>
            <w:tcW w:w="2608" w:type="dxa"/>
          </w:tcPr>
          <w:p>
            <w:pPr>
              <w:pStyle w:val="0"/>
            </w:pPr>
            <w:r>
              <w:rPr>
                <w:sz w:val="24"/>
              </w:rPr>
              <w:t xml:space="preserve">Дата окончания срока действия договора</w:t>
            </w:r>
          </w:p>
        </w:tc>
        <w:tc>
          <w:tcPr>
            <w:tcW w:w="2608" w:type="dxa"/>
          </w:tcPr>
          <w:p>
            <w:pPr>
              <w:pStyle w:val="0"/>
            </w:pPr>
            <w:r>
              <w:rPr>
                <w:sz w:val="24"/>
              </w:rPr>
            </w:r>
          </w:p>
        </w:tc>
        <w:tc>
          <w:tcPr>
            <w:tcW w:w="2948" w:type="dxa"/>
          </w:tcPr>
          <w:p>
            <w:pPr>
              <w:pStyle w:val="0"/>
            </w:pPr>
            <w:r>
              <w:rPr>
                <w:sz w:val="24"/>
              </w:rPr>
              <w:t xml:space="preserve">ins-dic:Data_Okonch_Dejst_Dog</w:t>
            </w:r>
          </w:p>
        </w:tc>
      </w:tr>
      <w:tr>
        <w:tc>
          <w:tcPr>
            <w:tcW w:w="907" w:type="dxa"/>
          </w:tcPr>
          <w:p>
            <w:pPr>
              <w:pStyle w:val="0"/>
            </w:pPr>
            <w:r>
              <w:rPr>
                <w:sz w:val="24"/>
              </w:rPr>
              <w:t xml:space="preserve">30.1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30.2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30.3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4969" w:name="P34969"/>
          <w:bookmarkEnd w:id="34969"/>
          <w:p>
            <w:pPr>
              <w:pStyle w:val="0"/>
            </w:pPr>
            <w:r>
              <w:rPr>
                <w:sz w:val="24"/>
              </w:rPr>
              <w:t xml:space="preserve">31</w:t>
            </w:r>
          </w:p>
        </w:tc>
        <w:tc>
          <w:tcPr>
            <w:gridSpan w:val="2"/>
            <w:tcW w:w="2608" w:type="dxa"/>
          </w:tcPr>
          <w:p>
            <w:pPr>
              <w:pStyle w:val="0"/>
            </w:pPr>
            <w:r>
              <w:rPr>
                <w:sz w:val="24"/>
              </w:rPr>
              <w:t xml:space="preserve">Краткое описание объекта страхования</w:t>
            </w:r>
          </w:p>
        </w:tc>
        <w:tc>
          <w:tcPr>
            <w:tcW w:w="2608" w:type="dxa"/>
          </w:tcPr>
          <w:p>
            <w:pPr>
              <w:pStyle w:val="0"/>
            </w:pPr>
            <w:r>
              <w:rPr>
                <w:sz w:val="24"/>
              </w:rPr>
            </w:r>
          </w:p>
        </w:tc>
        <w:tc>
          <w:tcPr>
            <w:tcW w:w="2948" w:type="dxa"/>
          </w:tcPr>
          <w:p>
            <w:pPr>
              <w:pStyle w:val="0"/>
            </w:pPr>
            <w:r>
              <w:rPr>
                <w:sz w:val="24"/>
              </w:rPr>
              <w:t xml:space="preserve">ins-dic:Kratk_Opis_Obekta_Strax</w:t>
            </w:r>
          </w:p>
        </w:tc>
      </w:tr>
      <w:tr>
        <w:tc>
          <w:tcPr>
            <w:tcW w:w="907" w:type="dxa"/>
          </w:tcPr>
          <w:p>
            <w:pPr>
              <w:pStyle w:val="0"/>
            </w:pPr>
            <w:r>
              <w:rPr>
                <w:sz w:val="24"/>
              </w:rPr>
              <w:t xml:space="preserve">31.1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31.2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31.3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4985" w:name="P34985"/>
          <w:bookmarkEnd w:id="34985"/>
          <w:p>
            <w:pPr>
              <w:pStyle w:val="0"/>
            </w:pPr>
            <w:r>
              <w:rPr>
                <w:sz w:val="24"/>
              </w:rPr>
              <w:t xml:space="preserve">32</w:t>
            </w:r>
          </w:p>
        </w:tc>
        <w:tc>
          <w:tcPr>
            <w:gridSpan w:val="2"/>
            <w:tcW w:w="2608" w:type="dxa"/>
          </w:tcPr>
          <w:p>
            <w:pPr>
              <w:pStyle w:val="0"/>
            </w:pPr>
            <w:r>
              <w:rPr>
                <w:sz w:val="24"/>
              </w:rPr>
              <w:t xml:space="preserve">Страховая премия</w:t>
            </w:r>
          </w:p>
        </w:tc>
        <w:tc>
          <w:tcPr>
            <w:tcW w:w="2608" w:type="dxa"/>
          </w:tcPr>
          <w:p>
            <w:pPr>
              <w:pStyle w:val="0"/>
            </w:pPr>
            <w:r>
              <w:rPr>
                <w:sz w:val="24"/>
              </w:rPr>
            </w:r>
          </w:p>
        </w:tc>
        <w:tc>
          <w:tcPr>
            <w:tcW w:w="2948" w:type="dxa"/>
          </w:tcPr>
          <w:p>
            <w:pPr>
              <w:pStyle w:val="0"/>
            </w:pPr>
            <w:r>
              <w:rPr>
                <w:sz w:val="24"/>
              </w:rPr>
              <w:t xml:space="preserve">ins-dic:Strax_Prem</w:t>
            </w:r>
          </w:p>
        </w:tc>
      </w:tr>
      <w:tr>
        <w:tc>
          <w:tcPr>
            <w:tcW w:w="907" w:type="dxa"/>
          </w:tcPr>
          <w:p>
            <w:pPr>
              <w:pStyle w:val="0"/>
            </w:pPr>
            <w:r>
              <w:rPr>
                <w:sz w:val="24"/>
              </w:rPr>
              <w:t xml:space="preserve">32.1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32.2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32.3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001" w:name="P35001"/>
          <w:bookmarkEnd w:id="35001"/>
          <w:p>
            <w:pPr>
              <w:pStyle w:val="0"/>
            </w:pPr>
            <w:r>
              <w:rPr>
                <w:sz w:val="24"/>
              </w:rPr>
              <w:t xml:space="preserve">33</w:t>
            </w:r>
          </w:p>
        </w:tc>
        <w:tc>
          <w:tcPr>
            <w:gridSpan w:val="2"/>
            <w:tcW w:w="2608" w:type="dxa"/>
          </w:tcPr>
          <w:p>
            <w:pPr>
              <w:pStyle w:val="0"/>
            </w:pPr>
            <w:r>
              <w:rPr>
                <w:sz w:val="24"/>
              </w:rPr>
              <w:t xml:space="preserve">Дата наступления страхового случая</w:t>
            </w:r>
          </w:p>
        </w:tc>
        <w:tc>
          <w:tcPr>
            <w:tcW w:w="2608" w:type="dxa"/>
          </w:tcPr>
          <w:p>
            <w:pPr>
              <w:pStyle w:val="0"/>
            </w:pPr>
            <w:r>
              <w:rPr>
                <w:sz w:val="24"/>
              </w:rPr>
            </w:r>
          </w:p>
        </w:tc>
        <w:tc>
          <w:tcPr>
            <w:tcW w:w="2948" w:type="dxa"/>
          </w:tcPr>
          <w:p>
            <w:pPr>
              <w:pStyle w:val="0"/>
            </w:pPr>
            <w:r>
              <w:rPr>
                <w:sz w:val="24"/>
              </w:rPr>
              <w:t xml:space="preserve">ins-dic:Data_Nastup_Strax_Sluch</w:t>
            </w:r>
          </w:p>
        </w:tc>
      </w:tr>
      <w:tr>
        <w:tc>
          <w:tcPr>
            <w:tcW w:w="907" w:type="dxa"/>
          </w:tcPr>
          <w:p>
            <w:pPr>
              <w:pStyle w:val="0"/>
            </w:pPr>
            <w:r>
              <w:rPr>
                <w:sz w:val="24"/>
              </w:rPr>
              <w:t xml:space="preserve">33.1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33.2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33.3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017" w:name="P35017"/>
          <w:bookmarkEnd w:id="35017"/>
          <w:p>
            <w:pPr>
              <w:pStyle w:val="0"/>
            </w:pPr>
            <w:r>
              <w:rPr>
                <w:sz w:val="24"/>
              </w:rPr>
              <w:t xml:space="preserve">34</w:t>
            </w:r>
          </w:p>
        </w:tc>
        <w:tc>
          <w:tcPr>
            <w:gridSpan w:val="2"/>
            <w:tcW w:w="2608" w:type="dxa"/>
          </w:tcPr>
          <w:p>
            <w:pPr>
              <w:pStyle w:val="0"/>
            </w:pPr>
            <w:r>
              <w:rPr>
                <w:sz w:val="24"/>
              </w:rPr>
              <w:t xml:space="preserve">Дата поступления заявления о страховом случае</w:t>
            </w:r>
          </w:p>
        </w:tc>
        <w:tc>
          <w:tcPr>
            <w:tcW w:w="2608" w:type="dxa"/>
          </w:tcPr>
          <w:p>
            <w:pPr>
              <w:pStyle w:val="0"/>
            </w:pPr>
            <w:r>
              <w:rPr>
                <w:sz w:val="24"/>
              </w:rPr>
            </w:r>
          </w:p>
        </w:tc>
        <w:tc>
          <w:tcPr>
            <w:tcW w:w="2948" w:type="dxa"/>
          </w:tcPr>
          <w:p>
            <w:pPr>
              <w:pStyle w:val="0"/>
            </w:pPr>
            <w:r>
              <w:rPr>
                <w:sz w:val="24"/>
              </w:rPr>
              <w:t xml:space="preserve">ins-dic:Data_Postupl_Zayav_Strax_Sluch</w:t>
            </w:r>
          </w:p>
        </w:tc>
      </w:tr>
      <w:tr>
        <w:tc>
          <w:tcPr>
            <w:tcW w:w="907" w:type="dxa"/>
          </w:tcPr>
          <w:p>
            <w:pPr>
              <w:pStyle w:val="0"/>
            </w:pPr>
            <w:r>
              <w:rPr>
                <w:sz w:val="24"/>
              </w:rPr>
              <w:t xml:space="preserve">34.1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34.2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34.3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033" w:name="P35033"/>
          <w:bookmarkEnd w:id="35033"/>
          <w:p>
            <w:pPr>
              <w:pStyle w:val="0"/>
            </w:pPr>
            <w:r>
              <w:rPr>
                <w:sz w:val="24"/>
              </w:rPr>
              <w:t xml:space="preserve">35</w:t>
            </w:r>
          </w:p>
        </w:tc>
        <w:tc>
          <w:tcPr>
            <w:gridSpan w:val="2"/>
            <w:tcW w:w="2608" w:type="dxa"/>
          </w:tcPr>
          <w:p>
            <w:pPr>
              <w:pStyle w:val="0"/>
            </w:pPr>
            <w:r>
              <w:rPr>
                <w:sz w:val="24"/>
              </w:rPr>
              <w:t xml:space="preserve">Сумма вспомогательной величины ЗНУ (не более 20 договоров)</w:t>
            </w:r>
          </w:p>
        </w:tc>
        <w:tc>
          <w:tcPr>
            <w:tcW w:w="2608" w:type="dxa"/>
          </w:tcPr>
          <w:p>
            <w:pPr>
              <w:pStyle w:val="0"/>
            </w:pPr>
            <w:r>
              <w:rPr>
                <w:sz w:val="24"/>
              </w:rPr>
            </w:r>
          </w:p>
        </w:tc>
        <w:tc>
          <w:tcPr>
            <w:tcW w:w="2948" w:type="dxa"/>
          </w:tcPr>
          <w:p>
            <w:pPr>
              <w:pStyle w:val="0"/>
            </w:pPr>
            <w:r>
              <w:rPr>
                <w:sz w:val="24"/>
              </w:rPr>
              <w:t xml:space="preserve">ins-dic:Summa_Vspomog_Vel_ZNU</w:t>
            </w:r>
          </w:p>
        </w:tc>
      </w:tr>
      <w:tr>
        <w:tc>
          <w:tcPr>
            <w:tcW w:w="907" w:type="dxa"/>
          </w:tcPr>
          <w:p>
            <w:pPr>
              <w:pStyle w:val="0"/>
            </w:pPr>
            <w:r>
              <w:rPr>
                <w:sz w:val="24"/>
              </w:rPr>
              <w:t xml:space="preserve">35.1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35.2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35.3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049" w:name="P35049"/>
          <w:bookmarkEnd w:id="35049"/>
          <w:p>
            <w:pPr>
              <w:pStyle w:val="0"/>
            </w:pPr>
            <w:r>
              <w:rPr>
                <w:sz w:val="24"/>
              </w:rPr>
              <w:t xml:space="preserve">36</w:t>
            </w:r>
          </w:p>
        </w:tc>
        <w:tc>
          <w:tcPr>
            <w:gridSpan w:val="2"/>
            <w:tcW w:w="2608" w:type="dxa"/>
          </w:tcPr>
          <w:p>
            <w:pPr>
              <w:pStyle w:val="0"/>
            </w:pPr>
            <w:r>
              <w:rPr>
                <w:sz w:val="24"/>
              </w:rPr>
              <w:t xml:space="preserve">Лимит ответственности (страховая сумма)</w:t>
            </w:r>
          </w:p>
        </w:tc>
        <w:tc>
          <w:tcPr>
            <w:tcW w:w="2608" w:type="dxa"/>
          </w:tcPr>
          <w:p>
            <w:pPr>
              <w:pStyle w:val="0"/>
            </w:pPr>
            <w:r>
              <w:rPr>
                <w:sz w:val="24"/>
              </w:rPr>
            </w:r>
          </w:p>
        </w:tc>
        <w:tc>
          <w:tcPr>
            <w:tcW w:w="2948" w:type="dxa"/>
          </w:tcPr>
          <w:p>
            <w:pPr>
              <w:pStyle w:val="0"/>
            </w:pPr>
            <w:r>
              <w:rPr>
                <w:sz w:val="24"/>
              </w:rPr>
              <w:t xml:space="preserve">ins-dic:Maks_Lim_Otv</w:t>
            </w:r>
          </w:p>
        </w:tc>
      </w:tr>
      <w:tr>
        <w:tc>
          <w:tcPr>
            <w:tcW w:w="907" w:type="dxa"/>
          </w:tcPr>
          <w:p>
            <w:pPr>
              <w:pStyle w:val="0"/>
            </w:pPr>
            <w:r>
              <w:rPr>
                <w:sz w:val="24"/>
              </w:rPr>
              <w:t xml:space="preserve">36.1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36.2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36.3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065" w:name="P35065"/>
          <w:bookmarkEnd w:id="35065"/>
          <w:p>
            <w:pPr>
              <w:pStyle w:val="0"/>
            </w:pPr>
            <w:r>
              <w:rPr>
                <w:sz w:val="24"/>
              </w:rPr>
              <w:t xml:space="preserve">37</w:t>
            </w:r>
          </w:p>
        </w:tc>
        <w:tc>
          <w:tcPr>
            <w:gridSpan w:val="2"/>
            <w:tcW w:w="2608" w:type="dxa"/>
          </w:tcPr>
          <w:p>
            <w:pPr>
              <w:pStyle w:val="0"/>
            </w:pPr>
            <w:r>
              <w:rPr>
                <w:sz w:val="24"/>
              </w:rPr>
              <w:t xml:space="preserve">Доля перестраховщиков во вспомогательной величине ЗНУ</w:t>
            </w:r>
          </w:p>
        </w:tc>
        <w:tc>
          <w:tcPr>
            <w:tcW w:w="2608" w:type="dxa"/>
          </w:tcPr>
          <w:p>
            <w:pPr>
              <w:pStyle w:val="0"/>
            </w:pPr>
            <w:r>
              <w:rPr>
                <w:sz w:val="24"/>
              </w:rPr>
            </w:r>
          </w:p>
        </w:tc>
        <w:tc>
          <w:tcPr>
            <w:tcW w:w="2948" w:type="dxa"/>
          </w:tcPr>
          <w:p>
            <w:pPr>
              <w:pStyle w:val="0"/>
            </w:pPr>
            <w:r>
              <w:rPr>
                <w:sz w:val="24"/>
              </w:rPr>
              <w:t xml:space="preserve">ins-dic:Dolya_Perestrax_V_Vspomog_Vel_ZNU_Vsego</w:t>
            </w:r>
          </w:p>
        </w:tc>
      </w:tr>
      <w:tr>
        <w:tc>
          <w:tcPr>
            <w:tcW w:w="907" w:type="dxa"/>
          </w:tcPr>
          <w:p>
            <w:pPr>
              <w:pStyle w:val="0"/>
            </w:pPr>
            <w:r>
              <w:rPr>
                <w:sz w:val="24"/>
              </w:rPr>
              <w:t xml:space="preserve">37.1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37.2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37.3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081" w:name="P35081"/>
          <w:bookmarkEnd w:id="35081"/>
          <w:p>
            <w:pPr>
              <w:pStyle w:val="0"/>
            </w:pPr>
            <w:r>
              <w:rPr>
                <w:sz w:val="24"/>
              </w:rPr>
              <w:t xml:space="preserve">38</w:t>
            </w:r>
          </w:p>
        </w:tc>
        <w:tc>
          <w:tcPr>
            <w:gridSpan w:val="2"/>
            <w:tcW w:w="2608" w:type="dxa"/>
          </w:tcPr>
          <w:p>
            <w:pPr>
              <w:pStyle w:val="0"/>
            </w:pPr>
            <w:r>
              <w:rPr>
                <w:sz w:val="24"/>
              </w:rPr>
              <w:t xml:space="preserve">Лимит ответственности, переданный в перестрахование</w:t>
            </w:r>
          </w:p>
        </w:tc>
        <w:tc>
          <w:tcPr>
            <w:tcW w:w="2608" w:type="dxa"/>
          </w:tcPr>
          <w:p>
            <w:pPr>
              <w:pStyle w:val="0"/>
            </w:pPr>
            <w:r>
              <w:rPr>
                <w:sz w:val="24"/>
              </w:rPr>
            </w:r>
          </w:p>
        </w:tc>
        <w:tc>
          <w:tcPr>
            <w:tcW w:w="2948" w:type="dxa"/>
          </w:tcPr>
          <w:p>
            <w:pPr>
              <w:pStyle w:val="0"/>
            </w:pPr>
            <w:r>
              <w:rPr>
                <w:sz w:val="24"/>
              </w:rPr>
              <w:t xml:space="preserve">ins-dic:Lim_Otv_Per_Perestrax</w:t>
            </w:r>
          </w:p>
        </w:tc>
      </w:tr>
      <w:tr>
        <w:tc>
          <w:tcPr>
            <w:tcW w:w="907" w:type="dxa"/>
          </w:tcPr>
          <w:p>
            <w:pPr>
              <w:pStyle w:val="0"/>
            </w:pPr>
            <w:r>
              <w:rPr>
                <w:sz w:val="24"/>
              </w:rPr>
              <w:t xml:space="preserve">38.1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38.2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38.3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097" w:name="P35097"/>
          <w:bookmarkEnd w:id="35097"/>
          <w:p>
            <w:pPr>
              <w:pStyle w:val="0"/>
            </w:pPr>
            <w:r>
              <w:rPr>
                <w:sz w:val="24"/>
              </w:rPr>
              <w:t xml:space="preserve">39</w:t>
            </w:r>
          </w:p>
        </w:tc>
        <w:tc>
          <w:tcPr>
            <w:gridSpan w:val="2"/>
            <w:tcW w:w="2608" w:type="dxa"/>
          </w:tcPr>
          <w:p>
            <w:pPr>
              <w:pStyle w:val="0"/>
            </w:pPr>
            <w:r>
              <w:rPr>
                <w:sz w:val="24"/>
              </w:rPr>
              <w:t xml:space="preserve">Краткое описание страхового случая</w:t>
            </w:r>
          </w:p>
        </w:tc>
        <w:tc>
          <w:tcPr>
            <w:tcW w:w="2608" w:type="dxa"/>
          </w:tcPr>
          <w:p>
            <w:pPr>
              <w:pStyle w:val="0"/>
            </w:pPr>
            <w:r>
              <w:rPr>
                <w:sz w:val="24"/>
              </w:rPr>
            </w:r>
          </w:p>
        </w:tc>
        <w:tc>
          <w:tcPr>
            <w:tcW w:w="2948" w:type="dxa"/>
          </w:tcPr>
          <w:p>
            <w:pPr>
              <w:pStyle w:val="0"/>
            </w:pPr>
            <w:r>
              <w:rPr>
                <w:sz w:val="24"/>
              </w:rPr>
              <w:t xml:space="preserve">ins-dic:Kratk_Opis_Strax_Sluch</w:t>
            </w:r>
          </w:p>
        </w:tc>
      </w:tr>
      <w:tr>
        <w:tc>
          <w:tcPr>
            <w:tcW w:w="907" w:type="dxa"/>
          </w:tcPr>
          <w:p>
            <w:pPr>
              <w:pStyle w:val="0"/>
            </w:pPr>
            <w:r>
              <w:rPr>
                <w:sz w:val="24"/>
              </w:rPr>
              <w:t xml:space="preserve">39.1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39.2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39.3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c>
          <w:tcPr>
            <w:tcW w:w="907" w:type="dxa"/>
          </w:tcPr>
          <w:bookmarkStart w:id="35113" w:name="P35113"/>
          <w:bookmarkEnd w:id="35113"/>
          <w:p>
            <w:pPr>
              <w:pStyle w:val="0"/>
            </w:pPr>
            <w:r>
              <w:rPr>
                <w:sz w:val="24"/>
              </w:rPr>
              <w:t xml:space="preserve">40</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40.1</w:t>
            </w:r>
          </w:p>
        </w:tc>
        <w:tc>
          <w:tcPr>
            <w:gridSpan w:val="2"/>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dim-int:IDDogStraxTaxis</w:t>
            </w:r>
          </w:p>
        </w:tc>
      </w:tr>
      <w:tr>
        <w:tc>
          <w:tcPr>
            <w:tcW w:w="907" w:type="dxa"/>
          </w:tcPr>
          <w:p>
            <w:pPr>
              <w:pStyle w:val="0"/>
            </w:pPr>
            <w:r>
              <w:rPr>
                <w:sz w:val="24"/>
              </w:rPr>
              <w:t xml:space="preserve">40.2</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40.3</w:t>
            </w:r>
          </w:p>
        </w:tc>
        <w:tc>
          <w:tcPr>
            <w:gridSpan w:val="2"/>
            <w:tcW w:w="2608" w:type="dxa"/>
          </w:tcPr>
          <w:p>
            <w:pPr>
              <w:pStyle w:val="0"/>
            </w:pPr>
            <w:r>
              <w:rPr>
                <w:sz w:val="24"/>
              </w:rPr>
            </w:r>
          </w:p>
        </w:tc>
        <w:tc>
          <w:tcPr>
            <w:tcW w:w="2608" w:type="dxa"/>
          </w:tcPr>
          <w:p>
            <w:pPr>
              <w:pStyle w:val="0"/>
            </w:pPr>
            <w:r>
              <w:rPr>
                <w:sz w:val="24"/>
              </w:rPr>
              <w:t xml:space="preserve">Идентификатор страхового случая</w:t>
            </w:r>
          </w:p>
        </w:tc>
        <w:tc>
          <w:tcPr>
            <w:tcW w:w="2948" w:type="dxa"/>
          </w:tcPr>
          <w:p>
            <w:pPr>
              <w:pStyle w:val="0"/>
            </w:pPr>
            <w:r>
              <w:rPr>
                <w:sz w:val="24"/>
              </w:rPr>
              <w:t xml:space="preserve">dim-int:IDStraxSluchTaxis</w:t>
            </w:r>
          </w:p>
        </w:tc>
      </w:tr>
      <w:tr>
        <w:tblPrEx>
          <w:tblBorders>
            <w:insideV w:val="nil"/>
          </w:tblBorders>
        </w:tblPrEx>
        <w:tc>
          <w:tcPr>
            <w:gridSpan w:val="2"/>
            <w:tcW w:w="1216" w:type="dxa"/>
            <w:tcBorders>
              <w:left w:val="single" w:sz="4"/>
            </w:tcBorders>
          </w:tcPr>
          <w:bookmarkStart w:id="35129" w:name="P35129"/>
          <w:bookmarkEnd w:id="35129"/>
          <w:p>
            <w:pPr>
              <w:pStyle w:val="0"/>
              <w:outlineLvl w:val="3"/>
            </w:pPr>
            <w:r>
              <w:rPr>
                <w:sz w:val="24"/>
              </w:rPr>
              <w:t xml:space="preserve">Раздел 5.</w:t>
            </w:r>
          </w:p>
        </w:tc>
        <w:tc>
          <w:tcPr>
            <w:gridSpan w:val="3"/>
            <w:tcW w:w="7855" w:type="dxa"/>
            <w:tcBorders>
              <w:right w:val="single" w:sz="4"/>
            </w:tcBorders>
          </w:tcPr>
          <w:p>
            <w:pPr>
              <w:pStyle w:val="0"/>
            </w:pPr>
            <w:r>
              <w:rPr>
                <w:sz w:val="24"/>
              </w:rPr>
              <w:t xml:space="preserve">Страхователи (перестрахователи) по договорам страхования, сострахования и входящего перестрахования</w:t>
            </w:r>
          </w:p>
        </w:tc>
      </w:tr>
      <w:tr>
        <w:tc>
          <w:tcPr>
            <w:tcW w:w="907" w:type="dxa"/>
          </w:tcPr>
          <w:bookmarkStart w:id="35131" w:name="P35131"/>
          <w:bookmarkEnd w:id="35131"/>
          <w:p>
            <w:pPr>
              <w:pStyle w:val="0"/>
            </w:pPr>
            <w:r>
              <w:rPr>
                <w:sz w:val="24"/>
              </w:rPr>
              <w:t xml:space="preserve">41</w:t>
            </w:r>
          </w:p>
        </w:tc>
        <w:tc>
          <w:tcPr>
            <w:gridSpan w:val="2"/>
            <w:tcW w:w="2608" w:type="dxa"/>
          </w:tcPr>
          <w:p>
            <w:pPr>
              <w:pStyle w:val="0"/>
            </w:pPr>
            <w:r>
              <w:rPr>
                <w:sz w:val="24"/>
              </w:rPr>
              <w:t xml:space="preserve">Страховая премия</w:t>
            </w:r>
          </w:p>
        </w:tc>
        <w:tc>
          <w:tcPr>
            <w:tcW w:w="2608" w:type="dxa"/>
          </w:tcPr>
          <w:p>
            <w:pPr>
              <w:pStyle w:val="0"/>
            </w:pPr>
            <w:r>
              <w:rPr>
                <w:sz w:val="24"/>
              </w:rPr>
            </w:r>
          </w:p>
        </w:tc>
        <w:tc>
          <w:tcPr>
            <w:tcW w:w="2948" w:type="dxa"/>
          </w:tcPr>
          <w:p>
            <w:pPr>
              <w:pStyle w:val="0"/>
            </w:pPr>
            <w:r>
              <w:rPr>
                <w:sz w:val="24"/>
              </w:rPr>
              <w:t xml:space="preserve">ins-dic:Strax_Prem</w:t>
            </w:r>
          </w:p>
        </w:tc>
      </w:tr>
      <w:tr>
        <w:tc>
          <w:tcPr>
            <w:tcW w:w="907" w:type="dxa"/>
          </w:tcPr>
          <w:p>
            <w:pPr>
              <w:pStyle w:val="0"/>
            </w:pPr>
            <w:r>
              <w:rPr>
                <w:sz w:val="24"/>
              </w:rPr>
              <w:t xml:space="preserve">41.1</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41.2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5143" w:name="P35143"/>
          <w:bookmarkEnd w:id="35143"/>
          <w:p>
            <w:pPr>
              <w:pStyle w:val="0"/>
            </w:pPr>
            <w:r>
              <w:rPr>
                <w:sz w:val="24"/>
              </w:rPr>
              <w:t xml:space="preserve">42</w:t>
            </w:r>
          </w:p>
        </w:tc>
        <w:tc>
          <w:tcPr>
            <w:gridSpan w:val="2"/>
            <w:tcW w:w="2608" w:type="dxa"/>
          </w:tcPr>
          <w:p>
            <w:pPr>
              <w:pStyle w:val="0"/>
            </w:pPr>
            <w:r>
              <w:rPr>
                <w:sz w:val="24"/>
              </w:rPr>
              <w:t xml:space="preserve">Лимит ответственности (страховая сумма)</w:t>
            </w:r>
          </w:p>
        </w:tc>
        <w:tc>
          <w:tcPr>
            <w:tcW w:w="2608" w:type="dxa"/>
          </w:tcPr>
          <w:p>
            <w:pPr>
              <w:pStyle w:val="0"/>
            </w:pPr>
            <w:r>
              <w:rPr>
                <w:sz w:val="24"/>
              </w:rPr>
            </w:r>
          </w:p>
        </w:tc>
        <w:tc>
          <w:tcPr>
            <w:tcW w:w="2948" w:type="dxa"/>
          </w:tcPr>
          <w:p>
            <w:pPr>
              <w:pStyle w:val="0"/>
            </w:pPr>
            <w:r>
              <w:rPr>
                <w:sz w:val="24"/>
              </w:rPr>
              <w:t xml:space="preserve">ins-dic:Maks_Lim_Otv</w:t>
            </w:r>
          </w:p>
        </w:tc>
      </w:tr>
      <w:tr>
        <w:tc>
          <w:tcPr>
            <w:tcW w:w="907" w:type="dxa"/>
          </w:tcPr>
          <w:p>
            <w:pPr>
              <w:pStyle w:val="0"/>
            </w:pPr>
            <w:r>
              <w:rPr>
                <w:sz w:val="24"/>
              </w:rPr>
              <w:t xml:space="preserve">42.1</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42.2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5155" w:name="P35155"/>
          <w:bookmarkEnd w:id="35155"/>
          <w:p>
            <w:pPr>
              <w:pStyle w:val="0"/>
            </w:pPr>
            <w:r>
              <w:rPr>
                <w:sz w:val="24"/>
              </w:rPr>
              <w:t xml:space="preserve">43</w:t>
            </w:r>
          </w:p>
        </w:tc>
        <w:tc>
          <w:tcPr>
            <w:gridSpan w:val="2"/>
            <w:tcW w:w="2608" w:type="dxa"/>
          </w:tcPr>
          <w:p>
            <w:pPr>
              <w:pStyle w:val="0"/>
            </w:pPr>
            <w:r>
              <w:rPr>
                <w:sz w:val="24"/>
              </w:rPr>
              <w:t xml:space="preserve">Страховая премия по договору исходящего перестрахования</w:t>
            </w:r>
          </w:p>
        </w:tc>
        <w:tc>
          <w:tcPr>
            <w:tcW w:w="2608" w:type="dxa"/>
          </w:tcPr>
          <w:p>
            <w:pPr>
              <w:pStyle w:val="0"/>
            </w:pPr>
            <w:r>
              <w:rPr>
                <w:sz w:val="24"/>
              </w:rPr>
            </w:r>
          </w:p>
        </w:tc>
        <w:tc>
          <w:tcPr>
            <w:tcW w:w="2948" w:type="dxa"/>
          </w:tcPr>
          <w:p>
            <w:pPr>
              <w:pStyle w:val="0"/>
            </w:pPr>
            <w:r>
              <w:rPr>
                <w:sz w:val="24"/>
              </w:rPr>
              <w:t xml:space="preserve">ins-dic:Strax_Prem_Per_Perestrax</w:t>
            </w:r>
          </w:p>
        </w:tc>
      </w:tr>
      <w:tr>
        <w:tc>
          <w:tcPr>
            <w:tcW w:w="907" w:type="dxa"/>
          </w:tcPr>
          <w:p>
            <w:pPr>
              <w:pStyle w:val="0"/>
            </w:pPr>
            <w:r>
              <w:rPr>
                <w:sz w:val="24"/>
              </w:rPr>
              <w:t xml:space="preserve">43.1</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43.2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43.3</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dim-int:IDPerestraxovshhikaTaxis</w:t>
            </w:r>
          </w:p>
        </w:tc>
      </w:tr>
      <w:tr>
        <w:tc>
          <w:tcPr>
            <w:tcW w:w="907" w:type="dxa"/>
          </w:tcPr>
          <w:bookmarkStart w:id="35171" w:name="P35171"/>
          <w:bookmarkEnd w:id="35171"/>
          <w:p>
            <w:pPr>
              <w:pStyle w:val="0"/>
            </w:pPr>
            <w:r>
              <w:rPr>
                <w:sz w:val="24"/>
              </w:rPr>
              <w:t xml:space="preserve">44</w:t>
            </w:r>
          </w:p>
        </w:tc>
        <w:tc>
          <w:tcPr>
            <w:gridSpan w:val="2"/>
            <w:tcW w:w="2608" w:type="dxa"/>
          </w:tcPr>
          <w:p>
            <w:pPr>
              <w:pStyle w:val="0"/>
            </w:pPr>
            <w:r>
              <w:rPr>
                <w:sz w:val="24"/>
              </w:rPr>
              <w:t xml:space="preserve">Лимит ответственности, переданный в перестрахование</w:t>
            </w:r>
          </w:p>
        </w:tc>
        <w:tc>
          <w:tcPr>
            <w:tcW w:w="2608" w:type="dxa"/>
          </w:tcPr>
          <w:p>
            <w:pPr>
              <w:pStyle w:val="0"/>
            </w:pPr>
            <w:r>
              <w:rPr>
                <w:sz w:val="24"/>
              </w:rPr>
            </w:r>
          </w:p>
        </w:tc>
        <w:tc>
          <w:tcPr>
            <w:tcW w:w="2948" w:type="dxa"/>
          </w:tcPr>
          <w:p>
            <w:pPr>
              <w:pStyle w:val="0"/>
            </w:pPr>
            <w:r>
              <w:rPr>
                <w:sz w:val="24"/>
              </w:rPr>
              <w:t xml:space="preserve">ins-dic:Lim_Otv_Per_Perestrax</w:t>
            </w:r>
          </w:p>
        </w:tc>
      </w:tr>
      <w:tr>
        <w:tc>
          <w:tcPr>
            <w:tcW w:w="907" w:type="dxa"/>
          </w:tcPr>
          <w:p>
            <w:pPr>
              <w:pStyle w:val="0"/>
            </w:pPr>
            <w:r>
              <w:rPr>
                <w:sz w:val="24"/>
              </w:rPr>
              <w:t xml:space="preserve">44.1</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44.2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p>
            <w:pPr>
              <w:pStyle w:val="0"/>
            </w:pPr>
            <w:r>
              <w:rPr>
                <w:sz w:val="24"/>
              </w:rPr>
              <w:t xml:space="preserve">44.3</w:t>
            </w:r>
          </w:p>
        </w:tc>
        <w:tc>
          <w:tcPr>
            <w:gridSpan w:val="2"/>
            <w:tcW w:w="2608" w:type="dxa"/>
          </w:tcPr>
          <w:p>
            <w:pPr>
              <w:pStyle w:val="0"/>
            </w:pPr>
            <w:r>
              <w:rPr>
                <w:sz w:val="24"/>
              </w:rPr>
            </w:r>
          </w:p>
        </w:tc>
        <w:tc>
          <w:tcPr>
            <w:tcW w:w="2608" w:type="dxa"/>
          </w:tcPr>
          <w:p>
            <w:pPr>
              <w:pStyle w:val="0"/>
            </w:pPr>
            <w:r>
              <w:rPr>
                <w:sz w:val="24"/>
              </w:rPr>
              <w:t xml:space="preserve">Идентификатор перестраховщика</w:t>
            </w:r>
          </w:p>
        </w:tc>
        <w:tc>
          <w:tcPr>
            <w:tcW w:w="2948" w:type="dxa"/>
          </w:tcPr>
          <w:p>
            <w:pPr>
              <w:pStyle w:val="0"/>
            </w:pPr>
            <w:r>
              <w:rPr>
                <w:sz w:val="24"/>
              </w:rPr>
              <w:t xml:space="preserve">dim-int:IDPerestraxovshhikaTaxis</w:t>
            </w:r>
          </w:p>
        </w:tc>
      </w:tr>
      <w:tr>
        <w:tc>
          <w:tcPr>
            <w:tcW w:w="907" w:type="dxa"/>
          </w:tcPr>
          <w:bookmarkStart w:id="35187" w:name="P35187"/>
          <w:bookmarkEnd w:id="35187"/>
          <w:p>
            <w:pPr>
              <w:pStyle w:val="0"/>
            </w:pPr>
            <w:r>
              <w:rPr>
                <w:sz w:val="24"/>
              </w:rPr>
              <w:t xml:space="preserve">45</w:t>
            </w:r>
          </w:p>
        </w:tc>
        <w:tc>
          <w:tcPr>
            <w:gridSpan w:val="2"/>
            <w:tcW w:w="2608" w:type="dxa"/>
          </w:tcPr>
          <w:p>
            <w:pPr>
              <w:pStyle w:val="0"/>
            </w:pPr>
            <w:r>
              <w:rPr>
                <w:sz w:val="24"/>
              </w:rPr>
              <w:t xml:space="preserve">Собственное удержание</w:t>
            </w:r>
          </w:p>
        </w:tc>
        <w:tc>
          <w:tcPr>
            <w:tcW w:w="2608" w:type="dxa"/>
          </w:tcPr>
          <w:p>
            <w:pPr>
              <w:pStyle w:val="0"/>
            </w:pPr>
            <w:r>
              <w:rPr>
                <w:sz w:val="24"/>
              </w:rPr>
            </w:r>
          </w:p>
        </w:tc>
        <w:tc>
          <w:tcPr>
            <w:tcW w:w="2948" w:type="dxa"/>
          </w:tcPr>
          <w:p>
            <w:pPr>
              <w:pStyle w:val="0"/>
            </w:pPr>
            <w:r>
              <w:rPr>
                <w:sz w:val="24"/>
              </w:rPr>
              <w:t xml:space="preserve">ins-dic:Sobstv_Uderzh</w:t>
            </w:r>
          </w:p>
        </w:tc>
      </w:tr>
      <w:tr>
        <w:tc>
          <w:tcPr>
            <w:tcW w:w="907" w:type="dxa"/>
          </w:tcPr>
          <w:p>
            <w:pPr>
              <w:pStyle w:val="0"/>
            </w:pPr>
            <w:r>
              <w:rPr>
                <w:sz w:val="24"/>
              </w:rPr>
              <w:t xml:space="preserve">45.1</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r>
        <w:tc>
          <w:tcPr>
            <w:tcW w:w="907" w:type="dxa"/>
          </w:tcPr>
          <w:p>
            <w:pPr>
              <w:pStyle w:val="0"/>
            </w:pPr>
            <w:r>
              <w:rPr>
                <w:sz w:val="24"/>
              </w:rPr>
              <w:t xml:space="preserve">45.2</w:t>
            </w:r>
          </w:p>
        </w:tc>
        <w:tc>
          <w:tcPr>
            <w:gridSpan w:val="2"/>
            <w:tcW w:w="2608" w:type="dxa"/>
          </w:tcPr>
          <w:p>
            <w:pPr>
              <w:pStyle w:val="0"/>
            </w:pPr>
            <w:r>
              <w:rPr>
                <w:sz w:val="24"/>
              </w:rPr>
            </w:r>
          </w:p>
        </w:tc>
        <w:tc>
          <w:tcPr>
            <w:tcW w:w="2608" w:type="dxa"/>
          </w:tcPr>
          <w:p>
            <w:pPr>
              <w:pStyle w:val="0"/>
            </w:pPr>
            <w:r>
              <w:rPr>
                <w:sz w:val="24"/>
              </w:rPr>
              <w:t xml:space="preserve">Перечень учетных групп</w:t>
            </w:r>
          </w:p>
        </w:tc>
        <w:tc>
          <w:tcPr>
            <w:tcW w:w="2948" w:type="dxa"/>
          </w:tcPr>
          <w:p>
            <w:pPr>
              <w:pStyle w:val="0"/>
            </w:pPr>
            <w:r>
              <w:rPr>
                <w:sz w:val="24"/>
              </w:rPr>
              <w:t xml:space="preserve">dim-int:Perechen_Uchet_Grupp_Axis</w:t>
            </w:r>
          </w:p>
        </w:tc>
      </w:tr>
      <w:tr>
        <w:tc>
          <w:tcPr>
            <w:tcW w:w="907" w:type="dxa"/>
          </w:tcPr>
          <w:bookmarkStart w:id="35199" w:name="P35199"/>
          <w:bookmarkEnd w:id="35199"/>
          <w:p>
            <w:pPr>
              <w:pStyle w:val="0"/>
            </w:pPr>
            <w:r>
              <w:rPr>
                <w:sz w:val="24"/>
              </w:rPr>
              <w:t xml:space="preserve">46</w:t>
            </w:r>
          </w:p>
        </w:tc>
        <w:tc>
          <w:tcPr>
            <w:gridSpan w:val="2"/>
            <w:tcW w:w="2608" w:type="dxa"/>
          </w:tcPr>
          <w:p>
            <w:pPr>
              <w:pStyle w:val="0"/>
            </w:pPr>
            <w:r>
              <w:rPr>
                <w:sz w:val="24"/>
              </w:rPr>
              <w:t xml:space="preserve">Срок сотрудничества</w:t>
            </w:r>
          </w:p>
        </w:tc>
        <w:tc>
          <w:tcPr>
            <w:tcW w:w="2608" w:type="dxa"/>
          </w:tcPr>
          <w:p>
            <w:pPr>
              <w:pStyle w:val="0"/>
            </w:pPr>
            <w:r>
              <w:rPr>
                <w:sz w:val="24"/>
              </w:rPr>
            </w:r>
          </w:p>
        </w:tc>
        <w:tc>
          <w:tcPr>
            <w:tcW w:w="2948" w:type="dxa"/>
          </w:tcPr>
          <w:p>
            <w:pPr>
              <w:pStyle w:val="0"/>
            </w:pPr>
            <w:r>
              <w:rPr>
                <w:sz w:val="24"/>
              </w:rPr>
              <w:t xml:space="preserve">ins-dic:SrokSotrudnichestva</w:t>
            </w:r>
          </w:p>
        </w:tc>
      </w:tr>
      <w:tr>
        <w:tc>
          <w:tcPr>
            <w:tcW w:w="907" w:type="dxa"/>
          </w:tcPr>
          <w:p>
            <w:pPr>
              <w:pStyle w:val="0"/>
            </w:pPr>
            <w:r>
              <w:rPr>
                <w:sz w:val="24"/>
              </w:rPr>
              <w:t xml:space="preserve">46.1</w:t>
            </w:r>
          </w:p>
        </w:tc>
        <w:tc>
          <w:tcPr>
            <w:gridSpan w:val="2"/>
            <w:tcW w:w="2608" w:type="dxa"/>
          </w:tcPr>
          <w:p>
            <w:pPr>
              <w:pStyle w:val="0"/>
            </w:pPr>
            <w:r>
              <w:rPr>
                <w:sz w:val="24"/>
              </w:rPr>
            </w:r>
          </w:p>
        </w:tc>
        <w:tc>
          <w:tcPr>
            <w:tcW w:w="2608" w:type="dxa"/>
          </w:tcPr>
          <w:p>
            <w:pPr>
              <w:pStyle w:val="0"/>
            </w:pPr>
            <w:r>
              <w:rPr>
                <w:sz w:val="24"/>
              </w:rPr>
              <w:t xml:space="preserve">Идентификатор страхователя (перестрахователя)</w:t>
            </w:r>
          </w:p>
        </w:tc>
        <w:tc>
          <w:tcPr>
            <w:tcW w:w="2948" w:type="dxa"/>
          </w:tcPr>
          <w:p>
            <w:pPr>
              <w:pStyle w:val="0"/>
            </w:pPr>
            <w:r>
              <w:rPr>
                <w:sz w:val="24"/>
              </w:rPr>
              <w:t xml:space="preserve">dim-int:IDStrlPslTaxis</w:t>
            </w:r>
          </w:p>
        </w:tc>
      </w:tr>
    </w:tbl>
    <w:p>
      <w:pPr>
        <w:pStyle w:val="0"/>
        <w:ind w:firstLine="540"/>
        <w:jc w:val="both"/>
      </w:pPr>
      <w:r>
        <w:rPr>
          <w:sz w:val="24"/>
        </w:rPr>
      </w:r>
    </w:p>
    <w:p>
      <w:pPr>
        <w:pStyle w:val="0"/>
        <w:ind w:firstLine="540"/>
        <w:jc w:val="both"/>
      </w:pPr>
      <w:r>
        <w:rPr>
          <w:sz w:val="24"/>
        </w:rPr>
        <w:t xml:space="preserve">--------------------------------</w:t>
      </w:r>
    </w:p>
    <w:bookmarkStart w:id="35209" w:name="P35209"/>
    <w:bookmarkEnd w:id="35209"/>
    <w:p>
      <w:pPr>
        <w:pStyle w:val="0"/>
        <w:spacing w:before="240" w:lineRule="auto"/>
        <w:ind w:firstLine="540"/>
        <w:jc w:val="both"/>
      </w:pPr>
      <w:r>
        <w:rPr>
          <w:sz w:val="24"/>
        </w:rPr>
        <w:t xml:space="preserve">&lt;1&gt; Общероссийский </w:t>
      </w:r>
      <w:hyperlink w:history="0" r:id="rId58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0420159 "Сведения</w:t>
      </w:r>
    </w:p>
    <w:p>
      <w:pPr>
        <w:pStyle w:val="0"/>
        <w:jc w:val="center"/>
      </w:pPr>
      <w:r>
        <w:rPr>
          <w:sz w:val="24"/>
        </w:rPr>
        <w:t xml:space="preserve">о сделках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4526" w:tooltip="Отчетность по форме 0420159">
        <w:r>
          <w:rPr>
            <w:sz w:val="24"/>
            <w:color w:val="0000ff"/>
          </w:rPr>
          <w:t xml:space="preserve">форме 0420159</w:t>
        </w:r>
      </w:hyperlink>
      <w:r>
        <w:rPr>
          <w:sz w:val="24"/>
        </w:rPr>
        <w:t xml:space="preserve"> "Сведения о сделках страховщика" (далее - отчетность по форме 0420159) составляется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посредством формирования предусмотренных в ней показателей за I квартал, первое полугодие, 9 месяцев, год (далее - отчетный период) по состоянию на последний календарный день отчетного периода включительно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Общество взаимного страхования показатели </w:t>
      </w:r>
      <w:hyperlink w:history="0" w:anchor="P34699" w:tooltip="Раздел 2.">
        <w:r>
          <w:rPr>
            <w:sz w:val="24"/>
            <w:color w:val="0000ff"/>
          </w:rPr>
          <w:t xml:space="preserve">разделов 2</w:t>
        </w:r>
      </w:hyperlink>
      <w:r>
        <w:rPr>
          <w:sz w:val="24"/>
        </w:rPr>
        <w:t xml:space="preserve">, </w:t>
      </w:r>
      <w:hyperlink w:history="0" w:anchor="P34887" w:tooltip="Раздел 4.">
        <w:r>
          <w:rPr>
            <w:sz w:val="24"/>
            <w:color w:val="0000ff"/>
          </w:rPr>
          <w:t xml:space="preserve">4</w:t>
        </w:r>
      </w:hyperlink>
      <w:r>
        <w:rPr>
          <w:sz w:val="24"/>
        </w:rPr>
        <w:t xml:space="preserve"> и </w:t>
      </w:r>
      <w:hyperlink w:history="0" w:anchor="P35129" w:tooltip="Раздел 5.">
        <w:r>
          <w:rPr>
            <w:sz w:val="24"/>
            <w:color w:val="0000ff"/>
          </w:rPr>
          <w:t xml:space="preserve">5</w:t>
        </w:r>
      </w:hyperlink>
      <w:r>
        <w:rPr>
          <w:sz w:val="24"/>
        </w:rPr>
        <w:t xml:space="preserve"> отчетности по форме 0420159 не формирует.</w:t>
      </w:r>
    </w:p>
    <w:p>
      <w:pPr>
        <w:pStyle w:val="0"/>
        <w:spacing w:before="240" w:lineRule="auto"/>
        <w:ind w:firstLine="540"/>
        <w:jc w:val="both"/>
      </w:pPr>
      <w:r>
        <w:rPr>
          <w:sz w:val="24"/>
        </w:rPr>
        <w:t xml:space="preserve">2. Отчетность по </w:t>
      </w:r>
      <w:hyperlink w:history="0" w:anchor="P34526" w:tooltip="Отчетность по форме 0420159">
        <w:r>
          <w:rPr>
            <w:sz w:val="24"/>
            <w:color w:val="0000ff"/>
          </w:rPr>
          <w:t xml:space="preserve">форме 0420159</w:t>
        </w:r>
      </w:hyperlink>
      <w:r>
        <w:rPr>
          <w:sz w:val="24"/>
        </w:rPr>
        <w:t xml:space="preserve"> составляется на основании сведений, содержащихся в журналах, указанных в </w:t>
      </w:r>
      <w:hyperlink w:history="0" r:id="rId58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5.9.1 пункта 5.9</w:t>
        </w:r>
      </w:hyperlink>
      <w:r>
        <w:rPr>
          <w:sz w:val="24"/>
        </w:rPr>
        <w:t xml:space="preserve"> Положения Банка России от 17 июня 2025 года N 858-П "О требованиях к финансовой устойчивости и платежеспособности страховщиков" &lt;1&gt; (далее - Положение Банка России N 858-П).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27 августа 2025 года, регистрационный N 83340.</w:t>
      </w:r>
    </w:p>
    <w:p>
      <w:pPr>
        <w:pStyle w:val="0"/>
        <w:ind w:firstLine="540"/>
        <w:jc w:val="both"/>
      </w:pPr>
      <w:r>
        <w:rPr>
          <w:sz w:val="24"/>
        </w:rPr>
      </w:r>
    </w:p>
    <w:p>
      <w:pPr>
        <w:pStyle w:val="0"/>
        <w:ind w:firstLine="540"/>
        <w:jc w:val="both"/>
      </w:pPr>
      <w:r>
        <w:rPr>
          <w:sz w:val="24"/>
        </w:rPr>
        <w:t xml:space="preserve">Информация о договорах страхования (сострахования), относящихся к видам страхования, предусмотренным федеральными законами о конкретных видах обязательного страхования, а также информация о перестраховании указанных договоров в </w:t>
      </w:r>
      <w:hyperlink w:history="0" w:anchor="P34541" w:tooltip="Раздел 1.">
        <w:r>
          <w:rPr>
            <w:sz w:val="24"/>
            <w:color w:val="0000ff"/>
          </w:rPr>
          <w:t xml:space="preserve">разделах 1</w:t>
        </w:r>
      </w:hyperlink>
      <w:r>
        <w:rPr>
          <w:sz w:val="24"/>
        </w:rPr>
        <w:t xml:space="preserve">, </w:t>
      </w:r>
      <w:hyperlink w:history="0" w:anchor="P34725" w:tooltip="Раздел 3.">
        <w:r>
          <w:rPr>
            <w:sz w:val="24"/>
            <w:color w:val="0000ff"/>
          </w:rPr>
          <w:t xml:space="preserve">3</w:t>
        </w:r>
      </w:hyperlink>
      <w:r>
        <w:rPr>
          <w:sz w:val="24"/>
        </w:rPr>
        <w:t xml:space="preserve"> и </w:t>
      </w:r>
      <w:hyperlink w:history="0" w:anchor="P34887" w:tooltip="Раздел 4.">
        <w:r>
          <w:rPr>
            <w:sz w:val="24"/>
            <w:color w:val="0000ff"/>
          </w:rPr>
          <w:t xml:space="preserve">4</w:t>
        </w:r>
      </w:hyperlink>
      <w:r>
        <w:rPr>
          <w:sz w:val="24"/>
        </w:rPr>
        <w:t xml:space="preserve"> отчетности по форме 0420159 не отражается.</w:t>
      </w:r>
    </w:p>
    <w:p>
      <w:pPr>
        <w:pStyle w:val="0"/>
        <w:spacing w:before="240" w:lineRule="auto"/>
        <w:ind w:firstLine="540"/>
        <w:jc w:val="both"/>
      </w:pPr>
      <w:r>
        <w:rPr>
          <w:sz w:val="24"/>
        </w:rPr>
        <w:t xml:space="preserve">В случае если в договоры страхования (сострахования, перестрахования) вносились изменения в течение отчетного периода либо предыдущих отчетных периодов, в отчетности по </w:t>
      </w:r>
      <w:hyperlink w:history="0" w:anchor="P34526" w:tooltip="Отчетность по форме 0420159">
        <w:r>
          <w:rPr>
            <w:sz w:val="24"/>
            <w:color w:val="0000ff"/>
          </w:rPr>
          <w:t xml:space="preserve">форме 0420159</w:t>
        </w:r>
      </w:hyperlink>
      <w:r>
        <w:rPr>
          <w:sz w:val="24"/>
        </w:rPr>
        <w:t xml:space="preserve"> приводятся актуальные значения показателей на конец отчетного периода.</w:t>
      </w:r>
    </w:p>
    <w:p>
      <w:pPr>
        <w:pStyle w:val="0"/>
        <w:spacing w:before="240" w:lineRule="auto"/>
        <w:ind w:firstLine="540"/>
        <w:jc w:val="both"/>
      </w:pPr>
      <w:r>
        <w:rPr>
          <w:sz w:val="24"/>
        </w:rPr>
        <w:t xml:space="preserve">В целях составления страховщиком отчетности по </w:t>
      </w:r>
      <w:hyperlink w:history="0" w:anchor="P34526" w:tooltip="Отчетность по форме 0420159">
        <w:r>
          <w:rPr>
            <w:sz w:val="24"/>
            <w:color w:val="0000ff"/>
          </w:rPr>
          <w:t xml:space="preserve">форме 0420159</w:t>
        </w:r>
      </w:hyperlink>
      <w:r>
        <w:rPr>
          <w:sz w:val="24"/>
        </w:rPr>
        <w:t xml:space="preserve"> величина собственных средств (капитала) страховщика определяется в соответствии со значением показателя "Собственные средства (капитал)" </w:t>
      </w:r>
      <w:hyperlink w:history="0" w:anchor="P2412" w:tooltip="5">
        <w:r>
          <w:rPr>
            <w:sz w:val="24"/>
            <w:color w:val="0000ff"/>
          </w:rPr>
          <w:t xml:space="preserve">(строка 5)</w:t>
        </w:r>
      </w:hyperlink>
      <w:r>
        <w:rPr>
          <w:sz w:val="24"/>
        </w:rPr>
        <w:t xml:space="preserve">, указанным в отчетности по </w:t>
      </w:r>
      <w:hyperlink w:history="0" w:anchor="P2335" w:tooltip="Отчетность по форме 0420154">
        <w:r>
          <w:rPr>
            <w:sz w:val="24"/>
            <w:color w:val="0000ff"/>
          </w:rPr>
          <w:t xml:space="preserve">форме 0420154</w:t>
        </w:r>
      </w:hyperlink>
      <w:r>
        <w:rPr>
          <w:sz w:val="24"/>
        </w:rPr>
        <w:t xml:space="preserve"> "Отчет об активах и обязательствах страховщика" по состоянию на последний календарный день отчетного периода.</w:t>
      </w:r>
    </w:p>
    <w:p>
      <w:pPr>
        <w:pStyle w:val="0"/>
        <w:spacing w:before="240" w:lineRule="auto"/>
        <w:ind w:firstLine="540"/>
        <w:jc w:val="both"/>
      </w:pPr>
      <w:r>
        <w:rPr>
          <w:sz w:val="24"/>
        </w:rPr>
        <w:t xml:space="preserve">Требования настоящих Порядка и сроков в отношении отражения в отчетности по </w:t>
      </w:r>
      <w:hyperlink w:history="0" w:anchor="P34526" w:tooltip="Отчетность по форме 0420159">
        <w:r>
          <w:rPr>
            <w:sz w:val="24"/>
            <w:color w:val="0000ff"/>
          </w:rPr>
          <w:t xml:space="preserve">форме 0420159</w:t>
        </w:r>
      </w:hyperlink>
      <w:r>
        <w:rPr>
          <w:sz w:val="24"/>
        </w:rPr>
        <w:t xml:space="preserve"> сведений о перестраховщиках и операциях с ними распространяются также на акционерное общество "Российское агентство по страхованию экспортных кредитов и инвестиций" в случае, если страховщик заключал с указанным акционерным обществом в соответствии с </w:t>
      </w:r>
      <w:hyperlink w:history="0" r:id="rId583"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договоры перестрахования, в которых страховщик выступает перестрахователем (далее - договоры исходящего перестрахования).</w:t>
      </w:r>
    </w:p>
    <w:p>
      <w:pPr>
        <w:pStyle w:val="0"/>
        <w:spacing w:before="240" w:lineRule="auto"/>
        <w:ind w:firstLine="540"/>
        <w:jc w:val="both"/>
      </w:pPr>
      <w:r>
        <w:rPr>
          <w:sz w:val="24"/>
        </w:rPr>
        <w:t xml:space="preserve">3. В </w:t>
      </w:r>
      <w:hyperlink w:history="0" w:anchor="P34541" w:tooltip="Раздел 1.">
        <w:r>
          <w:rPr>
            <w:sz w:val="24"/>
            <w:color w:val="0000ff"/>
          </w:rPr>
          <w:t xml:space="preserve">разделах 1</w:t>
        </w:r>
      </w:hyperlink>
      <w:r>
        <w:rPr>
          <w:sz w:val="24"/>
        </w:rPr>
        <w:t xml:space="preserve">, </w:t>
      </w:r>
      <w:hyperlink w:history="0" w:anchor="P34725" w:tooltip="Раздел 3.">
        <w:r>
          <w:rPr>
            <w:sz w:val="24"/>
            <w:color w:val="0000ff"/>
          </w:rPr>
          <w:t xml:space="preserve">3</w:t>
        </w:r>
      </w:hyperlink>
      <w:r>
        <w:rPr>
          <w:sz w:val="24"/>
        </w:rPr>
        <w:t xml:space="preserve"> и </w:t>
      </w:r>
      <w:hyperlink w:history="0" w:anchor="P34887" w:tooltip="Раздел 4.">
        <w:r>
          <w:rPr>
            <w:sz w:val="24"/>
            <w:color w:val="0000ff"/>
          </w:rPr>
          <w:t xml:space="preserve">4</w:t>
        </w:r>
      </w:hyperlink>
      <w:r>
        <w:rPr>
          <w:sz w:val="24"/>
        </w:rPr>
        <w:t xml:space="preserve"> отчетности по форме 0420159 по каждому договору страхования (сострахования) и договору перестрахования, в котором страховщик выступает перестраховщиком (далее - договор входящего перестрахования), формируются показатели "Перечень учетных групп" (</w:t>
      </w:r>
      <w:hyperlink w:history="0" w:anchor="P34543" w:tooltip="1">
        <w:r>
          <w:rPr>
            <w:sz w:val="24"/>
            <w:color w:val="0000ff"/>
          </w:rPr>
          <w:t xml:space="preserve">строки 1</w:t>
        </w:r>
      </w:hyperlink>
      <w:r>
        <w:rPr>
          <w:sz w:val="24"/>
        </w:rPr>
        <w:t xml:space="preserve">, </w:t>
      </w:r>
      <w:hyperlink w:history="0" w:anchor="P34727" w:tooltip="16">
        <w:r>
          <w:rPr>
            <w:sz w:val="24"/>
            <w:color w:val="0000ff"/>
          </w:rPr>
          <w:t xml:space="preserve">16</w:t>
        </w:r>
      </w:hyperlink>
      <w:r>
        <w:rPr>
          <w:sz w:val="24"/>
        </w:rPr>
        <w:t xml:space="preserve">, </w:t>
      </w:r>
      <w:hyperlink w:history="0" w:anchor="P34889" w:tooltip="26">
        <w:r>
          <w:rPr>
            <w:sz w:val="24"/>
            <w:color w:val="0000ff"/>
          </w:rPr>
          <w:t xml:space="preserve">26</w:t>
        </w:r>
      </w:hyperlink>
      <w:r>
        <w:rPr>
          <w:sz w:val="24"/>
        </w:rPr>
        <w:t xml:space="preserve">), "Номер договора" (</w:t>
      </w:r>
      <w:hyperlink w:history="0" w:anchor="P34555" w:tooltip="2">
        <w:r>
          <w:rPr>
            <w:sz w:val="24"/>
            <w:color w:val="0000ff"/>
          </w:rPr>
          <w:t xml:space="preserve">строки 2</w:t>
        </w:r>
      </w:hyperlink>
      <w:r>
        <w:rPr>
          <w:sz w:val="24"/>
        </w:rPr>
        <w:t xml:space="preserve">, </w:t>
      </w:r>
      <w:hyperlink w:history="0" w:anchor="P34743" w:tooltip="17">
        <w:r>
          <w:rPr>
            <w:sz w:val="24"/>
            <w:color w:val="0000ff"/>
          </w:rPr>
          <w:t xml:space="preserve">17</w:t>
        </w:r>
      </w:hyperlink>
      <w:r>
        <w:rPr>
          <w:sz w:val="24"/>
        </w:rPr>
        <w:t xml:space="preserve">, </w:t>
      </w:r>
      <w:hyperlink w:history="0" w:anchor="P34905" w:tooltip="27">
        <w:r>
          <w:rPr>
            <w:sz w:val="24"/>
            <w:color w:val="0000ff"/>
          </w:rPr>
          <w:t xml:space="preserve">27</w:t>
        </w:r>
      </w:hyperlink>
      <w:r>
        <w:rPr>
          <w:sz w:val="24"/>
        </w:rPr>
        <w:t xml:space="preserve">), "Дата заключения договора" (</w:t>
      </w:r>
      <w:hyperlink w:history="0" w:anchor="P34567" w:tooltip="3">
        <w:r>
          <w:rPr>
            <w:sz w:val="24"/>
            <w:color w:val="0000ff"/>
          </w:rPr>
          <w:t xml:space="preserve">строки 3</w:t>
        </w:r>
      </w:hyperlink>
      <w:r>
        <w:rPr>
          <w:sz w:val="24"/>
        </w:rPr>
        <w:t xml:space="preserve">, </w:t>
      </w:r>
      <w:hyperlink w:history="0" w:anchor="P34759" w:tooltip="18">
        <w:r>
          <w:rPr>
            <w:sz w:val="24"/>
            <w:color w:val="0000ff"/>
          </w:rPr>
          <w:t xml:space="preserve">18</w:t>
        </w:r>
      </w:hyperlink>
      <w:r>
        <w:rPr>
          <w:sz w:val="24"/>
        </w:rPr>
        <w:t xml:space="preserve">, </w:t>
      </w:r>
      <w:hyperlink w:history="0" w:anchor="P34921" w:tooltip="28">
        <w:r>
          <w:rPr>
            <w:sz w:val="24"/>
            <w:color w:val="0000ff"/>
          </w:rPr>
          <w:t xml:space="preserve">28</w:t>
        </w:r>
      </w:hyperlink>
      <w:r>
        <w:rPr>
          <w:sz w:val="24"/>
        </w:rPr>
        <w:t xml:space="preserve">), "Дата начала действия договора" (</w:t>
      </w:r>
      <w:hyperlink w:history="0" w:anchor="P34579" w:tooltip="4">
        <w:r>
          <w:rPr>
            <w:sz w:val="24"/>
            <w:color w:val="0000ff"/>
          </w:rPr>
          <w:t xml:space="preserve">строки 4</w:t>
        </w:r>
      </w:hyperlink>
      <w:r>
        <w:rPr>
          <w:sz w:val="24"/>
        </w:rPr>
        <w:t xml:space="preserve">, </w:t>
      </w:r>
      <w:hyperlink w:history="0" w:anchor="P34775" w:tooltip="19">
        <w:r>
          <w:rPr>
            <w:sz w:val="24"/>
            <w:color w:val="0000ff"/>
          </w:rPr>
          <w:t xml:space="preserve">19</w:t>
        </w:r>
      </w:hyperlink>
      <w:r>
        <w:rPr>
          <w:sz w:val="24"/>
        </w:rPr>
        <w:t xml:space="preserve">, </w:t>
      </w:r>
      <w:hyperlink w:history="0" w:anchor="P34937" w:tooltip="29">
        <w:r>
          <w:rPr>
            <w:sz w:val="24"/>
            <w:color w:val="0000ff"/>
          </w:rPr>
          <w:t xml:space="preserve">29</w:t>
        </w:r>
      </w:hyperlink>
      <w:r>
        <w:rPr>
          <w:sz w:val="24"/>
        </w:rPr>
        <w:t xml:space="preserve">), "Дата окончания срока действия договора" (</w:t>
      </w:r>
      <w:hyperlink w:history="0" w:anchor="P34591" w:tooltip="5">
        <w:r>
          <w:rPr>
            <w:sz w:val="24"/>
            <w:color w:val="0000ff"/>
          </w:rPr>
          <w:t xml:space="preserve">строки 5</w:t>
        </w:r>
      </w:hyperlink>
      <w:r>
        <w:rPr>
          <w:sz w:val="24"/>
        </w:rPr>
        <w:t xml:space="preserve">, </w:t>
      </w:r>
      <w:hyperlink w:history="0" w:anchor="P34791" w:tooltip="20">
        <w:r>
          <w:rPr>
            <w:sz w:val="24"/>
            <w:color w:val="0000ff"/>
          </w:rPr>
          <w:t xml:space="preserve">20</w:t>
        </w:r>
      </w:hyperlink>
      <w:r>
        <w:rPr>
          <w:sz w:val="24"/>
        </w:rPr>
        <w:t xml:space="preserve">, </w:t>
      </w:r>
      <w:hyperlink w:history="0" w:anchor="P34953" w:tooltip="30">
        <w:r>
          <w:rPr>
            <w:sz w:val="24"/>
            <w:color w:val="0000ff"/>
          </w:rPr>
          <w:t xml:space="preserve">30</w:t>
        </w:r>
      </w:hyperlink>
      <w:r>
        <w:rPr>
          <w:sz w:val="24"/>
        </w:rPr>
        <w:t xml:space="preserve">) и "Краткое описание объекта страхования" (</w:t>
      </w:r>
      <w:hyperlink w:history="0" w:anchor="P34603" w:tooltip="6">
        <w:r>
          <w:rPr>
            <w:sz w:val="24"/>
            <w:color w:val="0000ff"/>
          </w:rPr>
          <w:t xml:space="preserve">строки 6</w:t>
        </w:r>
      </w:hyperlink>
      <w:r>
        <w:rPr>
          <w:sz w:val="24"/>
        </w:rPr>
        <w:t xml:space="preserve">, </w:t>
      </w:r>
      <w:hyperlink w:history="0" w:anchor="P34807" w:tooltip="21">
        <w:r>
          <w:rPr>
            <w:sz w:val="24"/>
            <w:color w:val="0000ff"/>
          </w:rPr>
          <w:t xml:space="preserve">21</w:t>
        </w:r>
      </w:hyperlink>
      <w:r>
        <w:rPr>
          <w:sz w:val="24"/>
        </w:rPr>
        <w:t xml:space="preserve">, </w:t>
      </w:r>
      <w:hyperlink w:history="0" w:anchor="P34969" w:tooltip="31">
        <w:r>
          <w:rPr>
            <w:sz w:val="24"/>
            <w:color w:val="0000ff"/>
          </w:rPr>
          <w:t xml:space="preserve">31</w:t>
        </w:r>
      </w:hyperlink>
      <w:r>
        <w:rPr>
          <w:sz w:val="24"/>
        </w:rPr>
        <w:t xml:space="preserve">), а также указываются аналитические признаки по группам аналитических признаков "Идентификатор договора" и "Идентификатор страхователя (перестрахователя)" с учетом следующего:</w:t>
      </w:r>
    </w:p>
    <w:p>
      <w:pPr>
        <w:pStyle w:val="0"/>
        <w:spacing w:before="240" w:lineRule="auto"/>
        <w:ind w:firstLine="540"/>
        <w:jc w:val="both"/>
      </w:pPr>
      <w:r>
        <w:rPr>
          <w:sz w:val="24"/>
        </w:rPr>
        <w:t xml:space="preserve">3.1. По показателю "Перечень учетных групп" (</w:t>
      </w:r>
      <w:hyperlink w:history="0" w:anchor="P34543" w:tooltip="1">
        <w:r>
          <w:rPr>
            <w:sz w:val="24"/>
            <w:color w:val="0000ff"/>
          </w:rPr>
          <w:t xml:space="preserve">строки 1</w:t>
        </w:r>
      </w:hyperlink>
      <w:r>
        <w:rPr>
          <w:sz w:val="24"/>
        </w:rPr>
        <w:t xml:space="preserve">, </w:t>
      </w:r>
      <w:hyperlink w:history="0" w:anchor="P34727" w:tooltip="16">
        <w:r>
          <w:rPr>
            <w:sz w:val="24"/>
            <w:color w:val="0000ff"/>
          </w:rPr>
          <w:t xml:space="preserve">16</w:t>
        </w:r>
      </w:hyperlink>
      <w:r>
        <w:rPr>
          <w:sz w:val="24"/>
        </w:rPr>
        <w:t xml:space="preserve">, </w:t>
      </w:r>
      <w:hyperlink w:history="0" w:anchor="P34889" w:tooltip="26">
        <w:r>
          <w:rPr>
            <w:sz w:val="24"/>
            <w:color w:val="0000ff"/>
          </w:rPr>
          <w:t xml:space="preserve">26</w:t>
        </w:r>
      </w:hyperlink>
      <w:r>
        <w:rPr>
          <w:sz w:val="24"/>
        </w:rPr>
        <w:t xml:space="preserve">) указываются учетные группы, предусмотренные </w:t>
      </w:r>
      <w:hyperlink w:history="0" r:id="rId58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подпунктами 5.1.3</w:t>
        </w:r>
      </w:hyperlink>
      <w:r>
        <w:rPr>
          <w:sz w:val="24"/>
        </w:rPr>
        <w:t xml:space="preserve"> и </w:t>
      </w:r>
      <w:hyperlink w:history="0" r:id="rId585"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5.1.4 пункта 5.1</w:t>
        </w:r>
      </w:hyperlink>
      <w:r>
        <w:rPr>
          <w:sz w:val="24"/>
        </w:rPr>
        <w:t xml:space="preserve"> Положения Банка России N 858-П (кроме учетных групп 2.2, 3, 5, 11).</w:t>
      </w:r>
    </w:p>
    <w:p>
      <w:pPr>
        <w:pStyle w:val="0"/>
        <w:spacing w:before="240" w:lineRule="auto"/>
        <w:ind w:firstLine="540"/>
        <w:jc w:val="both"/>
      </w:pPr>
      <w:r>
        <w:rPr>
          <w:sz w:val="24"/>
        </w:rPr>
        <w:t xml:space="preserve">По договорам страхования (сострахования, входящего перестрахования), которые относятся к нескольким учетным группам (кроме учетных групп 2.2, 3, 5, 11), сведения указываются через пробел.</w:t>
      </w:r>
    </w:p>
    <w:p>
      <w:pPr>
        <w:pStyle w:val="0"/>
        <w:spacing w:before="240" w:lineRule="auto"/>
        <w:ind w:firstLine="540"/>
        <w:jc w:val="both"/>
      </w:pPr>
      <w:r>
        <w:rPr>
          <w:sz w:val="24"/>
        </w:rPr>
        <w:t xml:space="preserve">3.2. По показателю "Номер договора" (</w:t>
      </w:r>
      <w:hyperlink w:history="0" w:anchor="P34555" w:tooltip="2">
        <w:r>
          <w:rPr>
            <w:sz w:val="24"/>
            <w:color w:val="0000ff"/>
          </w:rPr>
          <w:t xml:space="preserve">строки 2</w:t>
        </w:r>
      </w:hyperlink>
      <w:r>
        <w:rPr>
          <w:sz w:val="24"/>
        </w:rPr>
        <w:t xml:space="preserve">, </w:t>
      </w:r>
      <w:hyperlink w:history="0" w:anchor="P34743" w:tooltip="17">
        <w:r>
          <w:rPr>
            <w:sz w:val="24"/>
            <w:color w:val="0000ff"/>
          </w:rPr>
          <w:t xml:space="preserve">17</w:t>
        </w:r>
      </w:hyperlink>
      <w:r>
        <w:rPr>
          <w:sz w:val="24"/>
        </w:rPr>
        <w:t xml:space="preserve">, </w:t>
      </w:r>
      <w:hyperlink w:history="0" w:anchor="P34905" w:tooltip="27">
        <w:r>
          <w:rPr>
            <w:sz w:val="24"/>
            <w:color w:val="0000ff"/>
          </w:rPr>
          <w:t xml:space="preserve">27</w:t>
        </w:r>
      </w:hyperlink>
      <w:r>
        <w:rPr>
          <w:sz w:val="24"/>
        </w:rPr>
        <w:t xml:space="preserve">) указывается номер (уникальный идентификатор) договора страхования (сострахования, входящего перестрахования).</w:t>
      </w:r>
    </w:p>
    <w:p>
      <w:pPr>
        <w:pStyle w:val="0"/>
        <w:spacing w:before="240" w:lineRule="auto"/>
        <w:ind w:firstLine="540"/>
        <w:jc w:val="both"/>
      </w:pPr>
      <w:r>
        <w:rPr>
          <w:sz w:val="24"/>
        </w:rPr>
        <w:t xml:space="preserve">3.3. По показателю "Дата заключения договора" (</w:t>
      </w:r>
      <w:hyperlink w:history="0" w:anchor="P34567" w:tooltip="3">
        <w:r>
          <w:rPr>
            <w:sz w:val="24"/>
            <w:color w:val="0000ff"/>
          </w:rPr>
          <w:t xml:space="preserve">строки 3</w:t>
        </w:r>
      </w:hyperlink>
      <w:r>
        <w:rPr>
          <w:sz w:val="24"/>
        </w:rPr>
        <w:t xml:space="preserve">, </w:t>
      </w:r>
      <w:hyperlink w:history="0" w:anchor="P34759" w:tooltip="18">
        <w:r>
          <w:rPr>
            <w:sz w:val="24"/>
            <w:color w:val="0000ff"/>
          </w:rPr>
          <w:t xml:space="preserve">18</w:t>
        </w:r>
      </w:hyperlink>
      <w:r>
        <w:rPr>
          <w:sz w:val="24"/>
        </w:rPr>
        <w:t xml:space="preserve">, </w:t>
      </w:r>
      <w:hyperlink w:history="0" w:anchor="P34921" w:tooltip="28">
        <w:r>
          <w:rPr>
            <w:sz w:val="24"/>
            <w:color w:val="0000ff"/>
          </w:rPr>
          <w:t xml:space="preserve">28</w:t>
        </w:r>
      </w:hyperlink>
      <w:r>
        <w:rPr>
          <w:sz w:val="24"/>
        </w:rPr>
        <w:t xml:space="preserve">) указывается дата заключения договора страхования (сострахования, входящего перестрахования).</w:t>
      </w:r>
    </w:p>
    <w:p>
      <w:pPr>
        <w:pStyle w:val="0"/>
        <w:spacing w:before="240" w:lineRule="auto"/>
        <w:ind w:firstLine="540"/>
        <w:jc w:val="both"/>
      </w:pPr>
      <w:r>
        <w:rPr>
          <w:sz w:val="24"/>
        </w:rPr>
        <w:t xml:space="preserve">Значение показателя "Дата заключения договора" </w:t>
      </w:r>
      <w:hyperlink w:history="0" w:anchor="P34567" w:tooltip="3">
        <w:r>
          <w:rPr>
            <w:sz w:val="24"/>
            <w:color w:val="0000ff"/>
          </w:rPr>
          <w:t xml:space="preserve">(строка 3)</w:t>
        </w:r>
      </w:hyperlink>
      <w:r>
        <w:rPr>
          <w:sz w:val="24"/>
        </w:rPr>
        <w:t xml:space="preserve"> должно находиться в пределах отчетного периода.</w:t>
      </w:r>
    </w:p>
    <w:p>
      <w:pPr>
        <w:pStyle w:val="0"/>
        <w:spacing w:before="240" w:lineRule="auto"/>
        <w:ind w:firstLine="540"/>
        <w:jc w:val="both"/>
      </w:pPr>
      <w:r>
        <w:rPr>
          <w:sz w:val="24"/>
        </w:rPr>
        <w:t xml:space="preserve">3.4. По показателю "Дата начала действия договора" (</w:t>
      </w:r>
      <w:hyperlink w:history="0" w:anchor="P34579" w:tooltip="4">
        <w:r>
          <w:rPr>
            <w:sz w:val="24"/>
            <w:color w:val="0000ff"/>
          </w:rPr>
          <w:t xml:space="preserve">строки 4</w:t>
        </w:r>
      </w:hyperlink>
      <w:r>
        <w:rPr>
          <w:sz w:val="24"/>
        </w:rPr>
        <w:t xml:space="preserve">, </w:t>
      </w:r>
      <w:hyperlink w:history="0" w:anchor="P34775" w:tooltip="19">
        <w:r>
          <w:rPr>
            <w:sz w:val="24"/>
            <w:color w:val="0000ff"/>
          </w:rPr>
          <w:t xml:space="preserve">19</w:t>
        </w:r>
      </w:hyperlink>
      <w:r>
        <w:rPr>
          <w:sz w:val="24"/>
        </w:rPr>
        <w:t xml:space="preserve">, </w:t>
      </w:r>
      <w:hyperlink w:history="0" w:anchor="P34937" w:tooltip="29">
        <w:r>
          <w:rPr>
            <w:sz w:val="24"/>
            <w:color w:val="0000ff"/>
          </w:rPr>
          <w:t xml:space="preserve">29</w:t>
        </w:r>
      </w:hyperlink>
      <w:r>
        <w:rPr>
          <w:sz w:val="24"/>
        </w:rPr>
        <w:t xml:space="preserve">) указывается дата начала действия договора страхования (сострахования, входящего перестрахования).</w:t>
      </w:r>
    </w:p>
    <w:bookmarkStart w:id="35232" w:name="P35232"/>
    <w:bookmarkEnd w:id="35232"/>
    <w:p>
      <w:pPr>
        <w:pStyle w:val="0"/>
        <w:spacing w:before="240" w:lineRule="auto"/>
        <w:ind w:firstLine="540"/>
        <w:jc w:val="both"/>
      </w:pPr>
      <w:r>
        <w:rPr>
          <w:sz w:val="24"/>
        </w:rPr>
        <w:t xml:space="preserve">В случае наличия неопределенности в отношении даты начала действия договора страхования (сострахования, входящего перестрахования) и определения указанной даты в зависимости от предусмотренных конкретным договором страхования (сострахования, входящего перестрахования) условий в качестве даты начала действия договора страхования (сострахования, входящего перестрахования) указывается значение 0001-01-01 и по показателю "Примечание" (</w:t>
      </w:r>
      <w:hyperlink w:history="0" w:anchor="P34687" w:tooltip="13">
        <w:r>
          <w:rPr>
            <w:sz w:val="24"/>
            <w:color w:val="0000ff"/>
          </w:rPr>
          <w:t xml:space="preserve">строки 13</w:t>
        </w:r>
      </w:hyperlink>
      <w:r>
        <w:rPr>
          <w:sz w:val="24"/>
        </w:rPr>
        <w:t xml:space="preserve">, </w:t>
      </w:r>
      <w:hyperlink w:history="0" w:anchor="P34871" w:tooltip="25">
        <w:r>
          <w:rPr>
            <w:sz w:val="24"/>
            <w:color w:val="0000ff"/>
          </w:rPr>
          <w:t xml:space="preserve">25</w:t>
        </w:r>
      </w:hyperlink>
      <w:r>
        <w:rPr>
          <w:sz w:val="24"/>
        </w:rPr>
        <w:t xml:space="preserve">, </w:t>
      </w:r>
      <w:hyperlink w:history="0" w:anchor="P35113" w:tooltip="40">
        <w:r>
          <w:rPr>
            <w:sz w:val="24"/>
            <w:color w:val="0000ff"/>
          </w:rPr>
          <w:t xml:space="preserve">40</w:t>
        </w:r>
      </w:hyperlink>
      <w:r>
        <w:rPr>
          <w:sz w:val="24"/>
        </w:rPr>
        <w:t xml:space="preserve">) страховщиком приводятся пояснения.</w:t>
      </w:r>
    </w:p>
    <w:p>
      <w:pPr>
        <w:pStyle w:val="0"/>
        <w:spacing w:before="240" w:lineRule="auto"/>
        <w:ind w:firstLine="540"/>
        <w:jc w:val="both"/>
      </w:pPr>
      <w:r>
        <w:rPr>
          <w:sz w:val="24"/>
        </w:rPr>
        <w:t xml:space="preserve">3.5. По показателю "Дата окончания срока действия договора" (</w:t>
      </w:r>
      <w:hyperlink w:history="0" w:anchor="P34591" w:tooltip="5">
        <w:r>
          <w:rPr>
            <w:sz w:val="24"/>
            <w:color w:val="0000ff"/>
          </w:rPr>
          <w:t xml:space="preserve">строки 5</w:t>
        </w:r>
      </w:hyperlink>
      <w:r>
        <w:rPr>
          <w:sz w:val="24"/>
        </w:rPr>
        <w:t xml:space="preserve">, </w:t>
      </w:r>
      <w:hyperlink w:history="0" w:anchor="P34791" w:tooltip="20">
        <w:r>
          <w:rPr>
            <w:sz w:val="24"/>
            <w:color w:val="0000ff"/>
          </w:rPr>
          <w:t xml:space="preserve">20</w:t>
        </w:r>
      </w:hyperlink>
      <w:r>
        <w:rPr>
          <w:sz w:val="24"/>
        </w:rPr>
        <w:t xml:space="preserve">, </w:t>
      </w:r>
      <w:hyperlink w:history="0" w:anchor="P34953" w:tooltip="30">
        <w:r>
          <w:rPr>
            <w:sz w:val="24"/>
            <w:color w:val="0000ff"/>
          </w:rPr>
          <w:t xml:space="preserve">30</w:t>
        </w:r>
      </w:hyperlink>
      <w:r>
        <w:rPr>
          <w:sz w:val="24"/>
        </w:rPr>
        <w:t xml:space="preserve">) указывается дата окончания срока действия договора страхования (сострахования, входящего перестрахования).</w:t>
      </w:r>
    </w:p>
    <w:bookmarkStart w:id="35234" w:name="P35234"/>
    <w:bookmarkEnd w:id="35234"/>
    <w:p>
      <w:pPr>
        <w:pStyle w:val="0"/>
        <w:spacing w:before="240" w:lineRule="auto"/>
        <w:ind w:firstLine="540"/>
        <w:jc w:val="both"/>
      </w:pPr>
      <w:r>
        <w:rPr>
          <w:sz w:val="24"/>
        </w:rPr>
        <w:t xml:space="preserve">В случае наличия неопределенности в отношении даты окончания срока действия договора страхования (сострахования, входящего перестрахования) и определения указанной даты в зависимости от предусмотренных конкретным договором страхования (сострахования, входящего перестрахования) условий в качестве даты окончания срока действия договора страхования (сострахования, входящего перестрахования) указывается значение 0001-01-01 и по показателю "Примечание" (</w:t>
      </w:r>
      <w:hyperlink w:history="0" w:anchor="P34687" w:tooltip="13">
        <w:r>
          <w:rPr>
            <w:sz w:val="24"/>
            <w:color w:val="0000ff"/>
          </w:rPr>
          <w:t xml:space="preserve">строки 13</w:t>
        </w:r>
      </w:hyperlink>
      <w:r>
        <w:rPr>
          <w:sz w:val="24"/>
        </w:rPr>
        <w:t xml:space="preserve">, </w:t>
      </w:r>
      <w:hyperlink w:history="0" w:anchor="P34871" w:tooltip="25">
        <w:r>
          <w:rPr>
            <w:sz w:val="24"/>
            <w:color w:val="0000ff"/>
          </w:rPr>
          <w:t xml:space="preserve">25</w:t>
        </w:r>
      </w:hyperlink>
      <w:r>
        <w:rPr>
          <w:sz w:val="24"/>
        </w:rPr>
        <w:t xml:space="preserve">, </w:t>
      </w:r>
      <w:hyperlink w:history="0" w:anchor="P35113" w:tooltip="40">
        <w:r>
          <w:rPr>
            <w:sz w:val="24"/>
            <w:color w:val="0000ff"/>
          </w:rPr>
          <w:t xml:space="preserve">40</w:t>
        </w:r>
      </w:hyperlink>
      <w:r>
        <w:rPr>
          <w:sz w:val="24"/>
        </w:rPr>
        <w:t xml:space="preserve">) страховщиком приводятся пояснения.</w:t>
      </w:r>
    </w:p>
    <w:p>
      <w:pPr>
        <w:pStyle w:val="0"/>
        <w:spacing w:before="240" w:lineRule="auto"/>
        <w:ind w:firstLine="540"/>
        <w:jc w:val="both"/>
      </w:pPr>
      <w:r>
        <w:rPr>
          <w:sz w:val="24"/>
        </w:rPr>
        <w:t xml:space="preserve">3.6. По показателю "Краткое описание объекта страхования" (</w:t>
      </w:r>
      <w:hyperlink w:history="0" w:anchor="P34603" w:tooltip="6">
        <w:r>
          <w:rPr>
            <w:sz w:val="24"/>
            <w:color w:val="0000ff"/>
          </w:rPr>
          <w:t xml:space="preserve">строки 6</w:t>
        </w:r>
      </w:hyperlink>
      <w:r>
        <w:rPr>
          <w:sz w:val="24"/>
        </w:rPr>
        <w:t xml:space="preserve">, </w:t>
      </w:r>
      <w:hyperlink w:history="0" w:anchor="P34807" w:tooltip="21">
        <w:r>
          <w:rPr>
            <w:sz w:val="24"/>
            <w:color w:val="0000ff"/>
          </w:rPr>
          <w:t xml:space="preserve">21</w:t>
        </w:r>
      </w:hyperlink>
      <w:r>
        <w:rPr>
          <w:sz w:val="24"/>
        </w:rPr>
        <w:t xml:space="preserve">, </w:t>
      </w:r>
      <w:hyperlink w:history="0" w:anchor="P34969" w:tooltip="31">
        <w:r>
          <w:rPr>
            <w:sz w:val="24"/>
            <w:color w:val="0000ff"/>
          </w:rPr>
          <w:t xml:space="preserve">31</w:t>
        </w:r>
      </w:hyperlink>
      <w:r>
        <w:rPr>
          <w:sz w:val="24"/>
        </w:rPr>
        <w:t xml:space="preserve">) приводится краткое описание объекта (объектов) страхования, предусмотренного (предусмотренных) договором страхования (сострахования, входящего перестрахования).</w:t>
      </w:r>
    </w:p>
    <w:p>
      <w:pPr>
        <w:pStyle w:val="0"/>
        <w:spacing w:before="240" w:lineRule="auto"/>
        <w:ind w:firstLine="540"/>
        <w:jc w:val="both"/>
      </w:pPr>
      <w:r>
        <w:rPr>
          <w:sz w:val="24"/>
        </w:rPr>
        <w:t xml:space="preserve">3.7. По группе аналитических признаков "Идентификатор договора" указывается сформированный страховщиком идентификатор договора страхования (сострахования, входящего перестрахования), заключенного со страхователем (перестрахователем), позволяющий выделить один договор страхования (сострахования, входящего перестрахования) из других договоров страхования (сострахования, входящего перестрахования). Одному и тому же договору страхования (сострахования, входящего перестрахования) должен соответствовать один идентификатор.</w:t>
      </w:r>
    </w:p>
    <w:p>
      <w:pPr>
        <w:pStyle w:val="0"/>
        <w:spacing w:before="240" w:lineRule="auto"/>
        <w:ind w:firstLine="540"/>
        <w:jc w:val="both"/>
      </w:pPr>
      <w:r>
        <w:rPr>
          <w:sz w:val="24"/>
        </w:rPr>
        <w:t xml:space="preserve">3.8. По группе аналитических признаков "Идентификатор страхователя (перестрахователя)" указывается сформированный страховщиком идентификатор страхователя (перестрахователя), с которым заключен договор страхования (сострахования, входящего перестрахования), указанный по группе аналитических признаков "Идентификатор договора".</w:t>
      </w:r>
    </w:p>
    <w:p>
      <w:pPr>
        <w:pStyle w:val="0"/>
        <w:spacing w:before="240" w:lineRule="auto"/>
        <w:ind w:firstLine="540"/>
        <w:jc w:val="both"/>
      </w:pPr>
      <w:r>
        <w:rPr>
          <w:sz w:val="24"/>
        </w:rPr>
        <w:t xml:space="preserve">Значение идентификатора страхователя (перестрахователя), указанное по группе аналитических признаков "Идентификатор страхователя (перестрахователя)",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(далее - отчетность по форме 0420150) по этому страхователю (перестрахователю).</w:t>
      </w:r>
    </w:p>
    <w:bookmarkStart w:id="35239" w:name="P35239"/>
    <w:bookmarkEnd w:id="35239"/>
    <w:p>
      <w:pPr>
        <w:pStyle w:val="0"/>
        <w:spacing w:before="240" w:lineRule="auto"/>
        <w:ind w:firstLine="540"/>
        <w:jc w:val="both"/>
      </w:pPr>
      <w:r>
        <w:rPr>
          <w:sz w:val="24"/>
        </w:rPr>
        <w:t xml:space="preserve">3.9. В случае если общество взаимного страхования осуществляет взаимное страхование своих членов непосредственно на основании устава общества взаимного страхования, по группе аналитических признаков "Идентификатор договора" указывается сформированный обществом взаимного страхования идентификатор условий взаимного страхования имущественного интереса (объекта взаимного страхования) конкретного члена общества взаимного страхования.</w:t>
      </w:r>
    </w:p>
    <w:p>
      <w:pPr>
        <w:pStyle w:val="0"/>
        <w:spacing w:before="240" w:lineRule="auto"/>
        <w:ind w:firstLine="540"/>
        <w:jc w:val="both"/>
      </w:pPr>
      <w:r>
        <w:rPr>
          <w:sz w:val="24"/>
        </w:rPr>
        <w:t xml:space="preserve">Значения показателей "Номер договора" (</w:t>
      </w:r>
      <w:hyperlink w:history="0" w:anchor="P34555" w:tooltip="2">
        <w:r>
          <w:rPr>
            <w:sz w:val="24"/>
            <w:color w:val="0000ff"/>
          </w:rPr>
          <w:t xml:space="preserve">строки 2</w:t>
        </w:r>
      </w:hyperlink>
      <w:r>
        <w:rPr>
          <w:sz w:val="24"/>
        </w:rPr>
        <w:t xml:space="preserve">, </w:t>
      </w:r>
      <w:hyperlink w:history="0" w:anchor="P34743" w:tooltip="17">
        <w:r>
          <w:rPr>
            <w:sz w:val="24"/>
            <w:color w:val="0000ff"/>
          </w:rPr>
          <w:t xml:space="preserve">17</w:t>
        </w:r>
      </w:hyperlink>
      <w:r>
        <w:rPr>
          <w:sz w:val="24"/>
        </w:rPr>
        <w:t xml:space="preserve">), "Дата заключения договора" (</w:t>
      </w:r>
      <w:hyperlink w:history="0" w:anchor="P34567" w:tooltip="3">
        <w:r>
          <w:rPr>
            <w:sz w:val="24"/>
            <w:color w:val="0000ff"/>
          </w:rPr>
          <w:t xml:space="preserve">строки 3</w:t>
        </w:r>
      </w:hyperlink>
      <w:r>
        <w:rPr>
          <w:sz w:val="24"/>
        </w:rPr>
        <w:t xml:space="preserve">, </w:t>
      </w:r>
      <w:hyperlink w:history="0" w:anchor="P34759" w:tooltip="18">
        <w:r>
          <w:rPr>
            <w:sz w:val="24"/>
            <w:color w:val="0000ff"/>
          </w:rPr>
          <w:t xml:space="preserve">18</w:t>
        </w:r>
      </w:hyperlink>
      <w:r>
        <w:rPr>
          <w:sz w:val="24"/>
        </w:rPr>
        <w:t xml:space="preserve">), "Дата начала действия договора" (</w:t>
      </w:r>
      <w:hyperlink w:history="0" w:anchor="P34579" w:tooltip="4">
        <w:r>
          <w:rPr>
            <w:sz w:val="24"/>
            <w:color w:val="0000ff"/>
          </w:rPr>
          <w:t xml:space="preserve">строки 4</w:t>
        </w:r>
      </w:hyperlink>
      <w:r>
        <w:rPr>
          <w:sz w:val="24"/>
        </w:rPr>
        <w:t xml:space="preserve">, </w:t>
      </w:r>
      <w:hyperlink w:history="0" w:anchor="P34775" w:tooltip="19">
        <w:r>
          <w:rPr>
            <w:sz w:val="24"/>
            <w:color w:val="0000ff"/>
          </w:rPr>
          <w:t xml:space="preserve">19</w:t>
        </w:r>
      </w:hyperlink>
      <w:r>
        <w:rPr>
          <w:sz w:val="24"/>
        </w:rPr>
        <w:t xml:space="preserve">) и "Дата окончания срока действия договора" (</w:t>
      </w:r>
      <w:hyperlink w:history="0" w:anchor="P34591" w:tooltip="5">
        <w:r>
          <w:rPr>
            <w:sz w:val="24"/>
            <w:color w:val="0000ff"/>
          </w:rPr>
          <w:t xml:space="preserve">строки 5</w:t>
        </w:r>
      </w:hyperlink>
      <w:r>
        <w:rPr>
          <w:sz w:val="24"/>
        </w:rPr>
        <w:t xml:space="preserve">, </w:t>
      </w:r>
      <w:hyperlink w:history="0" w:anchor="P34791" w:tooltip="20">
        <w:r>
          <w:rPr>
            <w:sz w:val="24"/>
            <w:color w:val="0000ff"/>
          </w:rPr>
          <w:t xml:space="preserve">20</w:t>
        </w:r>
      </w:hyperlink>
      <w:r>
        <w:rPr>
          <w:sz w:val="24"/>
        </w:rPr>
        <w:t xml:space="preserve">) указываются в соответствии с условиями взаимного страхования имущественного интереса (объекта взаимного страхования) конкретного члена общества взаимного страхования, указанными в </w:t>
      </w:r>
      <w:hyperlink w:history="0" w:anchor="P35239" w:tooltip="3.9. В случае если общество взаимного страхования осуществляет взаимное страхование своих членов непосредственно на основании устава общества взаимного страхования, по группе аналитических признаков &quot;Идентификатор договора&quot; указывается сформированный обществом взаимного страхования идентификатор условий взаимного страхования имущественного интереса (объекта взаимного страхования) конкретного члена общества взаимного страхования.">
        <w:r>
          <w:rPr>
            <w:sz w:val="24"/>
            <w:color w:val="0000ff"/>
          </w:rPr>
          <w:t xml:space="preserve">абзаце первом</w:t>
        </w:r>
      </w:hyperlink>
      <w:r>
        <w:rPr>
          <w:sz w:val="24"/>
        </w:rPr>
        <w:t xml:space="preserve"> настоящего подпункта.</w:t>
      </w:r>
    </w:p>
    <w:p>
      <w:pPr>
        <w:pStyle w:val="0"/>
        <w:spacing w:before="240" w:lineRule="auto"/>
        <w:ind w:firstLine="540"/>
        <w:jc w:val="both"/>
      </w:pPr>
      <w:r>
        <w:rPr>
          <w:sz w:val="24"/>
        </w:rPr>
        <w:t xml:space="preserve">4. По показателям </w:t>
      </w:r>
      <w:hyperlink w:history="0" w:anchor="P34541" w:tooltip="Раздел 1.">
        <w:r>
          <w:rPr>
            <w:sz w:val="24"/>
            <w:color w:val="0000ff"/>
          </w:rPr>
          <w:t xml:space="preserve">раздела 1</w:t>
        </w:r>
      </w:hyperlink>
      <w:r>
        <w:rPr>
          <w:sz w:val="24"/>
        </w:rPr>
        <w:t xml:space="preserve"> отчетности по форме 0420159 указывается информация о заключенных страховщиком в отчетном периоде договорах страхования (сострахования, входящего перестрахования), по которым максимальная страховая сумма по договору страхования (сострахования) (по одному страховому событию) либо максимальный принимаемый объем обязательств по договору перестрахования (по одному страховому событию) составляет 5 процентов и более от величины собственных средств (капитала) страховщика на конец отчетного периода (не более 20 договоров с наибольшей страховой суммой (наибольшим принимаемым объемом обязательств).</w:t>
      </w:r>
    </w:p>
    <w:p>
      <w:pPr>
        <w:pStyle w:val="0"/>
        <w:spacing w:before="240" w:lineRule="auto"/>
        <w:ind w:firstLine="540"/>
        <w:jc w:val="both"/>
      </w:pPr>
      <w:r>
        <w:rPr>
          <w:sz w:val="24"/>
        </w:rPr>
        <w:t xml:space="preserve">В случае если у страховщика в отчетном периоде отсутствуют договоры страхования (сострахования, входящего перестрахования), по которым максимальная страховая сумма по договору страхования (сострахования) (по одному страховому событию) либо максимальный принимаемый объем обязательств по договору перестрахования (по одному страховому событию) составляет 5 процентов и более от величины собственных средств (капитала) страховщика, либо указанных договоров менее 20, страховщик должен указать по показателям </w:t>
      </w:r>
      <w:hyperlink w:history="0" w:anchor="P34541" w:tooltip="Раздел 1.">
        <w:r>
          <w:rPr>
            <w:sz w:val="24"/>
            <w:color w:val="0000ff"/>
          </w:rPr>
          <w:t xml:space="preserve">раздела 1</w:t>
        </w:r>
      </w:hyperlink>
      <w:r>
        <w:rPr>
          <w:sz w:val="24"/>
        </w:rPr>
        <w:t xml:space="preserve"> отчетности по форме 0420159 информацию о 20 договорах с наибольшей страховой суммой (наибольшим принимаемым объемом обязательств) по одному страховому событию (включая договоры, по которым страховая сумма (принимаемый объем обязательств) составляет 5 процентов и более от величины собственных средств (капитала) страховщика).</w:t>
      </w:r>
    </w:p>
    <w:p>
      <w:pPr>
        <w:pStyle w:val="0"/>
        <w:spacing w:before="240" w:lineRule="auto"/>
        <w:ind w:firstLine="540"/>
        <w:jc w:val="both"/>
      </w:pPr>
      <w:r>
        <w:rPr>
          <w:sz w:val="24"/>
        </w:rPr>
        <w:t xml:space="preserve">Показатели </w:t>
      </w:r>
      <w:hyperlink w:history="0" w:anchor="P34541" w:tooltip="Раздел 1.">
        <w:r>
          <w:rPr>
            <w:sz w:val="24"/>
            <w:color w:val="0000ff"/>
          </w:rPr>
          <w:t xml:space="preserve">раздела 1</w:t>
        </w:r>
      </w:hyperlink>
      <w:r>
        <w:rPr>
          <w:sz w:val="24"/>
        </w:rPr>
        <w:t xml:space="preserve"> отчетности по форме 0420159 указываются в разрезе договоров страхования (сострахования, входящего перестрахования), заключенных страховщиком в отчетном периоде (по группе аналитических признаков "Идентификатор договора").</w:t>
      </w:r>
    </w:p>
    <w:p>
      <w:pPr>
        <w:pStyle w:val="0"/>
        <w:spacing w:before="240" w:lineRule="auto"/>
        <w:ind w:firstLine="540"/>
        <w:jc w:val="both"/>
      </w:pPr>
      <w:r>
        <w:rPr>
          <w:sz w:val="24"/>
        </w:rPr>
        <w:t xml:space="preserve">4.1. По показателю "Страховая премия по заключенному договору (не более 20 договоров)" </w:t>
      </w:r>
      <w:hyperlink w:history="0" w:anchor="P34615" w:tooltip="7">
        <w:r>
          <w:rPr>
            <w:sz w:val="24"/>
            <w:color w:val="0000ff"/>
          </w:rPr>
          <w:t xml:space="preserve">(строка 7)</w:t>
        </w:r>
      </w:hyperlink>
      <w:r>
        <w:rPr>
          <w:sz w:val="24"/>
        </w:rPr>
        <w:t xml:space="preserve"> для каждого договора страхования (сострахования, входящего перестрахования) указывается сумма страховой премии, уплата, корректировка (увеличение или уменьшение) или возврат которой согласно условиям договора страхования (сострахования, входящего перестрахования) приходится на отчетный период.</w:t>
      </w:r>
    </w:p>
    <w:p>
      <w:pPr>
        <w:pStyle w:val="0"/>
        <w:spacing w:before="240" w:lineRule="auto"/>
        <w:ind w:firstLine="540"/>
        <w:jc w:val="both"/>
      </w:pPr>
      <w:r>
        <w:rPr>
          <w:sz w:val="24"/>
        </w:rPr>
        <w:t xml:space="preserve">4.2. По показателю "Лимит ответственности (страховая сумма)" </w:t>
      </w:r>
      <w:hyperlink w:history="0" w:anchor="P34627" w:tooltip="8">
        <w:r>
          <w:rPr>
            <w:sz w:val="24"/>
            <w:color w:val="0000ff"/>
          </w:rPr>
          <w:t xml:space="preserve">(строка 8)</w:t>
        </w:r>
      </w:hyperlink>
      <w:r>
        <w:rPr>
          <w:sz w:val="24"/>
        </w:rPr>
        <w:t xml:space="preserve"> для каждого договора страхования (сострахования) указывается страховая сумма по этому договору (в целом по договору) или для каждого договора входящего перестрахования - лимит ответственности по этому договору (в целом по договору).</w:t>
      </w:r>
    </w:p>
    <w:p>
      <w:pPr>
        <w:pStyle w:val="0"/>
        <w:spacing w:before="240" w:lineRule="auto"/>
        <w:ind w:firstLine="540"/>
        <w:jc w:val="both"/>
      </w:pPr>
      <w:r>
        <w:rPr>
          <w:sz w:val="24"/>
        </w:rPr>
        <w:t xml:space="preserve">По показателю "Лимит ответственности (страховая сумма)" </w:t>
      </w:r>
      <w:hyperlink w:history="0" w:anchor="P34627" w:tooltip="8">
        <w:r>
          <w:rPr>
            <w:sz w:val="24"/>
            <w:color w:val="0000ff"/>
          </w:rPr>
          <w:t xml:space="preserve">(строка 8)</w:t>
        </w:r>
      </w:hyperlink>
      <w:r>
        <w:rPr>
          <w:sz w:val="24"/>
        </w:rPr>
        <w:t xml:space="preserve"> для договоров пенсионного страхования и договоров страхования жизни с условием выплаты ренты указывается сумма дополнительной пенсии или ренты, которая будет выплачиваться страхователю (застрахованному лицу) в соответствии с условиями договора страхования в течение одного календарного года после достижения им пенсионного или указанного в договоре страхования возраста.</w:t>
      </w:r>
    </w:p>
    <w:p>
      <w:pPr>
        <w:pStyle w:val="0"/>
        <w:spacing w:before="240" w:lineRule="auto"/>
        <w:ind w:firstLine="540"/>
        <w:jc w:val="both"/>
      </w:pPr>
      <w:r>
        <w:rPr>
          <w:sz w:val="24"/>
        </w:rPr>
        <w:t xml:space="preserve">4.3. По показателю "Максимальный лимит ответственности (максимальная страховая сумма) по одному страховому событию" </w:t>
      </w:r>
      <w:hyperlink w:history="0" w:anchor="P34639" w:tooltip="9">
        <w:r>
          <w:rPr>
            <w:sz w:val="24"/>
            <w:color w:val="0000ff"/>
          </w:rPr>
          <w:t xml:space="preserve">(строка 9)</w:t>
        </w:r>
      </w:hyperlink>
      <w:r>
        <w:rPr>
          <w:sz w:val="24"/>
        </w:rPr>
        <w:t xml:space="preserve"> для каждого договора страхования (сострахования) указывается максимальная страховая сумма по этому договору (по одному страховому событию) или для каждого договора входящего перестрахования - максимальный лимит ответственности по этому договору (по одному страховому событию).</w:t>
      </w:r>
    </w:p>
    <w:p>
      <w:pPr>
        <w:pStyle w:val="0"/>
        <w:spacing w:before="240" w:lineRule="auto"/>
        <w:ind w:firstLine="540"/>
        <w:jc w:val="both"/>
      </w:pPr>
      <w:r>
        <w:rPr>
          <w:sz w:val="24"/>
        </w:rPr>
        <w:t xml:space="preserve">4.4. По показателю "Максимальное собственное удержание" </w:t>
      </w:r>
      <w:hyperlink w:history="0" w:anchor="P34651" w:tooltip="10">
        <w:r>
          <w:rPr>
            <w:sz w:val="24"/>
            <w:color w:val="0000ff"/>
          </w:rPr>
          <w:t xml:space="preserve">(строка 10)</w:t>
        </w:r>
      </w:hyperlink>
      <w:r>
        <w:rPr>
          <w:sz w:val="24"/>
        </w:rPr>
        <w:t xml:space="preserve"> для каждого договора страхования (сострахования, входящего перестрахования) указывается максимальное собственное удержание по договору страхования (сострахования, входящего перестрахования), переданному в перестрахование (ретроцессию), по которому переданный в перестрахование лимит ответственности указан по показателю "Лимит ответственности, переданный в перестрахование" </w:t>
      </w:r>
      <w:hyperlink w:history="0" w:anchor="P34675" w:tooltip="12">
        <w:r>
          <w:rPr>
            <w:sz w:val="24"/>
            <w:color w:val="0000ff"/>
          </w:rPr>
          <w:t xml:space="preserve">(строка 12)</w:t>
        </w:r>
      </w:hyperlink>
      <w:r>
        <w:rPr>
          <w:sz w:val="24"/>
        </w:rPr>
        <w:t xml:space="preserve">.</w:t>
      </w:r>
    </w:p>
    <w:p>
      <w:pPr>
        <w:pStyle w:val="0"/>
        <w:spacing w:before="240" w:lineRule="auto"/>
        <w:ind w:firstLine="540"/>
        <w:jc w:val="both"/>
      </w:pPr>
      <w:r>
        <w:rPr>
          <w:sz w:val="24"/>
        </w:rPr>
        <w:t xml:space="preserve">В случае если договор страхования (сострахования, входящего перестрахования) не передан в перестрахование (ретроцессию), значение показателя "Максимальное собственное удержание" </w:t>
      </w:r>
      <w:hyperlink w:history="0" w:anchor="P34651" w:tooltip="10">
        <w:r>
          <w:rPr>
            <w:sz w:val="24"/>
            <w:color w:val="0000ff"/>
          </w:rPr>
          <w:t xml:space="preserve">(строка 10)</w:t>
        </w:r>
      </w:hyperlink>
      <w:r>
        <w:rPr>
          <w:sz w:val="24"/>
        </w:rPr>
        <w:t xml:space="preserve"> должно быть равно значению показателя "Лимит ответственности (страховая сумма)" </w:t>
      </w:r>
      <w:hyperlink w:history="0" w:anchor="P34627" w:tooltip="8">
        <w:r>
          <w:rPr>
            <w:sz w:val="24"/>
            <w:color w:val="0000ff"/>
          </w:rPr>
          <w:t xml:space="preserve">(строка 8)</w:t>
        </w:r>
      </w:hyperlink>
      <w:r>
        <w:rPr>
          <w:sz w:val="24"/>
        </w:rPr>
        <w:t xml:space="preserve">.</w:t>
      </w:r>
    </w:p>
    <w:p>
      <w:pPr>
        <w:pStyle w:val="0"/>
        <w:spacing w:before="240" w:lineRule="auto"/>
        <w:ind w:firstLine="540"/>
        <w:jc w:val="both"/>
      </w:pPr>
      <w:r>
        <w:rPr>
          <w:sz w:val="24"/>
        </w:rPr>
        <w:t xml:space="preserve">4.5. В случае если договор страхования (сострахования, входящего перестрахования) передан в перестрахование (ретроцессию), для каждого договора страхования (сострахования, входящего перестрахования) указывается:</w:t>
      </w:r>
    </w:p>
    <w:p>
      <w:pPr>
        <w:pStyle w:val="0"/>
        <w:spacing w:before="240" w:lineRule="auto"/>
        <w:ind w:firstLine="540"/>
        <w:jc w:val="both"/>
      </w:pPr>
      <w:r>
        <w:rPr>
          <w:sz w:val="24"/>
        </w:rPr>
        <w:t xml:space="preserve">по показателю "Страховая премия по договору исходящего перестрахования" </w:t>
      </w:r>
      <w:hyperlink w:history="0" w:anchor="P34663" w:tooltip="11">
        <w:r>
          <w:rPr>
            <w:sz w:val="24"/>
            <w:color w:val="0000ff"/>
          </w:rPr>
          <w:t xml:space="preserve">(строка 11)</w:t>
        </w:r>
      </w:hyperlink>
      <w:r>
        <w:rPr>
          <w:sz w:val="24"/>
        </w:rPr>
        <w:t xml:space="preserve"> - сумма страховой премии по договору исходящего перестрахования, уплата, корректировка (увеличение или уменьшение) или возврат которой согласно условиям договора исходящего перестрахования приходится на отчетный период;</w:t>
      </w:r>
    </w:p>
    <w:p>
      <w:pPr>
        <w:pStyle w:val="0"/>
        <w:spacing w:before="240" w:lineRule="auto"/>
        <w:ind w:firstLine="540"/>
        <w:jc w:val="both"/>
      </w:pPr>
      <w:r>
        <w:rPr>
          <w:sz w:val="24"/>
        </w:rPr>
        <w:t xml:space="preserve">по показателю "Лимит ответственности, переданный в перестрахование" </w:t>
      </w:r>
      <w:hyperlink w:history="0" w:anchor="P34675" w:tooltip="12">
        <w:r>
          <w:rPr>
            <w:sz w:val="24"/>
            <w:color w:val="0000ff"/>
          </w:rPr>
          <w:t xml:space="preserve">(строка 12)</w:t>
        </w:r>
      </w:hyperlink>
      <w:r>
        <w:rPr>
          <w:sz w:val="24"/>
        </w:rPr>
        <w:t xml:space="preserve"> - лимит ответственности, переданный в перестрахование (ретроцессию).</w:t>
      </w:r>
    </w:p>
    <w:p>
      <w:pPr>
        <w:pStyle w:val="0"/>
        <w:spacing w:before="240" w:lineRule="auto"/>
        <w:ind w:firstLine="540"/>
        <w:jc w:val="both"/>
      </w:pPr>
      <w:r>
        <w:rPr>
          <w:sz w:val="24"/>
        </w:rPr>
        <w:t xml:space="preserve">5. По показателям </w:t>
      </w:r>
      <w:hyperlink w:history="0" w:anchor="P34699" w:tooltip="Раздел 2.">
        <w:r>
          <w:rPr>
            <w:sz w:val="24"/>
            <w:color w:val="0000ff"/>
          </w:rPr>
          <w:t xml:space="preserve">раздела 2</w:t>
        </w:r>
      </w:hyperlink>
      <w:r>
        <w:rPr>
          <w:sz w:val="24"/>
        </w:rPr>
        <w:t xml:space="preserve"> отчетности по форме 0420159 указывается информация о 10 посредниках, при участии которых в отчетном периоде страховщиком заключены договоры страхования (сострахования) с наибольшим размером страховых премий (по каждому типу посредников, включая страховые организации, страховых брокеров, кредитные организации, организации, осуществляющие деятельность по торговле транспортными средствами, а также их техническое обслуживание и ремонт, туроператоров, турагентства, объекты почтовой связи, медицинские организации, лизинговые компании, юридические лица, основным видом экономической деятельности которых является деятельность страховых агентов), определенным исходя из суммарного размера страховых премий по договорам страхования жизни и договорам страхования иного, чем страхование жизни (значение показателя "Страховые премии по договорам, заключенным при участии посредников" </w:t>
      </w:r>
      <w:hyperlink w:history="0" w:anchor="P34701" w:tooltip="14">
        <w:r>
          <w:rPr>
            <w:sz w:val="24"/>
            <w:color w:val="0000ff"/>
          </w:rPr>
          <w:t xml:space="preserve">(строка 14)</w:t>
        </w:r>
      </w:hyperlink>
      <w:r>
        <w:rPr>
          <w:sz w:val="24"/>
        </w:rPr>
        <w:t xml:space="preserve">" по всем посредникам).</w:t>
      </w:r>
    </w:p>
    <w:p>
      <w:pPr>
        <w:pStyle w:val="0"/>
        <w:spacing w:before="240" w:lineRule="auto"/>
        <w:ind w:firstLine="540"/>
        <w:jc w:val="both"/>
      </w:pPr>
      <w:r>
        <w:rPr>
          <w:sz w:val="24"/>
        </w:rPr>
        <w:t xml:space="preserve">По группе аналитических признаков "Идентификатор посредника" указывается сформированный страховщиком идентификатор посредника, при участии которого в отчетном периоде заключены договоры страхования (сострахования).</w:t>
      </w:r>
    </w:p>
    <w:p>
      <w:pPr>
        <w:pStyle w:val="0"/>
        <w:spacing w:before="240" w:lineRule="auto"/>
        <w:ind w:firstLine="540"/>
        <w:jc w:val="both"/>
      </w:pPr>
      <w:r>
        <w:rPr>
          <w:sz w:val="24"/>
        </w:rPr>
        <w:t xml:space="preserve">Значение идентификатора посредника, указанное по группе аналитических признаков "Идентификатор посредника", должно соответствовать значению, указанному по группе аналитических признаков "Идентификатор контрагента" показателя "Тип посредника по заключению договоров страхования" </w:t>
      </w:r>
      <w:hyperlink w:history="0" w:anchor="P637" w:tooltip="87">
        <w:r>
          <w:rPr>
            <w:sz w:val="24"/>
            <w:color w:val="0000ff"/>
          </w:rPr>
          <w:t xml:space="preserve">(строка 87)</w:t>
        </w:r>
      </w:hyperlink>
      <w:r>
        <w:rPr>
          <w:sz w:val="24"/>
        </w:rPr>
        <w:t xml:space="preserve"> раздела 7 отчетности по форме 0420150, по которому отражаются сведения об этом посреднике.</w:t>
      </w:r>
    </w:p>
    <w:p>
      <w:pPr>
        <w:pStyle w:val="0"/>
        <w:spacing w:before="240" w:lineRule="auto"/>
        <w:ind w:firstLine="540"/>
        <w:jc w:val="both"/>
      </w:pPr>
      <w:r>
        <w:rPr>
          <w:sz w:val="24"/>
        </w:rPr>
        <w:t xml:space="preserve">В </w:t>
      </w:r>
      <w:hyperlink w:history="0" w:anchor="P34699" w:tooltip="Раздел 2.">
        <w:r>
          <w:rPr>
            <w:sz w:val="24"/>
            <w:color w:val="0000ff"/>
          </w:rPr>
          <w:t xml:space="preserve">раздел 2</w:t>
        </w:r>
      </w:hyperlink>
      <w:r>
        <w:rPr>
          <w:sz w:val="24"/>
        </w:rPr>
        <w:t xml:space="preserve"> отчетности по форме 0420159 включается информация о посредниках, сведения о которых отражены в </w:t>
      </w:r>
      <w:hyperlink w:history="0" w:anchor="P56617" w:tooltip="Подраздел 7.1.">
        <w:r>
          <w:rPr>
            <w:sz w:val="24"/>
            <w:color w:val="0000ff"/>
          </w:rPr>
          <w:t xml:space="preserve">подразделе 7.1 раздела 7</w:t>
        </w:r>
      </w:hyperlink>
      <w:r>
        <w:rPr>
          <w:sz w:val="24"/>
        </w:rPr>
        <w:t xml:space="preserve"> отчетности по форме 0420162 "Сведения о деятельности страховщика", предусмотренной приложением 2 к настоящему Указанию, составленной страховщиком по состоянию на последний календарный день отчетного периода.</w:t>
      </w:r>
    </w:p>
    <w:p>
      <w:pPr>
        <w:pStyle w:val="0"/>
        <w:spacing w:before="240" w:lineRule="auto"/>
        <w:ind w:firstLine="540"/>
        <w:jc w:val="both"/>
      </w:pPr>
      <w:r>
        <w:rPr>
          <w:sz w:val="24"/>
        </w:rPr>
        <w:t xml:space="preserve">5.1. По показателю "Страховые премии по договорам, заключенным при участии посредников" </w:t>
      </w:r>
      <w:hyperlink w:history="0" w:anchor="P34701" w:tooltip="14">
        <w:r>
          <w:rPr>
            <w:sz w:val="24"/>
            <w:color w:val="0000ff"/>
          </w:rPr>
          <w:t xml:space="preserve">(строка 14)</w:t>
        </w:r>
      </w:hyperlink>
      <w:r>
        <w:rPr>
          <w:sz w:val="24"/>
        </w:rPr>
        <w:t xml:space="preserve"> по каждому посреднику, при участии которого в отчетном периоде заключены договоры страхования (сострахования), указывается сумма страховых премий по заключенным в отчетном периоде при участии этого посредника договорам страхования (сострахования) жизни и страхования (сострахования) иного, чем страхование жизни, уплата, корректировка (увеличение или уменьшение) или возврат которых согласно условиям договоров страхования (сострахования) приходится на отчетный период (аналитические признаки "Страхование жизни" и "Страхование иное, чем страхование жизни" группы аналитических признаков "Типы страхования" соответственно).</w:t>
      </w:r>
    </w:p>
    <w:p>
      <w:pPr>
        <w:pStyle w:val="0"/>
        <w:spacing w:before="240" w:lineRule="auto"/>
        <w:ind w:firstLine="540"/>
        <w:jc w:val="both"/>
      </w:pPr>
      <w:r>
        <w:rPr>
          <w:sz w:val="24"/>
        </w:rPr>
        <w:t xml:space="preserve">5.2. По показателю "Вознаграждение посредникам за заключение договоров, оказание услуг, связанных с их заключением" </w:t>
      </w:r>
      <w:hyperlink w:history="0" w:anchor="P34713" w:tooltip="15">
        <w:r>
          <w:rPr>
            <w:sz w:val="24"/>
            <w:color w:val="0000ff"/>
          </w:rPr>
          <w:t xml:space="preserve">(строка 15)</w:t>
        </w:r>
      </w:hyperlink>
      <w:r>
        <w:rPr>
          <w:sz w:val="24"/>
        </w:rPr>
        <w:t xml:space="preserve"> по каждому посреднику, при участии которого в отчетном периоде заключены договоры страхования (сострахования), указывается сумма вознаграждения этому посреднику за заключение в отчетном периоде договоров страхования (сострахования) жизни и страхования (сострахования) иного, чем страхование жизни, и за оказание услуг, связанных с их заключением, уплата или корректировка которого согласно условиям договора с посредником приходится на отчетный период (аналитические признаки "Страхование жизни" и "Страхование иное, чем страхование жизни" группы аналитических признаков "Типы страхования" соответственно).</w:t>
      </w:r>
    </w:p>
    <w:p>
      <w:pPr>
        <w:pStyle w:val="0"/>
        <w:spacing w:before="240" w:lineRule="auto"/>
        <w:ind w:firstLine="540"/>
        <w:jc w:val="both"/>
      </w:pPr>
      <w:r>
        <w:rPr>
          <w:sz w:val="24"/>
        </w:rPr>
        <w:t xml:space="preserve">6. По показателям </w:t>
      </w:r>
      <w:hyperlink w:history="0" w:anchor="P34725" w:tooltip="Раздел 3.">
        <w:r>
          <w:rPr>
            <w:sz w:val="24"/>
            <w:color w:val="0000ff"/>
          </w:rPr>
          <w:t xml:space="preserve">раздела 3</w:t>
        </w:r>
      </w:hyperlink>
      <w:r>
        <w:rPr>
          <w:sz w:val="24"/>
        </w:rPr>
        <w:t xml:space="preserve"> отчетности по форме 0420159 в разрезе аналитических признаков группы аналитических признаков "Идентификатор страховой выплаты" указывается информация о договорах страхования (сострахования, входящего перестрахования), по которым сумма осуществленной в отчетном периоде страховой выплаты составляет 5 процентов и более от величины собственных средств (капитала) страховщика на конец отчетного периода (не более 20 договоров, по которым сумма страховой выплаты составляет наибольшую величину).</w:t>
      </w:r>
    </w:p>
    <w:p>
      <w:pPr>
        <w:pStyle w:val="0"/>
        <w:spacing w:before="240" w:lineRule="auto"/>
        <w:ind w:firstLine="540"/>
        <w:jc w:val="both"/>
      </w:pPr>
      <w:r>
        <w:rPr>
          <w:sz w:val="24"/>
        </w:rPr>
        <w:t xml:space="preserve">В случае если у страховщика в отчетном периоде отсутствуют договоры страхования (сострахования, входящего перестрахования), по которым сумма осуществленной страховой выплаты составляет 5 процентов и более от величины собственных средств (капитала) страховщика, либо указанных договоров менее 20, страховщик должен указать по показателям </w:t>
      </w:r>
      <w:hyperlink w:history="0" w:anchor="P34725" w:tooltip="Раздел 3.">
        <w:r>
          <w:rPr>
            <w:sz w:val="24"/>
            <w:color w:val="0000ff"/>
          </w:rPr>
          <w:t xml:space="preserve">раздела 3</w:t>
        </w:r>
      </w:hyperlink>
      <w:r>
        <w:rPr>
          <w:sz w:val="24"/>
        </w:rPr>
        <w:t xml:space="preserve"> отчетности по форме 0420159 информацию о 20 договорах, по которым сумма страховой выплаты составляет наибольшую величину (включая договоры, по которым сумма осуществленной страховой выплаты составляет 5 процентов и более от величины собственных средств (капитала) страховщика).</w:t>
      </w:r>
    </w:p>
    <w:p>
      <w:pPr>
        <w:pStyle w:val="0"/>
        <w:spacing w:before="240" w:lineRule="auto"/>
        <w:ind w:firstLine="540"/>
        <w:jc w:val="both"/>
      </w:pPr>
      <w:r>
        <w:rPr>
          <w:sz w:val="24"/>
        </w:rPr>
        <w:t xml:space="preserve">6.1. По показателю "Сумма страховой выплаты (не более 20 договоров)" </w:t>
      </w:r>
      <w:hyperlink w:history="0" w:anchor="P34823" w:tooltip="22">
        <w:r>
          <w:rPr>
            <w:sz w:val="24"/>
            <w:color w:val="0000ff"/>
          </w:rPr>
          <w:t xml:space="preserve">(строка 22)</w:t>
        </w:r>
      </w:hyperlink>
      <w:r>
        <w:rPr>
          <w:sz w:val="24"/>
        </w:rPr>
        <w:t xml:space="preserve"> для каждого договора страхования (сострахования, входящего перестрахования) указывается оплаченная страховщиком в отчетном периоде сумма страховой выплаты по этому договору (в целом по договору).</w:t>
      </w:r>
    </w:p>
    <w:p>
      <w:pPr>
        <w:pStyle w:val="0"/>
        <w:spacing w:before="240" w:lineRule="auto"/>
        <w:ind w:firstLine="540"/>
        <w:jc w:val="both"/>
      </w:pPr>
      <w:r>
        <w:rPr>
          <w:sz w:val="24"/>
        </w:rPr>
        <w:t xml:space="preserve">6.2. По показателю "Страховая выплата по договору исходящего перестрахования" </w:t>
      </w:r>
      <w:hyperlink w:history="0" w:anchor="P34839" w:tooltip="23">
        <w:r>
          <w:rPr>
            <w:sz w:val="24"/>
            <w:color w:val="0000ff"/>
          </w:rPr>
          <w:t xml:space="preserve">(строка 23)</w:t>
        </w:r>
      </w:hyperlink>
      <w:r>
        <w:rPr>
          <w:sz w:val="24"/>
        </w:rPr>
        <w:t xml:space="preserve"> для каждого договора страхования (сострахования, входящего перестрахования) указывается сумма полученной страховщиком или причитающейся к получению им в отчетном периоде страховой выплаты по договору исходящего перестрахования, заключенному в отношении обязательств по фактически произведенной страховой выплате, сумма которой указана по показателю "Сумма страховой выплаты (не более 20 договоров)" </w:t>
      </w:r>
      <w:hyperlink w:history="0" w:anchor="P34823" w:tooltip="22">
        <w:r>
          <w:rPr>
            <w:sz w:val="24"/>
            <w:color w:val="0000ff"/>
          </w:rPr>
          <w:t xml:space="preserve">(строка 22)</w:t>
        </w:r>
      </w:hyperlink>
      <w:r>
        <w:rPr>
          <w:sz w:val="24"/>
        </w:rPr>
        <w:t xml:space="preserve">.</w:t>
      </w:r>
    </w:p>
    <w:p>
      <w:pPr>
        <w:pStyle w:val="0"/>
        <w:spacing w:before="240" w:lineRule="auto"/>
        <w:ind w:firstLine="540"/>
        <w:jc w:val="both"/>
      </w:pPr>
      <w:r>
        <w:rPr>
          <w:sz w:val="24"/>
        </w:rPr>
        <w:t xml:space="preserve">6.3. По показателю "Краткое описание страхового случая" </w:t>
      </w:r>
      <w:hyperlink w:history="0" w:anchor="P34855" w:tooltip="24">
        <w:r>
          <w:rPr>
            <w:sz w:val="24"/>
            <w:color w:val="0000ff"/>
          </w:rPr>
          <w:t xml:space="preserve">(строка 24)</w:t>
        </w:r>
      </w:hyperlink>
      <w:r>
        <w:rPr>
          <w:sz w:val="24"/>
        </w:rPr>
        <w:t xml:space="preserve"> для каждого договора страхования (сострахования, входящего перестрахования) приводится краткое описание страхового случая (страховых случаев), по которому (которым) осуществлена страховая выплата, сумма которой указана по показателю "Сумма страховой выплаты (не более 20 договоров)" </w:t>
      </w:r>
      <w:hyperlink w:history="0" w:anchor="P34823" w:tooltip="22">
        <w:r>
          <w:rPr>
            <w:sz w:val="24"/>
            <w:color w:val="0000ff"/>
          </w:rPr>
          <w:t xml:space="preserve">(строка 22)</w:t>
        </w:r>
      </w:hyperlink>
      <w:r>
        <w:rPr>
          <w:sz w:val="24"/>
        </w:rPr>
        <w:t xml:space="preserve">.</w:t>
      </w:r>
    </w:p>
    <w:p>
      <w:pPr>
        <w:pStyle w:val="0"/>
        <w:spacing w:before="240" w:lineRule="auto"/>
        <w:ind w:firstLine="540"/>
        <w:jc w:val="both"/>
      </w:pPr>
      <w:r>
        <w:rPr>
          <w:sz w:val="24"/>
        </w:rPr>
        <w:t xml:space="preserve">7. По показателям </w:t>
      </w:r>
      <w:hyperlink w:history="0" w:anchor="P34887" w:tooltip="Раздел 4.">
        <w:r>
          <w:rPr>
            <w:sz w:val="24"/>
            <w:color w:val="0000ff"/>
          </w:rPr>
          <w:t xml:space="preserve">раздела 4</w:t>
        </w:r>
      </w:hyperlink>
      <w:r>
        <w:rPr>
          <w:sz w:val="24"/>
        </w:rPr>
        <w:t xml:space="preserve"> отчетности по форме 0420159 в разрезе аналитических признаков группы аналитических признаков "Идентификатор страхового случая" указывается информация о договорах страхования (сострахования, входящего перестрахования), по которым вспомогательная величина ЗНУ, рассчитанная в соответствии с </w:t>
      </w:r>
      <w:hyperlink w:history="0" r:id="rId586"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пунктом 4</w:t>
        </w:r>
      </w:hyperlink>
      <w:r>
        <w:rPr>
          <w:sz w:val="24"/>
        </w:rPr>
        <w:t xml:space="preserve"> приложения 3 к Положению Банка России N 858-П (далее - вспомогательная величина ЗНУ) на конец отчетного периода, составляет 5 процентов и более от величины собственных средств (капитала) страховщика на конец отчетного периода (не более 20 договоров, по которым вспомогательная величина ЗНУ на конец отчетного периода составляет наибольшую величину).</w:t>
      </w:r>
    </w:p>
    <w:p>
      <w:pPr>
        <w:pStyle w:val="0"/>
        <w:spacing w:before="240" w:lineRule="auto"/>
        <w:ind w:firstLine="540"/>
        <w:jc w:val="both"/>
      </w:pPr>
      <w:r>
        <w:rPr>
          <w:sz w:val="24"/>
        </w:rPr>
        <w:t xml:space="preserve">В случае если у страховщика отсутствуют договоры страхования (сострахования, входящего перестрахования), по которым вспомогательная величина ЗНУ на конец отчетного периода составляет 5 процентов и более от величины собственных средств (капитала) страховщика, либо указанных договоров менее 20, страховщик должен указать по показателям </w:t>
      </w:r>
      <w:hyperlink w:history="0" w:anchor="P34887" w:tooltip="Раздел 4.">
        <w:r>
          <w:rPr>
            <w:sz w:val="24"/>
            <w:color w:val="0000ff"/>
          </w:rPr>
          <w:t xml:space="preserve">раздела 4</w:t>
        </w:r>
      </w:hyperlink>
      <w:r>
        <w:rPr>
          <w:sz w:val="24"/>
        </w:rPr>
        <w:t xml:space="preserve"> отчетности по форме 0420159 информацию о 20 договорах, по которым вспомогательная величина ЗНУ на конец отчетного периода составляет наибольшую величину (включая договоры, по которым вспомогательная величина ЗНУ на конец отчетного периода составляет 5 процентов и более от величины собственных средств (капитала) страховщика).</w:t>
      </w:r>
    </w:p>
    <w:p>
      <w:pPr>
        <w:pStyle w:val="0"/>
        <w:spacing w:before="240" w:lineRule="auto"/>
        <w:ind w:firstLine="540"/>
        <w:jc w:val="both"/>
      </w:pPr>
      <w:r>
        <w:rPr>
          <w:sz w:val="24"/>
        </w:rPr>
        <w:t xml:space="preserve">В случае если по одному договору страхования (сострахования, входящего перестрахования) в отчетном периоде произошло несколько страховых случаев, по каждому из которых вспомогательная величина ЗНУ на конец отчетного периода составляет наибольшую величину или 5 процентов и более от величины собственных средств (капитала) страховщика, по группе аналитических признаков "Идентификатор страхового случая" указывается идентификатор каждого страхового случая.</w:t>
      </w:r>
    </w:p>
    <w:p>
      <w:pPr>
        <w:pStyle w:val="0"/>
        <w:spacing w:before="240" w:lineRule="auto"/>
        <w:ind w:firstLine="540"/>
        <w:jc w:val="both"/>
      </w:pPr>
      <w:r>
        <w:rPr>
          <w:sz w:val="24"/>
        </w:rPr>
        <w:t xml:space="preserve">7.1. По показателю "Страховая премия" </w:t>
      </w:r>
      <w:hyperlink w:history="0" w:anchor="P34985" w:tooltip="32">
        <w:r>
          <w:rPr>
            <w:sz w:val="24"/>
            <w:color w:val="0000ff"/>
          </w:rPr>
          <w:t xml:space="preserve">(строка 32)</w:t>
        </w:r>
      </w:hyperlink>
      <w:r>
        <w:rPr>
          <w:sz w:val="24"/>
        </w:rPr>
        <w:t xml:space="preserve"> для каждого договора страхования (сострахования, входящего перестрахования) указывается сумма страховой премии согласно условиям указанного договора (с учетом ее изменения, в том числе возврата страховой премии).</w:t>
      </w:r>
    </w:p>
    <w:p>
      <w:pPr>
        <w:pStyle w:val="0"/>
        <w:spacing w:before="240" w:lineRule="auto"/>
        <w:ind w:firstLine="540"/>
        <w:jc w:val="both"/>
      </w:pPr>
      <w:r>
        <w:rPr>
          <w:sz w:val="24"/>
        </w:rPr>
        <w:t xml:space="preserve">7.2. По показателю "Дата наступления страхового случая" </w:t>
      </w:r>
      <w:hyperlink w:history="0" w:anchor="P35001" w:tooltip="33">
        <w:r>
          <w:rPr>
            <w:sz w:val="24"/>
            <w:color w:val="0000ff"/>
          </w:rPr>
          <w:t xml:space="preserve">(строка 33)</w:t>
        </w:r>
      </w:hyperlink>
      <w:r>
        <w:rPr>
          <w:sz w:val="24"/>
        </w:rPr>
        <w:t xml:space="preserve"> для каждого договора страхования (сострахования, входящего перестрахования) указывается дата наступления страхового случая, указанного по группе аналитических признаков "Идентификатор страхового случая".</w:t>
      </w:r>
    </w:p>
    <w:p>
      <w:pPr>
        <w:pStyle w:val="0"/>
        <w:spacing w:before="240" w:lineRule="auto"/>
        <w:ind w:firstLine="540"/>
        <w:jc w:val="both"/>
      </w:pPr>
      <w:r>
        <w:rPr>
          <w:sz w:val="24"/>
        </w:rPr>
        <w:t xml:space="preserve">7.3. По показателю "Дата поступления заявления о страховом случае" </w:t>
      </w:r>
      <w:hyperlink w:history="0" w:anchor="P35017" w:tooltip="34">
        <w:r>
          <w:rPr>
            <w:sz w:val="24"/>
            <w:color w:val="0000ff"/>
          </w:rPr>
          <w:t xml:space="preserve">(строка 34)</w:t>
        </w:r>
      </w:hyperlink>
      <w:r>
        <w:rPr>
          <w:sz w:val="24"/>
        </w:rPr>
        <w:t xml:space="preserve"> для каждого договора страхования (сострахования, входящего перестрахования) указывается дата поступления заявления о страховом случае, указанном по группе аналитических признаков "Идентификатор страхового случая". В случае если по одному страховому случаю поступило несколько заявлений, указывается дата поступления первого заявления.</w:t>
      </w:r>
    </w:p>
    <w:p>
      <w:pPr>
        <w:pStyle w:val="0"/>
        <w:spacing w:before="240" w:lineRule="auto"/>
        <w:ind w:firstLine="540"/>
        <w:jc w:val="both"/>
      </w:pPr>
      <w:r>
        <w:rPr>
          <w:sz w:val="24"/>
        </w:rPr>
        <w:t xml:space="preserve">7.4. По показателю "Сумма вспомогательной величины ЗНУ (не более 20 договоров)" </w:t>
      </w:r>
      <w:hyperlink w:history="0" w:anchor="P35033" w:tooltip="35">
        <w:r>
          <w:rPr>
            <w:sz w:val="24"/>
            <w:color w:val="0000ff"/>
          </w:rPr>
          <w:t xml:space="preserve">(строка 35)</w:t>
        </w:r>
      </w:hyperlink>
      <w:r>
        <w:rPr>
          <w:sz w:val="24"/>
        </w:rPr>
        <w:t xml:space="preserve"> для каждого договора страхования (сострахования, входящего перестрахования) указывается вспомогательная величина ЗНУ на конец отчетного периода по страховому случаю, указанному по группе аналитических признаков "Идентификатор страхового случая".</w:t>
      </w:r>
    </w:p>
    <w:p>
      <w:pPr>
        <w:pStyle w:val="0"/>
        <w:spacing w:before="240" w:lineRule="auto"/>
        <w:ind w:firstLine="540"/>
        <w:jc w:val="both"/>
      </w:pPr>
      <w:r>
        <w:rPr>
          <w:sz w:val="24"/>
        </w:rPr>
        <w:t xml:space="preserve">7.5. По показателю "Лимит ответственности (страховая сумма)" </w:t>
      </w:r>
      <w:hyperlink w:history="0" w:anchor="P35049" w:tooltip="36">
        <w:r>
          <w:rPr>
            <w:sz w:val="24"/>
            <w:color w:val="0000ff"/>
          </w:rPr>
          <w:t xml:space="preserve">(строка 36)</w:t>
        </w:r>
      </w:hyperlink>
      <w:r>
        <w:rPr>
          <w:sz w:val="24"/>
        </w:rPr>
        <w:t xml:space="preserve"> для каждого договора страхования (сострахования) указывается страховая сумма по этому договору (в целом по договору) или для каждого договора входящего перестрахования - лимит ответственности по этому договору (в целом по договору).</w:t>
      </w:r>
    </w:p>
    <w:p>
      <w:pPr>
        <w:pStyle w:val="0"/>
        <w:spacing w:before="240" w:lineRule="auto"/>
        <w:ind w:firstLine="540"/>
        <w:jc w:val="both"/>
      </w:pPr>
      <w:r>
        <w:rPr>
          <w:sz w:val="24"/>
        </w:rPr>
        <w:t xml:space="preserve">По показателю "Лимит ответственности (страховая сумма)" </w:t>
      </w:r>
      <w:hyperlink w:history="0" w:anchor="P35049" w:tooltip="36">
        <w:r>
          <w:rPr>
            <w:sz w:val="24"/>
            <w:color w:val="0000ff"/>
          </w:rPr>
          <w:t xml:space="preserve">(строка 36)</w:t>
        </w:r>
      </w:hyperlink>
      <w:r>
        <w:rPr>
          <w:sz w:val="24"/>
        </w:rPr>
        <w:t xml:space="preserve"> для договоров пенсионного страхования и договоров страхования жизни с условием выплаты ренты указывается сумма дополнительной пенсии или ренты, которая будет выплачиваться страхователю (застрахованному лицу) в соответствии с условиями договора страхования в течение одного календарного года после достижения им пенсионного или указанного в договоре страхования возраста.</w:t>
      </w:r>
    </w:p>
    <w:p>
      <w:pPr>
        <w:pStyle w:val="0"/>
        <w:spacing w:before="240" w:lineRule="auto"/>
        <w:ind w:firstLine="540"/>
        <w:jc w:val="both"/>
      </w:pPr>
      <w:r>
        <w:rPr>
          <w:sz w:val="24"/>
        </w:rPr>
        <w:t xml:space="preserve">7.6. По показателю "Доля перестраховщиков во вспомогательной величине ЗНУ" </w:t>
      </w:r>
      <w:hyperlink w:history="0" w:anchor="P35065" w:tooltip="37">
        <w:r>
          <w:rPr>
            <w:sz w:val="24"/>
            <w:color w:val="0000ff"/>
          </w:rPr>
          <w:t xml:space="preserve">(строка 37)</w:t>
        </w:r>
      </w:hyperlink>
      <w:r>
        <w:rPr>
          <w:sz w:val="24"/>
        </w:rPr>
        <w:t xml:space="preserve"> для каждого договора страхования (сострахования, входящего перестрахования) указывается доля перестраховщиков во вспомогательной величине ЗНУ, сумма которой указана по показателю "Сумма вспомогательной величины ЗНУ (не более 20 договоров)" </w:t>
      </w:r>
      <w:hyperlink w:history="0" w:anchor="P35033" w:tooltip="35">
        <w:r>
          <w:rPr>
            <w:sz w:val="24"/>
            <w:color w:val="0000ff"/>
          </w:rPr>
          <w:t xml:space="preserve">(строка 35)</w:t>
        </w:r>
      </w:hyperlink>
      <w:r>
        <w:rPr>
          <w:sz w:val="24"/>
        </w:rPr>
        <w:t xml:space="preserve">, без учета дисконтирования.</w:t>
      </w:r>
    </w:p>
    <w:p>
      <w:pPr>
        <w:pStyle w:val="0"/>
        <w:spacing w:before="240" w:lineRule="auto"/>
        <w:ind w:firstLine="540"/>
        <w:jc w:val="both"/>
      </w:pPr>
      <w:r>
        <w:rPr>
          <w:sz w:val="24"/>
        </w:rPr>
        <w:t xml:space="preserve">7.7. По показателю "Лимит ответственности, переданный в перестрахование" </w:t>
      </w:r>
      <w:hyperlink w:history="0" w:anchor="P35081" w:tooltip="38">
        <w:r>
          <w:rPr>
            <w:sz w:val="24"/>
            <w:color w:val="0000ff"/>
          </w:rPr>
          <w:t xml:space="preserve">(строка 38)</w:t>
        </w:r>
      </w:hyperlink>
      <w:r>
        <w:rPr>
          <w:sz w:val="24"/>
        </w:rPr>
        <w:t xml:space="preserve"> для каждого договора страхования (сострахования, входящего перестрахования) указывается лимит ответственности, переданный в перестрахование (ретроцессию) по этому договору.</w:t>
      </w:r>
    </w:p>
    <w:p>
      <w:pPr>
        <w:pStyle w:val="0"/>
        <w:spacing w:before="240" w:lineRule="auto"/>
        <w:ind w:firstLine="540"/>
        <w:jc w:val="both"/>
      </w:pPr>
      <w:r>
        <w:rPr>
          <w:sz w:val="24"/>
        </w:rPr>
        <w:t xml:space="preserve">7.8. По показателю "Краткое описание страхового случая" </w:t>
      </w:r>
      <w:hyperlink w:history="0" w:anchor="P35097" w:tooltip="39">
        <w:r>
          <w:rPr>
            <w:sz w:val="24"/>
            <w:color w:val="0000ff"/>
          </w:rPr>
          <w:t xml:space="preserve">(строка 39)</w:t>
        </w:r>
      </w:hyperlink>
      <w:r>
        <w:rPr>
          <w:sz w:val="24"/>
        </w:rPr>
        <w:t xml:space="preserve"> для каждого договора страхования (сострахования, входящего перестрахования) приводится краткое описание страхового случая, указанного по группе аналитических признаков "Идентификатор страхового случая".</w:t>
      </w:r>
    </w:p>
    <w:p>
      <w:pPr>
        <w:pStyle w:val="0"/>
        <w:spacing w:before="240" w:lineRule="auto"/>
        <w:ind w:firstLine="540"/>
        <w:jc w:val="both"/>
      </w:pPr>
      <w:r>
        <w:rPr>
          <w:sz w:val="24"/>
        </w:rPr>
        <w:t xml:space="preserve">8. По показателю "Примечание" (</w:t>
      </w:r>
      <w:hyperlink w:history="0" w:anchor="P34687" w:tooltip="13">
        <w:r>
          <w:rPr>
            <w:sz w:val="24"/>
            <w:color w:val="0000ff"/>
          </w:rPr>
          <w:t xml:space="preserve">строки 13</w:t>
        </w:r>
      </w:hyperlink>
      <w:r>
        <w:rPr>
          <w:sz w:val="24"/>
        </w:rPr>
        <w:t xml:space="preserve">, </w:t>
      </w:r>
      <w:hyperlink w:history="0" w:anchor="P34871" w:tooltip="25">
        <w:r>
          <w:rPr>
            <w:sz w:val="24"/>
            <w:color w:val="0000ff"/>
          </w:rPr>
          <w:t xml:space="preserve">25</w:t>
        </w:r>
      </w:hyperlink>
      <w:r>
        <w:rPr>
          <w:sz w:val="24"/>
        </w:rPr>
        <w:t xml:space="preserve">, </w:t>
      </w:r>
      <w:hyperlink w:history="0" w:anchor="P35113" w:tooltip="40">
        <w:r>
          <w:rPr>
            <w:sz w:val="24"/>
            <w:color w:val="0000ff"/>
          </w:rPr>
          <w:t xml:space="preserve">40</w:t>
        </w:r>
      </w:hyperlink>
      <w:r>
        <w:rPr>
          <w:sz w:val="24"/>
        </w:rPr>
        <w:t xml:space="preserve">) приводятся пояснения, предусмотренные </w:t>
      </w:r>
      <w:hyperlink w:history="0" w:anchor="P35232" w:tooltip="В случае наличия неопределенности в отношении даты начала действия договора страхования (сострахования, входящего перестрахования) и определения указанной даты в зависимости от предусмотренных конкретным договором страхования (сострахования, входящего перестрахования) условий в качестве даты начала действия договора страхования (сострахования, входящего перестрахования) указывается значение 0001-01-01 и по показателю &quot;Примечание&quot; (строки 13, 25, 40) страховщиком приводятся пояснения.">
        <w:r>
          <w:rPr>
            <w:sz w:val="24"/>
            <w:color w:val="0000ff"/>
          </w:rPr>
          <w:t xml:space="preserve">абзацем вторым подпункта 3.4</w:t>
        </w:r>
      </w:hyperlink>
      <w:r>
        <w:rPr>
          <w:sz w:val="24"/>
        </w:rPr>
        <w:t xml:space="preserve"> и </w:t>
      </w:r>
      <w:hyperlink w:history="0" w:anchor="P35234" w:tooltip="В случае наличия неопределенности в отношении даты окончания срока действия договора страхования (сострахования, входящего перестрахования) и определения указанной даты в зависимости от предусмотренных конкретным договором страхования (сострахования, входящего перестрахования) условий в качестве даты окончания срока действия договора страхования (сострахования, входящего перестрахования) указывается значение 0001-01-01 и по показателю &quot;Примечание&quot; (строки 13, 25, 40) страховщиком приводятся пояснения.">
        <w:r>
          <w:rPr>
            <w:sz w:val="24"/>
            <w:color w:val="0000ff"/>
          </w:rPr>
          <w:t xml:space="preserve">абзацем вторым подпункта 3.5 пункта 3</w:t>
        </w:r>
      </w:hyperlink>
      <w:r>
        <w:rPr>
          <w:sz w:val="24"/>
        </w:rPr>
        <w:t xml:space="preserve"> настоящих Порядка и сроков, а также иная информация (при наличии), являющаяся по решению страховщика существенной.</w:t>
      </w:r>
    </w:p>
    <w:p>
      <w:pPr>
        <w:pStyle w:val="0"/>
        <w:spacing w:before="240" w:lineRule="auto"/>
        <w:ind w:firstLine="540"/>
        <w:jc w:val="both"/>
      </w:pPr>
      <w:r>
        <w:rPr>
          <w:sz w:val="24"/>
        </w:rPr>
        <w:t xml:space="preserve">9. По показателям </w:t>
      </w:r>
      <w:hyperlink w:history="0" w:anchor="P35129" w:tooltip="Раздел 5.">
        <w:r>
          <w:rPr>
            <w:sz w:val="24"/>
            <w:color w:val="0000ff"/>
          </w:rPr>
          <w:t xml:space="preserve">раздела 5</w:t>
        </w:r>
      </w:hyperlink>
      <w:r>
        <w:rPr>
          <w:sz w:val="24"/>
        </w:rPr>
        <w:t xml:space="preserve"> отчетности по форме 0420159 указывается информация о страхователе (перестрахователе), с которым в отчетном периоде заключены договоры страхования (сострахования, входящего перестрахования), страховые премии которого по всем заключенным с ним в отчетном периоде договорам страхования (сострахования, входящего перестрахования) составляют 5 процентов и более от величины собственных средств (капитала) страховщика на конец отчетного периода (не более 10 страхователей и (или) перестрахователей).</w:t>
      </w:r>
    </w:p>
    <w:p>
      <w:pPr>
        <w:pStyle w:val="0"/>
        <w:spacing w:before="240" w:lineRule="auto"/>
        <w:ind w:firstLine="540"/>
        <w:jc w:val="both"/>
      </w:pPr>
      <w:r>
        <w:rPr>
          <w:sz w:val="24"/>
        </w:rPr>
        <w:t xml:space="preserve">В случае если у страховщика в отчетном периоде отсутствуют страхователи (перестрахователи), страховые премии которых по всем заключенным с ними в отчетном периоде договорам страхования (сострахования, входящего перестрахования) составляют 5 процентов и более от величины собственных средств (капитала) страховщика, либо таких страхователей (перестрахователей) менее 10, страховщик должен указать по показателям </w:t>
      </w:r>
      <w:hyperlink w:history="0" w:anchor="P35129" w:tooltip="Раздел 5.">
        <w:r>
          <w:rPr>
            <w:sz w:val="24"/>
            <w:color w:val="0000ff"/>
          </w:rPr>
          <w:t xml:space="preserve">раздела 5</w:t>
        </w:r>
      </w:hyperlink>
      <w:r>
        <w:rPr>
          <w:sz w:val="24"/>
        </w:rPr>
        <w:t xml:space="preserve"> отчетности по форме 0420159 информацию о 10 страхователях (перестрахователях) с наибольшей суммой страховых премий по всем заключенным с ними в отчетном периоде договорам страхования (сострахования, входящего перестрахования).</w:t>
      </w:r>
    </w:p>
    <w:p>
      <w:pPr>
        <w:pStyle w:val="0"/>
        <w:spacing w:before="240" w:lineRule="auto"/>
        <w:ind w:firstLine="540"/>
        <w:jc w:val="both"/>
      </w:pPr>
      <w:r>
        <w:rPr>
          <w:sz w:val="24"/>
        </w:rPr>
        <w:t xml:space="preserve">Показатели </w:t>
      </w:r>
      <w:hyperlink w:history="0" w:anchor="P35129" w:tooltip="Раздел 5.">
        <w:r>
          <w:rPr>
            <w:sz w:val="24"/>
            <w:color w:val="0000ff"/>
          </w:rPr>
          <w:t xml:space="preserve">раздела 5</w:t>
        </w:r>
      </w:hyperlink>
      <w:r>
        <w:rPr>
          <w:sz w:val="24"/>
        </w:rPr>
        <w:t xml:space="preserve"> отчетности по форме 0420159 указываются в разрезе страхователей (перестрахователей) и учетных групп, предусмотренных </w:t>
      </w:r>
      <w:hyperlink w:history="0" r:id="rId587"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подпунктами 5.1.3</w:t>
        </w:r>
      </w:hyperlink>
      <w:r>
        <w:rPr>
          <w:sz w:val="24"/>
        </w:rPr>
        <w:t xml:space="preserve"> и </w:t>
      </w:r>
      <w:hyperlink w:history="0" r:id="rId58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5.1.4 пункта 5.1</w:t>
        </w:r>
      </w:hyperlink>
      <w:r>
        <w:rPr>
          <w:sz w:val="24"/>
        </w:rPr>
        <w:t xml:space="preserve"> Положения Банка России N 858-П, а также перестраховщиков (по группам аналитических признаков "Идентификатор страхователя (перестрахователя)", "Перечень учетных групп" и "Идентификатор перестраховщика").</w:t>
      </w:r>
    </w:p>
    <w:p>
      <w:pPr>
        <w:pStyle w:val="0"/>
        <w:spacing w:before="240" w:lineRule="auto"/>
        <w:ind w:firstLine="540"/>
        <w:jc w:val="both"/>
      </w:pPr>
      <w:r>
        <w:rPr>
          <w:sz w:val="24"/>
        </w:rPr>
        <w:t xml:space="preserve">По группе аналитических признаков "Идентификатор страхователя (перестрахователя)" указывается сформированный страховщиком идентификатор страхователя (перестрахователя), с которым в отчетном периоде заключены договоры страхования (сострахования, входящего перестрахования).</w:t>
      </w:r>
    </w:p>
    <w:p>
      <w:pPr>
        <w:pStyle w:val="0"/>
        <w:spacing w:before="240" w:lineRule="auto"/>
        <w:ind w:firstLine="540"/>
        <w:jc w:val="both"/>
      </w:pPr>
      <w:r>
        <w:rPr>
          <w:sz w:val="24"/>
        </w:rPr>
        <w:t xml:space="preserve">В случае если договоры страхования (сострахования, входящего перестрахования), заключенные в отчетном периоде со страхователем (перестрахователем), идентификатор которого указан по группе аналитических признаков "Идентификатор страхователя (перестрахователя)", переданы в перестрахование (ретроцессию), по группе аналитических признаков "Идентификатор перестраховщика" указывается сформированный страховщиком идентификатор перестраховщика, с которым заключен договор исходящего перестрахования, под действие которого подпадают указанные договоры страхования (сострахования, входящего перестрахования).</w:t>
      </w:r>
    </w:p>
    <w:p>
      <w:pPr>
        <w:pStyle w:val="0"/>
        <w:spacing w:before="240" w:lineRule="auto"/>
        <w:ind w:firstLine="540"/>
        <w:jc w:val="both"/>
      </w:pPr>
      <w:r>
        <w:rPr>
          <w:sz w:val="24"/>
        </w:rPr>
        <w:t xml:space="preserve">Значение идентификатора страхователя (перестрахователя), указанное по группе аналитических признаков "Идентификатор страхователя (перестрахователя)",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страхователю (перестрахователю).</w:t>
      </w:r>
    </w:p>
    <w:p>
      <w:pPr>
        <w:pStyle w:val="0"/>
        <w:spacing w:before="240" w:lineRule="auto"/>
        <w:ind w:firstLine="540"/>
        <w:jc w:val="both"/>
      </w:pPr>
      <w:r>
        <w:rPr>
          <w:sz w:val="24"/>
        </w:rPr>
        <w:t xml:space="preserve">Значение идентификатора перестраховщика, указанное по группе аналитических признаков "Идентификатор перестраховщика",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перестраховщику.</w:t>
      </w:r>
    </w:p>
    <w:p>
      <w:pPr>
        <w:pStyle w:val="0"/>
        <w:spacing w:before="240" w:lineRule="auto"/>
        <w:ind w:firstLine="540"/>
        <w:jc w:val="both"/>
      </w:pPr>
      <w:r>
        <w:rPr>
          <w:sz w:val="24"/>
        </w:rPr>
        <w:t xml:space="preserve">9.1. По показателю "Страховая премия" </w:t>
      </w:r>
      <w:hyperlink w:history="0" w:anchor="P35131" w:tooltip="41">
        <w:r>
          <w:rPr>
            <w:sz w:val="24"/>
            <w:color w:val="0000ff"/>
          </w:rPr>
          <w:t xml:space="preserve">(строка 41)</w:t>
        </w:r>
      </w:hyperlink>
      <w:r>
        <w:rPr>
          <w:sz w:val="24"/>
        </w:rPr>
        <w:t xml:space="preserve"> для каждого страхователя (перестрахователя) указывается сумма страховых премий по всем заключенным с ним в отчетном периоде договорам страхования (сострахования, входящего перестрахования) согласно условиям указанных договоров (с учетом их изменения, в том числе возврата страховых премий) в разбивке по учетным группам.</w:t>
      </w:r>
    </w:p>
    <w:p>
      <w:pPr>
        <w:pStyle w:val="0"/>
        <w:spacing w:before="240" w:lineRule="auto"/>
        <w:ind w:firstLine="540"/>
        <w:jc w:val="both"/>
      </w:pPr>
      <w:r>
        <w:rPr>
          <w:sz w:val="24"/>
        </w:rPr>
        <w:t xml:space="preserve">9.2. По показателю "Лимит ответственности (страховая сумма)" </w:t>
      </w:r>
      <w:hyperlink w:history="0" w:anchor="P35143" w:tooltip="42">
        <w:r>
          <w:rPr>
            <w:sz w:val="24"/>
            <w:color w:val="0000ff"/>
          </w:rPr>
          <w:t xml:space="preserve">(строка 42)</w:t>
        </w:r>
      </w:hyperlink>
      <w:r>
        <w:rPr>
          <w:sz w:val="24"/>
        </w:rPr>
        <w:t xml:space="preserve"> указывается:</w:t>
      </w:r>
    </w:p>
    <w:p>
      <w:pPr>
        <w:pStyle w:val="0"/>
        <w:spacing w:before="240" w:lineRule="auto"/>
        <w:ind w:firstLine="540"/>
        <w:jc w:val="both"/>
      </w:pPr>
      <w:r>
        <w:rPr>
          <w:sz w:val="24"/>
        </w:rPr>
        <w:t xml:space="preserve">для каждого страхователя - страховая сумма по всем заключенным с ним в отчетном периоде договорам страхования (сострахования) в разбивке по учетным группам;</w:t>
      </w:r>
    </w:p>
    <w:p>
      <w:pPr>
        <w:pStyle w:val="0"/>
        <w:spacing w:before="240" w:lineRule="auto"/>
        <w:ind w:firstLine="540"/>
        <w:jc w:val="both"/>
      </w:pPr>
      <w:r>
        <w:rPr>
          <w:sz w:val="24"/>
        </w:rPr>
        <w:t xml:space="preserve">для каждого перестрахователя - лимит ответственности по всем заключенным с ним в отчетном периоде договорам входящего перестрахования в разбивке по учетным группам.</w:t>
      </w:r>
    </w:p>
    <w:p>
      <w:pPr>
        <w:pStyle w:val="0"/>
        <w:spacing w:before="240" w:lineRule="auto"/>
        <w:ind w:firstLine="540"/>
        <w:jc w:val="both"/>
      </w:pPr>
      <w:r>
        <w:rPr>
          <w:sz w:val="24"/>
        </w:rPr>
        <w:t xml:space="preserve">По показателю "Лимит ответственности (страховая сумма)" </w:t>
      </w:r>
      <w:hyperlink w:history="0" w:anchor="P35143" w:tooltip="42">
        <w:r>
          <w:rPr>
            <w:sz w:val="24"/>
            <w:color w:val="0000ff"/>
          </w:rPr>
          <w:t xml:space="preserve">(строка 42)</w:t>
        </w:r>
      </w:hyperlink>
      <w:r>
        <w:rPr>
          <w:sz w:val="24"/>
        </w:rPr>
        <w:t xml:space="preserve"> для договоров пенсионного страхования и договоров страхования жизни с условием выплаты ренты указывается сумма дополнительной пенсии или ренты, которая будет выплачиваться страхователю (застрахованному лицу) в соответствии с условиями договора страхования в течение одного календарного года после достижения им пенсионного или указанного в договоре страхования возраста.</w:t>
      </w:r>
    </w:p>
    <w:p>
      <w:pPr>
        <w:pStyle w:val="0"/>
        <w:spacing w:before="240" w:lineRule="auto"/>
        <w:ind w:firstLine="540"/>
        <w:jc w:val="both"/>
      </w:pPr>
      <w:r>
        <w:rPr>
          <w:sz w:val="24"/>
        </w:rPr>
        <w:t xml:space="preserve">9.3. В случае если договоры страхования (сострахования, входящего перестрахования), заключенные в отчетном периоде со страхователем (перестрахователем), идентификатор которого указан по группе аналитических признаков "Идентификатор страхователя (перестрахователя)", переданы в перестрахование (ретроцессию), для каждого страхователя (перестрахователя) указывается:</w:t>
      </w:r>
    </w:p>
    <w:p>
      <w:pPr>
        <w:pStyle w:val="0"/>
        <w:spacing w:before="240" w:lineRule="auto"/>
        <w:ind w:firstLine="540"/>
        <w:jc w:val="both"/>
      </w:pPr>
      <w:r>
        <w:rPr>
          <w:sz w:val="24"/>
        </w:rPr>
        <w:t xml:space="preserve">по показателю "Страховая премия по договору исходящего перестрахования" </w:t>
      </w:r>
      <w:hyperlink w:history="0" w:anchor="P35155" w:tooltip="43">
        <w:r>
          <w:rPr>
            <w:sz w:val="24"/>
            <w:color w:val="0000ff"/>
          </w:rPr>
          <w:t xml:space="preserve">(строка 43)</w:t>
        </w:r>
      </w:hyperlink>
      <w:r>
        <w:rPr>
          <w:sz w:val="24"/>
        </w:rPr>
        <w:t xml:space="preserve"> - сумма страховых премий согласно условиям договора исходящего перестрахования (с учетом их изменения, в том числе возврата страховых премий) в части, приходящейся на договоры страхования (сострахования, входящего перестрахования), заключенные в отчетном периоде с указанным страхователем (перестрахователем), в разбивке по учетным группам и перестраховщикам;</w:t>
      </w:r>
    </w:p>
    <w:p>
      <w:pPr>
        <w:pStyle w:val="0"/>
        <w:spacing w:before="240" w:lineRule="auto"/>
        <w:ind w:firstLine="540"/>
        <w:jc w:val="both"/>
      </w:pPr>
      <w:r>
        <w:rPr>
          <w:sz w:val="24"/>
        </w:rPr>
        <w:t xml:space="preserve">по показателю "Лимит ответственности, переданный в перестрахование" </w:t>
      </w:r>
      <w:hyperlink w:history="0" w:anchor="P35171" w:tooltip="44">
        <w:r>
          <w:rPr>
            <w:sz w:val="24"/>
            <w:color w:val="0000ff"/>
          </w:rPr>
          <w:t xml:space="preserve">(строка 44)</w:t>
        </w:r>
      </w:hyperlink>
      <w:r>
        <w:rPr>
          <w:sz w:val="24"/>
        </w:rPr>
        <w:t xml:space="preserve"> - лимит ответственности, переданный в перестрахование (ретроцессию), в части, приходящейся на договоры страхования (сострахования, входящего перестрахования), заключенные в отчетном периоде с указанным страхователем (перестрахователем), в разбивке по учетным группам и перестраховщикам.</w:t>
      </w:r>
    </w:p>
    <w:p>
      <w:pPr>
        <w:pStyle w:val="0"/>
        <w:spacing w:before="240" w:lineRule="auto"/>
        <w:ind w:firstLine="540"/>
        <w:jc w:val="both"/>
      </w:pPr>
      <w:r>
        <w:rPr>
          <w:sz w:val="24"/>
        </w:rPr>
        <w:t xml:space="preserve">9.4. По показателю "Собственное удержание" </w:t>
      </w:r>
      <w:hyperlink w:history="0" w:anchor="P35187" w:tooltip="45">
        <w:r>
          <w:rPr>
            <w:sz w:val="24"/>
            <w:color w:val="0000ff"/>
          </w:rPr>
          <w:t xml:space="preserve">(строка 45)</w:t>
        </w:r>
      </w:hyperlink>
      <w:r>
        <w:rPr>
          <w:sz w:val="24"/>
        </w:rPr>
        <w:t xml:space="preserve"> для каждого страхователя (перестрахователя) указывается собственное удержание страховщика по переданным в перестрахование (ретроцессию) договорам страхования (сострахования, входящего перестрахования), заключенным в отчетном периоде с указанным страхователем (перестрахователем), в разбивке по учетным группам.</w:t>
      </w:r>
    </w:p>
    <w:p>
      <w:pPr>
        <w:pStyle w:val="0"/>
        <w:spacing w:before="240" w:lineRule="auto"/>
        <w:ind w:firstLine="540"/>
        <w:jc w:val="both"/>
      </w:pPr>
      <w:r>
        <w:rPr>
          <w:sz w:val="24"/>
        </w:rPr>
        <w:t xml:space="preserve">В случае если указано значение показателя "Страховая премия по договору исходящего перестрахования" </w:t>
      </w:r>
      <w:hyperlink w:history="0" w:anchor="P35155" w:tooltip="43">
        <w:r>
          <w:rPr>
            <w:sz w:val="24"/>
            <w:color w:val="0000ff"/>
          </w:rPr>
          <w:t xml:space="preserve">(строка 43)</w:t>
        </w:r>
      </w:hyperlink>
      <w:r>
        <w:rPr>
          <w:sz w:val="24"/>
        </w:rPr>
        <w:t xml:space="preserve">, должны быть указаны значения показателей "Лимит ответственности, переданный в перестрахование" </w:t>
      </w:r>
      <w:hyperlink w:history="0" w:anchor="P35171" w:tooltip="44">
        <w:r>
          <w:rPr>
            <w:sz w:val="24"/>
            <w:color w:val="0000ff"/>
          </w:rPr>
          <w:t xml:space="preserve">(строка 44)</w:t>
        </w:r>
      </w:hyperlink>
      <w:r>
        <w:rPr>
          <w:sz w:val="24"/>
        </w:rPr>
        <w:t xml:space="preserve"> и "Собственное удержание" </w:t>
      </w:r>
      <w:hyperlink w:history="0" w:anchor="P35187" w:tooltip="45">
        <w:r>
          <w:rPr>
            <w:sz w:val="24"/>
            <w:color w:val="0000ff"/>
          </w:rPr>
          <w:t xml:space="preserve">(строка 45)</w:t>
        </w:r>
      </w:hyperlink>
      <w:r>
        <w:rPr>
          <w:sz w:val="24"/>
        </w:rPr>
        <w:t xml:space="preserve"> (по каждой учетной группе).</w:t>
      </w:r>
    </w:p>
    <w:p>
      <w:pPr>
        <w:pStyle w:val="0"/>
        <w:spacing w:before="240" w:lineRule="auto"/>
        <w:ind w:firstLine="540"/>
        <w:jc w:val="both"/>
      </w:pPr>
      <w:r>
        <w:rPr>
          <w:sz w:val="24"/>
        </w:rPr>
        <w:t xml:space="preserve">В случае если договоры страхования (сострахования, входящего перестрахования), относящиеся к одной учетной группе, не переданы в перестрахование (ретроцессию) и значения показателей "Страховая премия по договору исходящего перестрахования" </w:t>
      </w:r>
      <w:hyperlink w:history="0" w:anchor="P35155" w:tooltip="43">
        <w:r>
          <w:rPr>
            <w:sz w:val="24"/>
            <w:color w:val="0000ff"/>
          </w:rPr>
          <w:t xml:space="preserve">(строка 43)</w:t>
        </w:r>
      </w:hyperlink>
      <w:r>
        <w:rPr>
          <w:sz w:val="24"/>
        </w:rPr>
        <w:t xml:space="preserve"> и "Лимит ответственности, переданный в перестрахование" </w:t>
      </w:r>
      <w:hyperlink w:history="0" w:anchor="P35171" w:tooltip="44">
        <w:r>
          <w:rPr>
            <w:sz w:val="24"/>
            <w:color w:val="0000ff"/>
          </w:rPr>
          <w:t xml:space="preserve">(строка 44)</w:t>
        </w:r>
      </w:hyperlink>
      <w:r>
        <w:rPr>
          <w:sz w:val="24"/>
        </w:rPr>
        <w:t xml:space="preserve"> по этой учетной группе не указаны, значение показателя "Собственное удержание" </w:t>
      </w:r>
      <w:hyperlink w:history="0" w:anchor="P35187" w:tooltip="45">
        <w:r>
          <w:rPr>
            <w:sz w:val="24"/>
            <w:color w:val="0000ff"/>
          </w:rPr>
          <w:t xml:space="preserve">(строка 45)</w:t>
        </w:r>
      </w:hyperlink>
      <w:r>
        <w:rPr>
          <w:sz w:val="24"/>
        </w:rPr>
        <w:t xml:space="preserve"> по указанной учетной группе должно быть равно значению показателя "Лимит ответственности (страховая сумма)" </w:t>
      </w:r>
      <w:hyperlink w:history="0" w:anchor="P35143" w:tooltip="42">
        <w:r>
          <w:rPr>
            <w:sz w:val="24"/>
            <w:color w:val="0000ff"/>
          </w:rPr>
          <w:t xml:space="preserve">(строка 42)</w:t>
        </w:r>
      </w:hyperlink>
      <w:r>
        <w:rPr>
          <w:sz w:val="24"/>
        </w:rPr>
        <w:t xml:space="preserve"> по этой же учетной группе.</w:t>
      </w:r>
    </w:p>
    <w:p>
      <w:pPr>
        <w:pStyle w:val="0"/>
        <w:spacing w:before="240" w:lineRule="auto"/>
        <w:ind w:firstLine="540"/>
        <w:jc w:val="both"/>
      </w:pPr>
      <w:r>
        <w:rPr>
          <w:sz w:val="24"/>
        </w:rPr>
        <w:t xml:space="preserve">9.5. По показателю "Срок сотрудничества" </w:t>
      </w:r>
      <w:hyperlink w:history="0" w:anchor="P35199" w:tooltip="46">
        <w:r>
          <w:rPr>
            <w:sz w:val="24"/>
            <w:color w:val="0000ff"/>
          </w:rPr>
          <w:t xml:space="preserve">(строка 46)</w:t>
        </w:r>
      </w:hyperlink>
      <w:r>
        <w:rPr>
          <w:sz w:val="24"/>
        </w:rPr>
        <w:t xml:space="preserve"> для каждого страхователя (перестрахователя) указывается количество полных лет, в течение которых действовали договоры страхования (сострахования, входящего перестрахования), заключенные с этим страхователем (перестрахователем), начиная с даты начала действия первого договора страхования (сострахования, входящего перестрахования), заключенного страховщиком с этим страхователем (перестрахователем).</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5303" w:name="P35303"/>
    <w:bookmarkEnd w:id="35303"/>
    <w:p>
      <w:pPr>
        <w:pStyle w:val="0"/>
        <w:jc w:val="center"/>
      </w:pPr>
      <w:r>
        <w:rPr>
          <w:sz w:val="24"/>
        </w:rPr>
        <w:t xml:space="preserve">Отчетность по форме 0420160</w:t>
      </w:r>
    </w:p>
    <w:p>
      <w:pPr>
        <w:pStyle w:val="0"/>
        <w:jc w:val="center"/>
      </w:pPr>
      <w:r>
        <w:rPr>
          <w:sz w:val="24"/>
        </w:rPr>
        <w:t xml:space="preserve">"Сведения о привлеченных страховщиком средствах"</w:t>
      </w:r>
    </w:p>
    <w:p>
      <w:pPr>
        <w:pStyle w:val="0"/>
        <w:ind w:firstLine="540"/>
        <w:jc w:val="both"/>
      </w:pPr>
      <w:r>
        <w:rPr>
          <w:sz w:val="24"/>
        </w:rPr>
      </w:r>
    </w:p>
    <w:p>
      <w:pPr>
        <w:pStyle w:val="0"/>
        <w:jc w:val="right"/>
      </w:pPr>
      <w:r>
        <w:rPr>
          <w:sz w:val="24"/>
        </w:rPr>
        <w:t xml:space="preserve">Код формы по </w:t>
      </w:r>
      <w:hyperlink w:history="0" r:id="rId58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6768" w:tooltip="&lt;1&gt; Общероссийский классификатор управленческой документации.">
        <w:r>
          <w:rPr>
            <w:sz w:val="24"/>
            <w:color w:val="0000ff"/>
          </w:rPr>
          <w:t xml:space="preserve">&lt;1&gt;</w:t>
        </w:r>
      </w:hyperlink>
      <w:r>
        <w:rPr>
          <w:sz w:val="24"/>
        </w:rPr>
        <w:t xml:space="preserve"> 0420160</w:t>
      </w:r>
    </w:p>
    <w:p>
      <w:pPr>
        <w:pStyle w:val="0"/>
        <w:ind w:firstLine="540"/>
        <w:jc w:val="both"/>
      </w:pPr>
      <w:r>
        <w:rPr>
          <w:sz w:val="24"/>
        </w:rPr>
      </w:r>
    </w:p>
    <w:p>
      <w:pPr>
        <w:pStyle w:val="0"/>
        <w:jc w:val="right"/>
      </w:pPr>
      <w:r>
        <w:rPr>
          <w:sz w:val="24"/>
        </w:rPr>
        <w:t xml:space="preserve">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361"/>
        <w:gridCol w:w="2247"/>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268" w:type="dxa"/>
            <w:tcBorders>
              <w:left w:val="single" w:sz="4"/>
            </w:tcBorders>
          </w:tcPr>
          <w:bookmarkStart w:id="35318" w:name="P35318"/>
          <w:bookmarkEnd w:id="35318"/>
          <w:p>
            <w:pPr>
              <w:pStyle w:val="0"/>
              <w:outlineLvl w:val="3"/>
            </w:pPr>
            <w:r>
              <w:rPr>
                <w:sz w:val="24"/>
              </w:rPr>
              <w:t xml:space="preserve">Раздел 1.</w:t>
            </w:r>
          </w:p>
        </w:tc>
        <w:tc>
          <w:tcPr>
            <w:gridSpan w:val="3"/>
            <w:tcW w:w="7803" w:type="dxa"/>
            <w:tcBorders>
              <w:right w:val="single" w:sz="4"/>
            </w:tcBorders>
          </w:tcPr>
          <w:p>
            <w:pPr>
              <w:pStyle w:val="0"/>
            </w:pPr>
            <w:r>
              <w:rPr>
                <w:sz w:val="24"/>
              </w:rPr>
              <w:t xml:space="preserve">Займы и кредиты (кроме субординированных займов, выданных векселей и выпущенных облигаций)</w:t>
            </w:r>
          </w:p>
        </w:tc>
      </w:tr>
      <w:tr>
        <w:tc>
          <w:tcPr>
            <w:tcW w:w="907" w:type="dxa"/>
          </w:tcPr>
          <w:bookmarkStart w:id="35320" w:name="P35320"/>
          <w:bookmarkEnd w:id="35320"/>
          <w:p>
            <w:pPr>
              <w:pStyle w:val="0"/>
            </w:pPr>
            <w:r>
              <w:rPr>
                <w:sz w:val="24"/>
              </w:rPr>
              <w:t xml:space="preserve">1</w:t>
            </w:r>
          </w:p>
        </w:tc>
        <w:tc>
          <w:tcPr>
            <w:gridSpan w:val="2"/>
            <w:tcW w:w="2608" w:type="dxa"/>
          </w:tcPr>
          <w:p>
            <w:pPr>
              <w:pStyle w:val="0"/>
            </w:pPr>
            <w:r>
              <w:rPr>
                <w:sz w:val="24"/>
              </w:rPr>
              <w:t xml:space="preserve">Код сделки (займы и кредиты)</w:t>
            </w:r>
          </w:p>
        </w:tc>
        <w:tc>
          <w:tcPr>
            <w:tcW w:w="2608" w:type="dxa"/>
          </w:tcPr>
          <w:p>
            <w:pPr>
              <w:pStyle w:val="0"/>
            </w:pPr>
            <w:r>
              <w:rPr>
                <w:sz w:val="24"/>
              </w:rPr>
            </w:r>
          </w:p>
        </w:tc>
        <w:tc>
          <w:tcPr>
            <w:tcW w:w="2948" w:type="dxa"/>
          </w:tcPr>
          <w:p>
            <w:pPr>
              <w:pStyle w:val="0"/>
            </w:pPr>
            <w:r>
              <w:rPr>
                <w:sz w:val="24"/>
              </w:rPr>
              <w:t xml:space="preserve">ins-dic:Ks_2</w:t>
            </w:r>
          </w:p>
        </w:tc>
      </w:tr>
      <w:tr>
        <w:tc>
          <w:tcPr>
            <w:tcW w:w="907" w:type="dxa"/>
          </w:tcPr>
          <w:p>
            <w:pPr>
              <w:pStyle w:val="0"/>
            </w:pPr>
            <w:r>
              <w:rPr>
                <w:sz w:val="24"/>
              </w:rPr>
              <w:t xml:space="preserve">1.1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336" w:name="P35336"/>
          <w:bookmarkEnd w:id="35336"/>
          <w:p>
            <w:pPr>
              <w:pStyle w:val="0"/>
            </w:pPr>
            <w:r>
              <w:rPr>
                <w:sz w:val="24"/>
              </w:rPr>
              <w:t xml:space="preserve">2</w:t>
            </w:r>
          </w:p>
        </w:tc>
        <w:tc>
          <w:tcPr>
            <w:gridSpan w:val="2"/>
            <w:tcW w:w="2608" w:type="dxa"/>
          </w:tcPr>
          <w:p>
            <w:pPr>
              <w:pStyle w:val="0"/>
            </w:pPr>
            <w:r>
              <w:rPr>
                <w:sz w:val="24"/>
              </w:rPr>
              <w:t xml:space="preserve">Дата заключения договора займа (кредитного договора)</w:t>
            </w:r>
          </w:p>
        </w:tc>
        <w:tc>
          <w:tcPr>
            <w:tcW w:w="2608" w:type="dxa"/>
          </w:tcPr>
          <w:p>
            <w:pPr>
              <w:pStyle w:val="0"/>
            </w:pPr>
            <w:r>
              <w:rPr>
                <w:sz w:val="24"/>
              </w:rPr>
            </w:r>
          </w:p>
        </w:tc>
        <w:tc>
          <w:tcPr>
            <w:tcW w:w="2948" w:type="dxa"/>
          </w:tcPr>
          <w:p>
            <w:pPr>
              <w:pStyle w:val="0"/>
            </w:pPr>
            <w:r>
              <w:rPr>
                <w:sz w:val="24"/>
              </w:rPr>
              <w:t xml:space="preserve">ins-dic:Data_Zakl_Kred_Zajm_Dog</w:t>
            </w:r>
          </w:p>
        </w:tc>
      </w:tr>
      <w:tr>
        <w:tc>
          <w:tcPr>
            <w:tcW w:w="907" w:type="dxa"/>
          </w:tcPr>
          <w:p>
            <w:pPr>
              <w:pStyle w:val="0"/>
            </w:pPr>
            <w:r>
              <w:rPr>
                <w:sz w:val="24"/>
              </w:rPr>
              <w:t xml:space="preserve">2.1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2.2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2.3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352" w:name="P35352"/>
          <w:bookmarkEnd w:id="35352"/>
          <w:p>
            <w:pPr>
              <w:pStyle w:val="0"/>
            </w:pPr>
            <w:r>
              <w:rPr>
                <w:sz w:val="24"/>
              </w:rPr>
              <w:t xml:space="preserve">3</w:t>
            </w:r>
          </w:p>
        </w:tc>
        <w:tc>
          <w:tcPr>
            <w:gridSpan w:val="2"/>
            <w:tcW w:w="2608" w:type="dxa"/>
          </w:tcPr>
          <w:p>
            <w:pPr>
              <w:pStyle w:val="0"/>
            </w:pPr>
            <w:r>
              <w:rPr>
                <w:sz w:val="24"/>
              </w:rPr>
              <w:t xml:space="preserve">Номер договора займа (кредитного договора)</w:t>
            </w:r>
          </w:p>
        </w:tc>
        <w:tc>
          <w:tcPr>
            <w:tcW w:w="2608" w:type="dxa"/>
          </w:tcPr>
          <w:p>
            <w:pPr>
              <w:pStyle w:val="0"/>
            </w:pPr>
            <w:r>
              <w:rPr>
                <w:sz w:val="24"/>
              </w:rPr>
            </w:r>
          </w:p>
        </w:tc>
        <w:tc>
          <w:tcPr>
            <w:tcW w:w="2948" w:type="dxa"/>
          </w:tcPr>
          <w:p>
            <w:pPr>
              <w:pStyle w:val="0"/>
            </w:pPr>
            <w:r>
              <w:rPr>
                <w:sz w:val="24"/>
              </w:rPr>
              <w:t xml:space="preserve">ins-dic:Nomer_Kred_Zajm_Dog</w:t>
            </w:r>
          </w:p>
        </w:tc>
      </w:tr>
      <w:tr>
        <w:tc>
          <w:tcPr>
            <w:tcW w:w="907" w:type="dxa"/>
          </w:tcPr>
          <w:p>
            <w:pPr>
              <w:pStyle w:val="0"/>
            </w:pPr>
            <w:r>
              <w:rPr>
                <w:sz w:val="24"/>
              </w:rPr>
              <w:t xml:space="preserve">3.1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3.2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3.3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368" w:name="P35368"/>
          <w:bookmarkEnd w:id="35368"/>
          <w:p>
            <w:pPr>
              <w:pStyle w:val="0"/>
            </w:pPr>
            <w:r>
              <w:rPr>
                <w:sz w:val="24"/>
              </w:rPr>
              <w:t xml:space="preserve">4</w:t>
            </w:r>
          </w:p>
        </w:tc>
        <w:tc>
          <w:tcPr>
            <w:gridSpan w:val="2"/>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4.1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4.2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4.3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384" w:name="P35384"/>
          <w:bookmarkEnd w:id="35384"/>
          <w:p>
            <w:pPr>
              <w:pStyle w:val="0"/>
            </w:pPr>
            <w:r>
              <w:rPr>
                <w:sz w:val="24"/>
              </w:rPr>
              <w:t xml:space="preserve">5</w:t>
            </w:r>
          </w:p>
        </w:tc>
        <w:tc>
          <w:tcPr>
            <w:gridSpan w:val="2"/>
            <w:tcW w:w="2608" w:type="dxa"/>
          </w:tcPr>
          <w:p>
            <w:pPr>
              <w:pStyle w:val="0"/>
            </w:pPr>
            <w:r>
              <w:rPr>
                <w:sz w:val="24"/>
              </w:rPr>
              <w:t xml:space="preserve">Срок действия договора займа (кредитного договора)</w:t>
            </w:r>
          </w:p>
        </w:tc>
        <w:tc>
          <w:tcPr>
            <w:tcW w:w="2608" w:type="dxa"/>
          </w:tcPr>
          <w:p>
            <w:pPr>
              <w:pStyle w:val="0"/>
            </w:pPr>
            <w:r>
              <w:rPr>
                <w:sz w:val="24"/>
              </w:rPr>
            </w:r>
          </w:p>
        </w:tc>
        <w:tc>
          <w:tcPr>
            <w:tcW w:w="2948" w:type="dxa"/>
          </w:tcPr>
          <w:p>
            <w:pPr>
              <w:pStyle w:val="0"/>
            </w:pPr>
            <w:r>
              <w:rPr>
                <w:sz w:val="24"/>
              </w:rPr>
              <w:t xml:space="preserve">ins-dic:Srok_Dejst_Kred_Zajm_Dog</w:t>
            </w:r>
          </w:p>
        </w:tc>
      </w:tr>
      <w:tr>
        <w:tc>
          <w:tcPr>
            <w:tcW w:w="907" w:type="dxa"/>
          </w:tcPr>
          <w:p>
            <w:pPr>
              <w:pStyle w:val="0"/>
            </w:pPr>
            <w:r>
              <w:rPr>
                <w:sz w:val="24"/>
              </w:rPr>
              <w:t xml:space="preserve">5.1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5.2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5.3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400" w:name="P35400"/>
          <w:bookmarkEnd w:id="35400"/>
          <w:p>
            <w:pPr>
              <w:pStyle w:val="0"/>
            </w:pPr>
            <w:r>
              <w:rPr>
                <w:sz w:val="24"/>
              </w:rPr>
              <w:t xml:space="preserve">6</w:t>
            </w:r>
          </w:p>
        </w:tc>
        <w:tc>
          <w:tcPr>
            <w:gridSpan w:val="2"/>
            <w:tcW w:w="2608" w:type="dxa"/>
          </w:tcPr>
          <w:p>
            <w:pPr>
              <w:pStyle w:val="0"/>
            </w:pPr>
            <w:r>
              <w:rPr>
                <w:sz w:val="24"/>
              </w:rPr>
              <w:t xml:space="preserve">Цель получения средств</w:t>
            </w:r>
          </w:p>
        </w:tc>
        <w:tc>
          <w:tcPr>
            <w:tcW w:w="2608" w:type="dxa"/>
          </w:tcPr>
          <w:p>
            <w:pPr>
              <w:pStyle w:val="0"/>
            </w:pPr>
            <w:r>
              <w:rPr>
                <w:sz w:val="24"/>
              </w:rPr>
            </w:r>
          </w:p>
        </w:tc>
        <w:tc>
          <w:tcPr>
            <w:tcW w:w="2948" w:type="dxa"/>
          </w:tcPr>
          <w:p>
            <w:pPr>
              <w:pStyle w:val="0"/>
            </w:pPr>
            <w:r>
              <w:rPr>
                <w:sz w:val="24"/>
              </w:rPr>
              <w:t xml:space="preserve">ins-dic:Czel_Poluch_Sredstv</w:t>
            </w:r>
          </w:p>
        </w:tc>
      </w:tr>
      <w:tr>
        <w:tc>
          <w:tcPr>
            <w:tcW w:w="907" w:type="dxa"/>
          </w:tcPr>
          <w:p>
            <w:pPr>
              <w:pStyle w:val="0"/>
            </w:pPr>
            <w:r>
              <w:rPr>
                <w:sz w:val="24"/>
              </w:rPr>
              <w:t xml:space="preserve">6.1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6.2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6.3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416" w:name="P35416"/>
          <w:bookmarkEnd w:id="35416"/>
          <w:p>
            <w:pPr>
              <w:pStyle w:val="0"/>
            </w:pPr>
            <w:r>
              <w:rPr>
                <w:sz w:val="24"/>
              </w:rPr>
              <w:t xml:space="preserve">7</w:t>
            </w:r>
          </w:p>
        </w:tc>
        <w:tc>
          <w:tcPr>
            <w:gridSpan w:val="2"/>
            <w:tcW w:w="2608" w:type="dxa"/>
          </w:tcPr>
          <w:p>
            <w:pPr>
              <w:pStyle w:val="0"/>
            </w:pPr>
            <w:r>
              <w:rPr>
                <w:sz w:val="24"/>
              </w:rPr>
              <w:t xml:space="preserve">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ins-dic:Procz_Stavka</w:t>
            </w:r>
          </w:p>
        </w:tc>
      </w:tr>
      <w:tr>
        <w:tc>
          <w:tcPr>
            <w:tcW w:w="907" w:type="dxa"/>
          </w:tcPr>
          <w:p>
            <w:pPr>
              <w:pStyle w:val="0"/>
            </w:pPr>
            <w:r>
              <w:rPr>
                <w:sz w:val="24"/>
              </w:rPr>
              <w:t xml:space="preserve">7.1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7.2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7.3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432" w:name="P35432"/>
          <w:bookmarkEnd w:id="35432"/>
          <w:p>
            <w:pPr>
              <w:pStyle w:val="0"/>
            </w:pPr>
            <w:r>
              <w:rPr>
                <w:sz w:val="24"/>
              </w:rPr>
              <w:t xml:space="preserve">8</w:t>
            </w:r>
          </w:p>
        </w:tc>
        <w:tc>
          <w:tcPr>
            <w:gridSpan w:val="2"/>
            <w:tcW w:w="2608" w:type="dxa"/>
          </w:tcPr>
          <w:p>
            <w:pPr>
              <w:pStyle w:val="0"/>
            </w:pPr>
            <w:r>
              <w:rPr>
                <w:sz w:val="24"/>
              </w:rPr>
              <w:t xml:space="preserve">Эффективная 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ins-dic:Effekt_Procz_Stavka</w:t>
            </w:r>
          </w:p>
        </w:tc>
      </w:tr>
      <w:tr>
        <w:tc>
          <w:tcPr>
            <w:tcW w:w="907" w:type="dxa"/>
          </w:tcPr>
          <w:p>
            <w:pPr>
              <w:pStyle w:val="0"/>
            </w:pPr>
            <w:r>
              <w:rPr>
                <w:sz w:val="24"/>
              </w:rPr>
              <w:t xml:space="preserve">8.1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8.2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8.3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448" w:name="P35448"/>
          <w:bookmarkEnd w:id="35448"/>
          <w:p>
            <w:pPr>
              <w:pStyle w:val="0"/>
            </w:pPr>
            <w:r>
              <w:rPr>
                <w:sz w:val="24"/>
              </w:rPr>
              <w:t xml:space="preserve">9</w:t>
            </w:r>
          </w:p>
        </w:tc>
        <w:tc>
          <w:tcPr>
            <w:gridSpan w:val="2"/>
            <w:tcW w:w="2608" w:type="dxa"/>
          </w:tcPr>
          <w:p>
            <w:pPr>
              <w:pStyle w:val="0"/>
            </w:pPr>
            <w:r>
              <w:rPr>
                <w:sz w:val="24"/>
              </w:rPr>
              <w:t xml:space="preserve">Дата получения средств</w:t>
            </w:r>
          </w:p>
        </w:tc>
        <w:tc>
          <w:tcPr>
            <w:tcW w:w="2608" w:type="dxa"/>
          </w:tcPr>
          <w:p>
            <w:pPr>
              <w:pStyle w:val="0"/>
            </w:pPr>
            <w:r>
              <w:rPr>
                <w:sz w:val="24"/>
              </w:rPr>
            </w:r>
          </w:p>
        </w:tc>
        <w:tc>
          <w:tcPr>
            <w:tcW w:w="2948" w:type="dxa"/>
          </w:tcPr>
          <w:p>
            <w:pPr>
              <w:pStyle w:val="0"/>
            </w:pPr>
            <w:r>
              <w:rPr>
                <w:sz w:val="24"/>
              </w:rPr>
              <w:t xml:space="preserve">ins-dic:Data_Poluch_Sredstv</w:t>
            </w:r>
          </w:p>
        </w:tc>
      </w:tr>
      <w:tr>
        <w:tc>
          <w:tcPr>
            <w:tcW w:w="907" w:type="dxa"/>
          </w:tcPr>
          <w:p>
            <w:pPr>
              <w:pStyle w:val="0"/>
            </w:pPr>
            <w:r>
              <w:rPr>
                <w:sz w:val="24"/>
              </w:rPr>
              <w:t xml:space="preserve">9.1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9.2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9.3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464" w:name="P35464"/>
          <w:bookmarkEnd w:id="35464"/>
          <w:p>
            <w:pPr>
              <w:pStyle w:val="0"/>
            </w:pPr>
            <w:r>
              <w:rPr>
                <w:sz w:val="24"/>
              </w:rPr>
              <w:t xml:space="preserve">10</w:t>
            </w:r>
          </w:p>
        </w:tc>
        <w:tc>
          <w:tcPr>
            <w:gridSpan w:val="2"/>
            <w:tcW w:w="2608" w:type="dxa"/>
          </w:tcPr>
          <w:p>
            <w:pPr>
              <w:pStyle w:val="0"/>
            </w:pPr>
            <w:r>
              <w:rPr>
                <w:sz w:val="24"/>
              </w:rPr>
              <w:t xml:space="preserve">Объем полученных средств по договору займа (кредитному договору) в отчетном периоде</w:t>
            </w:r>
          </w:p>
        </w:tc>
        <w:tc>
          <w:tcPr>
            <w:tcW w:w="2608" w:type="dxa"/>
          </w:tcPr>
          <w:p>
            <w:pPr>
              <w:pStyle w:val="0"/>
            </w:pPr>
            <w:r>
              <w:rPr>
                <w:sz w:val="24"/>
              </w:rPr>
            </w:r>
          </w:p>
        </w:tc>
        <w:tc>
          <w:tcPr>
            <w:tcW w:w="2948" w:type="dxa"/>
          </w:tcPr>
          <w:p>
            <w:pPr>
              <w:pStyle w:val="0"/>
            </w:pPr>
            <w:r>
              <w:rPr>
                <w:sz w:val="24"/>
              </w:rPr>
              <w:t xml:space="preserve">ins-dic:Obem_Poluchen_Sredstv_Zajm_Vsego</w:t>
            </w:r>
          </w:p>
        </w:tc>
      </w:tr>
      <w:tr>
        <w:tc>
          <w:tcPr>
            <w:tcW w:w="907" w:type="dxa"/>
          </w:tcPr>
          <w:p>
            <w:pPr>
              <w:pStyle w:val="0"/>
            </w:pPr>
            <w:r>
              <w:rPr>
                <w:sz w:val="24"/>
              </w:rPr>
              <w:t xml:space="preserve">10.1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10.2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10.3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480" w:name="P35480"/>
          <w:bookmarkEnd w:id="35480"/>
          <w:p>
            <w:pPr>
              <w:pStyle w:val="0"/>
            </w:pPr>
            <w:r>
              <w:rPr>
                <w:sz w:val="24"/>
              </w:rPr>
              <w:t xml:space="preserve">11</w:t>
            </w:r>
          </w:p>
        </w:tc>
        <w:tc>
          <w:tcPr>
            <w:gridSpan w:val="2"/>
            <w:tcW w:w="2608" w:type="dxa"/>
          </w:tcPr>
          <w:p>
            <w:pPr>
              <w:pStyle w:val="0"/>
            </w:pPr>
            <w:r>
              <w:rPr>
                <w:sz w:val="24"/>
              </w:rPr>
              <w:t xml:space="preserve">Периодичность погашения основного долга</w:t>
            </w:r>
          </w:p>
        </w:tc>
        <w:tc>
          <w:tcPr>
            <w:tcW w:w="2608" w:type="dxa"/>
          </w:tcPr>
          <w:p>
            <w:pPr>
              <w:pStyle w:val="0"/>
            </w:pPr>
            <w:r>
              <w:rPr>
                <w:sz w:val="24"/>
              </w:rPr>
            </w:r>
          </w:p>
        </w:tc>
        <w:tc>
          <w:tcPr>
            <w:tcW w:w="2948" w:type="dxa"/>
          </w:tcPr>
          <w:p>
            <w:pPr>
              <w:pStyle w:val="0"/>
            </w:pPr>
            <w:r>
              <w:rPr>
                <w:sz w:val="24"/>
              </w:rPr>
              <w:t xml:space="preserve">ins-dic:Period_Pogash_Osn_Dolga_Enumerator</w:t>
            </w:r>
          </w:p>
        </w:tc>
      </w:tr>
      <w:tr>
        <w:tc>
          <w:tcPr>
            <w:tcW w:w="907" w:type="dxa"/>
          </w:tcPr>
          <w:p>
            <w:pPr>
              <w:pStyle w:val="0"/>
            </w:pPr>
            <w:r>
              <w:rPr>
                <w:sz w:val="24"/>
              </w:rPr>
              <w:t xml:space="preserve">11.1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11.2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11.3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496" w:name="P35496"/>
          <w:bookmarkEnd w:id="35496"/>
          <w:p>
            <w:pPr>
              <w:pStyle w:val="0"/>
            </w:pPr>
            <w:r>
              <w:rPr>
                <w:sz w:val="24"/>
              </w:rPr>
              <w:t xml:space="preserve">12</w:t>
            </w:r>
          </w:p>
        </w:tc>
        <w:tc>
          <w:tcPr>
            <w:gridSpan w:val="2"/>
            <w:tcW w:w="2608" w:type="dxa"/>
          </w:tcPr>
          <w:p>
            <w:pPr>
              <w:pStyle w:val="0"/>
            </w:pPr>
            <w:r>
              <w:rPr>
                <w:sz w:val="24"/>
              </w:rPr>
              <w:t xml:space="preserve">Сумма средств, причитающихся к уплате по договору займа (кредитному договору) в отчетном периоде</w:t>
            </w:r>
          </w:p>
        </w:tc>
        <w:tc>
          <w:tcPr>
            <w:tcW w:w="2608" w:type="dxa"/>
          </w:tcPr>
          <w:p>
            <w:pPr>
              <w:pStyle w:val="0"/>
            </w:pPr>
            <w:r>
              <w:rPr>
                <w:sz w:val="24"/>
              </w:rPr>
            </w:r>
          </w:p>
        </w:tc>
        <w:tc>
          <w:tcPr>
            <w:tcW w:w="2948" w:type="dxa"/>
          </w:tcPr>
          <w:p>
            <w:pPr>
              <w:pStyle w:val="0"/>
            </w:pPr>
            <w:r>
              <w:rPr>
                <w:sz w:val="24"/>
              </w:rPr>
              <w:t xml:space="preserve">ins-dic:Summa_Sredstv_K_Uplate_Zajm_Vsego</w:t>
            </w:r>
          </w:p>
        </w:tc>
      </w:tr>
      <w:tr>
        <w:tc>
          <w:tcPr>
            <w:tcW w:w="907" w:type="dxa"/>
          </w:tcPr>
          <w:p>
            <w:pPr>
              <w:pStyle w:val="0"/>
            </w:pPr>
            <w:r>
              <w:rPr>
                <w:sz w:val="24"/>
              </w:rPr>
              <w:t xml:space="preserve">12.1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12.2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12.3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512" w:name="P35512"/>
          <w:bookmarkEnd w:id="35512"/>
          <w:p>
            <w:pPr>
              <w:pStyle w:val="0"/>
            </w:pPr>
            <w:r>
              <w:rPr>
                <w:sz w:val="24"/>
              </w:rPr>
              <w:t xml:space="preserve">13</w:t>
            </w:r>
          </w:p>
        </w:tc>
        <w:tc>
          <w:tcPr>
            <w:gridSpan w:val="2"/>
            <w:tcW w:w="2608" w:type="dxa"/>
          </w:tcPr>
          <w:p>
            <w:pPr>
              <w:pStyle w:val="0"/>
            </w:pPr>
            <w:r>
              <w:rPr>
                <w:sz w:val="24"/>
              </w:rPr>
              <w:t xml:space="preserve">Сумма фактически уплаченных средств по договору займа (кредитному договору) в отчетном периоде</w:t>
            </w:r>
          </w:p>
        </w:tc>
        <w:tc>
          <w:tcPr>
            <w:tcW w:w="2608" w:type="dxa"/>
          </w:tcPr>
          <w:p>
            <w:pPr>
              <w:pStyle w:val="0"/>
            </w:pPr>
            <w:r>
              <w:rPr>
                <w:sz w:val="24"/>
              </w:rPr>
            </w:r>
          </w:p>
        </w:tc>
        <w:tc>
          <w:tcPr>
            <w:tcW w:w="2948" w:type="dxa"/>
          </w:tcPr>
          <w:p>
            <w:pPr>
              <w:pStyle w:val="0"/>
            </w:pPr>
            <w:r>
              <w:rPr>
                <w:sz w:val="24"/>
              </w:rPr>
              <w:t xml:space="preserve">ins-dic:Summa_Sredstv_Fakt_Uplachen_Zajm_Vsego</w:t>
            </w:r>
          </w:p>
        </w:tc>
      </w:tr>
      <w:tr>
        <w:tc>
          <w:tcPr>
            <w:tcW w:w="907" w:type="dxa"/>
          </w:tcPr>
          <w:p>
            <w:pPr>
              <w:pStyle w:val="0"/>
            </w:pPr>
            <w:r>
              <w:rPr>
                <w:sz w:val="24"/>
              </w:rPr>
              <w:t xml:space="preserve">13.1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13.2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13.3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528" w:name="P35528"/>
          <w:bookmarkEnd w:id="35528"/>
          <w:p>
            <w:pPr>
              <w:pStyle w:val="0"/>
            </w:pPr>
            <w:r>
              <w:rPr>
                <w:sz w:val="24"/>
              </w:rPr>
              <w:t xml:space="preserve">14</w:t>
            </w:r>
          </w:p>
        </w:tc>
        <w:tc>
          <w:tcPr>
            <w:gridSpan w:val="2"/>
            <w:tcW w:w="2608" w:type="dxa"/>
          </w:tcPr>
          <w:p>
            <w:pPr>
              <w:pStyle w:val="0"/>
            </w:pPr>
            <w:r>
              <w:rPr>
                <w:sz w:val="24"/>
              </w:rPr>
              <w:t xml:space="preserve">Сумма, досрочно погашенная по договору займа (кредитному договору) в отчетном периоде</w:t>
            </w:r>
          </w:p>
        </w:tc>
        <w:tc>
          <w:tcPr>
            <w:tcW w:w="2608" w:type="dxa"/>
          </w:tcPr>
          <w:p>
            <w:pPr>
              <w:pStyle w:val="0"/>
            </w:pPr>
            <w:r>
              <w:rPr>
                <w:sz w:val="24"/>
              </w:rPr>
            </w:r>
          </w:p>
        </w:tc>
        <w:tc>
          <w:tcPr>
            <w:tcW w:w="2948" w:type="dxa"/>
          </w:tcPr>
          <w:p>
            <w:pPr>
              <w:pStyle w:val="0"/>
            </w:pPr>
            <w:r>
              <w:rPr>
                <w:sz w:val="24"/>
              </w:rPr>
              <w:t xml:space="preserve">ins-dic:Summa_Dosrochno_Pogashen_Zajm_Vsego</w:t>
            </w:r>
          </w:p>
        </w:tc>
      </w:tr>
      <w:tr>
        <w:tc>
          <w:tcPr>
            <w:tcW w:w="907" w:type="dxa"/>
          </w:tcPr>
          <w:p>
            <w:pPr>
              <w:pStyle w:val="0"/>
            </w:pPr>
            <w:r>
              <w:rPr>
                <w:sz w:val="24"/>
              </w:rPr>
              <w:t xml:space="preserve">14.1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14.2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14.3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544" w:name="P35544"/>
          <w:bookmarkEnd w:id="35544"/>
          <w:p>
            <w:pPr>
              <w:pStyle w:val="0"/>
            </w:pPr>
            <w:r>
              <w:rPr>
                <w:sz w:val="24"/>
              </w:rPr>
              <w:t xml:space="preserve">15</w:t>
            </w:r>
          </w:p>
        </w:tc>
        <w:tc>
          <w:tcPr>
            <w:gridSpan w:val="2"/>
            <w:tcW w:w="2608" w:type="dxa"/>
          </w:tcPr>
          <w:p>
            <w:pPr>
              <w:pStyle w:val="0"/>
            </w:pPr>
            <w:r>
              <w:rPr>
                <w:sz w:val="24"/>
              </w:rPr>
              <w:t xml:space="preserve">Периодичность уплаты процентов</w:t>
            </w:r>
          </w:p>
        </w:tc>
        <w:tc>
          <w:tcPr>
            <w:tcW w:w="2608" w:type="dxa"/>
          </w:tcPr>
          <w:p>
            <w:pPr>
              <w:pStyle w:val="0"/>
            </w:pPr>
            <w:r>
              <w:rPr>
                <w:sz w:val="24"/>
              </w:rPr>
            </w:r>
          </w:p>
        </w:tc>
        <w:tc>
          <w:tcPr>
            <w:tcW w:w="2948" w:type="dxa"/>
          </w:tcPr>
          <w:p>
            <w:pPr>
              <w:pStyle w:val="0"/>
            </w:pPr>
            <w:r>
              <w:rPr>
                <w:sz w:val="24"/>
              </w:rPr>
              <w:t xml:space="preserve">ins-dic:Period_Upl_Procz_Enumerator</w:t>
            </w:r>
          </w:p>
        </w:tc>
      </w:tr>
      <w:tr>
        <w:tc>
          <w:tcPr>
            <w:tcW w:w="907" w:type="dxa"/>
          </w:tcPr>
          <w:p>
            <w:pPr>
              <w:pStyle w:val="0"/>
            </w:pPr>
            <w:r>
              <w:rPr>
                <w:sz w:val="24"/>
              </w:rPr>
              <w:t xml:space="preserve">15.1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15.2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15.3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560" w:name="P35560"/>
          <w:bookmarkEnd w:id="35560"/>
          <w:p>
            <w:pPr>
              <w:pStyle w:val="0"/>
            </w:pPr>
            <w:r>
              <w:rPr>
                <w:sz w:val="24"/>
              </w:rPr>
              <w:t xml:space="preserve">16</w:t>
            </w:r>
          </w:p>
        </w:tc>
        <w:tc>
          <w:tcPr>
            <w:gridSpan w:val="2"/>
            <w:tcW w:w="2608" w:type="dxa"/>
          </w:tcPr>
          <w:p>
            <w:pPr>
              <w:pStyle w:val="0"/>
            </w:pPr>
            <w:r>
              <w:rPr>
                <w:sz w:val="24"/>
              </w:rPr>
              <w:t xml:space="preserve">Сумма процентов, причитающихся к уплате по договору займа (кредитному договору) в отчетном периоде</w:t>
            </w:r>
          </w:p>
        </w:tc>
        <w:tc>
          <w:tcPr>
            <w:tcW w:w="2608" w:type="dxa"/>
          </w:tcPr>
          <w:p>
            <w:pPr>
              <w:pStyle w:val="0"/>
            </w:pPr>
            <w:r>
              <w:rPr>
                <w:sz w:val="24"/>
              </w:rPr>
            </w:r>
          </w:p>
        </w:tc>
        <w:tc>
          <w:tcPr>
            <w:tcW w:w="2948" w:type="dxa"/>
          </w:tcPr>
          <w:p>
            <w:pPr>
              <w:pStyle w:val="0"/>
            </w:pPr>
            <w:r>
              <w:rPr>
                <w:sz w:val="24"/>
              </w:rPr>
              <w:t xml:space="preserve">ins-dic:Proczent_K_Uplate_Zajm_Vsego</w:t>
            </w:r>
          </w:p>
        </w:tc>
      </w:tr>
      <w:tr>
        <w:tc>
          <w:tcPr>
            <w:tcW w:w="907" w:type="dxa"/>
          </w:tcPr>
          <w:p>
            <w:pPr>
              <w:pStyle w:val="0"/>
            </w:pPr>
            <w:r>
              <w:rPr>
                <w:sz w:val="24"/>
              </w:rPr>
              <w:t xml:space="preserve">16.1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16.2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16.3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576" w:name="P35576"/>
          <w:bookmarkEnd w:id="35576"/>
          <w:p>
            <w:pPr>
              <w:pStyle w:val="0"/>
            </w:pPr>
            <w:r>
              <w:rPr>
                <w:sz w:val="24"/>
              </w:rPr>
              <w:t xml:space="preserve">17</w:t>
            </w:r>
          </w:p>
        </w:tc>
        <w:tc>
          <w:tcPr>
            <w:gridSpan w:val="2"/>
            <w:tcW w:w="2608" w:type="dxa"/>
          </w:tcPr>
          <w:p>
            <w:pPr>
              <w:pStyle w:val="0"/>
            </w:pPr>
            <w:r>
              <w:rPr>
                <w:sz w:val="24"/>
              </w:rPr>
              <w:t xml:space="preserve">Сумма процентов, фактически уплаченная страховщиком по договору займа (кредитному договору) в отчетном периоде</w:t>
            </w:r>
          </w:p>
        </w:tc>
        <w:tc>
          <w:tcPr>
            <w:tcW w:w="2608" w:type="dxa"/>
          </w:tcPr>
          <w:p>
            <w:pPr>
              <w:pStyle w:val="0"/>
            </w:pPr>
            <w:r>
              <w:rPr>
                <w:sz w:val="24"/>
              </w:rPr>
            </w:r>
          </w:p>
        </w:tc>
        <w:tc>
          <w:tcPr>
            <w:tcW w:w="2948" w:type="dxa"/>
          </w:tcPr>
          <w:p>
            <w:pPr>
              <w:pStyle w:val="0"/>
            </w:pPr>
            <w:r>
              <w:rPr>
                <w:sz w:val="24"/>
              </w:rPr>
              <w:t xml:space="preserve">ins-dic:Proczent_Fakticheski_Uplachen_Zajm_Vsego</w:t>
            </w:r>
          </w:p>
        </w:tc>
      </w:tr>
      <w:tr>
        <w:tc>
          <w:tcPr>
            <w:tcW w:w="907" w:type="dxa"/>
          </w:tcPr>
          <w:p>
            <w:pPr>
              <w:pStyle w:val="0"/>
            </w:pPr>
            <w:r>
              <w:rPr>
                <w:sz w:val="24"/>
              </w:rPr>
              <w:t xml:space="preserve">17.1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17.2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17.3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592" w:name="P35592"/>
          <w:bookmarkEnd w:id="35592"/>
          <w:p>
            <w:pPr>
              <w:pStyle w:val="0"/>
            </w:pPr>
            <w:r>
              <w:rPr>
                <w:sz w:val="24"/>
              </w:rPr>
              <w:t xml:space="preserve">18</w:t>
            </w:r>
          </w:p>
        </w:tc>
        <w:tc>
          <w:tcPr>
            <w:gridSpan w:val="2"/>
            <w:tcW w:w="2608" w:type="dxa"/>
          </w:tcPr>
          <w:p>
            <w:pPr>
              <w:pStyle w:val="0"/>
            </w:pPr>
            <w:r>
              <w:rPr>
                <w:sz w:val="24"/>
              </w:rPr>
              <w:t xml:space="preserve">Первоначальная стоимость полученных средств по договору займа (кредитному договору)</w:t>
            </w:r>
          </w:p>
        </w:tc>
        <w:tc>
          <w:tcPr>
            <w:tcW w:w="2608" w:type="dxa"/>
          </w:tcPr>
          <w:p>
            <w:pPr>
              <w:pStyle w:val="0"/>
            </w:pPr>
            <w:r>
              <w:rPr>
                <w:sz w:val="24"/>
              </w:rPr>
            </w:r>
          </w:p>
        </w:tc>
        <w:tc>
          <w:tcPr>
            <w:tcW w:w="2948" w:type="dxa"/>
          </w:tcPr>
          <w:p>
            <w:pPr>
              <w:pStyle w:val="0"/>
            </w:pPr>
            <w:r>
              <w:rPr>
                <w:sz w:val="24"/>
              </w:rPr>
              <w:t xml:space="preserve">ins-dic:Pervonach_Stoim_Sredstv_Zajm_Vsego</w:t>
            </w:r>
          </w:p>
        </w:tc>
      </w:tr>
      <w:tr>
        <w:tc>
          <w:tcPr>
            <w:tcW w:w="907" w:type="dxa"/>
          </w:tcPr>
          <w:p>
            <w:pPr>
              <w:pStyle w:val="0"/>
            </w:pPr>
            <w:r>
              <w:rPr>
                <w:sz w:val="24"/>
              </w:rPr>
              <w:t xml:space="preserve">18.1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18.2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18.3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608" w:name="P35608"/>
          <w:bookmarkEnd w:id="35608"/>
          <w:p>
            <w:pPr>
              <w:pStyle w:val="0"/>
            </w:pPr>
            <w:r>
              <w:rPr>
                <w:sz w:val="24"/>
              </w:rPr>
              <w:t xml:space="preserve">19</w:t>
            </w:r>
          </w:p>
        </w:tc>
        <w:tc>
          <w:tcPr>
            <w:gridSpan w:val="2"/>
            <w:tcW w:w="2608" w:type="dxa"/>
          </w:tcPr>
          <w:p>
            <w:pPr>
              <w:pStyle w:val="0"/>
            </w:pPr>
            <w:r>
              <w:rPr>
                <w:sz w:val="24"/>
              </w:rPr>
              <w:t xml:space="preserve">Накопленная корректировка на остаток полученных средств по договору займа (кредитному договору)</w:t>
            </w:r>
          </w:p>
        </w:tc>
        <w:tc>
          <w:tcPr>
            <w:tcW w:w="2608" w:type="dxa"/>
          </w:tcPr>
          <w:p>
            <w:pPr>
              <w:pStyle w:val="0"/>
            </w:pPr>
            <w:r>
              <w:rPr>
                <w:sz w:val="24"/>
              </w:rPr>
            </w:r>
          </w:p>
        </w:tc>
        <w:tc>
          <w:tcPr>
            <w:tcW w:w="2948" w:type="dxa"/>
          </w:tcPr>
          <w:p>
            <w:pPr>
              <w:pStyle w:val="0"/>
            </w:pPr>
            <w:r>
              <w:rPr>
                <w:sz w:val="24"/>
              </w:rPr>
              <w:t xml:space="preserve">ins-dic:Nakopl_Korrektirovka_Zajm_Vsego</w:t>
            </w:r>
          </w:p>
        </w:tc>
      </w:tr>
      <w:tr>
        <w:tc>
          <w:tcPr>
            <w:tcW w:w="907" w:type="dxa"/>
          </w:tcPr>
          <w:p>
            <w:pPr>
              <w:pStyle w:val="0"/>
            </w:pPr>
            <w:r>
              <w:rPr>
                <w:sz w:val="24"/>
              </w:rPr>
              <w:t xml:space="preserve">19.1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19.2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19.3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624" w:name="P35624"/>
          <w:bookmarkEnd w:id="35624"/>
          <w:p>
            <w:pPr>
              <w:pStyle w:val="0"/>
            </w:pPr>
            <w:r>
              <w:rPr>
                <w:sz w:val="24"/>
              </w:rPr>
              <w:t xml:space="preserve">20</w:t>
            </w:r>
          </w:p>
        </w:tc>
        <w:tc>
          <w:tcPr>
            <w:gridSpan w:val="2"/>
            <w:tcW w:w="2608" w:type="dxa"/>
          </w:tcPr>
          <w:p>
            <w:pPr>
              <w:pStyle w:val="0"/>
            </w:pPr>
            <w:r>
              <w:rPr>
                <w:sz w:val="24"/>
              </w:rPr>
              <w:t xml:space="preserve">Остаток полученных средств с учетом корректировки по договору займа (кредитному договору)</w:t>
            </w:r>
          </w:p>
        </w:tc>
        <w:tc>
          <w:tcPr>
            <w:tcW w:w="2608" w:type="dxa"/>
          </w:tcPr>
          <w:p>
            <w:pPr>
              <w:pStyle w:val="0"/>
            </w:pPr>
            <w:r>
              <w:rPr>
                <w:sz w:val="24"/>
              </w:rPr>
            </w:r>
          </w:p>
        </w:tc>
        <w:tc>
          <w:tcPr>
            <w:tcW w:w="2948" w:type="dxa"/>
          </w:tcPr>
          <w:p>
            <w:pPr>
              <w:pStyle w:val="0"/>
            </w:pPr>
            <w:r>
              <w:rPr>
                <w:sz w:val="24"/>
              </w:rPr>
              <w:t xml:space="preserve">ins-dic:Kredity_I_Zajmy_Poluchennye_-_Ostatok</w:t>
            </w:r>
          </w:p>
        </w:tc>
      </w:tr>
      <w:tr>
        <w:tc>
          <w:tcPr>
            <w:tcW w:w="907" w:type="dxa"/>
          </w:tcPr>
          <w:p>
            <w:pPr>
              <w:pStyle w:val="0"/>
            </w:pPr>
            <w:r>
              <w:rPr>
                <w:sz w:val="24"/>
              </w:rPr>
              <w:t xml:space="preserve">20.1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20.2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20.3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640" w:name="P35640"/>
          <w:bookmarkEnd w:id="35640"/>
          <w:p>
            <w:pPr>
              <w:pStyle w:val="0"/>
            </w:pPr>
            <w:r>
              <w:rPr>
                <w:sz w:val="24"/>
              </w:rPr>
              <w:t xml:space="preserve">21</w:t>
            </w:r>
          </w:p>
        </w:tc>
        <w:tc>
          <w:tcPr>
            <w:gridSpan w:val="2"/>
            <w:tcW w:w="2608" w:type="dxa"/>
          </w:tcPr>
          <w:p>
            <w:pPr>
              <w:pStyle w:val="0"/>
            </w:pPr>
            <w:r>
              <w:rPr>
                <w:sz w:val="24"/>
              </w:rPr>
              <w:t xml:space="preserve">Вид имущества, являющегося предметом залога</w:t>
            </w:r>
          </w:p>
        </w:tc>
        <w:tc>
          <w:tcPr>
            <w:tcW w:w="2608" w:type="dxa"/>
          </w:tcPr>
          <w:p>
            <w:pPr>
              <w:pStyle w:val="0"/>
            </w:pPr>
            <w:r>
              <w:rPr>
                <w:sz w:val="24"/>
              </w:rPr>
            </w:r>
          </w:p>
        </w:tc>
        <w:tc>
          <w:tcPr>
            <w:tcW w:w="2948" w:type="dxa"/>
          </w:tcPr>
          <w:p>
            <w:pPr>
              <w:pStyle w:val="0"/>
            </w:pPr>
            <w:r>
              <w:rPr>
                <w:sz w:val="24"/>
              </w:rPr>
              <w:t xml:space="preserve">ins-dic:Vid_Imushh_Zalog</w:t>
            </w:r>
          </w:p>
        </w:tc>
      </w:tr>
      <w:tr>
        <w:tc>
          <w:tcPr>
            <w:tcW w:w="907" w:type="dxa"/>
          </w:tcPr>
          <w:p>
            <w:pPr>
              <w:pStyle w:val="0"/>
            </w:pPr>
            <w:r>
              <w:rPr>
                <w:sz w:val="24"/>
              </w:rPr>
              <w:t xml:space="preserve">21.1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21.2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21.3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656" w:name="P35656"/>
          <w:bookmarkEnd w:id="35656"/>
          <w:p>
            <w:pPr>
              <w:pStyle w:val="0"/>
            </w:pPr>
            <w:r>
              <w:rPr>
                <w:sz w:val="24"/>
              </w:rPr>
              <w:t xml:space="preserve">22</w:t>
            </w:r>
          </w:p>
        </w:tc>
        <w:tc>
          <w:tcPr>
            <w:gridSpan w:val="2"/>
            <w:tcW w:w="2608" w:type="dxa"/>
          </w:tcPr>
          <w:p>
            <w:pPr>
              <w:pStyle w:val="0"/>
            </w:pPr>
            <w:r>
              <w:rPr>
                <w:sz w:val="24"/>
              </w:rPr>
              <w:t xml:space="preserve">Наименование и назначение объекта недвижимости, являющегося предметом залога</w:t>
            </w:r>
          </w:p>
        </w:tc>
        <w:tc>
          <w:tcPr>
            <w:tcW w:w="2608" w:type="dxa"/>
          </w:tcPr>
          <w:p>
            <w:pPr>
              <w:pStyle w:val="0"/>
            </w:pPr>
            <w:r>
              <w:rPr>
                <w:sz w:val="24"/>
              </w:rPr>
            </w:r>
          </w:p>
        </w:tc>
        <w:tc>
          <w:tcPr>
            <w:tcW w:w="2948" w:type="dxa"/>
          </w:tcPr>
          <w:p>
            <w:pPr>
              <w:pStyle w:val="0"/>
            </w:pPr>
            <w:r>
              <w:rPr>
                <w:sz w:val="24"/>
              </w:rPr>
              <w:t xml:space="preserve">ins-dic:NaimNaznObektNedvizhYavlPredmZalog</w:t>
            </w:r>
          </w:p>
        </w:tc>
      </w:tr>
      <w:tr>
        <w:tc>
          <w:tcPr>
            <w:tcW w:w="907" w:type="dxa"/>
          </w:tcPr>
          <w:p>
            <w:pPr>
              <w:pStyle w:val="0"/>
            </w:pPr>
            <w:r>
              <w:rPr>
                <w:sz w:val="24"/>
              </w:rPr>
              <w:t xml:space="preserve">22.1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22.2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22.3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672" w:name="P35672"/>
          <w:bookmarkEnd w:id="35672"/>
          <w:p>
            <w:pPr>
              <w:pStyle w:val="0"/>
            </w:pPr>
            <w:r>
              <w:rPr>
                <w:sz w:val="24"/>
              </w:rPr>
              <w:t xml:space="preserve">23</w:t>
            </w:r>
          </w:p>
        </w:tc>
        <w:tc>
          <w:tcPr>
            <w:gridSpan w:val="2"/>
            <w:tcW w:w="2608" w:type="dxa"/>
          </w:tcPr>
          <w:p>
            <w:pPr>
              <w:pStyle w:val="0"/>
            </w:pPr>
            <w:r>
              <w:rPr>
                <w:sz w:val="24"/>
              </w:rPr>
              <w:t xml:space="preserve">Идентификационный код имущества, являющегося предметом залога</w:t>
            </w:r>
          </w:p>
        </w:tc>
        <w:tc>
          <w:tcPr>
            <w:tcW w:w="2608" w:type="dxa"/>
          </w:tcPr>
          <w:p>
            <w:pPr>
              <w:pStyle w:val="0"/>
            </w:pPr>
            <w:r>
              <w:rPr>
                <w:sz w:val="24"/>
              </w:rPr>
            </w:r>
          </w:p>
        </w:tc>
        <w:tc>
          <w:tcPr>
            <w:tcW w:w="2948" w:type="dxa"/>
          </w:tcPr>
          <w:p>
            <w:pPr>
              <w:pStyle w:val="0"/>
            </w:pPr>
            <w:r>
              <w:rPr>
                <w:sz w:val="24"/>
              </w:rPr>
              <w:t xml:space="preserve">ins-dic:Kod_Imushh_Zalog</w:t>
            </w:r>
          </w:p>
        </w:tc>
      </w:tr>
      <w:tr>
        <w:tc>
          <w:tcPr>
            <w:tcW w:w="907" w:type="dxa"/>
          </w:tcPr>
          <w:p>
            <w:pPr>
              <w:pStyle w:val="0"/>
            </w:pPr>
            <w:r>
              <w:rPr>
                <w:sz w:val="24"/>
              </w:rPr>
              <w:t xml:space="preserve">23.1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23.2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23.3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c>
          <w:tcPr>
            <w:tcW w:w="907" w:type="dxa"/>
          </w:tcPr>
          <w:bookmarkStart w:id="35688" w:name="P35688"/>
          <w:bookmarkEnd w:id="35688"/>
          <w:p>
            <w:pPr>
              <w:pStyle w:val="0"/>
            </w:pPr>
            <w:r>
              <w:rPr>
                <w:sz w:val="24"/>
              </w:rPr>
              <w:t xml:space="preserve">24</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24.1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(кроме заимодавца субординированного займа)</w:t>
            </w:r>
          </w:p>
        </w:tc>
        <w:tc>
          <w:tcPr>
            <w:tcW w:w="2948" w:type="dxa"/>
          </w:tcPr>
          <w:p>
            <w:pPr>
              <w:pStyle w:val="0"/>
            </w:pPr>
            <w:r>
              <w:rPr>
                <w:sz w:val="24"/>
              </w:rPr>
              <w:t xml:space="preserve">dim-int:IDZaimodavczaKrSubZajmTaxis</w:t>
            </w:r>
          </w:p>
        </w:tc>
      </w:tr>
      <w:tr>
        <w:tc>
          <w:tcPr>
            <w:tcW w:w="907" w:type="dxa"/>
          </w:tcPr>
          <w:p>
            <w:pPr>
              <w:pStyle w:val="0"/>
            </w:pPr>
            <w:r>
              <w:rPr>
                <w:sz w:val="24"/>
              </w:rPr>
              <w:t xml:space="preserve">24.2</w:t>
            </w:r>
          </w:p>
        </w:tc>
        <w:tc>
          <w:tcPr>
            <w:gridSpan w:val="2"/>
            <w:tcW w:w="2608" w:type="dxa"/>
          </w:tcPr>
          <w:p>
            <w:pPr>
              <w:pStyle w:val="0"/>
            </w:pPr>
            <w:r>
              <w:rPr>
                <w:sz w:val="24"/>
              </w:rPr>
            </w:r>
          </w:p>
        </w:tc>
        <w:tc>
          <w:tcPr>
            <w:tcW w:w="2608" w:type="dxa"/>
          </w:tcPr>
          <w:p>
            <w:pPr>
              <w:pStyle w:val="0"/>
            </w:pPr>
            <w:r>
              <w:rPr>
                <w:sz w:val="24"/>
              </w:rPr>
              <w:t xml:space="preserve">Идентификатор займов и кредитов (кроме субординированных займов, выданных векселей и выпущенных облигаций)</w:t>
            </w:r>
          </w:p>
        </w:tc>
        <w:tc>
          <w:tcPr>
            <w:tcW w:w="2948" w:type="dxa"/>
          </w:tcPr>
          <w:p>
            <w:pPr>
              <w:pStyle w:val="0"/>
            </w:pPr>
            <w:r>
              <w:rPr>
                <w:sz w:val="24"/>
              </w:rPr>
              <w:t xml:space="preserve">dim-int:IdZajmKredKrSubZajmVydVeksVypOblTaxis</w:t>
            </w:r>
          </w:p>
        </w:tc>
      </w:tr>
      <w:tr>
        <w:tc>
          <w:tcPr>
            <w:tcW w:w="907" w:type="dxa"/>
          </w:tcPr>
          <w:p>
            <w:pPr>
              <w:pStyle w:val="0"/>
            </w:pPr>
            <w:r>
              <w:rPr>
                <w:sz w:val="24"/>
              </w:rPr>
              <w:t xml:space="preserve">24.3</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предмету залога</w:t>
            </w:r>
          </w:p>
        </w:tc>
        <w:tc>
          <w:tcPr>
            <w:tcW w:w="2948" w:type="dxa"/>
          </w:tcPr>
          <w:p>
            <w:pPr>
              <w:pStyle w:val="0"/>
            </w:pPr>
            <w:r>
              <w:rPr>
                <w:sz w:val="24"/>
              </w:rPr>
              <w:t xml:space="preserve">dim-int:IDKontrPredmZalogTaxis</w:t>
            </w:r>
          </w:p>
        </w:tc>
      </w:tr>
      <w:tr>
        <w:tblPrEx>
          <w:tblBorders>
            <w:insideV w:val="nil"/>
          </w:tblBorders>
        </w:tblPrEx>
        <w:tc>
          <w:tcPr>
            <w:gridSpan w:val="2"/>
            <w:tcW w:w="1268" w:type="dxa"/>
            <w:tcBorders>
              <w:left w:val="single" w:sz="4"/>
            </w:tcBorders>
          </w:tcPr>
          <w:bookmarkStart w:id="35704" w:name="P35704"/>
          <w:bookmarkEnd w:id="35704"/>
          <w:p>
            <w:pPr>
              <w:pStyle w:val="0"/>
              <w:outlineLvl w:val="3"/>
            </w:pPr>
            <w:r>
              <w:rPr>
                <w:sz w:val="24"/>
              </w:rPr>
              <w:t xml:space="preserve">Раздел 2.</w:t>
            </w:r>
          </w:p>
        </w:tc>
        <w:tc>
          <w:tcPr>
            <w:gridSpan w:val="3"/>
            <w:tcW w:w="7803" w:type="dxa"/>
            <w:tcBorders>
              <w:right w:val="single" w:sz="4"/>
            </w:tcBorders>
          </w:tcPr>
          <w:p>
            <w:pPr>
              <w:pStyle w:val="0"/>
            </w:pPr>
            <w:r>
              <w:rPr>
                <w:sz w:val="24"/>
              </w:rPr>
              <w:t xml:space="preserve">Субординированные займы</w:t>
            </w:r>
          </w:p>
        </w:tc>
      </w:tr>
      <w:tr>
        <w:tc>
          <w:tcPr>
            <w:tcW w:w="907" w:type="dxa"/>
          </w:tcPr>
          <w:bookmarkStart w:id="35706" w:name="P35706"/>
          <w:bookmarkEnd w:id="35706"/>
          <w:p>
            <w:pPr>
              <w:pStyle w:val="0"/>
            </w:pPr>
            <w:r>
              <w:rPr>
                <w:sz w:val="24"/>
              </w:rPr>
              <w:t xml:space="preserve">25</w:t>
            </w:r>
          </w:p>
        </w:tc>
        <w:tc>
          <w:tcPr>
            <w:gridSpan w:val="2"/>
            <w:tcW w:w="2608" w:type="dxa"/>
          </w:tcPr>
          <w:p>
            <w:pPr>
              <w:pStyle w:val="0"/>
            </w:pPr>
            <w:r>
              <w:rPr>
                <w:sz w:val="24"/>
              </w:rPr>
              <w:t xml:space="preserve">Код сделки (субординированные займы)</w:t>
            </w:r>
          </w:p>
        </w:tc>
        <w:tc>
          <w:tcPr>
            <w:tcW w:w="2608" w:type="dxa"/>
          </w:tcPr>
          <w:p>
            <w:pPr>
              <w:pStyle w:val="0"/>
            </w:pPr>
            <w:r>
              <w:rPr>
                <w:sz w:val="24"/>
              </w:rPr>
            </w:r>
          </w:p>
        </w:tc>
        <w:tc>
          <w:tcPr>
            <w:tcW w:w="2948" w:type="dxa"/>
          </w:tcPr>
          <w:p>
            <w:pPr>
              <w:pStyle w:val="0"/>
            </w:pPr>
            <w:r>
              <w:rPr>
                <w:sz w:val="24"/>
              </w:rPr>
              <w:t xml:space="preserve">ins-dic:Ks_3</w:t>
            </w:r>
          </w:p>
        </w:tc>
      </w:tr>
      <w:tr>
        <w:tc>
          <w:tcPr>
            <w:tcW w:w="907" w:type="dxa"/>
          </w:tcPr>
          <w:p>
            <w:pPr>
              <w:pStyle w:val="0"/>
            </w:pPr>
            <w:r>
              <w:rPr>
                <w:sz w:val="24"/>
              </w:rPr>
              <w:t xml:space="preserve">25.1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25.2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718" w:name="P35718"/>
          <w:bookmarkEnd w:id="35718"/>
          <w:p>
            <w:pPr>
              <w:pStyle w:val="0"/>
            </w:pPr>
            <w:r>
              <w:rPr>
                <w:sz w:val="24"/>
              </w:rPr>
              <w:t xml:space="preserve">26</w:t>
            </w:r>
          </w:p>
        </w:tc>
        <w:tc>
          <w:tcPr>
            <w:gridSpan w:val="2"/>
            <w:tcW w:w="2608" w:type="dxa"/>
          </w:tcPr>
          <w:p>
            <w:pPr>
              <w:pStyle w:val="0"/>
            </w:pPr>
            <w:r>
              <w:rPr>
                <w:sz w:val="24"/>
              </w:rPr>
              <w:t xml:space="preserve">Дата заключения договора займа</w:t>
            </w:r>
          </w:p>
        </w:tc>
        <w:tc>
          <w:tcPr>
            <w:tcW w:w="2608" w:type="dxa"/>
          </w:tcPr>
          <w:p>
            <w:pPr>
              <w:pStyle w:val="0"/>
            </w:pPr>
            <w:r>
              <w:rPr>
                <w:sz w:val="24"/>
              </w:rPr>
            </w:r>
          </w:p>
        </w:tc>
        <w:tc>
          <w:tcPr>
            <w:tcW w:w="2948" w:type="dxa"/>
          </w:tcPr>
          <w:p>
            <w:pPr>
              <w:pStyle w:val="0"/>
            </w:pPr>
            <w:r>
              <w:rPr>
                <w:sz w:val="24"/>
              </w:rPr>
              <w:t xml:space="preserve">ins-dic:Data_Zakl_Dog_Zajma</w:t>
            </w:r>
          </w:p>
        </w:tc>
      </w:tr>
      <w:tr>
        <w:tc>
          <w:tcPr>
            <w:tcW w:w="907" w:type="dxa"/>
          </w:tcPr>
          <w:p>
            <w:pPr>
              <w:pStyle w:val="0"/>
            </w:pPr>
            <w:r>
              <w:rPr>
                <w:sz w:val="24"/>
              </w:rPr>
              <w:t xml:space="preserve">26.1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26.2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730" w:name="P35730"/>
          <w:bookmarkEnd w:id="35730"/>
          <w:p>
            <w:pPr>
              <w:pStyle w:val="0"/>
            </w:pPr>
            <w:r>
              <w:rPr>
                <w:sz w:val="24"/>
              </w:rPr>
              <w:t xml:space="preserve">27</w:t>
            </w:r>
          </w:p>
        </w:tc>
        <w:tc>
          <w:tcPr>
            <w:gridSpan w:val="2"/>
            <w:tcW w:w="2608" w:type="dxa"/>
          </w:tcPr>
          <w:p>
            <w:pPr>
              <w:pStyle w:val="0"/>
            </w:pPr>
            <w:r>
              <w:rPr>
                <w:sz w:val="24"/>
              </w:rPr>
              <w:t xml:space="preserve">Номер договора займа</w:t>
            </w:r>
          </w:p>
        </w:tc>
        <w:tc>
          <w:tcPr>
            <w:tcW w:w="2608" w:type="dxa"/>
          </w:tcPr>
          <w:p>
            <w:pPr>
              <w:pStyle w:val="0"/>
            </w:pPr>
            <w:r>
              <w:rPr>
                <w:sz w:val="24"/>
              </w:rPr>
            </w:r>
          </w:p>
        </w:tc>
        <w:tc>
          <w:tcPr>
            <w:tcW w:w="2948" w:type="dxa"/>
          </w:tcPr>
          <w:p>
            <w:pPr>
              <w:pStyle w:val="0"/>
            </w:pPr>
            <w:r>
              <w:rPr>
                <w:sz w:val="24"/>
              </w:rPr>
              <w:t xml:space="preserve">ins-dic:Nomer_Dog_Zajma</w:t>
            </w:r>
          </w:p>
        </w:tc>
      </w:tr>
      <w:tr>
        <w:tc>
          <w:tcPr>
            <w:tcW w:w="907" w:type="dxa"/>
          </w:tcPr>
          <w:p>
            <w:pPr>
              <w:pStyle w:val="0"/>
            </w:pPr>
            <w:r>
              <w:rPr>
                <w:sz w:val="24"/>
              </w:rPr>
              <w:t xml:space="preserve">27.1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27.2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742" w:name="P35742"/>
          <w:bookmarkEnd w:id="35742"/>
          <w:p>
            <w:pPr>
              <w:pStyle w:val="0"/>
            </w:pPr>
            <w:r>
              <w:rPr>
                <w:sz w:val="24"/>
              </w:rPr>
              <w:t xml:space="preserve">28</w:t>
            </w:r>
          </w:p>
        </w:tc>
        <w:tc>
          <w:tcPr>
            <w:gridSpan w:val="2"/>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28.1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28.2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754" w:name="P35754"/>
          <w:bookmarkEnd w:id="35754"/>
          <w:p>
            <w:pPr>
              <w:pStyle w:val="0"/>
            </w:pPr>
            <w:r>
              <w:rPr>
                <w:sz w:val="24"/>
              </w:rPr>
              <w:t xml:space="preserve">29</w:t>
            </w:r>
          </w:p>
        </w:tc>
        <w:tc>
          <w:tcPr>
            <w:gridSpan w:val="2"/>
            <w:tcW w:w="2608" w:type="dxa"/>
          </w:tcPr>
          <w:p>
            <w:pPr>
              <w:pStyle w:val="0"/>
            </w:pPr>
            <w:r>
              <w:rPr>
                <w:sz w:val="24"/>
              </w:rPr>
              <w:t xml:space="preserve">Объем одного субординированного займа, в единицах валюты</w:t>
            </w:r>
          </w:p>
        </w:tc>
        <w:tc>
          <w:tcPr>
            <w:tcW w:w="2608" w:type="dxa"/>
          </w:tcPr>
          <w:p>
            <w:pPr>
              <w:pStyle w:val="0"/>
            </w:pPr>
            <w:r>
              <w:rPr>
                <w:sz w:val="24"/>
              </w:rPr>
            </w:r>
          </w:p>
        </w:tc>
        <w:tc>
          <w:tcPr>
            <w:tcW w:w="2948" w:type="dxa"/>
          </w:tcPr>
          <w:p>
            <w:pPr>
              <w:pStyle w:val="0"/>
            </w:pPr>
            <w:r>
              <w:rPr>
                <w:sz w:val="24"/>
              </w:rPr>
              <w:t xml:space="preserve">ins-dic:Obem_Subord_Zajm_Dogovor_1_Dogovor</w:t>
            </w:r>
          </w:p>
        </w:tc>
      </w:tr>
      <w:tr>
        <w:tc>
          <w:tcPr>
            <w:tcW w:w="907" w:type="dxa"/>
          </w:tcPr>
          <w:p>
            <w:pPr>
              <w:pStyle w:val="0"/>
            </w:pPr>
            <w:r>
              <w:rPr>
                <w:sz w:val="24"/>
              </w:rPr>
              <w:t xml:space="preserve">29.1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29.2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766" w:name="P35766"/>
          <w:bookmarkEnd w:id="35766"/>
          <w:p>
            <w:pPr>
              <w:pStyle w:val="0"/>
            </w:pPr>
            <w:r>
              <w:rPr>
                <w:sz w:val="24"/>
              </w:rPr>
              <w:t xml:space="preserve">30</w:t>
            </w:r>
          </w:p>
        </w:tc>
        <w:tc>
          <w:tcPr>
            <w:gridSpan w:val="2"/>
            <w:tcW w:w="2608" w:type="dxa"/>
          </w:tcPr>
          <w:p>
            <w:pPr>
              <w:pStyle w:val="0"/>
            </w:pPr>
            <w:r>
              <w:rPr>
                <w:sz w:val="24"/>
              </w:rPr>
              <w:t xml:space="preserve">Дата выдачи займа</w:t>
            </w:r>
          </w:p>
        </w:tc>
        <w:tc>
          <w:tcPr>
            <w:tcW w:w="2608" w:type="dxa"/>
          </w:tcPr>
          <w:p>
            <w:pPr>
              <w:pStyle w:val="0"/>
            </w:pPr>
            <w:r>
              <w:rPr>
                <w:sz w:val="24"/>
              </w:rPr>
            </w:r>
          </w:p>
        </w:tc>
        <w:tc>
          <w:tcPr>
            <w:tcW w:w="2948" w:type="dxa"/>
          </w:tcPr>
          <w:p>
            <w:pPr>
              <w:pStyle w:val="0"/>
            </w:pPr>
            <w:r>
              <w:rPr>
                <w:sz w:val="24"/>
              </w:rPr>
              <w:t xml:space="preserve">ins-dic:Data_Vyd_Zajm</w:t>
            </w:r>
          </w:p>
        </w:tc>
      </w:tr>
      <w:tr>
        <w:tc>
          <w:tcPr>
            <w:tcW w:w="907" w:type="dxa"/>
          </w:tcPr>
          <w:p>
            <w:pPr>
              <w:pStyle w:val="0"/>
            </w:pPr>
            <w:r>
              <w:rPr>
                <w:sz w:val="24"/>
              </w:rPr>
              <w:t xml:space="preserve">30.1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30.2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778" w:name="P35778"/>
          <w:bookmarkEnd w:id="35778"/>
          <w:p>
            <w:pPr>
              <w:pStyle w:val="0"/>
            </w:pPr>
            <w:r>
              <w:rPr>
                <w:sz w:val="24"/>
              </w:rPr>
              <w:t xml:space="preserve">31</w:t>
            </w:r>
          </w:p>
        </w:tc>
        <w:tc>
          <w:tcPr>
            <w:gridSpan w:val="2"/>
            <w:tcW w:w="2608" w:type="dxa"/>
          </w:tcPr>
          <w:p>
            <w:pPr>
              <w:pStyle w:val="0"/>
            </w:pPr>
            <w:r>
              <w:rPr>
                <w:sz w:val="24"/>
              </w:rPr>
              <w:t xml:space="preserve">Дата погашения займа</w:t>
            </w:r>
          </w:p>
        </w:tc>
        <w:tc>
          <w:tcPr>
            <w:tcW w:w="2608" w:type="dxa"/>
          </w:tcPr>
          <w:p>
            <w:pPr>
              <w:pStyle w:val="0"/>
            </w:pPr>
            <w:r>
              <w:rPr>
                <w:sz w:val="24"/>
              </w:rPr>
            </w:r>
          </w:p>
        </w:tc>
        <w:tc>
          <w:tcPr>
            <w:tcW w:w="2948" w:type="dxa"/>
          </w:tcPr>
          <w:p>
            <w:pPr>
              <w:pStyle w:val="0"/>
            </w:pPr>
            <w:r>
              <w:rPr>
                <w:sz w:val="24"/>
              </w:rPr>
              <w:t xml:space="preserve">ins-dic:Data_Pogash_Zajm</w:t>
            </w:r>
          </w:p>
        </w:tc>
      </w:tr>
      <w:tr>
        <w:tc>
          <w:tcPr>
            <w:tcW w:w="907" w:type="dxa"/>
          </w:tcPr>
          <w:p>
            <w:pPr>
              <w:pStyle w:val="0"/>
            </w:pPr>
            <w:r>
              <w:rPr>
                <w:sz w:val="24"/>
              </w:rPr>
              <w:t xml:space="preserve">31.1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31.2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790" w:name="P35790"/>
          <w:bookmarkEnd w:id="35790"/>
          <w:p>
            <w:pPr>
              <w:pStyle w:val="0"/>
            </w:pPr>
            <w:r>
              <w:rPr>
                <w:sz w:val="24"/>
              </w:rPr>
              <w:t xml:space="preserve">32</w:t>
            </w:r>
          </w:p>
        </w:tc>
        <w:tc>
          <w:tcPr>
            <w:gridSpan w:val="2"/>
            <w:tcW w:w="2608" w:type="dxa"/>
          </w:tcPr>
          <w:p>
            <w:pPr>
              <w:pStyle w:val="0"/>
            </w:pPr>
            <w:r>
              <w:rPr>
                <w:sz w:val="24"/>
              </w:rPr>
              <w:t xml:space="preserve">Дата, с которой субординированный заем включен в расчет нормативного соотношения собственных средств (капитала) и принятых обязательств</w:t>
            </w:r>
          </w:p>
        </w:tc>
        <w:tc>
          <w:tcPr>
            <w:tcW w:w="2608" w:type="dxa"/>
          </w:tcPr>
          <w:p>
            <w:pPr>
              <w:pStyle w:val="0"/>
            </w:pPr>
            <w:r>
              <w:rPr>
                <w:sz w:val="24"/>
              </w:rPr>
            </w:r>
          </w:p>
        </w:tc>
        <w:tc>
          <w:tcPr>
            <w:tcW w:w="2948" w:type="dxa"/>
          </w:tcPr>
          <w:p>
            <w:pPr>
              <w:pStyle w:val="0"/>
            </w:pPr>
            <w:r>
              <w:rPr>
                <w:sz w:val="24"/>
              </w:rPr>
              <w:t xml:space="preserve">ins-dic:Data_Subzajm_Vkl_Norm_Sootn_Ss_Prin_Obyaz</w:t>
            </w:r>
          </w:p>
        </w:tc>
      </w:tr>
      <w:tr>
        <w:tc>
          <w:tcPr>
            <w:tcW w:w="907" w:type="dxa"/>
          </w:tcPr>
          <w:p>
            <w:pPr>
              <w:pStyle w:val="0"/>
            </w:pPr>
            <w:r>
              <w:rPr>
                <w:sz w:val="24"/>
              </w:rPr>
              <w:t xml:space="preserve">32.1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32.2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02" w:name="P35802"/>
          <w:bookmarkEnd w:id="35802"/>
          <w:p>
            <w:pPr>
              <w:pStyle w:val="0"/>
            </w:pPr>
            <w:r>
              <w:rPr>
                <w:sz w:val="24"/>
              </w:rPr>
              <w:t xml:space="preserve">33</w:t>
            </w:r>
          </w:p>
        </w:tc>
        <w:tc>
          <w:tcPr>
            <w:gridSpan w:val="2"/>
            <w:tcW w:w="2608" w:type="dxa"/>
          </w:tcPr>
          <w:p>
            <w:pPr>
              <w:pStyle w:val="0"/>
            </w:pPr>
            <w:r>
              <w:rPr>
                <w:sz w:val="24"/>
              </w:rPr>
              <w:t xml:space="preserve">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ins-dic:Procz_Stavka</w:t>
            </w:r>
          </w:p>
        </w:tc>
      </w:tr>
      <w:tr>
        <w:tc>
          <w:tcPr>
            <w:tcW w:w="907" w:type="dxa"/>
          </w:tcPr>
          <w:p>
            <w:pPr>
              <w:pStyle w:val="0"/>
            </w:pPr>
            <w:r>
              <w:rPr>
                <w:sz w:val="24"/>
              </w:rPr>
              <w:t xml:space="preserve">33.1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33.2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14" w:name="P35814"/>
          <w:bookmarkEnd w:id="35814"/>
          <w:p>
            <w:pPr>
              <w:pStyle w:val="0"/>
            </w:pPr>
            <w:r>
              <w:rPr>
                <w:sz w:val="24"/>
              </w:rPr>
              <w:t xml:space="preserve">34</w:t>
            </w:r>
          </w:p>
        </w:tc>
        <w:tc>
          <w:tcPr>
            <w:gridSpan w:val="2"/>
            <w:tcW w:w="2608" w:type="dxa"/>
          </w:tcPr>
          <w:p>
            <w:pPr>
              <w:pStyle w:val="0"/>
            </w:pPr>
            <w:r>
              <w:rPr>
                <w:sz w:val="24"/>
              </w:rPr>
              <w:t xml:space="preserve">Эффективная 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ins-dic:Effekt_Procz_Stavka</w:t>
            </w:r>
          </w:p>
        </w:tc>
      </w:tr>
      <w:tr>
        <w:tc>
          <w:tcPr>
            <w:tcW w:w="907" w:type="dxa"/>
          </w:tcPr>
          <w:p>
            <w:pPr>
              <w:pStyle w:val="0"/>
            </w:pPr>
            <w:r>
              <w:rPr>
                <w:sz w:val="24"/>
              </w:rPr>
              <w:t xml:space="preserve">34.1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34.2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26" w:name="P35826"/>
          <w:bookmarkEnd w:id="35826"/>
          <w:p>
            <w:pPr>
              <w:pStyle w:val="0"/>
            </w:pPr>
            <w:r>
              <w:rPr>
                <w:sz w:val="24"/>
              </w:rPr>
              <w:t xml:space="preserve">35</w:t>
            </w:r>
          </w:p>
        </w:tc>
        <w:tc>
          <w:tcPr>
            <w:gridSpan w:val="2"/>
            <w:tcW w:w="2608" w:type="dxa"/>
          </w:tcPr>
          <w:p>
            <w:pPr>
              <w:pStyle w:val="0"/>
            </w:pPr>
            <w:r>
              <w:rPr>
                <w:sz w:val="24"/>
              </w:rPr>
              <w:t xml:space="preserve">Объем полученных средств по договору займа в отчетном периоде</w:t>
            </w:r>
          </w:p>
        </w:tc>
        <w:tc>
          <w:tcPr>
            <w:tcW w:w="2608" w:type="dxa"/>
          </w:tcPr>
          <w:p>
            <w:pPr>
              <w:pStyle w:val="0"/>
            </w:pPr>
            <w:r>
              <w:rPr>
                <w:sz w:val="24"/>
              </w:rPr>
            </w:r>
          </w:p>
        </w:tc>
        <w:tc>
          <w:tcPr>
            <w:tcW w:w="2948" w:type="dxa"/>
          </w:tcPr>
          <w:p>
            <w:pPr>
              <w:pStyle w:val="0"/>
            </w:pPr>
            <w:r>
              <w:rPr>
                <w:sz w:val="24"/>
              </w:rPr>
              <w:t xml:space="preserve">ins-dic:Obem_Subord_Zajm_Poluchen_Vsego</w:t>
            </w:r>
          </w:p>
        </w:tc>
      </w:tr>
      <w:tr>
        <w:tc>
          <w:tcPr>
            <w:tcW w:w="907" w:type="dxa"/>
          </w:tcPr>
          <w:p>
            <w:pPr>
              <w:pStyle w:val="0"/>
            </w:pPr>
            <w:r>
              <w:rPr>
                <w:sz w:val="24"/>
              </w:rPr>
              <w:t xml:space="preserve">35.1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35.2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38" w:name="P35838"/>
          <w:bookmarkEnd w:id="35838"/>
          <w:p>
            <w:pPr>
              <w:pStyle w:val="0"/>
            </w:pPr>
            <w:r>
              <w:rPr>
                <w:sz w:val="24"/>
              </w:rPr>
              <w:t xml:space="preserve">36</w:t>
            </w:r>
          </w:p>
        </w:tc>
        <w:tc>
          <w:tcPr>
            <w:gridSpan w:val="2"/>
            <w:tcW w:w="2608" w:type="dxa"/>
          </w:tcPr>
          <w:p>
            <w:pPr>
              <w:pStyle w:val="0"/>
            </w:pPr>
            <w:r>
              <w:rPr>
                <w:sz w:val="24"/>
              </w:rPr>
              <w:t xml:space="preserve">Дата погашения части субординированного займа</w:t>
            </w:r>
          </w:p>
        </w:tc>
        <w:tc>
          <w:tcPr>
            <w:tcW w:w="2608" w:type="dxa"/>
          </w:tcPr>
          <w:p>
            <w:pPr>
              <w:pStyle w:val="0"/>
            </w:pPr>
            <w:r>
              <w:rPr>
                <w:sz w:val="24"/>
              </w:rPr>
            </w:r>
          </w:p>
        </w:tc>
        <w:tc>
          <w:tcPr>
            <w:tcW w:w="2948" w:type="dxa"/>
          </w:tcPr>
          <w:p>
            <w:pPr>
              <w:pStyle w:val="0"/>
            </w:pPr>
            <w:r>
              <w:rPr>
                <w:sz w:val="24"/>
              </w:rPr>
              <w:t xml:space="preserve">ins-dic:Data_Pogash_Chasti_Subzajma</w:t>
            </w:r>
          </w:p>
        </w:tc>
      </w:tr>
      <w:tr>
        <w:tc>
          <w:tcPr>
            <w:tcW w:w="907" w:type="dxa"/>
          </w:tcPr>
          <w:p>
            <w:pPr>
              <w:pStyle w:val="0"/>
            </w:pPr>
            <w:r>
              <w:rPr>
                <w:sz w:val="24"/>
              </w:rPr>
              <w:t xml:space="preserve">36.1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36.2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50" w:name="P35850"/>
          <w:bookmarkEnd w:id="35850"/>
          <w:p>
            <w:pPr>
              <w:pStyle w:val="0"/>
            </w:pPr>
            <w:r>
              <w:rPr>
                <w:sz w:val="24"/>
              </w:rPr>
              <w:t xml:space="preserve">37</w:t>
            </w:r>
          </w:p>
        </w:tc>
        <w:tc>
          <w:tcPr>
            <w:gridSpan w:val="2"/>
            <w:tcW w:w="2608" w:type="dxa"/>
          </w:tcPr>
          <w:p>
            <w:pPr>
              <w:pStyle w:val="0"/>
            </w:pPr>
            <w:r>
              <w:rPr>
                <w:sz w:val="24"/>
              </w:rPr>
              <w:t xml:space="preserve">Дата досрочного погашения (дата исключения из расчета нормативного соотношения собственных средств (капитала) и принятых обязательств)</w:t>
            </w:r>
          </w:p>
        </w:tc>
        <w:tc>
          <w:tcPr>
            <w:tcW w:w="2608" w:type="dxa"/>
          </w:tcPr>
          <w:p>
            <w:pPr>
              <w:pStyle w:val="0"/>
            </w:pPr>
            <w:r>
              <w:rPr>
                <w:sz w:val="24"/>
              </w:rPr>
            </w:r>
          </w:p>
        </w:tc>
        <w:tc>
          <w:tcPr>
            <w:tcW w:w="2948" w:type="dxa"/>
          </w:tcPr>
          <w:p>
            <w:pPr>
              <w:pStyle w:val="0"/>
            </w:pPr>
            <w:r>
              <w:rPr>
                <w:sz w:val="24"/>
              </w:rPr>
              <w:t xml:space="preserve">ins-dic:Data_Dosroch_Pogash</w:t>
            </w:r>
          </w:p>
        </w:tc>
      </w:tr>
      <w:tr>
        <w:tc>
          <w:tcPr>
            <w:tcW w:w="907" w:type="dxa"/>
          </w:tcPr>
          <w:p>
            <w:pPr>
              <w:pStyle w:val="0"/>
            </w:pPr>
            <w:r>
              <w:rPr>
                <w:sz w:val="24"/>
              </w:rPr>
              <w:t xml:space="preserve">37.1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37.2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62" w:name="P35862"/>
          <w:bookmarkEnd w:id="35862"/>
          <w:p>
            <w:pPr>
              <w:pStyle w:val="0"/>
            </w:pPr>
            <w:r>
              <w:rPr>
                <w:sz w:val="24"/>
              </w:rPr>
              <w:t xml:space="preserve">38</w:t>
            </w:r>
          </w:p>
        </w:tc>
        <w:tc>
          <w:tcPr>
            <w:gridSpan w:val="2"/>
            <w:tcW w:w="2608" w:type="dxa"/>
          </w:tcPr>
          <w:p>
            <w:pPr>
              <w:pStyle w:val="0"/>
            </w:pPr>
            <w:r>
              <w:rPr>
                <w:sz w:val="24"/>
              </w:rPr>
              <w:t xml:space="preserve">Сумма погашенной части по договору займа в отчетном периоде</w:t>
            </w:r>
          </w:p>
        </w:tc>
        <w:tc>
          <w:tcPr>
            <w:tcW w:w="2608" w:type="dxa"/>
          </w:tcPr>
          <w:p>
            <w:pPr>
              <w:pStyle w:val="0"/>
            </w:pPr>
            <w:r>
              <w:rPr>
                <w:sz w:val="24"/>
              </w:rPr>
            </w:r>
          </w:p>
        </w:tc>
        <w:tc>
          <w:tcPr>
            <w:tcW w:w="2948" w:type="dxa"/>
          </w:tcPr>
          <w:p>
            <w:pPr>
              <w:pStyle w:val="0"/>
            </w:pPr>
            <w:r>
              <w:rPr>
                <w:sz w:val="24"/>
              </w:rPr>
              <w:t xml:space="preserve">ins-dic:Summa_Pogashen_Subord_Vsego</w:t>
            </w:r>
          </w:p>
        </w:tc>
      </w:tr>
      <w:tr>
        <w:tc>
          <w:tcPr>
            <w:tcW w:w="907" w:type="dxa"/>
          </w:tcPr>
          <w:p>
            <w:pPr>
              <w:pStyle w:val="0"/>
            </w:pPr>
            <w:r>
              <w:rPr>
                <w:sz w:val="24"/>
              </w:rPr>
              <w:t xml:space="preserve">38.1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38.2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74" w:name="P35874"/>
          <w:bookmarkEnd w:id="35874"/>
          <w:p>
            <w:pPr>
              <w:pStyle w:val="0"/>
            </w:pPr>
            <w:r>
              <w:rPr>
                <w:sz w:val="24"/>
              </w:rPr>
              <w:t xml:space="preserve">39</w:t>
            </w:r>
          </w:p>
        </w:tc>
        <w:tc>
          <w:tcPr>
            <w:gridSpan w:val="2"/>
            <w:tcW w:w="2608" w:type="dxa"/>
          </w:tcPr>
          <w:p>
            <w:pPr>
              <w:pStyle w:val="0"/>
            </w:pPr>
            <w:r>
              <w:rPr>
                <w:sz w:val="24"/>
              </w:rPr>
              <w:t xml:space="preserve">Первоначальная стоимость полученных средств по договору займа</w:t>
            </w:r>
          </w:p>
        </w:tc>
        <w:tc>
          <w:tcPr>
            <w:tcW w:w="2608" w:type="dxa"/>
          </w:tcPr>
          <w:p>
            <w:pPr>
              <w:pStyle w:val="0"/>
            </w:pPr>
            <w:r>
              <w:rPr>
                <w:sz w:val="24"/>
              </w:rPr>
            </w:r>
          </w:p>
        </w:tc>
        <w:tc>
          <w:tcPr>
            <w:tcW w:w="2948" w:type="dxa"/>
          </w:tcPr>
          <w:p>
            <w:pPr>
              <w:pStyle w:val="0"/>
            </w:pPr>
            <w:r>
              <w:rPr>
                <w:sz w:val="24"/>
              </w:rPr>
              <w:t xml:space="preserve">ins-dic:Pervonach_Stoim_Sredstv_Subord_Vsego</w:t>
            </w:r>
          </w:p>
        </w:tc>
      </w:tr>
      <w:tr>
        <w:tc>
          <w:tcPr>
            <w:tcW w:w="907" w:type="dxa"/>
          </w:tcPr>
          <w:p>
            <w:pPr>
              <w:pStyle w:val="0"/>
            </w:pPr>
            <w:r>
              <w:rPr>
                <w:sz w:val="24"/>
              </w:rPr>
              <w:t xml:space="preserve">39.1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39.2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86" w:name="P35886"/>
          <w:bookmarkEnd w:id="35886"/>
          <w:p>
            <w:pPr>
              <w:pStyle w:val="0"/>
            </w:pPr>
            <w:r>
              <w:rPr>
                <w:sz w:val="24"/>
              </w:rPr>
              <w:t xml:space="preserve">40</w:t>
            </w:r>
          </w:p>
        </w:tc>
        <w:tc>
          <w:tcPr>
            <w:gridSpan w:val="2"/>
            <w:tcW w:w="2608" w:type="dxa"/>
          </w:tcPr>
          <w:p>
            <w:pPr>
              <w:pStyle w:val="0"/>
            </w:pPr>
            <w:r>
              <w:rPr>
                <w:sz w:val="24"/>
              </w:rPr>
              <w:t xml:space="preserve">Накопленная корректировка полученных средств по договору займа</w:t>
            </w:r>
          </w:p>
        </w:tc>
        <w:tc>
          <w:tcPr>
            <w:tcW w:w="2608" w:type="dxa"/>
          </w:tcPr>
          <w:p>
            <w:pPr>
              <w:pStyle w:val="0"/>
            </w:pPr>
            <w:r>
              <w:rPr>
                <w:sz w:val="24"/>
              </w:rPr>
            </w:r>
          </w:p>
        </w:tc>
        <w:tc>
          <w:tcPr>
            <w:tcW w:w="2948" w:type="dxa"/>
          </w:tcPr>
          <w:p>
            <w:pPr>
              <w:pStyle w:val="0"/>
            </w:pPr>
            <w:r>
              <w:rPr>
                <w:sz w:val="24"/>
              </w:rPr>
              <w:t xml:space="preserve">ins-dic:Nakopl_Korrektirovka_Subord_Vsego</w:t>
            </w:r>
          </w:p>
        </w:tc>
      </w:tr>
      <w:tr>
        <w:tc>
          <w:tcPr>
            <w:tcW w:w="907" w:type="dxa"/>
          </w:tcPr>
          <w:p>
            <w:pPr>
              <w:pStyle w:val="0"/>
            </w:pPr>
            <w:r>
              <w:rPr>
                <w:sz w:val="24"/>
              </w:rPr>
              <w:t xml:space="preserve">40.1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40.2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898" w:name="P35898"/>
          <w:bookmarkEnd w:id="35898"/>
          <w:p>
            <w:pPr>
              <w:pStyle w:val="0"/>
            </w:pPr>
            <w:r>
              <w:rPr>
                <w:sz w:val="24"/>
              </w:rPr>
              <w:t xml:space="preserve">41</w:t>
            </w:r>
          </w:p>
        </w:tc>
        <w:tc>
          <w:tcPr>
            <w:gridSpan w:val="2"/>
            <w:tcW w:w="2608" w:type="dxa"/>
          </w:tcPr>
          <w:p>
            <w:pPr>
              <w:pStyle w:val="0"/>
            </w:pPr>
            <w:r>
              <w:rPr>
                <w:sz w:val="24"/>
              </w:rPr>
              <w:t xml:space="preserve">Остаток полученных средств с учетом корректировки по договору займа</w:t>
            </w:r>
          </w:p>
        </w:tc>
        <w:tc>
          <w:tcPr>
            <w:tcW w:w="2608" w:type="dxa"/>
          </w:tcPr>
          <w:p>
            <w:pPr>
              <w:pStyle w:val="0"/>
            </w:pPr>
            <w:r>
              <w:rPr>
                <w:sz w:val="24"/>
              </w:rPr>
            </w:r>
          </w:p>
        </w:tc>
        <w:tc>
          <w:tcPr>
            <w:tcW w:w="2948" w:type="dxa"/>
          </w:tcPr>
          <w:p>
            <w:pPr>
              <w:pStyle w:val="0"/>
            </w:pPr>
            <w:r>
              <w:rPr>
                <w:sz w:val="24"/>
              </w:rPr>
              <w:t xml:space="preserve">ins-dic:Ostatok_Poluchen_Sredstv_Subord_S_Korrektirovkoj_Vsego</w:t>
            </w:r>
          </w:p>
        </w:tc>
      </w:tr>
      <w:tr>
        <w:tc>
          <w:tcPr>
            <w:tcW w:w="907" w:type="dxa"/>
          </w:tcPr>
          <w:p>
            <w:pPr>
              <w:pStyle w:val="0"/>
            </w:pPr>
            <w:r>
              <w:rPr>
                <w:sz w:val="24"/>
              </w:rPr>
              <w:t xml:space="preserve">41.1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41.2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c>
          <w:tcPr>
            <w:tcW w:w="907" w:type="dxa"/>
          </w:tcPr>
          <w:bookmarkStart w:id="35910" w:name="P35910"/>
          <w:bookmarkEnd w:id="35910"/>
          <w:p>
            <w:pPr>
              <w:pStyle w:val="0"/>
            </w:pPr>
            <w:r>
              <w:rPr>
                <w:sz w:val="24"/>
              </w:rPr>
              <w:t xml:space="preserve">42</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42.1</w:t>
            </w:r>
          </w:p>
        </w:tc>
        <w:tc>
          <w:tcPr>
            <w:gridSpan w:val="2"/>
            <w:tcW w:w="2608" w:type="dxa"/>
          </w:tcPr>
          <w:p>
            <w:pPr>
              <w:pStyle w:val="0"/>
            </w:pPr>
            <w:r>
              <w:rPr>
                <w:sz w:val="24"/>
              </w:rPr>
            </w:r>
          </w:p>
        </w:tc>
        <w:tc>
          <w:tcPr>
            <w:tcW w:w="2608" w:type="dxa"/>
          </w:tcPr>
          <w:p>
            <w:pPr>
              <w:pStyle w:val="0"/>
            </w:pPr>
            <w:r>
              <w:rPr>
                <w:sz w:val="24"/>
              </w:rPr>
              <w:t xml:space="preserve">Идентификатор заимодавца по субординированным займам</w:t>
            </w:r>
          </w:p>
        </w:tc>
        <w:tc>
          <w:tcPr>
            <w:tcW w:w="2948" w:type="dxa"/>
          </w:tcPr>
          <w:p>
            <w:pPr>
              <w:pStyle w:val="0"/>
            </w:pPr>
            <w:r>
              <w:rPr>
                <w:sz w:val="24"/>
              </w:rPr>
              <w:t xml:space="preserve">dim-int:IDZaimodavczaSubZajmTaxis</w:t>
            </w:r>
          </w:p>
        </w:tc>
      </w:tr>
      <w:tr>
        <w:tc>
          <w:tcPr>
            <w:tcW w:w="907" w:type="dxa"/>
          </w:tcPr>
          <w:p>
            <w:pPr>
              <w:pStyle w:val="0"/>
            </w:pPr>
            <w:r>
              <w:rPr>
                <w:sz w:val="24"/>
              </w:rPr>
              <w:t xml:space="preserve">42.2</w:t>
            </w:r>
          </w:p>
        </w:tc>
        <w:tc>
          <w:tcPr>
            <w:gridSpan w:val="2"/>
            <w:tcW w:w="2608" w:type="dxa"/>
          </w:tcPr>
          <w:p>
            <w:pPr>
              <w:pStyle w:val="0"/>
            </w:pPr>
            <w:r>
              <w:rPr>
                <w:sz w:val="24"/>
              </w:rPr>
            </w:r>
          </w:p>
        </w:tc>
        <w:tc>
          <w:tcPr>
            <w:tcW w:w="2608" w:type="dxa"/>
          </w:tcPr>
          <w:p>
            <w:pPr>
              <w:pStyle w:val="0"/>
            </w:pPr>
            <w:r>
              <w:rPr>
                <w:sz w:val="24"/>
              </w:rPr>
              <w:t xml:space="preserve">Информация о субординированном займе</w:t>
            </w:r>
          </w:p>
        </w:tc>
        <w:tc>
          <w:tcPr>
            <w:tcW w:w="2948" w:type="dxa"/>
          </w:tcPr>
          <w:p>
            <w:pPr>
              <w:pStyle w:val="0"/>
            </w:pPr>
            <w:r>
              <w:rPr>
                <w:sz w:val="24"/>
              </w:rPr>
              <w:t xml:space="preserve">dim-int:IdSubZajmTaxis</w:t>
            </w:r>
          </w:p>
        </w:tc>
      </w:tr>
      <w:tr>
        <w:tblPrEx>
          <w:tblBorders>
            <w:insideV w:val="nil"/>
          </w:tblBorders>
        </w:tblPrEx>
        <w:tc>
          <w:tcPr>
            <w:gridSpan w:val="2"/>
            <w:tcW w:w="1268" w:type="dxa"/>
            <w:tcBorders>
              <w:left w:val="single" w:sz="4"/>
            </w:tcBorders>
          </w:tcPr>
          <w:bookmarkStart w:id="35922" w:name="P35922"/>
          <w:bookmarkEnd w:id="35922"/>
          <w:p>
            <w:pPr>
              <w:pStyle w:val="0"/>
              <w:outlineLvl w:val="3"/>
            </w:pPr>
            <w:r>
              <w:rPr>
                <w:sz w:val="24"/>
              </w:rPr>
              <w:t xml:space="preserve">Раздел 3.</w:t>
            </w:r>
          </w:p>
        </w:tc>
        <w:tc>
          <w:tcPr>
            <w:gridSpan w:val="3"/>
            <w:tcW w:w="7803" w:type="dxa"/>
            <w:tcBorders>
              <w:right w:val="single" w:sz="4"/>
            </w:tcBorders>
          </w:tcPr>
          <w:p>
            <w:pPr>
              <w:pStyle w:val="0"/>
            </w:pPr>
            <w:r>
              <w:rPr>
                <w:sz w:val="24"/>
              </w:rPr>
              <w:t xml:space="preserve">Выданные векселя</w:t>
            </w:r>
          </w:p>
        </w:tc>
      </w:tr>
      <w:tr>
        <w:tc>
          <w:tcPr>
            <w:tcW w:w="907" w:type="dxa"/>
          </w:tcPr>
          <w:bookmarkStart w:id="35924" w:name="P35924"/>
          <w:bookmarkEnd w:id="35924"/>
          <w:p>
            <w:pPr>
              <w:pStyle w:val="0"/>
            </w:pPr>
            <w:r>
              <w:rPr>
                <w:sz w:val="24"/>
              </w:rPr>
              <w:t xml:space="preserve">43</w:t>
            </w:r>
          </w:p>
        </w:tc>
        <w:tc>
          <w:tcPr>
            <w:gridSpan w:val="2"/>
            <w:tcW w:w="2608" w:type="dxa"/>
          </w:tcPr>
          <w:p>
            <w:pPr>
              <w:pStyle w:val="0"/>
            </w:pPr>
            <w:r>
              <w:rPr>
                <w:sz w:val="24"/>
              </w:rPr>
              <w:t xml:space="preserve">Серия векселя</w:t>
            </w:r>
          </w:p>
        </w:tc>
        <w:tc>
          <w:tcPr>
            <w:tcW w:w="2608" w:type="dxa"/>
          </w:tcPr>
          <w:p>
            <w:pPr>
              <w:pStyle w:val="0"/>
            </w:pPr>
            <w:r>
              <w:rPr>
                <w:sz w:val="24"/>
              </w:rPr>
            </w:r>
          </w:p>
        </w:tc>
        <w:tc>
          <w:tcPr>
            <w:tcW w:w="2948" w:type="dxa"/>
          </w:tcPr>
          <w:p>
            <w:pPr>
              <w:pStyle w:val="0"/>
            </w:pPr>
            <w:r>
              <w:rPr>
                <w:sz w:val="24"/>
              </w:rPr>
              <w:t xml:space="preserve">ins-dic:Seriya_Vekselya</w:t>
            </w:r>
          </w:p>
        </w:tc>
      </w:tr>
      <w:tr>
        <w:tc>
          <w:tcPr>
            <w:tcW w:w="907" w:type="dxa"/>
          </w:tcPr>
          <w:p>
            <w:pPr>
              <w:pStyle w:val="0"/>
            </w:pPr>
            <w:r>
              <w:rPr>
                <w:sz w:val="24"/>
              </w:rPr>
              <w:t xml:space="preserve">43.1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43.2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43.3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43.4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din-int:Id_DerzhatelyaVekselyaTaxis</w:t>
            </w:r>
          </w:p>
        </w:tc>
      </w:tr>
      <w:tr>
        <w:tc>
          <w:tcPr>
            <w:tcW w:w="907" w:type="dxa"/>
          </w:tcPr>
          <w:p>
            <w:pPr>
              <w:pStyle w:val="0"/>
            </w:pPr>
            <w:r>
              <w:rPr>
                <w:sz w:val="24"/>
              </w:rPr>
              <w:t xml:space="preserve">43.5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43.6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5952" w:name="P35952"/>
          <w:bookmarkEnd w:id="35952"/>
          <w:p>
            <w:pPr>
              <w:pStyle w:val="0"/>
            </w:pPr>
            <w:r>
              <w:rPr>
                <w:sz w:val="24"/>
              </w:rPr>
              <w:t xml:space="preserve">44</w:t>
            </w:r>
          </w:p>
        </w:tc>
        <w:tc>
          <w:tcPr>
            <w:gridSpan w:val="2"/>
            <w:tcW w:w="2608" w:type="dxa"/>
          </w:tcPr>
          <w:p>
            <w:pPr>
              <w:pStyle w:val="0"/>
            </w:pPr>
            <w:r>
              <w:rPr>
                <w:sz w:val="24"/>
              </w:rPr>
              <w:t xml:space="preserve">Номер векселя</w:t>
            </w:r>
          </w:p>
        </w:tc>
        <w:tc>
          <w:tcPr>
            <w:tcW w:w="2608" w:type="dxa"/>
          </w:tcPr>
          <w:p>
            <w:pPr>
              <w:pStyle w:val="0"/>
            </w:pPr>
            <w:r>
              <w:rPr>
                <w:sz w:val="24"/>
              </w:rPr>
            </w:r>
          </w:p>
        </w:tc>
        <w:tc>
          <w:tcPr>
            <w:tcW w:w="2948" w:type="dxa"/>
          </w:tcPr>
          <w:p>
            <w:pPr>
              <w:pStyle w:val="0"/>
            </w:pPr>
            <w:r>
              <w:rPr>
                <w:sz w:val="24"/>
              </w:rPr>
              <w:t xml:space="preserve">ins-dic:Nomer_Vekselya</w:t>
            </w:r>
          </w:p>
        </w:tc>
      </w:tr>
      <w:tr>
        <w:tc>
          <w:tcPr>
            <w:tcW w:w="907" w:type="dxa"/>
          </w:tcPr>
          <w:p>
            <w:pPr>
              <w:pStyle w:val="0"/>
            </w:pPr>
            <w:r>
              <w:rPr>
                <w:sz w:val="24"/>
              </w:rPr>
              <w:t xml:space="preserve">44.1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44.2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44.3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44.4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44.5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44.6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5980" w:name="P35980"/>
          <w:bookmarkEnd w:id="35980"/>
          <w:p>
            <w:pPr>
              <w:pStyle w:val="0"/>
            </w:pPr>
            <w:r>
              <w:rPr>
                <w:sz w:val="24"/>
              </w:rPr>
              <w:t xml:space="preserve">45</w:t>
            </w:r>
          </w:p>
        </w:tc>
        <w:tc>
          <w:tcPr>
            <w:gridSpan w:val="2"/>
            <w:tcW w:w="2608" w:type="dxa"/>
          </w:tcPr>
          <w:p>
            <w:pPr>
              <w:pStyle w:val="0"/>
            </w:pPr>
            <w:r>
              <w:rPr>
                <w:sz w:val="24"/>
              </w:rPr>
              <w:t xml:space="preserve">Номер бланка векселя</w:t>
            </w:r>
          </w:p>
        </w:tc>
        <w:tc>
          <w:tcPr>
            <w:tcW w:w="2608" w:type="dxa"/>
          </w:tcPr>
          <w:p>
            <w:pPr>
              <w:pStyle w:val="0"/>
            </w:pPr>
            <w:r>
              <w:rPr>
                <w:sz w:val="24"/>
              </w:rPr>
            </w:r>
          </w:p>
        </w:tc>
        <w:tc>
          <w:tcPr>
            <w:tcW w:w="2948" w:type="dxa"/>
          </w:tcPr>
          <w:p>
            <w:pPr>
              <w:pStyle w:val="0"/>
            </w:pPr>
            <w:r>
              <w:rPr>
                <w:sz w:val="24"/>
              </w:rPr>
              <w:t xml:space="preserve">ins-dic:Nomer_Blank_Vekselya</w:t>
            </w:r>
          </w:p>
        </w:tc>
      </w:tr>
      <w:tr>
        <w:tc>
          <w:tcPr>
            <w:tcW w:w="907" w:type="dxa"/>
          </w:tcPr>
          <w:p>
            <w:pPr>
              <w:pStyle w:val="0"/>
            </w:pPr>
            <w:r>
              <w:rPr>
                <w:sz w:val="24"/>
              </w:rPr>
              <w:t xml:space="preserve">45.1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45.2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45.3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45.4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45.5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45.6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008" w:name="P36008"/>
          <w:bookmarkEnd w:id="36008"/>
          <w:p>
            <w:pPr>
              <w:pStyle w:val="0"/>
            </w:pPr>
            <w:r>
              <w:rPr>
                <w:sz w:val="24"/>
              </w:rPr>
              <w:t xml:space="preserve">46</w:t>
            </w:r>
          </w:p>
        </w:tc>
        <w:tc>
          <w:tcPr>
            <w:gridSpan w:val="2"/>
            <w:tcW w:w="2608" w:type="dxa"/>
          </w:tcPr>
          <w:p>
            <w:pPr>
              <w:pStyle w:val="0"/>
            </w:pPr>
            <w:r>
              <w:rPr>
                <w:sz w:val="24"/>
              </w:rPr>
              <w:t xml:space="preserve">Состояние векселя на отчетную дату</w:t>
            </w:r>
          </w:p>
        </w:tc>
        <w:tc>
          <w:tcPr>
            <w:tcW w:w="2608" w:type="dxa"/>
          </w:tcPr>
          <w:p>
            <w:pPr>
              <w:pStyle w:val="0"/>
            </w:pPr>
            <w:r>
              <w:rPr>
                <w:sz w:val="24"/>
              </w:rPr>
            </w:r>
          </w:p>
        </w:tc>
        <w:tc>
          <w:tcPr>
            <w:tcW w:w="2948" w:type="dxa"/>
          </w:tcPr>
          <w:p>
            <w:pPr>
              <w:pStyle w:val="0"/>
            </w:pPr>
            <w:r>
              <w:rPr>
                <w:sz w:val="24"/>
              </w:rPr>
              <w:t xml:space="preserve">ins-dic:Sost_Vekselya_Otch_Data_Enumerator</w:t>
            </w:r>
          </w:p>
        </w:tc>
      </w:tr>
      <w:tr>
        <w:tc>
          <w:tcPr>
            <w:tcW w:w="907" w:type="dxa"/>
          </w:tcPr>
          <w:p>
            <w:pPr>
              <w:pStyle w:val="0"/>
            </w:pPr>
            <w:r>
              <w:rPr>
                <w:sz w:val="24"/>
              </w:rPr>
              <w:t xml:space="preserve">46.1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46.2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46.3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46.4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46.5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dim-int:IDKontrAktPoluchReaIVeksTaxis</w:t>
            </w:r>
          </w:p>
        </w:tc>
      </w:tr>
      <w:tr>
        <w:tc>
          <w:tcPr>
            <w:tcW w:w="907" w:type="dxa"/>
          </w:tcPr>
          <w:p>
            <w:pPr>
              <w:pStyle w:val="0"/>
            </w:pPr>
            <w:r>
              <w:rPr>
                <w:sz w:val="24"/>
              </w:rPr>
              <w:t xml:space="preserve">46.6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036" w:name="P36036"/>
          <w:bookmarkEnd w:id="36036"/>
          <w:p>
            <w:pPr>
              <w:pStyle w:val="0"/>
            </w:pPr>
            <w:r>
              <w:rPr>
                <w:sz w:val="24"/>
              </w:rPr>
              <w:t xml:space="preserve">47</w:t>
            </w:r>
          </w:p>
        </w:tc>
        <w:tc>
          <w:tcPr>
            <w:gridSpan w:val="2"/>
            <w:tcW w:w="2608" w:type="dxa"/>
          </w:tcPr>
          <w:p>
            <w:pPr>
              <w:pStyle w:val="0"/>
            </w:pPr>
            <w:r>
              <w:rPr>
                <w:sz w:val="24"/>
              </w:rPr>
              <w:t xml:space="preserve">Код сделки (векселя)</w:t>
            </w:r>
          </w:p>
        </w:tc>
        <w:tc>
          <w:tcPr>
            <w:tcW w:w="2608" w:type="dxa"/>
          </w:tcPr>
          <w:p>
            <w:pPr>
              <w:pStyle w:val="0"/>
            </w:pPr>
            <w:r>
              <w:rPr>
                <w:sz w:val="24"/>
              </w:rPr>
            </w:r>
          </w:p>
        </w:tc>
        <w:tc>
          <w:tcPr>
            <w:tcW w:w="2948" w:type="dxa"/>
          </w:tcPr>
          <w:p>
            <w:pPr>
              <w:pStyle w:val="0"/>
            </w:pPr>
            <w:r>
              <w:rPr>
                <w:sz w:val="24"/>
              </w:rPr>
              <w:t xml:space="preserve">ins-dic:Ks_4</w:t>
            </w:r>
          </w:p>
        </w:tc>
      </w:tr>
      <w:tr>
        <w:tc>
          <w:tcPr>
            <w:tcW w:w="907" w:type="dxa"/>
          </w:tcPr>
          <w:p>
            <w:pPr>
              <w:pStyle w:val="0"/>
            </w:pPr>
            <w:r>
              <w:rPr>
                <w:sz w:val="24"/>
              </w:rPr>
              <w:t xml:space="preserve">47.1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47.2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47.3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47.4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dim-int:Id_Derzhatelya_VckselyaTaxis</w:t>
            </w:r>
          </w:p>
        </w:tc>
      </w:tr>
      <w:tr>
        <w:tc>
          <w:tcPr>
            <w:tcW w:w="907" w:type="dxa"/>
          </w:tcPr>
          <w:p>
            <w:pPr>
              <w:pStyle w:val="0"/>
            </w:pPr>
            <w:r>
              <w:rPr>
                <w:sz w:val="24"/>
              </w:rPr>
              <w:t xml:space="preserve">47.5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47.6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064" w:name="P36064"/>
          <w:bookmarkEnd w:id="36064"/>
          <w:p>
            <w:pPr>
              <w:pStyle w:val="0"/>
            </w:pPr>
            <w:r>
              <w:rPr>
                <w:sz w:val="24"/>
              </w:rPr>
              <w:t xml:space="preserve">48</w:t>
            </w:r>
          </w:p>
        </w:tc>
        <w:tc>
          <w:tcPr>
            <w:gridSpan w:val="2"/>
            <w:tcW w:w="2608" w:type="dxa"/>
          </w:tcPr>
          <w:p>
            <w:pPr>
              <w:pStyle w:val="0"/>
            </w:pPr>
            <w:r>
              <w:rPr>
                <w:sz w:val="24"/>
              </w:rPr>
              <w:t xml:space="preserve">Дата составления (выдачи) векселя</w:t>
            </w:r>
          </w:p>
        </w:tc>
        <w:tc>
          <w:tcPr>
            <w:tcW w:w="2608" w:type="dxa"/>
          </w:tcPr>
          <w:p>
            <w:pPr>
              <w:pStyle w:val="0"/>
            </w:pPr>
            <w:r>
              <w:rPr>
                <w:sz w:val="24"/>
              </w:rPr>
            </w:r>
          </w:p>
        </w:tc>
        <w:tc>
          <w:tcPr>
            <w:tcW w:w="2948" w:type="dxa"/>
          </w:tcPr>
          <w:p>
            <w:pPr>
              <w:pStyle w:val="0"/>
            </w:pPr>
            <w:r>
              <w:rPr>
                <w:sz w:val="24"/>
              </w:rPr>
              <w:t xml:space="preserve">ins-dic:Data_Sost_Vyd_Vekselya</w:t>
            </w:r>
          </w:p>
        </w:tc>
      </w:tr>
      <w:tr>
        <w:tc>
          <w:tcPr>
            <w:tcW w:w="907" w:type="dxa"/>
          </w:tcPr>
          <w:p>
            <w:pPr>
              <w:pStyle w:val="0"/>
            </w:pPr>
            <w:r>
              <w:rPr>
                <w:sz w:val="24"/>
              </w:rPr>
              <w:t xml:space="preserve">48.1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48.2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48.3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48.4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48.5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48.6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092" w:name="P36092"/>
          <w:bookmarkEnd w:id="36092"/>
          <w:p>
            <w:pPr>
              <w:pStyle w:val="0"/>
            </w:pPr>
            <w:r>
              <w:rPr>
                <w:sz w:val="24"/>
              </w:rPr>
              <w:t xml:space="preserve">49</w:t>
            </w:r>
          </w:p>
        </w:tc>
        <w:tc>
          <w:tcPr>
            <w:gridSpan w:val="2"/>
            <w:tcW w:w="2608" w:type="dxa"/>
          </w:tcPr>
          <w:p>
            <w:pPr>
              <w:pStyle w:val="0"/>
            </w:pPr>
            <w:r>
              <w:rPr>
                <w:sz w:val="24"/>
              </w:rPr>
              <w:t xml:space="preserve">Дата фактического погашения</w:t>
            </w:r>
          </w:p>
        </w:tc>
        <w:tc>
          <w:tcPr>
            <w:tcW w:w="2608" w:type="dxa"/>
          </w:tcPr>
          <w:p>
            <w:pPr>
              <w:pStyle w:val="0"/>
            </w:pPr>
            <w:r>
              <w:rPr>
                <w:sz w:val="24"/>
              </w:rPr>
            </w:r>
          </w:p>
        </w:tc>
        <w:tc>
          <w:tcPr>
            <w:tcW w:w="2948" w:type="dxa"/>
          </w:tcPr>
          <w:p>
            <w:pPr>
              <w:pStyle w:val="0"/>
            </w:pPr>
            <w:r>
              <w:rPr>
                <w:sz w:val="24"/>
              </w:rPr>
              <w:t xml:space="preserve">ins-dic:Data_FaktPogash</w:t>
            </w:r>
          </w:p>
        </w:tc>
      </w:tr>
      <w:tr>
        <w:tc>
          <w:tcPr>
            <w:tcW w:w="907" w:type="dxa"/>
          </w:tcPr>
          <w:p>
            <w:pPr>
              <w:pStyle w:val="0"/>
            </w:pPr>
            <w:r>
              <w:rPr>
                <w:sz w:val="24"/>
              </w:rPr>
              <w:t xml:space="preserve">49.1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49.2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49.3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49.4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49.5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49.6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120" w:name="P36120"/>
          <w:bookmarkEnd w:id="36120"/>
          <w:p>
            <w:pPr>
              <w:pStyle w:val="0"/>
            </w:pPr>
            <w:r>
              <w:rPr>
                <w:sz w:val="24"/>
              </w:rPr>
              <w:t xml:space="preserve">50</w:t>
            </w:r>
          </w:p>
        </w:tc>
        <w:tc>
          <w:tcPr>
            <w:gridSpan w:val="2"/>
            <w:tcW w:w="2608" w:type="dxa"/>
          </w:tcPr>
          <w:p>
            <w:pPr>
              <w:pStyle w:val="0"/>
            </w:pPr>
            <w:r>
              <w:rPr>
                <w:sz w:val="24"/>
              </w:rPr>
              <w:t xml:space="preserve">Условия погашения векселя</w:t>
            </w:r>
          </w:p>
        </w:tc>
        <w:tc>
          <w:tcPr>
            <w:tcW w:w="2608" w:type="dxa"/>
          </w:tcPr>
          <w:p>
            <w:pPr>
              <w:pStyle w:val="0"/>
            </w:pPr>
            <w:r>
              <w:rPr>
                <w:sz w:val="24"/>
              </w:rPr>
            </w:r>
          </w:p>
        </w:tc>
        <w:tc>
          <w:tcPr>
            <w:tcW w:w="2948" w:type="dxa"/>
          </w:tcPr>
          <w:p>
            <w:pPr>
              <w:pStyle w:val="0"/>
            </w:pPr>
            <w:r>
              <w:rPr>
                <w:sz w:val="24"/>
              </w:rPr>
              <w:t xml:space="preserve">ins-dic:Usl_Pogash_Vekselya_Enumerator</w:t>
            </w:r>
          </w:p>
        </w:tc>
      </w:tr>
      <w:tr>
        <w:tc>
          <w:tcPr>
            <w:tcW w:w="907" w:type="dxa"/>
          </w:tcPr>
          <w:p>
            <w:pPr>
              <w:pStyle w:val="0"/>
            </w:pPr>
            <w:r>
              <w:rPr>
                <w:sz w:val="24"/>
              </w:rPr>
              <w:t xml:space="preserve">50.1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50.2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50.3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50.4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50.5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50.6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148" w:name="P36148"/>
          <w:bookmarkEnd w:id="36148"/>
          <w:p>
            <w:pPr>
              <w:pStyle w:val="0"/>
            </w:pPr>
            <w:r>
              <w:rPr>
                <w:sz w:val="24"/>
              </w:rPr>
              <w:t xml:space="preserve">51</w:t>
            </w:r>
          </w:p>
        </w:tc>
        <w:tc>
          <w:tcPr>
            <w:gridSpan w:val="2"/>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51.1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51.2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51.3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51.4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51.5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51.6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176" w:name="P36176"/>
          <w:bookmarkEnd w:id="36176"/>
          <w:p>
            <w:pPr>
              <w:pStyle w:val="0"/>
            </w:pPr>
            <w:r>
              <w:rPr>
                <w:sz w:val="24"/>
              </w:rPr>
              <w:t xml:space="preserve">52</w:t>
            </w:r>
          </w:p>
        </w:tc>
        <w:tc>
          <w:tcPr>
            <w:gridSpan w:val="2"/>
            <w:tcW w:w="2608" w:type="dxa"/>
          </w:tcPr>
          <w:p>
            <w:pPr>
              <w:pStyle w:val="0"/>
            </w:pPr>
            <w:r>
              <w:rPr>
                <w:sz w:val="24"/>
              </w:rPr>
              <w:t xml:space="preserve">Вексельная сумма по одному векселю, в единицах валюты номинала</w:t>
            </w:r>
          </w:p>
        </w:tc>
        <w:tc>
          <w:tcPr>
            <w:tcW w:w="2608" w:type="dxa"/>
          </w:tcPr>
          <w:p>
            <w:pPr>
              <w:pStyle w:val="0"/>
            </w:pPr>
            <w:r>
              <w:rPr>
                <w:sz w:val="24"/>
              </w:rPr>
            </w:r>
          </w:p>
        </w:tc>
        <w:tc>
          <w:tcPr>
            <w:tcW w:w="2948" w:type="dxa"/>
          </w:tcPr>
          <w:p>
            <w:pPr>
              <w:pStyle w:val="0"/>
            </w:pPr>
            <w:r>
              <w:rPr>
                <w:sz w:val="24"/>
              </w:rPr>
              <w:t xml:space="preserve">ins-dic:Vydveks_Nominal_1_Veksel</w:t>
            </w:r>
          </w:p>
        </w:tc>
      </w:tr>
      <w:tr>
        <w:tc>
          <w:tcPr>
            <w:tcW w:w="907" w:type="dxa"/>
          </w:tcPr>
          <w:p>
            <w:pPr>
              <w:pStyle w:val="0"/>
            </w:pPr>
            <w:r>
              <w:rPr>
                <w:sz w:val="24"/>
              </w:rPr>
              <w:t xml:space="preserve">52.1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52.2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52.3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52.4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52.5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52.6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204" w:name="P36204"/>
          <w:bookmarkEnd w:id="36204"/>
          <w:p>
            <w:pPr>
              <w:pStyle w:val="0"/>
            </w:pPr>
            <w:r>
              <w:rPr>
                <w:sz w:val="24"/>
              </w:rPr>
              <w:t xml:space="preserve">53</w:t>
            </w:r>
          </w:p>
        </w:tc>
        <w:tc>
          <w:tcPr>
            <w:gridSpan w:val="2"/>
            <w:tcW w:w="2608" w:type="dxa"/>
          </w:tcPr>
          <w:p>
            <w:pPr>
              <w:pStyle w:val="0"/>
            </w:pPr>
            <w:r>
              <w:rPr>
                <w:sz w:val="24"/>
              </w:rPr>
              <w:t xml:space="preserve">Эффективная 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ins-dic:Effekt_Procz_Stavka</w:t>
            </w:r>
          </w:p>
        </w:tc>
      </w:tr>
      <w:tr>
        <w:tc>
          <w:tcPr>
            <w:tcW w:w="907" w:type="dxa"/>
          </w:tcPr>
          <w:p>
            <w:pPr>
              <w:pStyle w:val="0"/>
            </w:pPr>
            <w:r>
              <w:rPr>
                <w:sz w:val="24"/>
              </w:rPr>
              <w:t xml:space="preserve">53.1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53.2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53.3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53.4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53.5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53.6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232" w:name="P36232"/>
          <w:bookmarkEnd w:id="36232"/>
          <w:p>
            <w:pPr>
              <w:pStyle w:val="0"/>
            </w:pPr>
            <w:r>
              <w:rPr>
                <w:sz w:val="24"/>
              </w:rPr>
              <w:t xml:space="preserve">54</w:t>
            </w:r>
          </w:p>
        </w:tc>
        <w:tc>
          <w:tcPr>
            <w:gridSpan w:val="2"/>
            <w:tcW w:w="2608" w:type="dxa"/>
          </w:tcPr>
          <w:p>
            <w:pPr>
              <w:pStyle w:val="0"/>
            </w:pPr>
            <w:r>
              <w:rPr>
                <w:sz w:val="24"/>
              </w:rPr>
              <w:t xml:space="preserve">Дата получения средств при реализации векселя</w:t>
            </w:r>
          </w:p>
        </w:tc>
        <w:tc>
          <w:tcPr>
            <w:tcW w:w="2608" w:type="dxa"/>
          </w:tcPr>
          <w:p>
            <w:pPr>
              <w:pStyle w:val="0"/>
            </w:pPr>
            <w:r>
              <w:rPr>
                <w:sz w:val="24"/>
              </w:rPr>
            </w:r>
          </w:p>
        </w:tc>
        <w:tc>
          <w:tcPr>
            <w:tcW w:w="2948" w:type="dxa"/>
          </w:tcPr>
          <w:p>
            <w:pPr>
              <w:pStyle w:val="0"/>
            </w:pPr>
            <w:r>
              <w:rPr>
                <w:sz w:val="24"/>
              </w:rPr>
              <w:t xml:space="preserve">ins-dic:Data_Poluch_Sredstv_Real_Vekselya</w:t>
            </w:r>
          </w:p>
        </w:tc>
      </w:tr>
      <w:tr>
        <w:tc>
          <w:tcPr>
            <w:tcW w:w="907" w:type="dxa"/>
          </w:tcPr>
          <w:p>
            <w:pPr>
              <w:pStyle w:val="0"/>
            </w:pPr>
            <w:r>
              <w:rPr>
                <w:sz w:val="24"/>
              </w:rPr>
              <w:t xml:space="preserve">54.1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54.2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54.3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54.4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54.5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54.6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260" w:name="P36260"/>
          <w:bookmarkEnd w:id="36260"/>
          <w:p>
            <w:pPr>
              <w:pStyle w:val="0"/>
            </w:pPr>
            <w:r>
              <w:rPr>
                <w:sz w:val="24"/>
              </w:rPr>
              <w:t xml:space="preserve">55</w:t>
            </w:r>
          </w:p>
        </w:tc>
        <w:tc>
          <w:tcPr>
            <w:gridSpan w:val="2"/>
            <w:tcW w:w="2608" w:type="dxa"/>
          </w:tcPr>
          <w:p>
            <w:pPr>
              <w:pStyle w:val="0"/>
            </w:pPr>
            <w:r>
              <w:rPr>
                <w:sz w:val="24"/>
              </w:rPr>
              <w:t xml:space="preserve">Сумма, фактически полученная при реализации векселей</w:t>
            </w:r>
          </w:p>
        </w:tc>
        <w:tc>
          <w:tcPr>
            <w:tcW w:w="2608" w:type="dxa"/>
          </w:tcPr>
          <w:p>
            <w:pPr>
              <w:pStyle w:val="0"/>
            </w:pPr>
            <w:r>
              <w:rPr>
                <w:sz w:val="24"/>
              </w:rPr>
            </w:r>
          </w:p>
        </w:tc>
        <w:tc>
          <w:tcPr>
            <w:tcW w:w="2948" w:type="dxa"/>
          </w:tcPr>
          <w:p>
            <w:pPr>
              <w:pStyle w:val="0"/>
            </w:pPr>
            <w:r>
              <w:rPr>
                <w:sz w:val="24"/>
              </w:rPr>
              <w:t xml:space="preserve">ins-dic:Vydveks_Summa_Poluchen_Vsego</w:t>
            </w:r>
          </w:p>
        </w:tc>
      </w:tr>
      <w:tr>
        <w:tc>
          <w:tcPr>
            <w:tcW w:w="907" w:type="dxa"/>
          </w:tcPr>
          <w:p>
            <w:pPr>
              <w:pStyle w:val="0"/>
            </w:pPr>
            <w:r>
              <w:rPr>
                <w:sz w:val="24"/>
              </w:rPr>
              <w:t xml:space="preserve">55.1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55.2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55.3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55.4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55.5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55.6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288" w:name="P36288"/>
          <w:bookmarkEnd w:id="36288"/>
          <w:p>
            <w:pPr>
              <w:pStyle w:val="0"/>
            </w:pPr>
            <w:r>
              <w:rPr>
                <w:sz w:val="24"/>
              </w:rPr>
              <w:t xml:space="preserve">56</w:t>
            </w:r>
          </w:p>
        </w:tc>
        <w:tc>
          <w:tcPr>
            <w:gridSpan w:val="2"/>
            <w:tcW w:w="2608" w:type="dxa"/>
          </w:tcPr>
          <w:p>
            <w:pPr>
              <w:pStyle w:val="0"/>
            </w:pPr>
            <w:r>
              <w:rPr>
                <w:sz w:val="24"/>
              </w:rPr>
              <w:t xml:space="preserve">Вид актива, полученного векселедателем от реализации векселя</w:t>
            </w:r>
          </w:p>
        </w:tc>
        <w:tc>
          <w:tcPr>
            <w:tcW w:w="2608" w:type="dxa"/>
          </w:tcPr>
          <w:p>
            <w:pPr>
              <w:pStyle w:val="0"/>
            </w:pPr>
            <w:r>
              <w:rPr>
                <w:sz w:val="24"/>
              </w:rPr>
            </w:r>
          </w:p>
        </w:tc>
        <w:tc>
          <w:tcPr>
            <w:tcW w:w="2948" w:type="dxa"/>
          </w:tcPr>
          <w:p>
            <w:pPr>
              <w:pStyle w:val="0"/>
            </w:pPr>
            <w:r>
              <w:rPr>
                <w:sz w:val="24"/>
              </w:rPr>
              <w:t xml:space="preserve">ins-dic:Vid_A_Poluch_Veksedat_Real_Vekselya</w:t>
            </w:r>
          </w:p>
        </w:tc>
      </w:tr>
      <w:tr>
        <w:tc>
          <w:tcPr>
            <w:tcW w:w="907" w:type="dxa"/>
          </w:tcPr>
          <w:p>
            <w:pPr>
              <w:pStyle w:val="0"/>
            </w:pPr>
            <w:r>
              <w:rPr>
                <w:sz w:val="24"/>
              </w:rPr>
              <w:t xml:space="preserve">56.1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56.2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56.3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56.4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56.5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56.6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316" w:name="P36316"/>
          <w:bookmarkEnd w:id="36316"/>
          <w:p>
            <w:pPr>
              <w:pStyle w:val="0"/>
            </w:pPr>
            <w:r>
              <w:rPr>
                <w:sz w:val="24"/>
              </w:rPr>
              <w:t xml:space="preserve">57</w:t>
            </w:r>
          </w:p>
        </w:tc>
        <w:tc>
          <w:tcPr>
            <w:gridSpan w:val="2"/>
            <w:tcW w:w="2608" w:type="dxa"/>
          </w:tcPr>
          <w:p>
            <w:pPr>
              <w:pStyle w:val="0"/>
            </w:pPr>
            <w:r>
              <w:rPr>
                <w:sz w:val="24"/>
              </w:rPr>
              <w:t xml:space="preserve">Наименование и назначение объекта недвижимости, полученного от реализации векселя</w:t>
            </w:r>
          </w:p>
        </w:tc>
        <w:tc>
          <w:tcPr>
            <w:tcW w:w="2608" w:type="dxa"/>
          </w:tcPr>
          <w:p>
            <w:pPr>
              <w:pStyle w:val="0"/>
            </w:pPr>
            <w:r>
              <w:rPr>
                <w:sz w:val="24"/>
              </w:rPr>
            </w:r>
          </w:p>
        </w:tc>
        <w:tc>
          <w:tcPr>
            <w:tcW w:w="2948" w:type="dxa"/>
          </w:tcPr>
          <w:p>
            <w:pPr>
              <w:pStyle w:val="0"/>
            </w:pPr>
            <w:r>
              <w:rPr>
                <w:sz w:val="24"/>
              </w:rPr>
              <w:t xml:space="preserve">ins-dic:NaimNaznObektNedvizhPoluchRealVeks</w:t>
            </w:r>
          </w:p>
        </w:tc>
      </w:tr>
      <w:tr>
        <w:tc>
          <w:tcPr>
            <w:tcW w:w="907" w:type="dxa"/>
          </w:tcPr>
          <w:p>
            <w:pPr>
              <w:pStyle w:val="0"/>
            </w:pPr>
            <w:r>
              <w:rPr>
                <w:sz w:val="24"/>
              </w:rPr>
              <w:t xml:space="preserve">57.1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57.2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57.3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57.4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57.5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57.6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344" w:name="P36344"/>
          <w:bookmarkEnd w:id="36344"/>
          <w:p>
            <w:pPr>
              <w:pStyle w:val="0"/>
            </w:pPr>
            <w:r>
              <w:rPr>
                <w:sz w:val="24"/>
              </w:rPr>
              <w:t xml:space="preserve">58</w:t>
            </w:r>
          </w:p>
        </w:tc>
        <w:tc>
          <w:tcPr>
            <w:gridSpan w:val="2"/>
            <w:tcW w:w="2608" w:type="dxa"/>
          </w:tcPr>
          <w:p>
            <w:pPr>
              <w:pStyle w:val="0"/>
            </w:pPr>
            <w:r>
              <w:rPr>
                <w:sz w:val="24"/>
              </w:rPr>
              <w:t xml:space="preserve">Идентификационный код полученного актива</w:t>
            </w:r>
          </w:p>
        </w:tc>
        <w:tc>
          <w:tcPr>
            <w:tcW w:w="2608" w:type="dxa"/>
          </w:tcPr>
          <w:p>
            <w:pPr>
              <w:pStyle w:val="0"/>
            </w:pPr>
            <w:r>
              <w:rPr>
                <w:sz w:val="24"/>
              </w:rPr>
            </w:r>
          </w:p>
        </w:tc>
        <w:tc>
          <w:tcPr>
            <w:tcW w:w="2948" w:type="dxa"/>
          </w:tcPr>
          <w:p>
            <w:pPr>
              <w:pStyle w:val="0"/>
            </w:pPr>
            <w:r>
              <w:rPr>
                <w:sz w:val="24"/>
              </w:rPr>
              <w:t xml:space="preserve">ins-dic:Kod_A</w:t>
            </w:r>
          </w:p>
        </w:tc>
      </w:tr>
      <w:tr>
        <w:tc>
          <w:tcPr>
            <w:tcW w:w="907" w:type="dxa"/>
          </w:tcPr>
          <w:p>
            <w:pPr>
              <w:pStyle w:val="0"/>
            </w:pPr>
            <w:r>
              <w:rPr>
                <w:sz w:val="24"/>
              </w:rPr>
              <w:t xml:space="preserve">58.1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58.2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58.3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58.4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58.5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58.6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372" w:name="P36372"/>
          <w:bookmarkEnd w:id="36372"/>
          <w:p>
            <w:pPr>
              <w:pStyle w:val="0"/>
            </w:pPr>
            <w:r>
              <w:rPr>
                <w:sz w:val="24"/>
              </w:rPr>
              <w:t xml:space="preserve">59</w:t>
            </w:r>
          </w:p>
        </w:tc>
        <w:tc>
          <w:tcPr>
            <w:gridSpan w:val="2"/>
            <w:tcW w:w="2608" w:type="dxa"/>
          </w:tcPr>
          <w:p>
            <w:pPr>
              <w:pStyle w:val="0"/>
            </w:pPr>
            <w:r>
              <w:rPr>
                <w:sz w:val="24"/>
              </w:rPr>
              <w:t xml:space="preserve">Первоначальная стоимость выданного векселя</w:t>
            </w:r>
          </w:p>
        </w:tc>
        <w:tc>
          <w:tcPr>
            <w:tcW w:w="2608" w:type="dxa"/>
          </w:tcPr>
          <w:p>
            <w:pPr>
              <w:pStyle w:val="0"/>
            </w:pPr>
            <w:r>
              <w:rPr>
                <w:sz w:val="24"/>
              </w:rPr>
            </w:r>
          </w:p>
        </w:tc>
        <w:tc>
          <w:tcPr>
            <w:tcW w:w="2948" w:type="dxa"/>
          </w:tcPr>
          <w:p>
            <w:pPr>
              <w:pStyle w:val="0"/>
            </w:pPr>
            <w:r>
              <w:rPr>
                <w:sz w:val="24"/>
              </w:rPr>
              <w:t xml:space="preserve">ins-dic:Vydveks_Ps_Vsego</w:t>
            </w:r>
          </w:p>
        </w:tc>
      </w:tr>
      <w:tr>
        <w:tc>
          <w:tcPr>
            <w:tcW w:w="907" w:type="dxa"/>
          </w:tcPr>
          <w:p>
            <w:pPr>
              <w:pStyle w:val="0"/>
            </w:pPr>
            <w:r>
              <w:rPr>
                <w:sz w:val="24"/>
              </w:rPr>
              <w:t xml:space="preserve">59.1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59.2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59.3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59.4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59.5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dim-int:IDKontrAktPoluchReaIVeksTaxis</w:t>
            </w:r>
          </w:p>
        </w:tc>
      </w:tr>
      <w:tr>
        <w:tc>
          <w:tcPr>
            <w:tcW w:w="907" w:type="dxa"/>
          </w:tcPr>
          <w:p>
            <w:pPr>
              <w:pStyle w:val="0"/>
            </w:pPr>
            <w:r>
              <w:rPr>
                <w:sz w:val="24"/>
              </w:rPr>
              <w:t xml:space="preserve">59.6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400" w:name="P36400"/>
          <w:bookmarkEnd w:id="36400"/>
          <w:p>
            <w:pPr>
              <w:pStyle w:val="0"/>
            </w:pPr>
            <w:r>
              <w:rPr>
                <w:sz w:val="24"/>
              </w:rPr>
              <w:t xml:space="preserve">60</w:t>
            </w:r>
          </w:p>
        </w:tc>
        <w:tc>
          <w:tcPr>
            <w:gridSpan w:val="2"/>
            <w:tcW w:w="2608" w:type="dxa"/>
          </w:tcPr>
          <w:p>
            <w:pPr>
              <w:pStyle w:val="0"/>
            </w:pPr>
            <w:r>
              <w:rPr>
                <w:sz w:val="24"/>
              </w:rPr>
              <w:t xml:space="preserve">Накопленная корректировка по выданному векселю</w:t>
            </w:r>
          </w:p>
        </w:tc>
        <w:tc>
          <w:tcPr>
            <w:tcW w:w="2608" w:type="dxa"/>
          </w:tcPr>
          <w:p>
            <w:pPr>
              <w:pStyle w:val="0"/>
            </w:pPr>
            <w:r>
              <w:rPr>
                <w:sz w:val="24"/>
              </w:rPr>
            </w:r>
          </w:p>
        </w:tc>
        <w:tc>
          <w:tcPr>
            <w:tcW w:w="2948" w:type="dxa"/>
          </w:tcPr>
          <w:p>
            <w:pPr>
              <w:pStyle w:val="0"/>
            </w:pPr>
            <w:r>
              <w:rPr>
                <w:sz w:val="24"/>
              </w:rPr>
              <w:t xml:space="preserve">ins-dic:Vydveks_Nk</w:t>
            </w:r>
          </w:p>
        </w:tc>
      </w:tr>
      <w:tr>
        <w:tc>
          <w:tcPr>
            <w:tcW w:w="907" w:type="dxa"/>
          </w:tcPr>
          <w:p>
            <w:pPr>
              <w:pStyle w:val="0"/>
            </w:pPr>
            <w:r>
              <w:rPr>
                <w:sz w:val="24"/>
              </w:rPr>
              <w:t xml:space="preserve">60.1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60.2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60.3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60.4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60.5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60.6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428" w:name="P36428"/>
          <w:bookmarkEnd w:id="36428"/>
          <w:p>
            <w:pPr>
              <w:pStyle w:val="0"/>
            </w:pPr>
            <w:r>
              <w:rPr>
                <w:sz w:val="24"/>
              </w:rPr>
              <w:t xml:space="preserve">61</w:t>
            </w:r>
          </w:p>
        </w:tc>
        <w:tc>
          <w:tcPr>
            <w:gridSpan w:val="2"/>
            <w:tcW w:w="2608" w:type="dxa"/>
          </w:tcPr>
          <w:p>
            <w:pPr>
              <w:pStyle w:val="0"/>
            </w:pPr>
            <w:r>
              <w:rPr>
                <w:sz w:val="24"/>
              </w:rPr>
              <w:t xml:space="preserve">Балансовая стоимость выданного векселя</w:t>
            </w:r>
          </w:p>
        </w:tc>
        <w:tc>
          <w:tcPr>
            <w:tcW w:w="2608" w:type="dxa"/>
          </w:tcPr>
          <w:p>
            <w:pPr>
              <w:pStyle w:val="0"/>
            </w:pPr>
            <w:r>
              <w:rPr>
                <w:sz w:val="24"/>
              </w:rPr>
            </w:r>
          </w:p>
        </w:tc>
        <w:tc>
          <w:tcPr>
            <w:tcW w:w="2948" w:type="dxa"/>
          </w:tcPr>
          <w:p>
            <w:pPr>
              <w:pStyle w:val="0"/>
            </w:pPr>
            <w:r>
              <w:rPr>
                <w:sz w:val="24"/>
              </w:rPr>
              <w:t xml:space="preserve">ins-dic:Vydveks_Bs_Vsego</w:t>
            </w:r>
          </w:p>
        </w:tc>
      </w:tr>
      <w:tr>
        <w:tc>
          <w:tcPr>
            <w:tcW w:w="907" w:type="dxa"/>
          </w:tcPr>
          <w:p>
            <w:pPr>
              <w:pStyle w:val="0"/>
            </w:pPr>
            <w:r>
              <w:rPr>
                <w:sz w:val="24"/>
              </w:rPr>
              <w:t xml:space="preserve">61.1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61.2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61.3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61.4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61.5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61.6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456" w:name="P36456"/>
          <w:bookmarkEnd w:id="36456"/>
          <w:p>
            <w:pPr>
              <w:pStyle w:val="0"/>
            </w:pPr>
            <w:r>
              <w:rPr>
                <w:sz w:val="24"/>
              </w:rPr>
              <w:t xml:space="preserve">62</w:t>
            </w:r>
          </w:p>
        </w:tc>
        <w:tc>
          <w:tcPr>
            <w:gridSpan w:val="2"/>
            <w:tcW w:w="2608" w:type="dxa"/>
          </w:tcPr>
          <w:p>
            <w:pPr>
              <w:pStyle w:val="0"/>
            </w:pPr>
            <w:r>
              <w:rPr>
                <w:sz w:val="24"/>
              </w:rPr>
              <w:t xml:space="preserve">Сумма, фактически уплаченная по обязательствам по векселю</w:t>
            </w:r>
          </w:p>
        </w:tc>
        <w:tc>
          <w:tcPr>
            <w:tcW w:w="2608" w:type="dxa"/>
          </w:tcPr>
          <w:p>
            <w:pPr>
              <w:pStyle w:val="0"/>
            </w:pPr>
            <w:r>
              <w:rPr>
                <w:sz w:val="24"/>
              </w:rPr>
            </w:r>
          </w:p>
        </w:tc>
        <w:tc>
          <w:tcPr>
            <w:tcW w:w="2948" w:type="dxa"/>
          </w:tcPr>
          <w:p>
            <w:pPr>
              <w:pStyle w:val="0"/>
            </w:pPr>
            <w:r>
              <w:rPr>
                <w:sz w:val="24"/>
              </w:rPr>
              <w:t xml:space="preserve">ins-dic:VydVeks_Summa_Uplach_Vsego</w:t>
            </w:r>
          </w:p>
        </w:tc>
      </w:tr>
      <w:tr>
        <w:tc>
          <w:tcPr>
            <w:tcW w:w="907" w:type="dxa"/>
          </w:tcPr>
          <w:p>
            <w:pPr>
              <w:pStyle w:val="0"/>
            </w:pPr>
            <w:r>
              <w:rPr>
                <w:sz w:val="24"/>
              </w:rPr>
              <w:t xml:space="preserve">62.1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62.2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62.3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62.4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62.5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62.6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484" w:name="P36484"/>
          <w:bookmarkEnd w:id="36484"/>
          <w:p>
            <w:pPr>
              <w:pStyle w:val="0"/>
            </w:pPr>
            <w:r>
              <w:rPr>
                <w:sz w:val="24"/>
              </w:rPr>
              <w:t xml:space="preserve">63</w:t>
            </w:r>
          </w:p>
        </w:tc>
        <w:tc>
          <w:tcPr>
            <w:gridSpan w:val="2"/>
            <w:tcW w:w="2608" w:type="dxa"/>
          </w:tcPr>
          <w:p>
            <w:pPr>
              <w:pStyle w:val="0"/>
            </w:pPr>
            <w:r>
              <w:rPr>
                <w:sz w:val="24"/>
              </w:rPr>
              <w:t xml:space="preserve">Вид актива, переданного при погашении векселя</w:t>
            </w:r>
          </w:p>
        </w:tc>
        <w:tc>
          <w:tcPr>
            <w:tcW w:w="2608" w:type="dxa"/>
          </w:tcPr>
          <w:p>
            <w:pPr>
              <w:pStyle w:val="0"/>
            </w:pPr>
            <w:r>
              <w:rPr>
                <w:sz w:val="24"/>
              </w:rPr>
            </w:r>
          </w:p>
        </w:tc>
        <w:tc>
          <w:tcPr>
            <w:tcW w:w="2948" w:type="dxa"/>
          </w:tcPr>
          <w:p>
            <w:pPr>
              <w:pStyle w:val="0"/>
            </w:pPr>
            <w:r>
              <w:rPr>
                <w:sz w:val="24"/>
              </w:rPr>
              <w:t xml:space="preserve">ins-dic:Vid_A_Veksel_Pogash</w:t>
            </w:r>
          </w:p>
        </w:tc>
      </w:tr>
      <w:tr>
        <w:tc>
          <w:tcPr>
            <w:tcW w:w="907" w:type="dxa"/>
          </w:tcPr>
          <w:p>
            <w:pPr>
              <w:pStyle w:val="0"/>
            </w:pPr>
            <w:r>
              <w:rPr>
                <w:sz w:val="24"/>
              </w:rPr>
              <w:t xml:space="preserve">63.1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63.2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63.3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63.4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63.5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63.6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512" w:name="P36512"/>
          <w:bookmarkEnd w:id="36512"/>
          <w:p>
            <w:pPr>
              <w:pStyle w:val="0"/>
            </w:pPr>
            <w:r>
              <w:rPr>
                <w:sz w:val="24"/>
              </w:rPr>
              <w:t xml:space="preserve">64</w:t>
            </w:r>
          </w:p>
        </w:tc>
        <w:tc>
          <w:tcPr>
            <w:gridSpan w:val="2"/>
            <w:tcW w:w="2608" w:type="dxa"/>
          </w:tcPr>
          <w:p>
            <w:pPr>
              <w:pStyle w:val="0"/>
            </w:pPr>
            <w:r>
              <w:rPr>
                <w:sz w:val="24"/>
              </w:rPr>
              <w:t xml:space="preserve">Наименование и назначение объекта недвижимости, переданного при погашении векселя</w:t>
            </w:r>
          </w:p>
        </w:tc>
        <w:tc>
          <w:tcPr>
            <w:tcW w:w="2608" w:type="dxa"/>
          </w:tcPr>
          <w:p>
            <w:pPr>
              <w:pStyle w:val="0"/>
            </w:pPr>
            <w:r>
              <w:rPr>
                <w:sz w:val="24"/>
              </w:rPr>
            </w:r>
          </w:p>
        </w:tc>
        <w:tc>
          <w:tcPr>
            <w:tcW w:w="2948" w:type="dxa"/>
          </w:tcPr>
          <w:p>
            <w:pPr>
              <w:pStyle w:val="0"/>
            </w:pPr>
            <w:r>
              <w:rPr>
                <w:sz w:val="24"/>
              </w:rPr>
              <w:t xml:space="preserve">ins-dic:NaimNaznObektNedvizhPeredanPogashVeks</w:t>
            </w:r>
          </w:p>
        </w:tc>
      </w:tr>
      <w:tr>
        <w:tc>
          <w:tcPr>
            <w:tcW w:w="907" w:type="dxa"/>
          </w:tcPr>
          <w:p>
            <w:pPr>
              <w:pStyle w:val="0"/>
            </w:pPr>
            <w:r>
              <w:rPr>
                <w:sz w:val="24"/>
              </w:rPr>
              <w:t xml:space="preserve">64.1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64.2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64.3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64.4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64.5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64.6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540" w:name="P36540"/>
          <w:bookmarkEnd w:id="36540"/>
          <w:p>
            <w:pPr>
              <w:pStyle w:val="0"/>
            </w:pPr>
            <w:r>
              <w:rPr>
                <w:sz w:val="24"/>
              </w:rPr>
              <w:t xml:space="preserve">65</w:t>
            </w:r>
          </w:p>
        </w:tc>
        <w:tc>
          <w:tcPr>
            <w:gridSpan w:val="2"/>
            <w:tcW w:w="2608" w:type="dxa"/>
          </w:tcPr>
          <w:p>
            <w:pPr>
              <w:pStyle w:val="0"/>
            </w:pPr>
            <w:r>
              <w:rPr>
                <w:sz w:val="24"/>
              </w:rPr>
              <w:t xml:space="preserve">Идентификационный код актива, переданного при погашении актива</w:t>
            </w:r>
          </w:p>
        </w:tc>
        <w:tc>
          <w:tcPr>
            <w:tcW w:w="2608" w:type="dxa"/>
          </w:tcPr>
          <w:p>
            <w:pPr>
              <w:pStyle w:val="0"/>
            </w:pPr>
            <w:r>
              <w:rPr>
                <w:sz w:val="24"/>
              </w:rPr>
            </w:r>
          </w:p>
        </w:tc>
        <w:tc>
          <w:tcPr>
            <w:tcW w:w="2948" w:type="dxa"/>
          </w:tcPr>
          <w:p>
            <w:pPr>
              <w:pStyle w:val="0"/>
            </w:pPr>
            <w:r>
              <w:rPr>
                <w:sz w:val="24"/>
              </w:rPr>
              <w:t xml:space="preserve">ins-dic:Kod_A_Pogash</w:t>
            </w:r>
          </w:p>
        </w:tc>
      </w:tr>
      <w:tr>
        <w:tc>
          <w:tcPr>
            <w:tcW w:w="907" w:type="dxa"/>
          </w:tcPr>
          <w:p>
            <w:pPr>
              <w:pStyle w:val="0"/>
            </w:pPr>
            <w:r>
              <w:rPr>
                <w:sz w:val="24"/>
              </w:rPr>
              <w:t xml:space="preserve">65.1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65.2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65.3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65.4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65.5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65.6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c>
          <w:tcPr>
            <w:tcW w:w="907" w:type="dxa"/>
          </w:tcPr>
          <w:bookmarkStart w:id="36568" w:name="P36568"/>
          <w:bookmarkEnd w:id="36568"/>
          <w:p>
            <w:pPr>
              <w:pStyle w:val="0"/>
            </w:pPr>
            <w:r>
              <w:rPr>
                <w:sz w:val="24"/>
              </w:rPr>
              <w:t xml:space="preserve">66</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66.1</w:t>
            </w:r>
          </w:p>
        </w:tc>
        <w:tc>
          <w:tcPr>
            <w:gridSpan w:val="2"/>
            <w:tcW w:w="2608" w:type="dxa"/>
          </w:tcPr>
          <w:p>
            <w:pPr>
              <w:pStyle w:val="0"/>
            </w:pPr>
            <w:r>
              <w:rPr>
                <w:sz w:val="24"/>
              </w:rPr>
            </w:r>
          </w:p>
        </w:tc>
        <w:tc>
          <w:tcPr>
            <w:tcW w:w="2608" w:type="dxa"/>
          </w:tcPr>
          <w:p>
            <w:pPr>
              <w:pStyle w:val="0"/>
            </w:pPr>
            <w:r>
              <w:rPr>
                <w:sz w:val="24"/>
              </w:rPr>
              <w:t xml:space="preserve">Идентификатор выданного векселя</w:t>
            </w:r>
          </w:p>
        </w:tc>
        <w:tc>
          <w:tcPr>
            <w:tcW w:w="2948" w:type="dxa"/>
          </w:tcPr>
          <w:p>
            <w:pPr>
              <w:pStyle w:val="0"/>
            </w:pPr>
            <w:r>
              <w:rPr>
                <w:sz w:val="24"/>
              </w:rPr>
              <w:t xml:space="preserve">dim-int:IDVydVeksTaxis</w:t>
            </w:r>
          </w:p>
        </w:tc>
      </w:tr>
      <w:tr>
        <w:tc>
          <w:tcPr>
            <w:tcW w:w="907" w:type="dxa"/>
          </w:tcPr>
          <w:p>
            <w:pPr>
              <w:pStyle w:val="0"/>
            </w:pPr>
            <w:r>
              <w:rPr>
                <w:sz w:val="24"/>
              </w:rPr>
              <w:t xml:space="preserve">66.2</w:t>
            </w:r>
          </w:p>
        </w:tc>
        <w:tc>
          <w:tcPr>
            <w:gridSpan w:val="2"/>
            <w:tcW w:w="2608" w:type="dxa"/>
          </w:tcPr>
          <w:p>
            <w:pPr>
              <w:pStyle w:val="0"/>
            </w:pPr>
            <w:r>
              <w:rPr>
                <w:sz w:val="24"/>
              </w:rPr>
            </w:r>
          </w:p>
        </w:tc>
        <w:tc>
          <w:tcPr>
            <w:tcW w:w="2608" w:type="dxa"/>
          </w:tcPr>
          <w:p>
            <w:pPr>
              <w:pStyle w:val="0"/>
            </w:pPr>
            <w:r>
              <w:rPr>
                <w:sz w:val="24"/>
              </w:rPr>
              <w:t xml:space="preserve">Идентификатор первого векселедержателя</w:t>
            </w:r>
          </w:p>
        </w:tc>
        <w:tc>
          <w:tcPr>
            <w:tcW w:w="2948" w:type="dxa"/>
          </w:tcPr>
          <w:p>
            <w:pPr>
              <w:pStyle w:val="0"/>
            </w:pPr>
            <w:r>
              <w:rPr>
                <w:sz w:val="24"/>
              </w:rPr>
              <w:t xml:space="preserve">dim-int:IDPervVekselederzhTaxis</w:t>
            </w:r>
          </w:p>
        </w:tc>
      </w:tr>
      <w:tr>
        <w:tc>
          <w:tcPr>
            <w:tcW w:w="907" w:type="dxa"/>
          </w:tcPr>
          <w:p>
            <w:pPr>
              <w:pStyle w:val="0"/>
            </w:pPr>
            <w:r>
              <w:rPr>
                <w:sz w:val="24"/>
              </w:rPr>
              <w:t xml:space="preserve">66.3</w:t>
            </w:r>
          </w:p>
        </w:tc>
        <w:tc>
          <w:tcPr>
            <w:gridSpan w:val="2"/>
            <w:tcW w:w="2608" w:type="dxa"/>
          </w:tcPr>
          <w:p>
            <w:pPr>
              <w:pStyle w:val="0"/>
            </w:pPr>
            <w:r>
              <w:rPr>
                <w:sz w:val="24"/>
              </w:rPr>
            </w:r>
          </w:p>
        </w:tc>
        <w:tc>
          <w:tcPr>
            <w:tcW w:w="2608" w:type="dxa"/>
          </w:tcPr>
          <w:p>
            <w:pPr>
              <w:pStyle w:val="0"/>
            </w:pPr>
            <w:r>
              <w:rPr>
                <w:sz w:val="24"/>
              </w:rPr>
              <w:t xml:space="preserve">Идентификатор плательщика по векселю</w:t>
            </w:r>
          </w:p>
        </w:tc>
        <w:tc>
          <w:tcPr>
            <w:tcW w:w="2948" w:type="dxa"/>
          </w:tcPr>
          <w:p>
            <w:pPr>
              <w:pStyle w:val="0"/>
            </w:pPr>
            <w:r>
              <w:rPr>
                <w:sz w:val="24"/>
              </w:rPr>
              <w:t xml:space="preserve">dim-int:IDPlatPoVeksTaxis</w:t>
            </w:r>
          </w:p>
        </w:tc>
      </w:tr>
      <w:tr>
        <w:tc>
          <w:tcPr>
            <w:tcW w:w="907" w:type="dxa"/>
          </w:tcPr>
          <w:p>
            <w:pPr>
              <w:pStyle w:val="0"/>
            </w:pPr>
            <w:r>
              <w:rPr>
                <w:sz w:val="24"/>
              </w:rPr>
              <w:t xml:space="preserve">66.4</w:t>
            </w:r>
          </w:p>
        </w:tc>
        <w:tc>
          <w:tcPr>
            <w:gridSpan w:val="2"/>
            <w:tcW w:w="2608" w:type="dxa"/>
          </w:tcPr>
          <w:p>
            <w:pPr>
              <w:pStyle w:val="0"/>
            </w:pPr>
            <w:r>
              <w:rPr>
                <w:sz w:val="24"/>
              </w:rPr>
            </w:r>
          </w:p>
        </w:tc>
        <w:tc>
          <w:tcPr>
            <w:tcW w:w="2608" w:type="dxa"/>
          </w:tcPr>
          <w:p>
            <w:pPr>
              <w:pStyle w:val="0"/>
            </w:pPr>
            <w:r>
              <w:rPr>
                <w:sz w:val="24"/>
              </w:rPr>
              <w:t xml:space="preserve">Идентификатор векселедержателя</w:t>
            </w:r>
          </w:p>
        </w:tc>
        <w:tc>
          <w:tcPr>
            <w:tcW w:w="2948" w:type="dxa"/>
          </w:tcPr>
          <w:p>
            <w:pPr>
              <w:pStyle w:val="0"/>
            </w:pPr>
            <w:r>
              <w:rPr>
                <w:sz w:val="24"/>
              </w:rPr>
              <w:t xml:space="preserve">dim-int:Id_Derzhatelya_VekselyaTaxis</w:t>
            </w:r>
          </w:p>
        </w:tc>
      </w:tr>
      <w:tr>
        <w:tc>
          <w:tcPr>
            <w:tcW w:w="907" w:type="dxa"/>
          </w:tcPr>
          <w:p>
            <w:pPr>
              <w:pStyle w:val="0"/>
            </w:pPr>
            <w:r>
              <w:rPr>
                <w:sz w:val="24"/>
              </w:rPr>
              <w:t xml:space="preserve">66.5</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полученному от реализации векселя</w:t>
            </w:r>
          </w:p>
        </w:tc>
        <w:tc>
          <w:tcPr>
            <w:tcW w:w="2948" w:type="dxa"/>
          </w:tcPr>
          <w:p>
            <w:pPr>
              <w:pStyle w:val="0"/>
            </w:pPr>
            <w:r>
              <w:rPr>
                <w:sz w:val="24"/>
              </w:rPr>
              <w:t xml:space="preserve">dim-int:IDKontrAktPoluchRealVeksTaxis</w:t>
            </w:r>
          </w:p>
        </w:tc>
      </w:tr>
      <w:tr>
        <w:tc>
          <w:tcPr>
            <w:tcW w:w="907" w:type="dxa"/>
          </w:tcPr>
          <w:p>
            <w:pPr>
              <w:pStyle w:val="0"/>
            </w:pPr>
            <w:r>
              <w:rPr>
                <w:sz w:val="24"/>
              </w:rPr>
              <w:t xml:space="preserve">66.6</w:t>
            </w:r>
          </w:p>
        </w:tc>
        <w:tc>
          <w:tcPr>
            <w:gridSpan w:val="2"/>
            <w:tcW w:w="2608" w:type="dxa"/>
          </w:tcPr>
          <w:p>
            <w:pPr>
              <w:pStyle w:val="0"/>
            </w:pPr>
            <w:r>
              <w:rPr>
                <w:sz w:val="24"/>
              </w:rPr>
            </w:r>
          </w:p>
        </w:tc>
        <w:tc>
          <w:tcPr>
            <w:tcW w:w="2608" w:type="dxa"/>
          </w:tcPr>
          <w:p>
            <w:pPr>
              <w:pStyle w:val="0"/>
            </w:pPr>
            <w:r>
              <w:rPr>
                <w:sz w:val="24"/>
              </w:rPr>
              <w:t xml:space="preserve">Идентификатор контрагента по активу, переданному при погашении векселя</w:t>
            </w:r>
          </w:p>
        </w:tc>
        <w:tc>
          <w:tcPr>
            <w:tcW w:w="2948" w:type="dxa"/>
          </w:tcPr>
          <w:p>
            <w:pPr>
              <w:pStyle w:val="0"/>
            </w:pPr>
            <w:r>
              <w:rPr>
                <w:sz w:val="24"/>
              </w:rPr>
              <w:t xml:space="preserve">dim-int:IDKontrAktPeredPogashVeksTaxis</w:t>
            </w:r>
          </w:p>
        </w:tc>
      </w:tr>
      <w:tr>
        <w:tblPrEx>
          <w:tblBorders>
            <w:insideV w:val="nil"/>
          </w:tblBorders>
        </w:tblPrEx>
        <w:tc>
          <w:tcPr>
            <w:gridSpan w:val="2"/>
            <w:tcW w:w="1268" w:type="dxa"/>
            <w:tcBorders>
              <w:left w:val="single" w:sz="4"/>
            </w:tcBorders>
          </w:tcPr>
          <w:bookmarkStart w:id="36596" w:name="P36596"/>
          <w:bookmarkEnd w:id="36596"/>
          <w:p>
            <w:pPr>
              <w:pStyle w:val="0"/>
              <w:outlineLvl w:val="3"/>
            </w:pPr>
            <w:r>
              <w:rPr>
                <w:sz w:val="24"/>
              </w:rPr>
              <w:t xml:space="preserve">Раздел 4.</w:t>
            </w:r>
          </w:p>
        </w:tc>
        <w:tc>
          <w:tcPr>
            <w:gridSpan w:val="3"/>
            <w:tcW w:w="7803" w:type="dxa"/>
            <w:tcBorders>
              <w:right w:val="single" w:sz="4"/>
            </w:tcBorders>
          </w:tcPr>
          <w:p>
            <w:pPr>
              <w:pStyle w:val="0"/>
              <w:jc w:val="both"/>
            </w:pPr>
            <w:r>
              <w:rPr>
                <w:sz w:val="24"/>
              </w:rPr>
              <w:t xml:space="preserve">Выпущенные облигации</w:t>
            </w:r>
          </w:p>
        </w:tc>
      </w:tr>
      <w:tr>
        <w:tc>
          <w:tcPr>
            <w:tcW w:w="907" w:type="dxa"/>
          </w:tcPr>
          <w:bookmarkStart w:id="36598" w:name="P36598"/>
          <w:bookmarkEnd w:id="36598"/>
          <w:p>
            <w:pPr>
              <w:pStyle w:val="0"/>
            </w:pPr>
            <w:r>
              <w:rPr>
                <w:sz w:val="24"/>
              </w:rPr>
              <w:t xml:space="preserve">67</w:t>
            </w:r>
          </w:p>
        </w:tc>
        <w:tc>
          <w:tcPr>
            <w:gridSpan w:val="2"/>
            <w:tcW w:w="2608" w:type="dxa"/>
          </w:tcPr>
          <w:p>
            <w:pPr>
              <w:pStyle w:val="0"/>
            </w:pPr>
            <w:r>
              <w:rPr>
                <w:sz w:val="24"/>
              </w:rPr>
              <w:t xml:space="preserve">Регистрационный номер выпуска облигаций</w:t>
            </w:r>
          </w:p>
        </w:tc>
        <w:tc>
          <w:tcPr>
            <w:tcW w:w="2608" w:type="dxa"/>
          </w:tcPr>
          <w:p>
            <w:pPr>
              <w:pStyle w:val="0"/>
            </w:pPr>
            <w:r>
              <w:rPr>
                <w:sz w:val="24"/>
              </w:rPr>
            </w:r>
          </w:p>
        </w:tc>
        <w:tc>
          <w:tcPr>
            <w:tcW w:w="2948" w:type="dxa"/>
          </w:tcPr>
          <w:p>
            <w:pPr>
              <w:pStyle w:val="0"/>
            </w:pPr>
            <w:r>
              <w:rPr>
                <w:sz w:val="24"/>
              </w:rPr>
              <w:t xml:space="preserve">ins-dic:Reg_Nomer_Vyp_Oblig</w:t>
            </w:r>
          </w:p>
        </w:tc>
      </w:tr>
      <w:tr>
        <w:tc>
          <w:tcPr>
            <w:tcW w:w="907" w:type="dxa"/>
          </w:tcPr>
          <w:p>
            <w:pPr>
              <w:pStyle w:val="0"/>
            </w:pPr>
            <w:r>
              <w:rPr>
                <w:sz w:val="24"/>
              </w:rPr>
              <w:t xml:space="preserve">67.1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06" w:name="P36606"/>
          <w:bookmarkEnd w:id="36606"/>
          <w:p>
            <w:pPr>
              <w:pStyle w:val="0"/>
            </w:pPr>
            <w:r>
              <w:rPr>
                <w:sz w:val="24"/>
              </w:rPr>
              <w:t xml:space="preserve">68</w:t>
            </w:r>
          </w:p>
        </w:tc>
        <w:tc>
          <w:tcPr>
            <w:gridSpan w:val="2"/>
            <w:tcW w:w="2608" w:type="dxa"/>
          </w:tcPr>
          <w:p>
            <w:pPr>
              <w:pStyle w:val="0"/>
            </w:pPr>
            <w:r>
              <w:rPr>
                <w:sz w:val="24"/>
              </w:rPr>
              <w:t xml:space="preserve">Дата регистрации</w:t>
            </w:r>
          </w:p>
        </w:tc>
        <w:tc>
          <w:tcPr>
            <w:tcW w:w="2608" w:type="dxa"/>
          </w:tcPr>
          <w:p>
            <w:pPr>
              <w:pStyle w:val="0"/>
            </w:pPr>
            <w:r>
              <w:rPr>
                <w:sz w:val="24"/>
              </w:rPr>
            </w:r>
          </w:p>
        </w:tc>
        <w:tc>
          <w:tcPr>
            <w:tcW w:w="2948" w:type="dxa"/>
          </w:tcPr>
          <w:p>
            <w:pPr>
              <w:pStyle w:val="0"/>
            </w:pPr>
            <w:r>
              <w:rPr>
                <w:sz w:val="24"/>
              </w:rPr>
              <w:t xml:space="preserve">ins-dic:Data_Reg_Vyp_Oblig</w:t>
            </w:r>
          </w:p>
        </w:tc>
      </w:tr>
      <w:tr>
        <w:tc>
          <w:tcPr>
            <w:tcW w:w="907" w:type="dxa"/>
          </w:tcPr>
          <w:p>
            <w:pPr>
              <w:pStyle w:val="0"/>
            </w:pPr>
            <w:r>
              <w:rPr>
                <w:sz w:val="24"/>
              </w:rPr>
              <w:t xml:space="preserve">68.1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14" w:name="P36614"/>
          <w:bookmarkEnd w:id="36614"/>
          <w:p>
            <w:pPr>
              <w:pStyle w:val="0"/>
            </w:pPr>
            <w:r>
              <w:rPr>
                <w:sz w:val="24"/>
              </w:rPr>
              <w:t xml:space="preserve">69</w:t>
            </w:r>
          </w:p>
        </w:tc>
        <w:tc>
          <w:tcPr>
            <w:gridSpan w:val="2"/>
            <w:tcW w:w="2608" w:type="dxa"/>
          </w:tcPr>
          <w:p>
            <w:pPr>
              <w:pStyle w:val="0"/>
            </w:pPr>
            <w:r>
              <w:rPr>
                <w:sz w:val="24"/>
              </w:rPr>
              <w:t xml:space="preserve">Наименование регистрирующего органа</w:t>
            </w:r>
          </w:p>
        </w:tc>
        <w:tc>
          <w:tcPr>
            <w:tcW w:w="2608" w:type="dxa"/>
          </w:tcPr>
          <w:p>
            <w:pPr>
              <w:pStyle w:val="0"/>
            </w:pPr>
            <w:r>
              <w:rPr>
                <w:sz w:val="24"/>
              </w:rPr>
            </w:r>
          </w:p>
        </w:tc>
        <w:tc>
          <w:tcPr>
            <w:tcW w:w="2948" w:type="dxa"/>
          </w:tcPr>
          <w:p>
            <w:pPr>
              <w:pStyle w:val="0"/>
            </w:pPr>
            <w:r>
              <w:rPr>
                <w:sz w:val="24"/>
              </w:rPr>
              <w:t xml:space="preserve">ins-dic:Naim_Reg_Organa</w:t>
            </w:r>
          </w:p>
        </w:tc>
      </w:tr>
      <w:tr>
        <w:tc>
          <w:tcPr>
            <w:tcW w:w="907" w:type="dxa"/>
          </w:tcPr>
          <w:p>
            <w:pPr>
              <w:pStyle w:val="0"/>
            </w:pPr>
            <w:r>
              <w:rPr>
                <w:sz w:val="24"/>
              </w:rPr>
              <w:t xml:space="preserve">69.1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22" w:name="P36622"/>
          <w:bookmarkEnd w:id="36622"/>
          <w:p>
            <w:pPr>
              <w:pStyle w:val="0"/>
            </w:pPr>
            <w:r>
              <w:rPr>
                <w:sz w:val="24"/>
              </w:rPr>
              <w:t xml:space="preserve">70</w:t>
            </w:r>
          </w:p>
        </w:tc>
        <w:tc>
          <w:tcPr>
            <w:gridSpan w:val="2"/>
            <w:tcW w:w="2608" w:type="dxa"/>
          </w:tcPr>
          <w:p>
            <w:pPr>
              <w:pStyle w:val="0"/>
            </w:pPr>
            <w:r>
              <w:rPr>
                <w:sz w:val="24"/>
              </w:rPr>
              <w:t xml:space="preserve">Дата начала размещения выпущенных облигаций</w:t>
            </w:r>
          </w:p>
        </w:tc>
        <w:tc>
          <w:tcPr>
            <w:tcW w:w="2608" w:type="dxa"/>
          </w:tcPr>
          <w:p>
            <w:pPr>
              <w:pStyle w:val="0"/>
            </w:pPr>
            <w:r>
              <w:rPr>
                <w:sz w:val="24"/>
              </w:rPr>
            </w:r>
          </w:p>
        </w:tc>
        <w:tc>
          <w:tcPr>
            <w:tcW w:w="2948" w:type="dxa"/>
          </w:tcPr>
          <w:p>
            <w:pPr>
              <w:pStyle w:val="0"/>
            </w:pPr>
            <w:r>
              <w:rPr>
                <w:sz w:val="24"/>
              </w:rPr>
              <w:t xml:space="preserve">ins-dic:Data_Nach_Razm_Vyp_Oblig</w:t>
            </w:r>
          </w:p>
        </w:tc>
      </w:tr>
      <w:tr>
        <w:tc>
          <w:tcPr>
            <w:tcW w:w="907" w:type="dxa"/>
          </w:tcPr>
          <w:p>
            <w:pPr>
              <w:pStyle w:val="0"/>
            </w:pPr>
            <w:r>
              <w:rPr>
                <w:sz w:val="24"/>
              </w:rPr>
              <w:t xml:space="preserve">70.1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dim-int:lDVypOblTaxis</w:t>
            </w:r>
          </w:p>
        </w:tc>
      </w:tr>
      <w:tr>
        <w:tc>
          <w:tcPr>
            <w:tcW w:w="907" w:type="dxa"/>
          </w:tcPr>
          <w:bookmarkStart w:id="36630" w:name="P36630"/>
          <w:bookmarkEnd w:id="36630"/>
          <w:p>
            <w:pPr>
              <w:pStyle w:val="0"/>
            </w:pPr>
            <w:r>
              <w:rPr>
                <w:sz w:val="24"/>
              </w:rPr>
              <w:t xml:space="preserve">71</w:t>
            </w:r>
          </w:p>
        </w:tc>
        <w:tc>
          <w:tcPr>
            <w:gridSpan w:val="2"/>
            <w:tcW w:w="2608" w:type="dxa"/>
          </w:tcPr>
          <w:p>
            <w:pPr>
              <w:pStyle w:val="0"/>
            </w:pPr>
            <w:r>
              <w:rPr>
                <w:sz w:val="24"/>
              </w:rPr>
              <w:t xml:space="preserve">Дата окончания размещения выпущенных облигаций</w:t>
            </w:r>
          </w:p>
        </w:tc>
        <w:tc>
          <w:tcPr>
            <w:tcW w:w="2608" w:type="dxa"/>
          </w:tcPr>
          <w:p>
            <w:pPr>
              <w:pStyle w:val="0"/>
            </w:pPr>
            <w:r>
              <w:rPr>
                <w:sz w:val="24"/>
              </w:rPr>
            </w:r>
          </w:p>
        </w:tc>
        <w:tc>
          <w:tcPr>
            <w:tcW w:w="2948" w:type="dxa"/>
          </w:tcPr>
          <w:p>
            <w:pPr>
              <w:pStyle w:val="0"/>
            </w:pPr>
            <w:r>
              <w:rPr>
                <w:sz w:val="24"/>
              </w:rPr>
              <w:t xml:space="preserve">ins-dic:Data_Okonch_Razm_Vyp_Oblig</w:t>
            </w:r>
          </w:p>
        </w:tc>
      </w:tr>
      <w:tr>
        <w:tc>
          <w:tcPr>
            <w:tcW w:w="907" w:type="dxa"/>
          </w:tcPr>
          <w:p>
            <w:pPr>
              <w:pStyle w:val="0"/>
            </w:pPr>
            <w:r>
              <w:rPr>
                <w:sz w:val="24"/>
              </w:rPr>
              <w:t xml:space="preserve">71.1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38" w:name="P36638"/>
          <w:bookmarkEnd w:id="36638"/>
          <w:p>
            <w:pPr>
              <w:pStyle w:val="0"/>
            </w:pPr>
            <w:r>
              <w:rPr>
                <w:sz w:val="24"/>
              </w:rPr>
              <w:t xml:space="preserve">72</w:t>
            </w:r>
          </w:p>
        </w:tc>
        <w:tc>
          <w:tcPr>
            <w:gridSpan w:val="2"/>
            <w:tcW w:w="2608" w:type="dxa"/>
          </w:tcPr>
          <w:p>
            <w:pPr>
              <w:pStyle w:val="0"/>
            </w:pPr>
            <w:r>
              <w:rPr>
                <w:sz w:val="24"/>
              </w:rPr>
              <w:t xml:space="preserve">Код выпуска облигаций</w:t>
            </w:r>
          </w:p>
        </w:tc>
        <w:tc>
          <w:tcPr>
            <w:tcW w:w="2608" w:type="dxa"/>
          </w:tcPr>
          <w:p>
            <w:pPr>
              <w:pStyle w:val="0"/>
            </w:pPr>
            <w:r>
              <w:rPr>
                <w:sz w:val="24"/>
              </w:rPr>
            </w:r>
          </w:p>
        </w:tc>
        <w:tc>
          <w:tcPr>
            <w:tcW w:w="2948" w:type="dxa"/>
          </w:tcPr>
          <w:p>
            <w:pPr>
              <w:pStyle w:val="0"/>
            </w:pPr>
            <w:r>
              <w:rPr>
                <w:sz w:val="24"/>
              </w:rPr>
              <w:t xml:space="preserve">ins-dic:Kod_Vyp_Obl</w:t>
            </w:r>
          </w:p>
        </w:tc>
      </w:tr>
      <w:tr>
        <w:tc>
          <w:tcPr>
            <w:tcW w:w="907" w:type="dxa"/>
          </w:tcPr>
          <w:p>
            <w:pPr>
              <w:pStyle w:val="0"/>
            </w:pPr>
            <w:r>
              <w:rPr>
                <w:sz w:val="24"/>
              </w:rPr>
              <w:t xml:space="preserve">72.1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46" w:name="P36646"/>
          <w:bookmarkEnd w:id="36646"/>
          <w:p>
            <w:pPr>
              <w:pStyle w:val="0"/>
            </w:pPr>
            <w:r>
              <w:rPr>
                <w:sz w:val="24"/>
              </w:rPr>
              <w:t xml:space="preserve">73</w:t>
            </w:r>
          </w:p>
        </w:tc>
        <w:tc>
          <w:tcPr>
            <w:gridSpan w:val="2"/>
            <w:tcW w:w="2608" w:type="dxa"/>
          </w:tcPr>
          <w:p>
            <w:pPr>
              <w:pStyle w:val="0"/>
            </w:pPr>
            <w:r>
              <w:rPr>
                <w:sz w:val="24"/>
              </w:rPr>
              <w:t xml:space="preserve">Код валюты</w:t>
            </w:r>
          </w:p>
        </w:tc>
        <w:tc>
          <w:tcPr>
            <w:tcW w:w="2608" w:type="dxa"/>
          </w:tcPr>
          <w:p>
            <w:pPr>
              <w:pStyle w:val="0"/>
            </w:pPr>
            <w:r>
              <w:rPr>
                <w:sz w:val="24"/>
              </w:rPr>
            </w:r>
          </w:p>
        </w:tc>
        <w:tc>
          <w:tcPr>
            <w:tcW w:w="2948" w:type="dxa"/>
          </w:tcPr>
          <w:p>
            <w:pPr>
              <w:pStyle w:val="0"/>
            </w:pPr>
            <w:r>
              <w:rPr>
                <w:sz w:val="24"/>
              </w:rPr>
              <w:t xml:space="preserve">ins-dic:Kod_Valyuty_Enumerator</w:t>
            </w:r>
          </w:p>
        </w:tc>
      </w:tr>
      <w:tr>
        <w:tc>
          <w:tcPr>
            <w:tcW w:w="907" w:type="dxa"/>
          </w:tcPr>
          <w:p>
            <w:pPr>
              <w:pStyle w:val="0"/>
            </w:pPr>
            <w:r>
              <w:rPr>
                <w:sz w:val="24"/>
              </w:rPr>
              <w:t xml:space="preserve">73.1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54" w:name="P36654"/>
          <w:bookmarkEnd w:id="36654"/>
          <w:p>
            <w:pPr>
              <w:pStyle w:val="0"/>
            </w:pPr>
            <w:r>
              <w:rPr>
                <w:sz w:val="24"/>
              </w:rPr>
              <w:t xml:space="preserve">74</w:t>
            </w:r>
          </w:p>
        </w:tc>
        <w:tc>
          <w:tcPr>
            <w:gridSpan w:val="2"/>
            <w:tcW w:w="2608" w:type="dxa"/>
          </w:tcPr>
          <w:p>
            <w:pPr>
              <w:pStyle w:val="0"/>
            </w:pPr>
            <w:r>
              <w:rPr>
                <w:sz w:val="24"/>
              </w:rPr>
              <w:t xml:space="preserve">Номинальная стоимость одного выпуска облигаций, в единицах валюты номинала</w:t>
            </w:r>
          </w:p>
        </w:tc>
        <w:tc>
          <w:tcPr>
            <w:tcW w:w="2608" w:type="dxa"/>
          </w:tcPr>
          <w:p>
            <w:pPr>
              <w:pStyle w:val="0"/>
            </w:pPr>
            <w:r>
              <w:rPr>
                <w:sz w:val="24"/>
              </w:rPr>
            </w:r>
          </w:p>
        </w:tc>
        <w:tc>
          <w:tcPr>
            <w:tcW w:w="2948" w:type="dxa"/>
          </w:tcPr>
          <w:p>
            <w:pPr>
              <w:pStyle w:val="0"/>
            </w:pPr>
            <w:r>
              <w:rPr>
                <w:sz w:val="24"/>
              </w:rPr>
              <w:t xml:space="preserve">ins-dic:Vypobl_Nominal_Valyuta_1_Vypusk_Obligaczij</w:t>
            </w:r>
          </w:p>
        </w:tc>
      </w:tr>
      <w:tr>
        <w:tc>
          <w:tcPr>
            <w:tcW w:w="907" w:type="dxa"/>
          </w:tcPr>
          <w:p>
            <w:pPr>
              <w:pStyle w:val="0"/>
            </w:pPr>
            <w:r>
              <w:rPr>
                <w:sz w:val="24"/>
              </w:rPr>
              <w:t xml:space="preserve">74.1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62" w:name="P36662"/>
          <w:bookmarkEnd w:id="36662"/>
          <w:p>
            <w:pPr>
              <w:pStyle w:val="0"/>
            </w:pPr>
            <w:r>
              <w:rPr>
                <w:sz w:val="24"/>
              </w:rPr>
              <w:t xml:space="preserve">75</w:t>
            </w:r>
          </w:p>
        </w:tc>
        <w:tc>
          <w:tcPr>
            <w:gridSpan w:val="2"/>
            <w:tcW w:w="2608" w:type="dxa"/>
          </w:tcPr>
          <w:p>
            <w:pPr>
              <w:pStyle w:val="0"/>
            </w:pPr>
            <w:r>
              <w:rPr>
                <w:sz w:val="24"/>
              </w:rPr>
              <w:t xml:space="preserve">Количество облигаций в соответствии с решением о выпуске, штук</w:t>
            </w:r>
          </w:p>
        </w:tc>
        <w:tc>
          <w:tcPr>
            <w:tcW w:w="2608" w:type="dxa"/>
          </w:tcPr>
          <w:p>
            <w:pPr>
              <w:pStyle w:val="0"/>
            </w:pPr>
            <w:r>
              <w:rPr>
                <w:sz w:val="24"/>
              </w:rPr>
            </w:r>
          </w:p>
        </w:tc>
        <w:tc>
          <w:tcPr>
            <w:tcW w:w="2948" w:type="dxa"/>
          </w:tcPr>
          <w:p>
            <w:pPr>
              <w:pStyle w:val="0"/>
            </w:pPr>
            <w:r>
              <w:rPr>
                <w:sz w:val="24"/>
              </w:rPr>
              <w:t xml:space="preserve">ins-dic:Vypobl_Resh_Kol_Vsego</w:t>
            </w:r>
          </w:p>
        </w:tc>
      </w:tr>
      <w:tr>
        <w:tc>
          <w:tcPr>
            <w:tcW w:w="907" w:type="dxa"/>
          </w:tcPr>
          <w:p>
            <w:pPr>
              <w:pStyle w:val="0"/>
            </w:pPr>
            <w:r>
              <w:rPr>
                <w:sz w:val="24"/>
              </w:rPr>
              <w:t xml:space="preserve">75.1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70" w:name="P36670"/>
          <w:bookmarkEnd w:id="36670"/>
          <w:p>
            <w:pPr>
              <w:pStyle w:val="0"/>
            </w:pPr>
            <w:r>
              <w:rPr>
                <w:sz w:val="24"/>
              </w:rPr>
              <w:t xml:space="preserve">76</w:t>
            </w:r>
          </w:p>
        </w:tc>
        <w:tc>
          <w:tcPr>
            <w:gridSpan w:val="2"/>
            <w:tcW w:w="2608" w:type="dxa"/>
          </w:tcPr>
          <w:p>
            <w:pPr>
              <w:pStyle w:val="0"/>
            </w:pPr>
            <w:r>
              <w:rPr>
                <w:sz w:val="24"/>
              </w:rPr>
              <w:t xml:space="preserve">Количество размещенных выпущенных облигаций, штук</w:t>
            </w:r>
          </w:p>
        </w:tc>
        <w:tc>
          <w:tcPr>
            <w:tcW w:w="2608" w:type="dxa"/>
          </w:tcPr>
          <w:p>
            <w:pPr>
              <w:pStyle w:val="0"/>
            </w:pPr>
            <w:r>
              <w:rPr>
                <w:sz w:val="24"/>
              </w:rPr>
            </w:r>
          </w:p>
        </w:tc>
        <w:tc>
          <w:tcPr>
            <w:tcW w:w="2948" w:type="dxa"/>
          </w:tcPr>
          <w:p>
            <w:pPr>
              <w:pStyle w:val="0"/>
            </w:pPr>
            <w:r>
              <w:rPr>
                <w:sz w:val="24"/>
              </w:rPr>
              <w:t xml:space="preserve">ins-dic:Vypobl_Razmeshh_Kol_Vsego</w:t>
            </w:r>
          </w:p>
        </w:tc>
      </w:tr>
      <w:tr>
        <w:tc>
          <w:tcPr>
            <w:tcW w:w="907" w:type="dxa"/>
          </w:tcPr>
          <w:p>
            <w:pPr>
              <w:pStyle w:val="0"/>
            </w:pPr>
            <w:r>
              <w:rPr>
                <w:sz w:val="24"/>
              </w:rPr>
              <w:t xml:space="preserve">76.1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78" w:name="P36678"/>
          <w:bookmarkEnd w:id="36678"/>
          <w:p>
            <w:pPr>
              <w:pStyle w:val="0"/>
            </w:pPr>
            <w:r>
              <w:rPr>
                <w:sz w:val="24"/>
              </w:rPr>
              <w:t xml:space="preserve">77</w:t>
            </w:r>
          </w:p>
        </w:tc>
        <w:tc>
          <w:tcPr>
            <w:gridSpan w:val="2"/>
            <w:tcW w:w="2608" w:type="dxa"/>
          </w:tcPr>
          <w:p>
            <w:pPr>
              <w:pStyle w:val="0"/>
            </w:pPr>
            <w:r>
              <w:rPr>
                <w:sz w:val="24"/>
              </w:rPr>
              <w:t xml:space="preserve">Количество облигаций, находящихся в обращении, штук</w:t>
            </w:r>
          </w:p>
        </w:tc>
        <w:tc>
          <w:tcPr>
            <w:tcW w:w="2608" w:type="dxa"/>
          </w:tcPr>
          <w:p>
            <w:pPr>
              <w:pStyle w:val="0"/>
            </w:pPr>
            <w:r>
              <w:rPr>
                <w:sz w:val="24"/>
              </w:rPr>
            </w:r>
          </w:p>
        </w:tc>
        <w:tc>
          <w:tcPr>
            <w:tcW w:w="2948" w:type="dxa"/>
          </w:tcPr>
          <w:p>
            <w:pPr>
              <w:pStyle w:val="0"/>
            </w:pPr>
            <w:r>
              <w:rPr>
                <w:sz w:val="24"/>
              </w:rPr>
              <w:t xml:space="preserve">ins-dic:Vypobl_Obrashh_Kol_V sego</w:t>
            </w:r>
          </w:p>
        </w:tc>
      </w:tr>
      <w:tr>
        <w:tc>
          <w:tcPr>
            <w:tcW w:w="907" w:type="dxa"/>
          </w:tcPr>
          <w:p>
            <w:pPr>
              <w:pStyle w:val="0"/>
            </w:pPr>
            <w:r>
              <w:rPr>
                <w:sz w:val="24"/>
              </w:rPr>
              <w:t xml:space="preserve">77.1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86" w:name="P36686"/>
          <w:bookmarkEnd w:id="36686"/>
          <w:p>
            <w:pPr>
              <w:pStyle w:val="0"/>
            </w:pPr>
            <w:r>
              <w:rPr>
                <w:sz w:val="24"/>
              </w:rPr>
              <w:t xml:space="preserve">78</w:t>
            </w:r>
          </w:p>
        </w:tc>
        <w:tc>
          <w:tcPr>
            <w:gridSpan w:val="2"/>
            <w:tcW w:w="2608" w:type="dxa"/>
          </w:tcPr>
          <w:p>
            <w:pPr>
              <w:pStyle w:val="0"/>
            </w:pPr>
            <w:r>
              <w:rPr>
                <w:sz w:val="24"/>
              </w:rPr>
              <w:t xml:space="preserve">Общая выручка от реализации выпуска</w:t>
            </w:r>
          </w:p>
        </w:tc>
        <w:tc>
          <w:tcPr>
            <w:tcW w:w="2608" w:type="dxa"/>
          </w:tcPr>
          <w:p>
            <w:pPr>
              <w:pStyle w:val="0"/>
            </w:pPr>
            <w:r>
              <w:rPr>
                <w:sz w:val="24"/>
              </w:rPr>
            </w:r>
          </w:p>
        </w:tc>
        <w:tc>
          <w:tcPr>
            <w:tcW w:w="2948" w:type="dxa"/>
          </w:tcPr>
          <w:p>
            <w:pPr>
              <w:pStyle w:val="0"/>
            </w:pPr>
            <w:r>
              <w:rPr>
                <w:sz w:val="24"/>
              </w:rPr>
              <w:t xml:space="preserve">ins-dic:Vypobl_Realiz_Vyruchka_Vsego</w:t>
            </w:r>
          </w:p>
        </w:tc>
      </w:tr>
      <w:tr>
        <w:tc>
          <w:tcPr>
            <w:tcW w:w="907" w:type="dxa"/>
          </w:tcPr>
          <w:p>
            <w:pPr>
              <w:pStyle w:val="0"/>
            </w:pPr>
            <w:r>
              <w:rPr>
                <w:sz w:val="24"/>
              </w:rPr>
              <w:t xml:space="preserve">78.1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694" w:name="P36694"/>
          <w:bookmarkEnd w:id="36694"/>
          <w:p>
            <w:pPr>
              <w:pStyle w:val="0"/>
            </w:pPr>
            <w:r>
              <w:rPr>
                <w:sz w:val="24"/>
              </w:rPr>
              <w:t xml:space="preserve">79</w:t>
            </w:r>
          </w:p>
        </w:tc>
        <w:tc>
          <w:tcPr>
            <w:gridSpan w:val="2"/>
            <w:tcW w:w="2608" w:type="dxa"/>
          </w:tcPr>
          <w:p>
            <w:pPr>
              <w:pStyle w:val="0"/>
            </w:pPr>
            <w:r>
              <w:rPr>
                <w:sz w:val="24"/>
              </w:rPr>
              <w:t xml:space="preserve">Дата погашения основного долга выпуска облигаций</w:t>
            </w:r>
          </w:p>
        </w:tc>
        <w:tc>
          <w:tcPr>
            <w:tcW w:w="2608" w:type="dxa"/>
          </w:tcPr>
          <w:p>
            <w:pPr>
              <w:pStyle w:val="0"/>
            </w:pPr>
            <w:r>
              <w:rPr>
                <w:sz w:val="24"/>
              </w:rPr>
            </w:r>
          </w:p>
        </w:tc>
        <w:tc>
          <w:tcPr>
            <w:tcW w:w="2948" w:type="dxa"/>
          </w:tcPr>
          <w:p>
            <w:pPr>
              <w:pStyle w:val="0"/>
            </w:pPr>
            <w:r>
              <w:rPr>
                <w:sz w:val="24"/>
              </w:rPr>
              <w:t xml:space="preserve">ins-dic:Data_Pogash_Osn_Dolg_Vyp_Oblig</w:t>
            </w:r>
          </w:p>
        </w:tc>
      </w:tr>
      <w:tr>
        <w:tc>
          <w:tcPr>
            <w:tcW w:w="907" w:type="dxa"/>
          </w:tcPr>
          <w:p>
            <w:pPr>
              <w:pStyle w:val="0"/>
            </w:pPr>
            <w:r>
              <w:rPr>
                <w:sz w:val="24"/>
              </w:rPr>
              <w:t xml:space="preserve">79.1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702" w:name="P36702"/>
          <w:bookmarkEnd w:id="36702"/>
          <w:p>
            <w:pPr>
              <w:pStyle w:val="0"/>
            </w:pPr>
            <w:r>
              <w:rPr>
                <w:sz w:val="24"/>
              </w:rPr>
              <w:t xml:space="preserve">80</w:t>
            </w:r>
          </w:p>
        </w:tc>
        <w:tc>
          <w:tcPr>
            <w:gridSpan w:val="2"/>
            <w:tcW w:w="2608" w:type="dxa"/>
          </w:tcPr>
          <w:p>
            <w:pPr>
              <w:pStyle w:val="0"/>
            </w:pPr>
            <w:r>
              <w:rPr>
                <w:sz w:val="24"/>
              </w:rPr>
              <w:t xml:space="preserve">Величина дохода по выпущенным облигациям, в процентах к номиналу</w:t>
            </w:r>
          </w:p>
        </w:tc>
        <w:tc>
          <w:tcPr>
            <w:tcW w:w="2608" w:type="dxa"/>
          </w:tcPr>
          <w:p>
            <w:pPr>
              <w:pStyle w:val="0"/>
            </w:pPr>
            <w:r>
              <w:rPr>
                <w:sz w:val="24"/>
              </w:rPr>
            </w:r>
          </w:p>
        </w:tc>
        <w:tc>
          <w:tcPr>
            <w:tcW w:w="2948" w:type="dxa"/>
          </w:tcPr>
          <w:p>
            <w:pPr>
              <w:pStyle w:val="0"/>
            </w:pPr>
            <w:r>
              <w:rPr>
                <w:sz w:val="24"/>
              </w:rPr>
              <w:t xml:space="preserve">ins-dic:Velich_Doxod_Vyp_Oblig</w:t>
            </w:r>
          </w:p>
        </w:tc>
      </w:tr>
      <w:tr>
        <w:tc>
          <w:tcPr>
            <w:tcW w:w="907" w:type="dxa"/>
          </w:tcPr>
          <w:p>
            <w:pPr>
              <w:pStyle w:val="0"/>
            </w:pPr>
            <w:r>
              <w:rPr>
                <w:sz w:val="24"/>
              </w:rPr>
              <w:t xml:space="preserve">80.1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710" w:name="P36710"/>
          <w:bookmarkEnd w:id="36710"/>
          <w:p>
            <w:pPr>
              <w:pStyle w:val="0"/>
            </w:pPr>
            <w:r>
              <w:rPr>
                <w:sz w:val="24"/>
              </w:rPr>
              <w:t xml:space="preserve">81</w:t>
            </w:r>
          </w:p>
        </w:tc>
        <w:tc>
          <w:tcPr>
            <w:gridSpan w:val="2"/>
            <w:tcW w:w="2608" w:type="dxa"/>
          </w:tcPr>
          <w:p>
            <w:pPr>
              <w:pStyle w:val="0"/>
            </w:pPr>
            <w:r>
              <w:rPr>
                <w:sz w:val="24"/>
              </w:rPr>
              <w:t xml:space="preserve">Эффективная процентная ставка, процентов годовых</w:t>
            </w:r>
          </w:p>
        </w:tc>
        <w:tc>
          <w:tcPr>
            <w:tcW w:w="2608" w:type="dxa"/>
          </w:tcPr>
          <w:p>
            <w:pPr>
              <w:pStyle w:val="0"/>
            </w:pPr>
            <w:r>
              <w:rPr>
                <w:sz w:val="24"/>
              </w:rPr>
            </w:r>
          </w:p>
        </w:tc>
        <w:tc>
          <w:tcPr>
            <w:tcW w:w="2948" w:type="dxa"/>
          </w:tcPr>
          <w:p>
            <w:pPr>
              <w:pStyle w:val="0"/>
            </w:pPr>
            <w:r>
              <w:rPr>
                <w:sz w:val="24"/>
              </w:rPr>
              <w:t xml:space="preserve">ins-dic:Effekt_Procz_Stavka</w:t>
            </w:r>
          </w:p>
        </w:tc>
      </w:tr>
      <w:tr>
        <w:tc>
          <w:tcPr>
            <w:tcW w:w="907" w:type="dxa"/>
          </w:tcPr>
          <w:p>
            <w:pPr>
              <w:pStyle w:val="0"/>
            </w:pPr>
            <w:r>
              <w:rPr>
                <w:sz w:val="24"/>
              </w:rPr>
              <w:t xml:space="preserve">81.1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718" w:name="P36718"/>
          <w:bookmarkEnd w:id="36718"/>
          <w:p>
            <w:pPr>
              <w:pStyle w:val="0"/>
            </w:pPr>
            <w:r>
              <w:rPr>
                <w:sz w:val="24"/>
              </w:rPr>
              <w:t xml:space="preserve">82</w:t>
            </w:r>
          </w:p>
        </w:tc>
        <w:tc>
          <w:tcPr>
            <w:gridSpan w:val="2"/>
            <w:tcW w:w="2608" w:type="dxa"/>
          </w:tcPr>
          <w:p>
            <w:pPr>
              <w:pStyle w:val="0"/>
            </w:pPr>
            <w:r>
              <w:rPr>
                <w:sz w:val="24"/>
              </w:rPr>
              <w:t xml:space="preserve">Периодичность выплаты купона в год</w:t>
            </w:r>
          </w:p>
        </w:tc>
        <w:tc>
          <w:tcPr>
            <w:tcW w:w="2608" w:type="dxa"/>
          </w:tcPr>
          <w:p>
            <w:pPr>
              <w:pStyle w:val="0"/>
            </w:pPr>
            <w:r>
              <w:rPr>
                <w:sz w:val="24"/>
              </w:rPr>
            </w:r>
          </w:p>
        </w:tc>
        <w:tc>
          <w:tcPr>
            <w:tcW w:w="2948" w:type="dxa"/>
          </w:tcPr>
          <w:p>
            <w:pPr>
              <w:pStyle w:val="0"/>
            </w:pPr>
            <w:r>
              <w:rPr>
                <w:sz w:val="24"/>
              </w:rPr>
              <w:t xml:space="preserve">ins-dic:Period_Vypl_Kupon_God_Vyp_Oblig</w:t>
            </w:r>
          </w:p>
        </w:tc>
      </w:tr>
      <w:tr>
        <w:tc>
          <w:tcPr>
            <w:tcW w:w="907" w:type="dxa"/>
          </w:tcPr>
          <w:p>
            <w:pPr>
              <w:pStyle w:val="0"/>
            </w:pPr>
            <w:r>
              <w:rPr>
                <w:sz w:val="24"/>
              </w:rPr>
              <w:t xml:space="preserve">82.1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726" w:name="P36726"/>
          <w:bookmarkEnd w:id="36726"/>
          <w:p>
            <w:pPr>
              <w:pStyle w:val="0"/>
            </w:pPr>
            <w:r>
              <w:rPr>
                <w:sz w:val="24"/>
              </w:rPr>
              <w:t xml:space="preserve">83</w:t>
            </w:r>
          </w:p>
        </w:tc>
        <w:tc>
          <w:tcPr>
            <w:gridSpan w:val="2"/>
            <w:tcW w:w="2608" w:type="dxa"/>
          </w:tcPr>
          <w:p>
            <w:pPr>
              <w:pStyle w:val="0"/>
            </w:pPr>
            <w:r>
              <w:rPr>
                <w:sz w:val="24"/>
              </w:rPr>
              <w:t xml:space="preserve">Дата последней выплаты купона</w:t>
            </w:r>
          </w:p>
        </w:tc>
        <w:tc>
          <w:tcPr>
            <w:tcW w:w="2608" w:type="dxa"/>
          </w:tcPr>
          <w:p>
            <w:pPr>
              <w:pStyle w:val="0"/>
            </w:pPr>
            <w:r>
              <w:rPr>
                <w:sz w:val="24"/>
              </w:rPr>
            </w:r>
          </w:p>
        </w:tc>
        <w:tc>
          <w:tcPr>
            <w:tcW w:w="2948" w:type="dxa"/>
          </w:tcPr>
          <w:p>
            <w:pPr>
              <w:pStyle w:val="0"/>
            </w:pPr>
            <w:r>
              <w:rPr>
                <w:sz w:val="24"/>
              </w:rPr>
              <w:t xml:space="preserve">ins-dic:Data_Posl_Vypl_Kupon_Vyp_Oblig</w:t>
            </w:r>
          </w:p>
        </w:tc>
      </w:tr>
      <w:tr>
        <w:tc>
          <w:tcPr>
            <w:tcW w:w="907" w:type="dxa"/>
          </w:tcPr>
          <w:p>
            <w:pPr>
              <w:pStyle w:val="0"/>
            </w:pPr>
            <w:r>
              <w:rPr>
                <w:sz w:val="24"/>
              </w:rPr>
              <w:t xml:space="preserve">83.1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734" w:name="P36734"/>
          <w:bookmarkEnd w:id="36734"/>
          <w:p>
            <w:pPr>
              <w:pStyle w:val="0"/>
            </w:pPr>
            <w:r>
              <w:rPr>
                <w:sz w:val="24"/>
              </w:rPr>
              <w:t xml:space="preserve">84</w:t>
            </w:r>
          </w:p>
        </w:tc>
        <w:tc>
          <w:tcPr>
            <w:gridSpan w:val="2"/>
            <w:tcW w:w="2608" w:type="dxa"/>
          </w:tcPr>
          <w:p>
            <w:pPr>
              <w:pStyle w:val="0"/>
            </w:pPr>
            <w:r>
              <w:rPr>
                <w:sz w:val="24"/>
              </w:rPr>
              <w:t xml:space="preserve">Первоначальная стоимость обязательств, подлежащих исполнению по облигации</w:t>
            </w:r>
          </w:p>
        </w:tc>
        <w:tc>
          <w:tcPr>
            <w:tcW w:w="2608" w:type="dxa"/>
          </w:tcPr>
          <w:p>
            <w:pPr>
              <w:pStyle w:val="0"/>
            </w:pPr>
            <w:r>
              <w:rPr>
                <w:sz w:val="24"/>
              </w:rPr>
            </w:r>
          </w:p>
        </w:tc>
        <w:tc>
          <w:tcPr>
            <w:tcW w:w="2948" w:type="dxa"/>
          </w:tcPr>
          <w:p>
            <w:pPr>
              <w:pStyle w:val="0"/>
            </w:pPr>
            <w:r>
              <w:rPr>
                <w:sz w:val="24"/>
              </w:rPr>
              <w:t xml:space="preserve">ins-dic:Vypobl_Ps_Vsego</w:t>
            </w:r>
          </w:p>
        </w:tc>
      </w:tr>
      <w:tr>
        <w:tblPrEx>
          <w:tblBorders>
            <w:right w:val="nil"/>
          </w:tblBorders>
        </w:tblPrEx>
        <w:tc>
          <w:tcPr>
            <w:tcW w:w="907" w:type="dxa"/>
          </w:tcPr>
          <w:p>
            <w:pPr>
              <w:pStyle w:val="0"/>
            </w:pPr>
            <w:r>
              <w:rPr>
                <w:sz w:val="24"/>
              </w:rPr>
              <w:t xml:space="preserve">84.1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Borders>
              <w:right w:val="nil"/>
            </w:tcBorders>
          </w:tcPr>
          <w:p>
            <w:pPr>
              <w:pStyle w:val="0"/>
            </w:pPr>
            <w:r>
              <w:rPr>
                <w:sz w:val="24"/>
              </w:rPr>
              <w:t xml:space="preserve">dim-int:IDVypOblTaxis</w:t>
            </w:r>
          </w:p>
        </w:tc>
      </w:tr>
      <w:tr>
        <w:tc>
          <w:tcPr>
            <w:tcW w:w="907" w:type="dxa"/>
          </w:tcPr>
          <w:bookmarkStart w:id="36742" w:name="P36742"/>
          <w:bookmarkEnd w:id="36742"/>
          <w:p>
            <w:pPr>
              <w:pStyle w:val="0"/>
            </w:pPr>
            <w:r>
              <w:rPr>
                <w:sz w:val="24"/>
              </w:rPr>
              <w:t xml:space="preserve">85</w:t>
            </w:r>
          </w:p>
        </w:tc>
        <w:tc>
          <w:tcPr>
            <w:gridSpan w:val="2"/>
            <w:tcW w:w="2608" w:type="dxa"/>
          </w:tcPr>
          <w:p>
            <w:pPr>
              <w:pStyle w:val="0"/>
            </w:pPr>
            <w:r>
              <w:rPr>
                <w:sz w:val="24"/>
              </w:rPr>
              <w:t xml:space="preserve">Накопленная корректировка к стоимости обязательств, подлежащих исполнению по облигации</w:t>
            </w:r>
          </w:p>
        </w:tc>
        <w:tc>
          <w:tcPr>
            <w:tcW w:w="2608" w:type="dxa"/>
          </w:tcPr>
          <w:p>
            <w:pPr>
              <w:pStyle w:val="0"/>
            </w:pPr>
            <w:r>
              <w:rPr>
                <w:sz w:val="24"/>
              </w:rPr>
            </w:r>
          </w:p>
        </w:tc>
        <w:tc>
          <w:tcPr>
            <w:tcW w:w="2948" w:type="dxa"/>
          </w:tcPr>
          <w:p>
            <w:pPr>
              <w:pStyle w:val="0"/>
            </w:pPr>
            <w:r>
              <w:rPr>
                <w:sz w:val="24"/>
              </w:rPr>
              <w:t xml:space="preserve">ins-dic:Vypobl_Nk_Vsego</w:t>
            </w:r>
          </w:p>
        </w:tc>
      </w:tr>
      <w:tr>
        <w:tc>
          <w:tcPr>
            <w:tcW w:w="907" w:type="dxa"/>
          </w:tcPr>
          <w:p>
            <w:pPr>
              <w:pStyle w:val="0"/>
            </w:pPr>
            <w:r>
              <w:rPr>
                <w:sz w:val="24"/>
              </w:rPr>
              <w:t xml:space="preserve">85.1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750" w:name="P36750"/>
          <w:bookmarkEnd w:id="36750"/>
          <w:p>
            <w:pPr>
              <w:pStyle w:val="0"/>
            </w:pPr>
            <w:r>
              <w:rPr>
                <w:sz w:val="24"/>
              </w:rPr>
              <w:t xml:space="preserve">86</w:t>
            </w:r>
          </w:p>
        </w:tc>
        <w:tc>
          <w:tcPr>
            <w:gridSpan w:val="2"/>
            <w:tcW w:w="2608" w:type="dxa"/>
          </w:tcPr>
          <w:p>
            <w:pPr>
              <w:pStyle w:val="0"/>
            </w:pPr>
            <w:r>
              <w:rPr>
                <w:sz w:val="24"/>
              </w:rPr>
              <w:t xml:space="preserve">Балансовая стоимость обязательств, подлежащих исполнению по облигации (с учетом накопленной корректировки)</w:t>
            </w:r>
          </w:p>
        </w:tc>
        <w:tc>
          <w:tcPr>
            <w:tcW w:w="2608" w:type="dxa"/>
          </w:tcPr>
          <w:p>
            <w:pPr>
              <w:pStyle w:val="0"/>
            </w:pPr>
            <w:r>
              <w:rPr>
                <w:sz w:val="24"/>
              </w:rPr>
            </w:r>
          </w:p>
        </w:tc>
        <w:tc>
          <w:tcPr>
            <w:tcW w:w="2948" w:type="dxa"/>
          </w:tcPr>
          <w:p>
            <w:pPr>
              <w:pStyle w:val="0"/>
            </w:pPr>
            <w:r>
              <w:rPr>
                <w:sz w:val="24"/>
              </w:rPr>
              <w:t xml:space="preserve">ins-dic:Vypobl_Vsego</w:t>
            </w:r>
          </w:p>
        </w:tc>
      </w:tr>
      <w:tr>
        <w:tc>
          <w:tcPr>
            <w:tcW w:w="907" w:type="dxa"/>
          </w:tcPr>
          <w:p>
            <w:pPr>
              <w:pStyle w:val="0"/>
            </w:pPr>
            <w:r>
              <w:rPr>
                <w:sz w:val="24"/>
              </w:rPr>
              <w:t xml:space="preserve">86.1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r>
        <w:tc>
          <w:tcPr>
            <w:tcW w:w="907" w:type="dxa"/>
          </w:tcPr>
          <w:bookmarkStart w:id="36758" w:name="P36758"/>
          <w:bookmarkEnd w:id="36758"/>
          <w:p>
            <w:pPr>
              <w:pStyle w:val="0"/>
            </w:pPr>
            <w:r>
              <w:rPr>
                <w:sz w:val="24"/>
              </w:rPr>
              <w:t xml:space="preserve">87</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ins-dic:Primechanie</w:t>
            </w:r>
          </w:p>
        </w:tc>
      </w:tr>
      <w:tr>
        <w:tc>
          <w:tcPr>
            <w:tcW w:w="907" w:type="dxa"/>
          </w:tcPr>
          <w:p>
            <w:pPr>
              <w:pStyle w:val="0"/>
            </w:pPr>
            <w:r>
              <w:rPr>
                <w:sz w:val="24"/>
              </w:rPr>
              <w:t xml:space="preserve">87.1</w:t>
            </w:r>
          </w:p>
        </w:tc>
        <w:tc>
          <w:tcPr>
            <w:gridSpan w:val="2"/>
            <w:tcW w:w="2608" w:type="dxa"/>
          </w:tcPr>
          <w:p>
            <w:pPr>
              <w:pStyle w:val="0"/>
            </w:pPr>
            <w:r>
              <w:rPr>
                <w:sz w:val="24"/>
              </w:rPr>
            </w:r>
          </w:p>
        </w:tc>
        <w:tc>
          <w:tcPr>
            <w:tcW w:w="2608" w:type="dxa"/>
          </w:tcPr>
          <w:p>
            <w:pPr>
              <w:pStyle w:val="0"/>
            </w:pPr>
            <w:r>
              <w:rPr>
                <w:sz w:val="24"/>
              </w:rPr>
              <w:t xml:space="preserve">Идентификатор выпущенной облигации</w:t>
            </w:r>
          </w:p>
        </w:tc>
        <w:tc>
          <w:tcPr>
            <w:tcW w:w="2948" w:type="dxa"/>
          </w:tcPr>
          <w:p>
            <w:pPr>
              <w:pStyle w:val="0"/>
            </w:pPr>
            <w:r>
              <w:rPr>
                <w:sz w:val="24"/>
              </w:rPr>
              <w:t xml:space="preserve">dim-int:IDVypOblTaxis</w:t>
            </w:r>
          </w:p>
        </w:tc>
      </w:tr>
    </w:tbl>
    <w:p>
      <w:pPr>
        <w:pStyle w:val="0"/>
        <w:ind w:firstLine="540"/>
        <w:jc w:val="both"/>
      </w:pPr>
      <w:r>
        <w:rPr>
          <w:sz w:val="24"/>
        </w:rPr>
      </w:r>
    </w:p>
    <w:p>
      <w:pPr>
        <w:pStyle w:val="0"/>
        <w:ind w:firstLine="540"/>
        <w:jc w:val="both"/>
      </w:pPr>
      <w:r>
        <w:rPr>
          <w:sz w:val="24"/>
        </w:rPr>
        <w:t xml:space="preserve">--------------------------------</w:t>
      </w:r>
    </w:p>
    <w:bookmarkStart w:id="36768" w:name="P36768"/>
    <w:bookmarkEnd w:id="36768"/>
    <w:p>
      <w:pPr>
        <w:pStyle w:val="0"/>
        <w:spacing w:before="240" w:lineRule="auto"/>
        <w:ind w:firstLine="540"/>
        <w:jc w:val="both"/>
      </w:pPr>
      <w:r>
        <w:rPr>
          <w:sz w:val="24"/>
        </w:rPr>
        <w:t xml:space="preserve">&lt;1&gt; Общероссийский </w:t>
      </w:r>
      <w:hyperlink w:history="0" r:id="rId59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0420160 "Сведения</w:t>
      </w:r>
    </w:p>
    <w:p>
      <w:pPr>
        <w:pStyle w:val="0"/>
        <w:jc w:val="center"/>
      </w:pPr>
      <w:r>
        <w:rPr>
          <w:sz w:val="24"/>
        </w:rPr>
        <w:t xml:space="preserve">о привлеченных страховщиком средствах"</w:t>
      </w:r>
    </w:p>
    <w:p>
      <w:pPr>
        <w:pStyle w:val="0"/>
        <w:ind w:firstLine="540"/>
        <w:jc w:val="both"/>
      </w:pPr>
      <w:r>
        <w:rPr>
          <w:sz w:val="24"/>
        </w:rPr>
      </w:r>
    </w:p>
    <w:p>
      <w:pPr>
        <w:pStyle w:val="0"/>
        <w:ind w:firstLine="540"/>
        <w:jc w:val="both"/>
      </w:pPr>
      <w:r>
        <w:rPr>
          <w:sz w:val="24"/>
        </w:rPr>
        <w:t xml:space="preserve">1. Отчетность по </w:t>
      </w:r>
      <w:hyperlink w:history="0" w:anchor="P35303" w:tooltip="Отчетность по форме 0420160">
        <w:r>
          <w:rPr>
            <w:sz w:val="24"/>
            <w:color w:val="0000ff"/>
          </w:rPr>
          <w:t xml:space="preserve">форме 0420160</w:t>
        </w:r>
      </w:hyperlink>
      <w:r>
        <w:rPr>
          <w:sz w:val="24"/>
        </w:rPr>
        <w:t xml:space="preserve"> "Сведения о привлеченных страховщиком средствах" (далее - отчетность по форме 0420160) составляется страховщиком (за исключением иностранной страховой организации) посредством формирования предусмотренных в ней показателей за I, II, III и IV кварталы (далее - отчетный период) по состоянию на последний календарный день отчетного периода включительно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303" w:tooltip="9. Код валюты и основная валюта указываются в соответствии с Общероссийским классификатором валют - трехзначный цифровой код и трехбуквенный код (с использованием разделителя &quot;-&quot; (тире).">
        <w:r>
          <w:rPr>
            <w:sz w:val="24"/>
            <w:color w:val="0000ff"/>
          </w:rPr>
          <w:t xml:space="preserve">9</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2. По показателям </w:t>
      </w:r>
      <w:hyperlink w:history="0" w:anchor="P35318" w:tooltip="Раздел 1.">
        <w:r>
          <w:rPr>
            <w:sz w:val="24"/>
            <w:color w:val="0000ff"/>
          </w:rPr>
          <w:t xml:space="preserve">раздела 1</w:t>
        </w:r>
      </w:hyperlink>
      <w:r>
        <w:rPr>
          <w:sz w:val="24"/>
        </w:rPr>
        <w:t xml:space="preserve"> отчетности по форме 0420160 отражаются сведения о привлеченных страховщиком средствах путем заключения договоров займа (кредитных договоров) (кроме субординированных займов, выданных векселей и выпущенных облигаций).</w:t>
      </w:r>
    </w:p>
    <w:p>
      <w:pPr>
        <w:pStyle w:val="0"/>
        <w:spacing w:before="240" w:lineRule="auto"/>
        <w:ind w:firstLine="540"/>
        <w:jc w:val="both"/>
      </w:pPr>
      <w:r>
        <w:rPr>
          <w:sz w:val="24"/>
        </w:rPr>
        <w:t xml:space="preserve">Значение идентификатора заимодавца, указанное по группе аналитических признаков "Идентификатор заимодавца (кроме заимодавца субординированного займа)",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(далее - отчетность по форме 0420150) и по группе аналитических признаков "Идентификатор контрагента" </w:t>
      </w:r>
      <w:hyperlink w:history="0" w:anchor="P26070" w:tooltip="Подраздел 3.3.">
        <w:r>
          <w:rPr>
            <w:sz w:val="24"/>
            <w:color w:val="0000ff"/>
          </w:rPr>
          <w:t xml:space="preserve">подраздела 3.3 раздела 3</w:t>
        </w:r>
      </w:hyperlink>
      <w:r>
        <w:rPr>
          <w:sz w:val="24"/>
        </w:rPr>
        <w:t xml:space="preserve"> отчетности по форме 0420154 "Отчет об активах и обязательствах страховщика" (далее - отчетность по форме 0420154) по этому заимодавцу.</w:t>
      </w:r>
    </w:p>
    <w:p>
      <w:pPr>
        <w:pStyle w:val="0"/>
        <w:spacing w:before="240" w:lineRule="auto"/>
        <w:ind w:firstLine="540"/>
        <w:jc w:val="both"/>
      </w:pPr>
      <w:r>
        <w:rPr>
          <w:sz w:val="24"/>
        </w:rPr>
        <w:t xml:space="preserve">2.1. По показателю "Код сделки (займы и кредиты)" </w:t>
      </w:r>
      <w:hyperlink w:history="0" w:anchor="P35320" w:tooltip="1">
        <w:r>
          <w:rPr>
            <w:sz w:val="24"/>
            <w:color w:val="0000ff"/>
          </w:rPr>
          <w:t xml:space="preserve">(строка 1)</w:t>
        </w:r>
      </w:hyperlink>
      <w:r>
        <w:rPr>
          <w:sz w:val="24"/>
        </w:rPr>
        <w:t xml:space="preserve"> для каждого договора займа (кредитного договора) указывается код, состоящий из трех разрядов (X1 - X2 - X3), характеризующий заимодавца (кредитора) и условия договора займа (кредитного договора).</w:t>
      </w:r>
    </w:p>
    <w:p>
      <w:pPr>
        <w:pStyle w:val="0"/>
        <w:spacing w:before="240" w:lineRule="auto"/>
        <w:ind w:firstLine="540"/>
        <w:jc w:val="both"/>
      </w:pPr>
      <w:r>
        <w:rPr>
          <w:sz w:val="24"/>
        </w:rPr>
        <w:t xml:space="preserve">2.1.1. В первом разряде (X1) указывается юридическое лицо - заимодавец (кредитор):</w:t>
      </w:r>
    </w:p>
    <w:bookmarkStart w:id="36779" w:name="P36779"/>
    <w:bookmarkEnd w:id="36779"/>
    <w:p>
      <w:pPr>
        <w:pStyle w:val="0"/>
        <w:spacing w:before="240" w:lineRule="auto"/>
        <w:ind w:firstLine="540"/>
        <w:jc w:val="both"/>
      </w:pPr>
      <w:r>
        <w:rPr>
          <w:sz w:val="24"/>
        </w:rPr>
        <w:t xml:space="preserve">1 - банк;</w:t>
      </w:r>
    </w:p>
    <w:p>
      <w:pPr>
        <w:pStyle w:val="0"/>
        <w:spacing w:before="240" w:lineRule="auto"/>
        <w:ind w:firstLine="540"/>
        <w:jc w:val="both"/>
      </w:pPr>
      <w:r>
        <w:rPr>
          <w:sz w:val="24"/>
        </w:rPr>
        <w:t xml:space="preserve">2 - небанковская кредитная организация;</w:t>
      </w:r>
    </w:p>
    <w:p>
      <w:pPr>
        <w:pStyle w:val="0"/>
        <w:spacing w:before="240" w:lineRule="auto"/>
        <w:ind w:firstLine="540"/>
        <w:jc w:val="both"/>
      </w:pPr>
      <w:r>
        <w:rPr>
          <w:sz w:val="24"/>
        </w:rPr>
        <w:t xml:space="preserve">3 - страховая организация;</w:t>
      </w:r>
    </w:p>
    <w:p>
      <w:pPr>
        <w:pStyle w:val="0"/>
        <w:spacing w:before="240" w:lineRule="auto"/>
        <w:ind w:firstLine="540"/>
        <w:jc w:val="both"/>
      </w:pPr>
      <w:r>
        <w:rPr>
          <w:sz w:val="24"/>
        </w:rPr>
        <w:t xml:space="preserve">4 - общество взаимного страхования или страховой брокер;</w:t>
      </w:r>
    </w:p>
    <w:p>
      <w:pPr>
        <w:pStyle w:val="0"/>
        <w:spacing w:before="240" w:lineRule="auto"/>
        <w:ind w:firstLine="540"/>
        <w:jc w:val="both"/>
      </w:pPr>
      <w:r>
        <w:rPr>
          <w:sz w:val="24"/>
        </w:rPr>
        <w:t xml:space="preserve">5 - микрофинансовая организация;</w:t>
      </w:r>
    </w:p>
    <w:bookmarkStart w:id="36784" w:name="P36784"/>
    <w:bookmarkEnd w:id="36784"/>
    <w:p>
      <w:pPr>
        <w:pStyle w:val="0"/>
        <w:spacing w:before="240" w:lineRule="auto"/>
        <w:ind w:firstLine="540"/>
        <w:jc w:val="both"/>
      </w:pPr>
      <w:r>
        <w:rPr>
          <w:sz w:val="24"/>
        </w:rPr>
        <w:t xml:space="preserve">6 - кредитный потребительский кооператив или сельскохозяйственный кредитный потребительский кооператив;</w:t>
      </w:r>
    </w:p>
    <w:p>
      <w:pPr>
        <w:pStyle w:val="0"/>
        <w:spacing w:before="240" w:lineRule="auto"/>
        <w:ind w:firstLine="540"/>
        <w:jc w:val="both"/>
      </w:pPr>
      <w:r>
        <w:rPr>
          <w:sz w:val="24"/>
        </w:rPr>
        <w:t xml:space="preserve">7 - другая организация, не указанная в </w:t>
      </w:r>
      <w:hyperlink w:history="0" w:anchor="P36779" w:tooltip="1 - банк;">
        <w:r>
          <w:rPr>
            <w:sz w:val="24"/>
            <w:color w:val="0000ff"/>
          </w:rPr>
          <w:t xml:space="preserve">абзацах втором</w:t>
        </w:r>
      </w:hyperlink>
      <w:r>
        <w:rPr>
          <w:sz w:val="24"/>
        </w:rPr>
        <w:t xml:space="preserve"> - </w:t>
      </w:r>
      <w:hyperlink w:history="0" w:anchor="P36784" w:tooltip="6 - кредитный потребительский кооператив или сельскохозяйственный кредитный потребительский кооператив;">
        <w:r>
          <w:rPr>
            <w:sz w:val="24"/>
            <w:color w:val="0000ff"/>
          </w:rPr>
          <w:t xml:space="preserve">седьмом</w:t>
        </w:r>
      </w:hyperlink>
      <w:r>
        <w:rPr>
          <w:sz w:val="24"/>
        </w:rPr>
        <w:t xml:space="preserve"> настоящего подпункта.</w:t>
      </w:r>
    </w:p>
    <w:p>
      <w:pPr>
        <w:pStyle w:val="0"/>
        <w:spacing w:before="240" w:lineRule="auto"/>
        <w:ind w:firstLine="540"/>
        <w:jc w:val="both"/>
      </w:pPr>
      <w:r>
        <w:rPr>
          <w:sz w:val="24"/>
        </w:rPr>
        <w:t xml:space="preserve">Для физического лица - заимодавца (в том числе индивидуального предпринимателя) в первом разряде (X1) указывается значение 0 (ноль).</w:t>
      </w:r>
    </w:p>
    <w:p>
      <w:pPr>
        <w:pStyle w:val="0"/>
        <w:spacing w:before="240" w:lineRule="auto"/>
        <w:ind w:firstLine="540"/>
        <w:jc w:val="both"/>
      </w:pPr>
      <w:r>
        <w:rPr>
          <w:sz w:val="24"/>
        </w:rPr>
        <w:t xml:space="preserve">2.1.2. Во втором разряде (X2) указывается форма заимствования средств:</w:t>
      </w:r>
    </w:p>
    <w:p>
      <w:pPr>
        <w:pStyle w:val="0"/>
        <w:spacing w:before="240" w:lineRule="auto"/>
        <w:ind w:firstLine="540"/>
        <w:jc w:val="both"/>
      </w:pPr>
      <w:r>
        <w:rPr>
          <w:sz w:val="24"/>
        </w:rPr>
        <w:t xml:space="preserve">1 - заем;</w:t>
      </w:r>
    </w:p>
    <w:p>
      <w:pPr>
        <w:pStyle w:val="0"/>
        <w:spacing w:before="240" w:lineRule="auto"/>
        <w:ind w:firstLine="540"/>
        <w:jc w:val="both"/>
      </w:pPr>
      <w:r>
        <w:rPr>
          <w:sz w:val="24"/>
        </w:rPr>
        <w:t xml:space="preserve">2 - кредит.</w:t>
      </w:r>
    </w:p>
    <w:p>
      <w:pPr>
        <w:pStyle w:val="0"/>
        <w:spacing w:before="240" w:lineRule="auto"/>
        <w:ind w:firstLine="540"/>
        <w:jc w:val="both"/>
      </w:pPr>
      <w:r>
        <w:rPr>
          <w:sz w:val="24"/>
        </w:rPr>
        <w:t xml:space="preserve">2.1.3. В третьем разряде (X3) указывается наличие и предмет залога:</w:t>
      </w:r>
    </w:p>
    <w:p>
      <w:pPr>
        <w:pStyle w:val="0"/>
        <w:spacing w:before="240" w:lineRule="auto"/>
        <w:ind w:firstLine="540"/>
        <w:jc w:val="both"/>
      </w:pPr>
      <w:r>
        <w:rPr>
          <w:sz w:val="24"/>
        </w:rPr>
        <w:t xml:space="preserve">1 - нет залога;</w:t>
      </w:r>
    </w:p>
    <w:p>
      <w:pPr>
        <w:pStyle w:val="0"/>
        <w:spacing w:before="240" w:lineRule="auto"/>
        <w:ind w:firstLine="540"/>
        <w:jc w:val="both"/>
      </w:pPr>
      <w:r>
        <w:rPr>
          <w:sz w:val="24"/>
        </w:rPr>
        <w:t xml:space="preserve">2 - с залогом облигации;</w:t>
      </w:r>
    </w:p>
    <w:p>
      <w:pPr>
        <w:pStyle w:val="0"/>
        <w:spacing w:before="240" w:lineRule="auto"/>
        <w:ind w:firstLine="540"/>
        <w:jc w:val="both"/>
      </w:pPr>
      <w:r>
        <w:rPr>
          <w:sz w:val="24"/>
        </w:rPr>
        <w:t xml:space="preserve">3 - с залогом векселя;</w:t>
      </w:r>
    </w:p>
    <w:p>
      <w:pPr>
        <w:pStyle w:val="0"/>
        <w:spacing w:before="240" w:lineRule="auto"/>
        <w:ind w:firstLine="540"/>
        <w:jc w:val="both"/>
      </w:pPr>
      <w:r>
        <w:rPr>
          <w:sz w:val="24"/>
        </w:rPr>
        <w:t xml:space="preserve">4 - с залогом акции;</w:t>
      </w:r>
    </w:p>
    <w:p>
      <w:pPr>
        <w:pStyle w:val="0"/>
        <w:spacing w:before="240" w:lineRule="auto"/>
        <w:ind w:firstLine="540"/>
        <w:jc w:val="both"/>
      </w:pPr>
      <w:r>
        <w:rPr>
          <w:sz w:val="24"/>
        </w:rPr>
        <w:t xml:space="preserve">5 - с залогом недвижимости;</w:t>
      </w:r>
    </w:p>
    <w:p>
      <w:pPr>
        <w:pStyle w:val="0"/>
        <w:spacing w:before="240" w:lineRule="auto"/>
        <w:ind w:firstLine="540"/>
        <w:jc w:val="both"/>
      </w:pPr>
      <w:r>
        <w:rPr>
          <w:sz w:val="24"/>
        </w:rPr>
        <w:t xml:space="preserve">6 - с залогом иного имущества (актива).</w:t>
      </w:r>
    </w:p>
    <w:p>
      <w:pPr>
        <w:pStyle w:val="0"/>
        <w:spacing w:before="240" w:lineRule="auto"/>
        <w:ind w:firstLine="540"/>
        <w:jc w:val="both"/>
      </w:pPr>
      <w:r>
        <w:rPr>
          <w:sz w:val="24"/>
        </w:rPr>
        <w:t xml:space="preserve">2.2. По показателю "Дата заключения договора займа (кредитного договора)" </w:t>
      </w:r>
      <w:hyperlink w:history="0" w:anchor="P35336" w:tooltip="2">
        <w:r>
          <w:rPr>
            <w:sz w:val="24"/>
            <w:color w:val="0000ff"/>
          </w:rPr>
          <w:t xml:space="preserve">(строка 2)</w:t>
        </w:r>
      </w:hyperlink>
      <w:r>
        <w:rPr>
          <w:sz w:val="24"/>
        </w:rPr>
        <w:t xml:space="preserve"> для каждого договора займа (кредитного договора) указывается дата его заключения страховщиком.</w:t>
      </w:r>
    </w:p>
    <w:p>
      <w:pPr>
        <w:pStyle w:val="0"/>
        <w:spacing w:before="240" w:lineRule="auto"/>
        <w:ind w:firstLine="540"/>
        <w:jc w:val="both"/>
      </w:pPr>
      <w:r>
        <w:rPr>
          <w:sz w:val="24"/>
        </w:rPr>
        <w:t xml:space="preserve">2.3. По показателю "Номер договора займа (кредитного договора)" </w:t>
      </w:r>
      <w:hyperlink w:history="0" w:anchor="P35352" w:tooltip="3">
        <w:r>
          <w:rPr>
            <w:sz w:val="24"/>
            <w:color w:val="0000ff"/>
          </w:rPr>
          <w:t xml:space="preserve">(строка 3)</w:t>
        </w:r>
      </w:hyperlink>
      <w:r>
        <w:rPr>
          <w:sz w:val="24"/>
        </w:rPr>
        <w:t xml:space="preserve"> для каждого договора займа (кредитного договора) указывается его номер (при наличии).</w:t>
      </w:r>
    </w:p>
    <w:p>
      <w:pPr>
        <w:pStyle w:val="0"/>
        <w:spacing w:before="240" w:lineRule="auto"/>
        <w:ind w:firstLine="540"/>
        <w:jc w:val="both"/>
      </w:pPr>
      <w:r>
        <w:rPr>
          <w:sz w:val="24"/>
        </w:rPr>
        <w:t xml:space="preserve">2.4. По показателю "Код валюты" </w:t>
      </w:r>
      <w:hyperlink w:history="0" w:anchor="P35368" w:tooltip="4">
        <w:r>
          <w:rPr>
            <w:sz w:val="24"/>
            <w:color w:val="0000ff"/>
          </w:rPr>
          <w:t xml:space="preserve">(строка 4)</w:t>
        </w:r>
      </w:hyperlink>
      <w:r>
        <w:rPr>
          <w:sz w:val="24"/>
        </w:rPr>
        <w:t xml:space="preserve"> для каждого договора займа (кредитного договора) указывается код валюты привлеченного страховщиком займа (кредита).</w:t>
      </w:r>
    </w:p>
    <w:p>
      <w:pPr>
        <w:pStyle w:val="0"/>
        <w:spacing w:before="240" w:lineRule="auto"/>
        <w:ind w:firstLine="540"/>
        <w:jc w:val="both"/>
      </w:pPr>
      <w:r>
        <w:rPr>
          <w:sz w:val="24"/>
        </w:rPr>
        <w:t xml:space="preserve">2.5. По показателю "Срок действия договора займа (кредитного договора)" </w:t>
      </w:r>
      <w:hyperlink w:history="0" w:anchor="P35384" w:tooltip="5">
        <w:r>
          <w:rPr>
            <w:sz w:val="24"/>
            <w:color w:val="0000ff"/>
          </w:rPr>
          <w:t xml:space="preserve">(строка 5)</w:t>
        </w:r>
      </w:hyperlink>
      <w:r>
        <w:rPr>
          <w:sz w:val="24"/>
        </w:rPr>
        <w:t xml:space="preserve"> для каждого договора займа (кредитного договора) указывается срок его действия.</w:t>
      </w:r>
    </w:p>
    <w:p>
      <w:pPr>
        <w:pStyle w:val="0"/>
        <w:spacing w:before="240" w:lineRule="auto"/>
        <w:ind w:firstLine="540"/>
        <w:jc w:val="both"/>
      </w:pPr>
      <w:r>
        <w:rPr>
          <w:sz w:val="24"/>
        </w:rPr>
        <w:t xml:space="preserve">2.6. По показателю "Цель получения средств" </w:t>
      </w:r>
      <w:hyperlink w:history="0" w:anchor="P35400" w:tooltip="6">
        <w:r>
          <w:rPr>
            <w:sz w:val="24"/>
            <w:color w:val="0000ff"/>
          </w:rPr>
          <w:t xml:space="preserve">(строка 6)</w:t>
        </w:r>
      </w:hyperlink>
      <w:r>
        <w:rPr>
          <w:sz w:val="24"/>
        </w:rPr>
        <w:t xml:space="preserve"> для каждого договора займа (кредитного договора) указывается цель привлечения страховщиком средств в соответствии с условиями договора займа (кредитного договора).</w:t>
      </w:r>
    </w:p>
    <w:p>
      <w:pPr>
        <w:pStyle w:val="0"/>
        <w:spacing w:before="240" w:lineRule="auto"/>
        <w:ind w:firstLine="540"/>
        <w:jc w:val="both"/>
      </w:pPr>
      <w:r>
        <w:rPr>
          <w:sz w:val="24"/>
        </w:rPr>
        <w:t xml:space="preserve">В случае если договор займа (кредитный договор) не содержит сведений о цели привлечения страховщиком средств, по показателю "Цель получения средств" </w:t>
      </w:r>
      <w:hyperlink w:history="0" w:anchor="P35400" w:tooltip="6">
        <w:r>
          <w:rPr>
            <w:sz w:val="24"/>
            <w:color w:val="0000ff"/>
          </w:rPr>
          <w:t xml:space="preserve">(строка 6)</w:t>
        </w:r>
      </w:hyperlink>
      <w:r>
        <w:rPr>
          <w:sz w:val="24"/>
        </w:rPr>
        <w:t xml:space="preserve"> указывается информация об этом, а также цель привлечения страховщиком средств.</w:t>
      </w:r>
    </w:p>
    <w:p>
      <w:pPr>
        <w:pStyle w:val="0"/>
        <w:spacing w:before="240" w:lineRule="auto"/>
        <w:ind w:firstLine="540"/>
        <w:jc w:val="both"/>
      </w:pPr>
      <w:r>
        <w:rPr>
          <w:sz w:val="24"/>
        </w:rPr>
        <w:t xml:space="preserve">2.7. По показателю "Процентная ставка, процентов годовых" </w:t>
      </w:r>
      <w:hyperlink w:history="0" w:anchor="P35416" w:tooltip="7">
        <w:r>
          <w:rPr>
            <w:sz w:val="24"/>
            <w:color w:val="0000ff"/>
          </w:rPr>
          <w:t xml:space="preserve">(строка 7)</w:t>
        </w:r>
      </w:hyperlink>
      <w:r>
        <w:rPr>
          <w:sz w:val="24"/>
        </w:rPr>
        <w:t xml:space="preserve"> для каждого договора займа (кредитного договора) указывается размер годовой процентной ставки, под которую страховщиком привлечен заем (кредит).</w:t>
      </w:r>
    </w:p>
    <w:p>
      <w:pPr>
        <w:pStyle w:val="0"/>
        <w:spacing w:before="240" w:lineRule="auto"/>
        <w:ind w:firstLine="540"/>
        <w:jc w:val="both"/>
      </w:pPr>
      <w:r>
        <w:rPr>
          <w:sz w:val="24"/>
        </w:rPr>
        <w:t xml:space="preserve">В случае если в договоре займа (кредитном договоре) процентная ставка определена не в годовом исчислении, в целях формирования показателя "Процентная ставка, процентов годовых" </w:t>
      </w:r>
      <w:hyperlink w:history="0" w:anchor="P35416" w:tooltip="7">
        <w:r>
          <w:rPr>
            <w:sz w:val="24"/>
            <w:color w:val="0000ff"/>
          </w:rPr>
          <w:t xml:space="preserve">(строка 7)</w:t>
        </w:r>
      </w:hyperlink>
      <w:r>
        <w:rPr>
          <w:sz w:val="24"/>
        </w:rPr>
        <w:t xml:space="preserve"> страховщик должен пересчитать процентную ставку в годовом исчислении.</w:t>
      </w:r>
    </w:p>
    <w:p>
      <w:pPr>
        <w:pStyle w:val="0"/>
        <w:spacing w:before="240" w:lineRule="auto"/>
        <w:ind w:firstLine="540"/>
        <w:jc w:val="both"/>
      </w:pPr>
      <w:r>
        <w:rPr>
          <w:sz w:val="24"/>
        </w:rPr>
        <w:t xml:space="preserve">В случае если процентная ставка в договоре займа (кредитном договоре) прямо не определена или помимо уплаты процентной ставки предусматривается также уплата страховщиком других выплат, отличных от уплаты процентной ставки, и вознаграждений, в целях формирования показателя "Процентная ставка, процентов годовых" </w:t>
      </w:r>
      <w:hyperlink w:history="0" w:anchor="P35416" w:tooltip="7">
        <w:r>
          <w:rPr>
            <w:sz w:val="24"/>
            <w:color w:val="0000ff"/>
          </w:rPr>
          <w:t xml:space="preserve">(строка 7)</w:t>
        </w:r>
      </w:hyperlink>
      <w:r>
        <w:rPr>
          <w:sz w:val="24"/>
        </w:rPr>
        <w:t xml:space="preserve"> процентная ставка, под которую страховщиком привлечен заем (кредит), определяется как совокупность всех предусмотренных договором займа (кредитным договором) выплат и вознаграждений по договору, пересчитанных в годовом исчислении.</w:t>
      </w:r>
    </w:p>
    <w:p>
      <w:pPr>
        <w:pStyle w:val="0"/>
        <w:spacing w:before="240" w:lineRule="auto"/>
        <w:ind w:firstLine="540"/>
        <w:jc w:val="both"/>
      </w:pPr>
      <w:r>
        <w:rPr>
          <w:sz w:val="24"/>
        </w:rPr>
        <w:t xml:space="preserve">2.8. По показателю "Эффективная процентная ставка, процентов годовых" </w:t>
      </w:r>
      <w:hyperlink w:history="0" w:anchor="P35432" w:tooltip="8">
        <w:r>
          <w:rPr>
            <w:sz w:val="24"/>
            <w:color w:val="0000ff"/>
          </w:rPr>
          <w:t xml:space="preserve">(строка 8)</w:t>
        </w:r>
      </w:hyperlink>
      <w:r>
        <w:rPr>
          <w:sz w:val="24"/>
        </w:rPr>
        <w:t xml:space="preserve"> для каждого договора займа (кредитного договора) указывается размер эффективной процентной ставки, используемой в значении, определенном </w:t>
      </w:r>
      <w:hyperlink w:history="0" r:id="rId591" w:tooltip="&quot;Международный стандарт финансовой отчетности (IFRS) 9 &quot;Финансовые инструменты&quot; (введен в действие на территории Российской Федерации в редакции 2014 года Приказом Минфина России от 27.06.2016 N 98н) (ред. от 17.02.2021) {КонсультантПлюс}">
        <w:r>
          <w:rPr>
            <w:sz w:val="24"/>
            <w:color w:val="0000ff"/>
          </w:rPr>
          <w:t xml:space="preserve">приложением A</w:t>
        </w:r>
      </w:hyperlink>
      <w:r>
        <w:rPr>
          <w:sz w:val="24"/>
        </w:rPr>
        <w:t xml:space="preserve"> Международного стандарта финансовой отчетности (IFRS) 9 "Финансовые инструменты" в редакции 2014 года &lt;1&gt; (далее - МСФО (IFRS) 9).</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Введен в действие на территории Российской Федерации </w:t>
      </w:r>
      <w:hyperlink w:history="0" r:id="rId592" w:tooltip="Приказ Минфина России от 27.06.2016 N 98н &quot;О введении документов Международных стандартов финансовой отчетности в действие на территории Российской Федерации и о признании утратившими силу некоторых приказов Министерства финансов Российской Федерации&quot; (Зарегистрировано в Минюсте России 15.07.2016 N 42869) {КонсультантПлюс}">
        <w:r>
          <w:rPr>
            <w:sz w:val="24"/>
            <w:color w:val="0000ff"/>
          </w:rPr>
          <w:t xml:space="preserve">приказом</w:t>
        </w:r>
      </w:hyperlink>
      <w:r>
        <w:rPr>
          <w:sz w:val="24"/>
        </w:rPr>
        <w:t xml:space="preserve"> Минфина России от 27 июня 2016 года N 98н "О введении документов Международных стандартов финансовой отчетности в действие на территории Российской Федерации и о признании утратившими силу некоторых приказов Министерства финансов Российской Федерации" (зарегистрирован Минюстом России 15 июля 2016 года, регистрационный N 42869), с поправками, введенными в действие на территории Российской Федерации приказом Минфина России от 11 июля 2016 года N 111н "О введении в действие и прекращении действия документов Международных стандартов финансовой отчетности на территории Российской Федерации" (зарегистрирован Минюстом России 1 августа 2016 года, регистрационный N 43044), приказом Минфина России от 27 марта 2018 года N 56н "О введении документов Международных стандартов финансовой отчетности в действие на территории Российской Федерации" (зарегистрирован Минюстом России 16 апреля 2018 года, регистрационный N 50779), приказом Минфина России от 4 июня 2018 года N 125н "О введении документа Международных стандартов финансовой отчетности в действие на территории Российской Федерации" (зарегистрирован Минюстом России 21 июня 2018 года, регистрационный N 51396), приказом Минфина России от 16 сентября 2019 года N 146н "О введении документа Международных стандартов финансовой отчетности "Редакционные исправления в МСФО" в действие на территории Российской Федерации" (зарегистрирован Минюстом России 9 октября 2019 года, регистрационный N 56187), приказом Минфина России от 7 апреля 2020 года N 55н "О введении документа Международных стандартов финансовой отчетности "Реформа базовой процентной ставки (Поправки к МСФО (IFRS) 9, МСФО (IAS) 39 и МСФО (IFRS) 7)" в действие на территории Российской Федерации" (зарегистрирован Минюстом России 3 июля 2020 года, регистрационный N 58832), приказом Минфина России от 14 декабря 2020 года N 304н "О введении документа Международных стандартов финансовой отчетности "Поправки к </w:t>
      </w:r>
      <w:hyperlink w:history="0" r:id="rId593"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"Договоры страхования" в действие на территории Российской Федерации" (зарегистрирован Минюстом России 19 января 2021 года, регистрационный N 62135), приказом Минфина России от 17 февраля 2021 года N 23н "О введении документа Международных стандартов финансовой отчетности "Реформа базовой процентной ставки - этап 2 (Поправки к МСФО (IFRS) 9, МСФО (IAS) 39, МСФО (IFRS) 7, МСФО (IFRS) 4 и МСФО (IFRS) 16)" в действие на территории Российской Федерации" (зарегистрирован Минюстом России 22 марта 2021 года, регистрационный N 62829), приказом Минфина России от 17 февраля 2021 года N 24н "О введении документов Международных стандартов финансовой отчетности "Поправки к ссылкам на "Концептуальные основы" (Поправки к МСФО (IFRS) 3 "Объединение бизнесов")", "Основные средства - поступления до использования по назначению (Поправки к МСФО (IAS) 16 "Основные средства")", "Обременительные договоры - затраты на исполнение договора (Поправки к МСФО (IAS) 37)" и "Ежегодные усовершенствования Международных стандартов финансовой отчетности, период 2018 - 2020 гг." в действие на территории Российской Федерации" (зарегистрирован Минюстом России 22 марта 2021 года, регистрационный N 62828).</w:t>
      </w:r>
    </w:p>
    <w:p>
      <w:pPr>
        <w:pStyle w:val="0"/>
        <w:ind w:firstLine="540"/>
        <w:jc w:val="both"/>
      </w:pPr>
      <w:r>
        <w:rPr>
          <w:sz w:val="24"/>
        </w:rPr>
      </w:r>
    </w:p>
    <w:p>
      <w:pPr>
        <w:pStyle w:val="0"/>
        <w:ind w:firstLine="540"/>
        <w:jc w:val="both"/>
      </w:pPr>
      <w:r>
        <w:rPr>
          <w:sz w:val="24"/>
        </w:rPr>
        <w:t xml:space="preserve">2.9. По показателю "Дата получения средств" </w:t>
      </w:r>
      <w:hyperlink w:history="0" w:anchor="P35448" w:tooltip="9">
        <w:r>
          <w:rPr>
            <w:sz w:val="24"/>
            <w:color w:val="0000ff"/>
          </w:rPr>
          <w:t xml:space="preserve">(строка 9)</w:t>
        </w:r>
      </w:hyperlink>
      <w:r>
        <w:rPr>
          <w:sz w:val="24"/>
        </w:rPr>
        <w:t xml:space="preserve"> для каждого договора займа (кредитного договора) указывается дата получения страховщиком средств от заимодавца (кредитора).</w:t>
      </w:r>
    </w:p>
    <w:p>
      <w:pPr>
        <w:pStyle w:val="0"/>
        <w:spacing w:before="240" w:lineRule="auto"/>
        <w:ind w:firstLine="540"/>
        <w:jc w:val="both"/>
      </w:pPr>
      <w:r>
        <w:rPr>
          <w:sz w:val="24"/>
        </w:rPr>
        <w:t xml:space="preserve">2.10. По показателю "Объем полученных средств по договору займа (кредитному договору) в отчетном периоде" </w:t>
      </w:r>
      <w:hyperlink w:history="0" w:anchor="P35464" w:tooltip="10">
        <w:r>
          <w:rPr>
            <w:sz w:val="24"/>
            <w:color w:val="0000ff"/>
          </w:rPr>
          <w:t xml:space="preserve">(строка 10)</w:t>
        </w:r>
      </w:hyperlink>
      <w:r>
        <w:rPr>
          <w:sz w:val="24"/>
        </w:rPr>
        <w:t xml:space="preserve"> для каждого договора займа (кредитного договора) указывается объем средств, полученных по нему страховщиком в отчетном периоде.</w:t>
      </w:r>
    </w:p>
    <w:p>
      <w:pPr>
        <w:pStyle w:val="0"/>
        <w:spacing w:before="240" w:lineRule="auto"/>
        <w:ind w:firstLine="540"/>
        <w:jc w:val="both"/>
      </w:pPr>
      <w:r>
        <w:rPr>
          <w:sz w:val="24"/>
        </w:rPr>
        <w:t xml:space="preserve">2.11. По показателю "Периодичность погашения основного долга" </w:t>
      </w:r>
      <w:hyperlink w:history="0" w:anchor="P35480" w:tooltip="11">
        <w:r>
          <w:rPr>
            <w:sz w:val="24"/>
            <w:color w:val="0000ff"/>
          </w:rPr>
          <w:t xml:space="preserve">(строка 11)</w:t>
        </w:r>
      </w:hyperlink>
      <w:r>
        <w:rPr>
          <w:sz w:val="24"/>
        </w:rPr>
        <w:t xml:space="preserve"> для каждого договора займа (кредитного договора) указывается периодичность уплаты страховщиком платежей заимодавцу (кредитору) в счет погашения основного долга в соответствии с условиями договора займа (кредитного договора) с использованием следующих кодов:</w:t>
      </w:r>
    </w:p>
    <w:bookmarkStart w:id="36813" w:name="P36813"/>
    <w:bookmarkEnd w:id="36813"/>
    <w:p>
      <w:pPr>
        <w:pStyle w:val="0"/>
        <w:spacing w:before="240" w:lineRule="auto"/>
        <w:ind w:firstLine="540"/>
        <w:jc w:val="both"/>
      </w:pPr>
      <w:r>
        <w:rPr>
          <w:sz w:val="24"/>
        </w:rPr>
        <w:t xml:space="preserve">1 - ежемесячно;</w:t>
      </w:r>
    </w:p>
    <w:p>
      <w:pPr>
        <w:pStyle w:val="0"/>
        <w:spacing w:before="240" w:lineRule="auto"/>
        <w:ind w:firstLine="540"/>
        <w:jc w:val="both"/>
      </w:pPr>
      <w:r>
        <w:rPr>
          <w:sz w:val="24"/>
        </w:rPr>
        <w:t xml:space="preserve">2 - ежеквартально;</w:t>
      </w:r>
    </w:p>
    <w:p>
      <w:pPr>
        <w:pStyle w:val="0"/>
        <w:spacing w:before="240" w:lineRule="auto"/>
        <w:ind w:firstLine="540"/>
        <w:jc w:val="both"/>
      </w:pPr>
      <w:r>
        <w:rPr>
          <w:sz w:val="24"/>
        </w:rPr>
        <w:t xml:space="preserve">3 - в конце срока действия договора;</w:t>
      </w:r>
    </w:p>
    <w:bookmarkStart w:id="36816" w:name="P36816"/>
    <w:bookmarkEnd w:id="36816"/>
    <w:p>
      <w:pPr>
        <w:pStyle w:val="0"/>
        <w:spacing w:before="240" w:lineRule="auto"/>
        <w:ind w:firstLine="540"/>
        <w:jc w:val="both"/>
      </w:pPr>
      <w:r>
        <w:rPr>
          <w:sz w:val="24"/>
        </w:rPr>
        <w:t xml:space="preserve">4 - более одного раза в месяц;</w:t>
      </w:r>
    </w:p>
    <w:p>
      <w:pPr>
        <w:pStyle w:val="0"/>
        <w:spacing w:before="240" w:lineRule="auto"/>
        <w:ind w:firstLine="540"/>
        <w:jc w:val="both"/>
      </w:pPr>
      <w:r>
        <w:rPr>
          <w:sz w:val="24"/>
        </w:rPr>
        <w:t xml:space="preserve">5 - иная периодичность, не указанная в </w:t>
      </w:r>
      <w:hyperlink w:history="0" w:anchor="P36813" w:tooltip="1 - ежемесячно;">
        <w:r>
          <w:rPr>
            <w:sz w:val="24"/>
            <w:color w:val="0000ff"/>
          </w:rPr>
          <w:t xml:space="preserve">абзацах втором</w:t>
        </w:r>
      </w:hyperlink>
      <w:r>
        <w:rPr>
          <w:sz w:val="24"/>
        </w:rPr>
        <w:t xml:space="preserve"> - </w:t>
      </w:r>
      <w:hyperlink w:history="0" w:anchor="P36816" w:tooltip="4 - более одного раза в месяц;">
        <w:r>
          <w:rPr>
            <w:sz w:val="24"/>
            <w:color w:val="0000ff"/>
          </w:rPr>
          <w:t xml:space="preserve">пятом</w:t>
        </w:r>
      </w:hyperlink>
      <w:r>
        <w:rPr>
          <w:sz w:val="24"/>
        </w:rPr>
        <w:t xml:space="preserve"> настоящего подпункта.</w:t>
      </w:r>
    </w:p>
    <w:p>
      <w:pPr>
        <w:pStyle w:val="0"/>
        <w:spacing w:before="240" w:lineRule="auto"/>
        <w:ind w:firstLine="540"/>
        <w:jc w:val="both"/>
      </w:pPr>
      <w:r>
        <w:rPr>
          <w:sz w:val="24"/>
        </w:rPr>
        <w:t xml:space="preserve">2.12. По показателю "Сумма средств, причитающихся к уплате по договору займа (кредитному договору) в отчетном периоде" </w:t>
      </w:r>
      <w:hyperlink w:history="0" w:anchor="P35496" w:tooltip="12">
        <w:r>
          <w:rPr>
            <w:sz w:val="24"/>
            <w:color w:val="0000ff"/>
          </w:rPr>
          <w:t xml:space="preserve">(строка 12)</w:t>
        </w:r>
      </w:hyperlink>
      <w:r>
        <w:rPr>
          <w:sz w:val="24"/>
        </w:rPr>
        <w:t xml:space="preserve"> для каждого договора займа (кредитного договора) указывается общая сумма средств по основному долгу, причитающихся к уплате страховщиком заимодавцу (кредитору) в отчетном периоде согласно действующим условиям договора займа (кредитного договора).</w:t>
      </w:r>
    </w:p>
    <w:p>
      <w:pPr>
        <w:pStyle w:val="0"/>
        <w:spacing w:before="240" w:lineRule="auto"/>
        <w:ind w:firstLine="540"/>
        <w:jc w:val="both"/>
      </w:pPr>
      <w:r>
        <w:rPr>
          <w:sz w:val="24"/>
        </w:rPr>
        <w:t xml:space="preserve">2.13. По показателю "Сумма фактически уплаченных средств по договору займа (кредитному договору) в отчетном периоде" </w:t>
      </w:r>
      <w:hyperlink w:history="0" w:anchor="P35512" w:tooltip="13">
        <w:r>
          <w:rPr>
            <w:sz w:val="24"/>
            <w:color w:val="0000ff"/>
          </w:rPr>
          <w:t xml:space="preserve">(строка 13)</w:t>
        </w:r>
      </w:hyperlink>
      <w:r>
        <w:rPr>
          <w:sz w:val="24"/>
        </w:rPr>
        <w:t xml:space="preserve"> для каждого договора займа (кредитного договора) указывается общая сумма фактически уплаченных страховщиком заимодавцу (кредитору) средств по основному долгу в отчетном периоде (включая сумму платежей в счет досрочного погашения задолженности по договору займа (кредитному договору), указанную по показателю "Сумма, досрочно погашенная по договору займа (кредитному договору) в отчетном периоде" </w:t>
      </w:r>
      <w:hyperlink w:history="0" w:anchor="P35528" w:tooltip="14">
        <w:r>
          <w:rPr>
            <w:sz w:val="24"/>
            <w:color w:val="0000ff"/>
          </w:rPr>
          <w:t xml:space="preserve">(строка 14)</w:t>
        </w:r>
      </w:hyperlink>
      <w:r>
        <w:rPr>
          <w:sz w:val="24"/>
        </w:rPr>
        <w:t xml:space="preserve">.</w:t>
      </w:r>
    </w:p>
    <w:p>
      <w:pPr>
        <w:pStyle w:val="0"/>
        <w:spacing w:before="240" w:lineRule="auto"/>
        <w:ind w:firstLine="540"/>
        <w:jc w:val="both"/>
      </w:pPr>
      <w:r>
        <w:rPr>
          <w:sz w:val="24"/>
        </w:rPr>
        <w:t xml:space="preserve">2.14. По показателю "Сумма, досрочно погашенная по договору займа (кредитному договору) в отчетном периоде" </w:t>
      </w:r>
      <w:hyperlink w:history="0" w:anchor="P35528" w:tooltip="14">
        <w:r>
          <w:rPr>
            <w:sz w:val="24"/>
            <w:color w:val="0000ff"/>
          </w:rPr>
          <w:t xml:space="preserve">(строка 14)</w:t>
        </w:r>
      </w:hyperlink>
      <w:r>
        <w:rPr>
          <w:sz w:val="24"/>
        </w:rPr>
        <w:t xml:space="preserve"> указывается сумма платежей в счет досрочного погашения задолженности по договору займа (кредитному договору) из общей суммы фактически уплаченных страховщиком заимодавцу (кредитору) средств по основному долгу в отчетном периоде, указанной по показателю "Сумма фактически уплаченных средств по договору займа (кредитному договору) в отчетном периоде" </w:t>
      </w:r>
      <w:hyperlink w:history="0" w:anchor="P35512" w:tooltip="13">
        <w:r>
          <w:rPr>
            <w:sz w:val="24"/>
            <w:color w:val="0000ff"/>
          </w:rPr>
          <w:t xml:space="preserve">(строка 13)</w:t>
        </w:r>
      </w:hyperlink>
      <w:r>
        <w:rPr>
          <w:sz w:val="24"/>
        </w:rPr>
        <w:t xml:space="preserve">.</w:t>
      </w:r>
    </w:p>
    <w:p>
      <w:pPr>
        <w:pStyle w:val="0"/>
        <w:spacing w:before="240" w:lineRule="auto"/>
        <w:ind w:firstLine="540"/>
        <w:jc w:val="both"/>
      </w:pPr>
      <w:r>
        <w:rPr>
          <w:sz w:val="24"/>
        </w:rPr>
        <w:t xml:space="preserve">В целях формирования показателя "Сумма, досрочно погашенная по договору займа (кредитному договору) в отчетном периоде" </w:t>
      </w:r>
      <w:hyperlink w:history="0" w:anchor="P35528" w:tooltip="14">
        <w:r>
          <w:rPr>
            <w:sz w:val="24"/>
            <w:color w:val="0000ff"/>
          </w:rPr>
          <w:t xml:space="preserve">(строка 14)</w:t>
        </w:r>
      </w:hyperlink>
      <w:r>
        <w:rPr>
          <w:sz w:val="24"/>
        </w:rPr>
        <w:t xml:space="preserve"> сумма платежей в счет досрочного погашения задолженности по договору займа (кредитному договору) определяется как разница между суммой фактически уплаченных заимодавцу (кредитору) в отчетном периоде средств по основному долгу и суммой средств по основному долгу, причитающихся к уплате заимодавцу (кредитору) в отчетном периоде.</w:t>
      </w:r>
    </w:p>
    <w:p>
      <w:pPr>
        <w:pStyle w:val="0"/>
        <w:spacing w:before="240" w:lineRule="auto"/>
        <w:ind w:firstLine="540"/>
        <w:jc w:val="both"/>
      </w:pPr>
      <w:r>
        <w:rPr>
          <w:sz w:val="24"/>
        </w:rPr>
        <w:t xml:space="preserve">2.15. По показателю "Периодичность уплаты процентов" </w:t>
      </w:r>
      <w:hyperlink w:history="0" w:anchor="P35544" w:tooltip="15">
        <w:r>
          <w:rPr>
            <w:sz w:val="24"/>
            <w:color w:val="0000ff"/>
          </w:rPr>
          <w:t xml:space="preserve">(строка 15)</w:t>
        </w:r>
      </w:hyperlink>
      <w:r>
        <w:rPr>
          <w:sz w:val="24"/>
        </w:rPr>
        <w:t xml:space="preserve"> для каждого договора займа (кредитного договора) указывается периодичность уплаты страховщиком заимодавцу (кредитору) процентов за пользование займом (кредитом) в соответствии с условиями договора займа (кредитного договора) с использованием следующих кодов:</w:t>
      </w:r>
    </w:p>
    <w:bookmarkStart w:id="36823" w:name="P36823"/>
    <w:bookmarkEnd w:id="36823"/>
    <w:p>
      <w:pPr>
        <w:pStyle w:val="0"/>
        <w:spacing w:before="240" w:lineRule="auto"/>
        <w:ind w:firstLine="540"/>
        <w:jc w:val="both"/>
      </w:pPr>
      <w:r>
        <w:rPr>
          <w:sz w:val="24"/>
        </w:rPr>
        <w:t xml:space="preserve">1 - ежемесячно;</w:t>
      </w:r>
    </w:p>
    <w:p>
      <w:pPr>
        <w:pStyle w:val="0"/>
        <w:spacing w:before="240" w:lineRule="auto"/>
        <w:ind w:firstLine="540"/>
        <w:jc w:val="both"/>
      </w:pPr>
      <w:r>
        <w:rPr>
          <w:sz w:val="24"/>
        </w:rPr>
        <w:t xml:space="preserve">2 - ежеквартально;</w:t>
      </w:r>
    </w:p>
    <w:p>
      <w:pPr>
        <w:pStyle w:val="0"/>
        <w:spacing w:before="240" w:lineRule="auto"/>
        <w:ind w:firstLine="540"/>
        <w:jc w:val="both"/>
      </w:pPr>
      <w:r>
        <w:rPr>
          <w:sz w:val="24"/>
        </w:rPr>
        <w:t xml:space="preserve">3 - в конце срока действия договора;</w:t>
      </w:r>
    </w:p>
    <w:bookmarkStart w:id="36826" w:name="P36826"/>
    <w:bookmarkEnd w:id="36826"/>
    <w:p>
      <w:pPr>
        <w:pStyle w:val="0"/>
        <w:spacing w:before="240" w:lineRule="auto"/>
        <w:ind w:firstLine="540"/>
        <w:jc w:val="both"/>
      </w:pPr>
      <w:r>
        <w:rPr>
          <w:sz w:val="24"/>
        </w:rPr>
        <w:t xml:space="preserve">4 - более одного раза в месяц;</w:t>
      </w:r>
    </w:p>
    <w:p>
      <w:pPr>
        <w:pStyle w:val="0"/>
        <w:spacing w:before="240" w:lineRule="auto"/>
        <w:ind w:firstLine="540"/>
        <w:jc w:val="both"/>
      </w:pPr>
      <w:r>
        <w:rPr>
          <w:sz w:val="24"/>
        </w:rPr>
        <w:t xml:space="preserve">5 - иная периодичность, не указанная в </w:t>
      </w:r>
      <w:hyperlink w:history="0" w:anchor="P36823" w:tooltip="1 - ежемесячно;">
        <w:r>
          <w:rPr>
            <w:sz w:val="24"/>
            <w:color w:val="0000ff"/>
          </w:rPr>
          <w:t xml:space="preserve">абзацах втором</w:t>
        </w:r>
      </w:hyperlink>
      <w:r>
        <w:rPr>
          <w:sz w:val="24"/>
        </w:rPr>
        <w:t xml:space="preserve"> - </w:t>
      </w:r>
      <w:hyperlink w:history="0" w:anchor="P36826" w:tooltip="4 - более одного раза в месяц;">
        <w:r>
          <w:rPr>
            <w:sz w:val="24"/>
            <w:color w:val="0000ff"/>
          </w:rPr>
          <w:t xml:space="preserve">пятом</w:t>
        </w:r>
      </w:hyperlink>
      <w:r>
        <w:rPr>
          <w:sz w:val="24"/>
        </w:rPr>
        <w:t xml:space="preserve"> настоящего подпункта.</w:t>
      </w:r>
    </w:p>
    <w:p>
      <w:pPr>
        <w:pStyle w:val="0"/>
        <w:spacing w:before="240" w:lineRule="auto"/>
        <w:ind w:firstLine="540"/>
        <w:jc w:val="both"/>
      </w:pPr>
      <w:r>
        <w:rPr>
          <w:sz w:val="24"/>
        </w:rPr>
        <w:t xml:space="preserve">2.16. По показателю "Сумма процентов, причитающихся к уплате по договору займа (кредитному договору) в отчетном периоде" </w:t>
      </w:r>
      <w:hyperlink w:history="0" w:anchor="P35560" w:tooltip="16">
        <w:r>
          <w:rPr>
            <w:sz w:val="24"/>
            <w:color w:val="0000ff"/>
          </w:rPr>
          <w:t xml:space="preserve">(строка 16)</w:t>
        </w:r>
      </w:hyperlink>
      <w:r>
        <w:rPr>
          <w:sz w:val="24"/>
        </w:rPr>
        <w:t xml:space="preserve"> для каждого договора займа (кредитного договора) указывается общая сумма процентов, причитающихся к уплате страховщиком в отчетном периоде в соответствии с действующими условиями договора займа (кредитного договора), по показателю "Сумма процентов, фактически уплаченная страховщиком по договору займа (кредитному договору) в отчетном периоде" </w:t>
      </w:r>
      <w:hyperlink w:history="0" w:anchor="P35576" w:tooltip="17">
        <w:r>
          <w:rPr>
            <w:sz w:val="24"/>
            <w:color w:val="0000ff"/>
          </w:rPr>
          <w:t xml:space="preserve">(строка 17)</w:t>
        </w:r>
      </w:hyperlink>
      <w:r>
        <w:rPr>
          <w:sz w:val="24"/>
        </w:rPr>
        <w:t xml:space="preserve"> - общая сумма процентов, фактически уплаченная страховщиком в отчетном периоде.</w:t>
      </w:r>
    </w:p>
    <w:p>
      <w:pPr>
        <w:pStyle w:val="0"/>
        <w:spacing w:before="240" w:lineRule="auto"/>
        <w:ind w:firstLine="540"/>
        <w:jc w:val="both"/>
      </w:pPr>
      <w:r>
        <w:rPr>
          <w:sz w:val="24"/>
        </w:rPr>
        <w:t xml:space="preserve">2.17. В случае если дата уплаты страховщиком платежей по основному долгу и процентов в соответствии с договором займа (кредитным договором) приходилась на последний день предыдущего отчетного периода, являвшийся выходным или нерабочим праздничным днем, признаваемым таковым в соответствии со </w:t>
      </w:r>
      <w:hyperlink w:history="0" r:id="rId594" w:tooltip="&quot;Трудовой кодекс Российской Федерации&quot; от 30.12.2001 N 197-ФЗ (ред. от 28.12.2025) {КонсультантПлюс}">
        <w:r>
          <w:rPr>
            <w:sz w:val="24"/>
            <w:color w:val="0000ff"/>
          </w:rPr>
          <w:t xml:space="preserve">статьями 111</w:t>
        </w:r>
      </w:hyperlink>
      <w:r>
        <w:rPr>
          <w:sz w:val="24"/>
        </w:rPr>
        <w:t xml:space="preserve"> и </w:t>
      </w:r>
      <w:hyperlink w:history="0" r:id="rId595" w:tooltip="&quot;Трудовой кодекс Российской Федерации&quot; от 30.12.2001 N 197-ФЗ (ред. от 28.12.2025) {КонсультантПлюс}">
        <w:r>
          <w:rPr>
            <w:sz w:val="24"/>
            <w:color w:val="0000ff"/>
          </w:rPr>
          <w:t xml:space="preserve">112</w:t>
        </w:r>
      </w:hyperlink>
      <w:r>
        <w:rPr>
          <w:sz w:val="24"/>
        </w:rPr>
        <w:t xml:space="preserve"> Трудового кодекса Российской Федерации, а уплата платежей по основному долгу и процентов осуществлена в первый рабочий день текущего отчетного периода, сведения о суммах указанных платежей приводятся в </w:t>
      </w:r>
      <w:hyperlink w:history="0" w:anchor="P35318" w:tooltip="Раздел 1.">
        <w:r>
          <w:rPr>
            <w:sz w:val="24"/>
            <w:color w:val="0000ff"/>
          </w:rPr>
          <w:t xml:space="preserve">разделе 1</w:t>
        </w:r>
      </w:hyperlink>
      <w:r>
        <w:rPr>
          <w:sz w:val="24"/>
        </w:rPr>
        <w:t xml:space="preserve"> отчетности по форме 0420160 за текущий отчетный период.</w:t>
      </w:r>
    </w:p>
    <w:p>
      <w:pPr>
        <w:pStyle w:val="0"/>
        <w:spacing w:before="240" w:lineRule="auto"/>
        <w:ind w:firstLine="540"/>
        <w:jc w:val="both"/>
      </w:pPr>
      <w:r>
        <w:rPr>
          <w:sz w:val="24"/>
        </w:rPr>
        <w:t xml:space="preserve">2.18. По показателям "Первоначальная стоимость полученных средств по договору займа (кредитному договору)" </w:t>
      </w:r>
      <w:hyperlink w:history="0" w:anchor="P35592" w:tooltip="18">
        <w:r>
          <w:rPr>
            <w:sz w:val="24"/>
            <w:color w:val="0000ff"/>
          </w:rPr>
          <w:t xml:space="preserve">(строка 18)</w:t>
        </w:r>
      </w:hyperlink>
      <w:r>
        <w:rPr>
          <w:sz w:val="24"/>
        </w:rPr>
        <w:t xml:space="preserve">, "Накопленная корректировка на остаток полученных средств по договору займа (кредитному договору)" </w:t>
      </w:r>
      <w:hyperlink w:history="0" w:anchor="P35608" w:tooltip="19">
        <w:r>
          <w:rPr>
            <w:sz w:val="24"/>
            <w:color w:val="0000ff"/>
          </w:rPr>
          <w:t xml:space="preserve">(строка 19)</w:t>
        </w:r>
      </w:hyperlink>
      <w:r>
        <w:rPr>
          <w:sz w:val="24"/>
        </w:rPr>
        <w:t xml:space="preserve">, "Остаток полученных средств с учетом корректировки по договору займа (кредитному договору)" </w:t>
      </w:r>
      <w:hyperlink w:history="0" w:anchor="P35624" w:tooltip="20">
        <w:r>
          <w:rPr>
            <w:sz w:val="24"/>
            <w:color w:val="0000ff"/>
          </w:rPr>
          <w:t xml:space="preserve">(строка 20)</w:t>
        </w:r>
      </w:hyperlink>
      <w:r>
        <w:rPr>
          <w:sz w:val="24"/>
        </w:rPr>
        <w:t xml:space="preserve"> для каждого договора займа (кредитного договора) указываются на конец отчетного периода стоимость при первоначальном признании обязательств страховщика по договору займа (кредитному договору), величина изменения стоимости обязательств после первоначального признания, остаток полученных страховщиком средств по договору займа (кредитному договору) с учетом изменения стоимости после первоначального признания соответственно.</w:t>
      </w:r>
    </w:p>
    <w:p>
      <w:pPr>
        <w:pStyle w:val="0"/>
        <w:spacing w:before="240" w:lineRule="auto"/>
        <w:ind w:firstLine="540"/>
        <w:jc w:val="both"/>
      </w:pPr>
      <w:r>
        <w:rPr>
          <w:sz w:val="24"/>
        </w:rPr>
        <w:t xml:space="preserve">2.19. По показателю "Вид имущества, являющегося предметом залога" </w:t>
      </w:r>
      <w:hyperlink w:history="0" w:anchor="P35640" w:tooltip="21">
        <w:r>
          <w:rPr>
            <w:sz w:val="24"/>
            <w:color w:val="0000ff"/>
          </w:rPr>
          <w:t xml:space="preserve">(строка 21)</w:t>
        </w:r>
      </w:hyperlink>
      <w:r>
        <w:rPr>
          <w:sz w:val="24"/>
        </w:rPr>
        <w:t xml:space="preserve"> для каждого договора займа (кредитного договора) указывается вид имущества, являющегося предметом залога по договору займа (кредитному договору), с указанием идентификатора контрагента по группе аналитических признаков "Идентификатор контрагента по предмету залога".</w:t>
      </w:r>
    </w:p>
    <w:p>
      <w:pPr>
        <w:pStyle w:val="0"/>
        <w:spacing w:before="240" w:lineRule="auto"/>
        <w:ind w:firstLine="540"/>
        <w:jc w:val="both"/>
      </w:pPr>
      <w:r>
        <w:rPr>
          <w:sz w:val="24"/>
        </w:rPr>
        <w:t xml:space="preserve">В случае если предметом залога является недвижимость, стоимость которой определена на основании отчета об оценке рыночной стоимости объекта недвижимости, составленного лицом, являющимся оценщиком в соответствии с </w:t>
      </w:r>
      <w:hyperlink w:history="0" r:id="rId596"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частью первой статьи 4</w:t>
        </w:r>
      </w:hyperlink>
      <w:r>
        <w:rPr>
          <w:sz w:val="24"/>
        </w:rPr>
        <w:t xml:space="preserve"> Федерального закона от 29 июля 1998 года N 135-ФЗ "Об оценочной деятельности в Российской Федерации" (далее - Федеральный закон N 135-ФЗ), в соответствии с требованиями </w:t>
      </w:r>
      <w:hyperlink w:history="0" r:id="rId597"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статьи 11</w:t>
        </w:r>
      </w:hyperlink>
      <w:r>
        <w:rPr>
          <w:sz w:val="24"/>
        </w:rPr>
        <w:t xml:space="preserve"> Федерального закона N 135-ФЗ (далее - отчет оценщика), по группе аналитических признаков "Идентификатор контрагента по предмету залога" указывается идентификатор оценщика.</w:t>
      </w:r>
    </w:p>
    <w:bookmarkStart w:id="36833" w:name="P36833"/>
    <w:bookmarkEnd w:id="36833"/>
    <w:p>
      <w:pPr>
        <w:pStyle w:val="0"/>
        <w:spacing w:before="240" w:lineRule="auto"/>
        <w:ind w:firstLine="540"/>
        <w:jc w:val="both"/>
      </w:pPr>
      <w:r>
        <w:rPr>
          <w:sz w:val="24"/>
        </w:rPr>
        <w:t xml:space="preserve">В случае если предметом залога является недвижимость, по показателю "Наименование и назначение объекта недвижимости, являющегося предметом залога" </w:t>
      </w:r>
      <w:hyperlink w:history="0" w:anchor="P35656" w:tooltip="22">
        <w:r>
          <w:rPr>
            <w:sz w:val="24"/>
            <w:color w:val="0000ff"/>
          </w:rPr>
          <w:t xml:space="preserve">(строка 22)</w:t>
        </w:r>
      </w:hyperlink>
      <w:r>
        <w:rPr>
          <w:sz w:val="24"/>
        </w:rPr>
        <w:t xml:space="preserve"> указываются наименование и назначение объекта недвижимости, по показателю "Примечание" </w:t>
      </w:r>
      <w:hyperlink w:history="0" w:anchor="P35688" w:tooltip="24">
        <w:r>
          <w:rPr>
            <w:sz w:val="24"/>
            <w:color w:val="0000ff"/>
          </w:rPr>
          <w:t xml:space="preserve">(строка 24)</w:t>
        </w:r>
      </w:hyperlink>
      <w:r>
        <w:rPr>
          <w:sz w:val="24"/>
        </w:rPr>
        <w:t xml:space="preserve"> указывается адрес (местоположение) объекта недвижимости.</w:t>
      </w:r>
    </w:p>
    <w:p>
      <w:pPr>
        <w:pStyle w:val="0"/>
        <w:spacing w:before="240" w:lineRule="auto"/>
        <w:ind w:firstLine="540"/>
        <w:jc w:val="both"/>
      </w:pPr>
      <w:r>
        <w:rPr>
          <w:sz w:val="24"/>
        </w:rPr>
        <w:t xml:space="preserve">Значение идентификатора контрагента по предмету залога, указанное по группе аналитических признаков "Идентификатор контрагента по предмету залога",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контрагенту по предмету залога.</w:t>
      </w:r>
    </w:p>
    <w:p>
      <w:pPr>
        <w:pStyle w:val="0"/>
        <w:spacing w:before="240" w:lineRule="auto"/>
        <w:ind w:firstLine="540"/>
        <w:jc w:val="both"/>
      </w:pPr>
      <w:r>
        <w:rPr>
          <w:sz w:val="24"/>
        </w:rPr>
        <w:t xml:space="preserve">По показателю "Идентификационный код имущества, являющегося предметом залога" </w:t>
      </w:r>
      <w:hyperlink w:history="0" w:anchor="P35672" w:tooltip="23">
        <w:r>
          <w:rPr>
            <w:sz w:val="24"/>
            <w:color w:val="0000ff"/>
          </w:rPr>
          <w:t xml:space="preserve">(строка 23)</w:t>
        </w:r>
      </w:hyperlink>
      <w:r>
        <w:rPr>
          <w:sz w:val="24"/>
        </w:rPr>
        <w:t xml:space="preserve"> для каждого договора займа (кредитного договора) указывается идентификационный код имущества, являющегося предметом залога по договору займа (кредитному договору), соответствующий идентификатору актива, указываемому в отчетности по </w:t>
      </w:r>
      <w:hyperlink w:history="0" w:anchor="P2335" w:tooltip="Отчетность по форме 0420154">
        <w:r>
          <w:rPr>
            <w:sz w:val="24"/>
            <w:color w:val="0000ff"/>
          </w:rPr>
          <w:t xml:space="preserve">форме 0420154</w:t>
        </w:r>
      </w:hyperlink>
      <w:r>
        <w:rPr>
          <w:sz w:val="24"/>
        </w:rPr>
        <w:t xml:space="preserve">.</w:t>
      </w:r>
    </w:p>
    <w:p>
      <w:pPr>
        <w:pStyle w:val="0"/>
        <w:spacing w:before="240" w:lineRule="auto"/>
        <w:ind w:firstLine="540"/>
        <w:jc w:val="both"/>
      </w:pPr>
      <w:r>
        <w:rPr>
          <w:sz w:val="24"/>
        </w:rPr>
        <w:t xml:space="preserve">В случае если по заключенному договору займа (кредитному договору) имеется несколько предметов залога, данные по каждому предмету залога указываются отдельно.</w:t>
      </w:r>
    </w:p>
    <w:p>
      <w:pPr>
        <w:pStyle w:val="0"/>
        <w:spacing w:before="240" w:lineRule="auto"/>
        <w:ind w:firstLine="540"/>
        <w:jc w:val="both"/>
      </w:pPr>
      <w:r>
        <w:rPr>
          <w:sz w:val="24"/>
        </w:rPr>
        <w:t xml:space="preserve">2.20. По показателю "Примечание" </w:t>
      </w:r>
      <w:hyperlink w:history="0" w:anchor="P35688" w:tooltip="24">
        <w:r>
          <w:rPr>
            <w:sz w:val="24"/>
            <w:color w:val="0000ff"/>
          </w:rPr>
          <w:t xml:space="preserve">(строка 24)</w:t>
        </w:r>
      </w:hyperlink>
      <w:r>
        <w:rPr>
          <w:sz w:val="24"/>
        </w:rPr>
        <w:t xml:space="preserve"> указывается информация, предусмотренная </w:t>
      </w:r>
      <w:hyperlink w:history="0" w:anchor="P36833" w:tooltip="В случае если предметом залога является недвижимость, по показателю &quot;Наименование и назначение объекта недвижимости, являющегося предметом залога&quot; (строка 22) указываются наименование и назначение объекта недвижимости, по показателю &quot;Примечание&quot; (строка 24) указывается адрес (местоположение) объекта недвижимости.">
        <w:r>
          <w:rPr>
            <w:sz w:val="24"/>
            <w:color w:val="0000ff"/>
          </w:rPr>
          <w:t xml:space="preserve">абзацем третьим подпункта 2.19</w:t>
        </w:r>
      </w:hyperlink>
      <w:r>
        <w:rPr>
          <w:sz w:val="24"/>
        </w:rPr>
        <w:t xml:space="preserve"> настоящего пункта, а также иная информация (при наличии), являющаяся по решению страховщика существенной.</w:t>
      </w:r>
    </w:p>
    <w:p>
      <w:pPr>
        <w:pStyle w:val="0"/>
        <w:spacing w:before="240" w:lineRule="auto"/>
        <w:ind w:firstLine="540"/>
        <w:jc w:val="both"/>
      </w:pPr>
      <w:r>
        <w:rPr>
          <w:sz w:val="24"/>
        </w:rPr>
        <w:t xml:space="preserve">В случае изменения условий договора займа (кредитного договора) по показателю "Примечание" </w:t>
      </w:r>
      <w:hyperlink w:history="0" w:anchor="P35688" w:tooltip="24">
        <w:r>
          <w:rPr>
            <w:sz w:val="24"/>
            <w:color w:val="0000ff"/>
          </w:rPr>
          <w:t xml:space="preserve">(строка 24)</w:t>
        </w:r>
      </w:hyperlink>
      <w:r>
        <w:rPr>
          <w:sz w:val="24"/>
        </w:rPr>
        <w:t xml:space="preserve"> указываются реквизиты договора (дополнительного соглашения), в соответствии с которым внесены изменения в условия договора займа (кредитного договора).</w:t>
      </w:r>
    </w:p>
    <w:p>
      <w:pPr>
        <w:pStyle w:val="0"/>
        <w:spacing w:before="240" w:lineRule="auto"/>
        <w:ind w:firstLine="540"/>
        <w:jc w:val="both"/>
      </w:pPr>
      <w:r>
        <w:rPr>
          <w:sz w:val="24"/>
        </w:rPr>
        <w:t xml:space="preserve">2.21. Итоговые значения показателей "Объем полученных средств по договору займа (кредитному договору) в отчетном периоде" </w:t>
      </w:r>
      <w:hyperlink w:history="0" w:anchor="P35464" w:tooltip="10">
        <w:r>
          <w:rPr>
            <w:sz w:val="24"/>
            <w:color w:val="0000ff"/>
          </w:rPr>
          <w:t xml:space="preserve">(строка 10)</w:t>
        </w:r>
      </w:hyperlink>
      <w:r>
        <w:rPr>
          <w:sz w:val="24"/>
        </w:rPr>
        <w:t xml:space="preserve">, "Сумма средств, причитающихся к уплате по договору займа (кредитному договору) в отчетном периоде" </w:t>
      </w:r>
      <w:hyperlink w:history="0" w:anchor="P35496" w:tooltip="12">
        <w:r>
          <w:rPr>
            <w:sz w:val="24"/>
            <w:color w:val="0000ff"/>
          </w:rPr>
          <w:t xml:space="preserve">(строка 12)</w:t>
        </w:r>
      </w:hyperlink>
      <w:r>
        <w:rPr>
          <w:sz w:val="24"/>
        </w:rPr>
        <w:t xml:space="preserve">, "Сумма фактически уплаченных средств по договору займа (кредитному договору) в отчетном периоде" </w:t>
      </w:r>
      <w:hyperlink w:history="0" w:anchor="P35512" w:tooltip="13">
        <w:r>
          <w:rPr>
            <w:sz w:val="24"/>
            <w:color w:val="0000ff"/>
          </w:rPr>
          <w:t xml:space="preserve">(строка 13)</w:t>
        </w:r>
      </w:hyperlink>
      <w:r>
        <w:rPr>
          <w:sz w:val="24"/>
        </w:rPr>
        <w:t xml:space="preserve">, "Сумма, досрочно погашенная по договору займа (кредитному договору) в отчетном периоде" </w:t>
      </w:r>
      <w:hyperlink w:history="0" w:anchor="P35528" w:tooltip="14">
        <w:r>
          <w:rPr>
            <w:sz w:val="24"/>
            <w:color w:val="0000ff"/>
          </w:rPr>
          <w:t xml:space="preserve">(строка 14)</w:t>
        </w:r>
      </w:hyperlink>
      <w:r>
        <w:rPr>
          <w:sz w:val="24"/>
        </w:rPr>
        <w:t xml:space="preserve">, "Сумма процентов, причитающихся к уплате по договору займа (кредитному договору) в отчетном периоде" </w:t>
      </w:r>
      <w:hyperlink w:history="0" w:anchor="P35560" w:tooltip="16">
        <w:r>
          <w:rPr>
            <w:sz w:val="24"/>
            <w:color w:val="0000ff"/>
          </w:rPr>
          <w:t xml:space="preserve">(строка 16)</w:t>
        </w:r>
      </w:hyperlink>
      <w:r>
        <w:rPr>
          <w:sz w:val="24"/>
        </w:rPr>
        <w:t xml:space="preserve">, "Сумма процентов, фактически уплаченная страховщиком по договору займа (кредитному договору) в отчетном периоде" </w:t>
      </w:r>
      <w:hyperlink w:history="0" w:anchor="P35576" w:tooltip="17">
        <w:r>
          <w:rPr>
            <w:sz w:val="24"/>
            <w:color w:val="0000ff"/>
          </w:rPr>
          <w:t xml:space="preserve">(строка 17)</w:t>
        </w:r>
      </w:hyperlink>
      <w:r>
        <w:rPr>
          <w:sz w:val="24"/>
        </w:rPr>
        <w:t xml:space="preserve">, "Первоначальная стоимость полученных средств по договору займа (кредитному договору)" </w:t>
      </w:r>
      <w:hyperlink w:history="0" w:anchor="P35592" w:tooltip="18">
        <w:r>
          <w:rPr>
            <w:sz w:val="24"/>
            <w:color w:val="0000ff"/>
          </w:rPr>
          <w:t xml:space="preserve">(строка 18)</w:t>
        </w:r>
      </w:hyperlink>
      <w:r>
        <w:rPr>
          <w:sz w:val="24"/>
        </w:rPr>
        <w:t xml:space="preserve">, "Накопленная корректировка на остаток полученных средств по договору займа (кредитному договору)" </w:t>
      </w:r>
      <w:hyperlink w:history="0" w:anchor="P35608" w:tooltip="19">
        <w:r>
          <w:rPr>
            <w:sz w:val="24"/>
            <w:color w:val="0000ff"/>
          </w:rPr>
          <w:t xml:space="preserve">(строка 19)</w:t>
        </w:r>
      </w:hyperlink>
      <w:r>
        <w:rPr>
          <w:sz w:val="24"/>
        </w:rPr>
        <w:t xml:space="preserve">, "Остаток полученных средств с учетом корректировки по договору займа (кредитному договору)" </w:t>
      </w:r>
      <w:hyperlink w:history="0" w:anchor="P35624" w:tooltip="20">
        <w:r>
          <w:rPr>
            <w:sz w:val="24"/>
            <w:color w:val="0000ff"/>
          </w:rPr>
          <w:t xml:space="preserve">(строка 20)</w:t>
        </w:r>
      </w:hyperlink>
      <w:r>
        <w:rPr>
          <w:sz w:val="24"/>
        </w:rPr>
        <w:t xml:space="preserve"> определяются страховщиком путем суммирования данных по всем договорам займа (кредитным договорам), отраженных по указанным показателям.</w:t>
      </w:r>
    </w:p>
    <w:p>
      <w:pPr>
        <w:pStyle w:val="0"/>
        <w:spacing w:before="240" w:lineRule="auto"/>
        <w:ind w:firstLine="540"/>
        <w:jc w:val="both"/>
      </w:pPr>
      <w:r>
        <w:rPr>
          <w:sz w:val="24"/>
        </w:rPr>
        <w:t xml:space="preserve">3. По показателям </w:t>
      </w:r>
      <w:hyperlink w:history="0" w:anchor="P35704" w:tooltip="Раздел 2.">
        <w:r>
          <w:rPr>
            <w:sz w:val="24"/>
            <w:color w:val="0000ff"/>
          </w:rPr>
          <w:t xml:space="preserve">раздела 2</w:t>
        </w:r>
      </w:hyperlink>
      <w:r>
        <w:rPr>
          <w:sz w:val="24"/>
        </w:rPr>
        <w:t xml:space="preserve"> отчетности по форме 0420160 отражаются сведения о субординированных займах.</w:t>
      </w:r>
    </w:p>
    <w:p>
      <w:pPr>
        <w:pStyle w:val="0"/>
        <w:spacing w:before="240" w:lineRule="auto"/>
        <w:ind w:firstLine="540"/>
        <w:jc w:val="both"/>
      </w:pPr>
      <w:r>
        <w:rPr>
          <w:sz w:val="24"/>
        </w:rPr>
        <w:t xml:space="preserve">В целях составления отчетности по </w:t>
      </w:r>
      <w:hyperlink w:history="0" w:anchor="P35303" w:tooltip="Отчетность по форме 0420160">
        <w:r>
          <w:rPr>
            <w:sz w:val="24"/>
            <w:color w:val="0000ff"/>
          </w:rPr>
          <w:t xml:space="preserve">форме 0420160</w:t>
        </w:r>
      </w:hyperlink>
      <w:r>
        <w:rPr>
          <w:sz w:val="24"/>
        </w:rPr>
        <w:t xml:space="preserve"> понятие "субординированные займы" используется в значении, определенном </w:t>
      </w:r>
      <w:hyperlink w:history="0" r:id="rId598"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4.3 статьи 25</w:t>
        </w:r>
      </w:hyperlink>
      <w:r>
        <w:rPr>
          <w:sz w:val="24"/>
        </w:rPr>
        <w:t xml:space="preserve"> Закона Российской Федерации от 27 ноября 1992 года N 4015-I "Об организации страхового дела в Российской Федерации" (далее - Закон Российской Федерации N 4015-I).</w:t>
      </w:r>
    </w:p>
    <w:p>
      <w:pPr>
        <w:pStyle w:val="0"/>
        <w:spacing w:before="240" w:lineRule="auto"/>
        <w:ind w:firstLine="540"/>
        <w:jc w:val="both"/>
      </w:pPr>
      <w:r>
        <w:rPr>
          <w:sz w:val="24"/>
        </w:rPr>
        <w:t xml:space="preserve">Значение идентификатора заимодавца, указанное по группе аналитических признаков "Идентификатор заимодавца по субординированным займам",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и по группе аналитических признаков "Идентификатор контрагента" </w:t>
      </w:r>
      <w:hyperlink w:history="0" w:anchor="P26192" w:tooltip="Подраздел 3.4.">
        <w:r>
          <w:rPr>
            <w:sz w:val="24"/>
            <w:color w:val="0000ff"/>
          </w:rPr>
          <w:t xml:space="preserve">подраздела 3.4 раздела 3</w:t>
        </w:r>
      </w:hyperlink>
      <w:r>
        <w:rPr>
          <w:sz w:val="24"/>
        </w:rPr>
        <w:t xml:space="preserve"> отчетности по форме 0420154 по этому заимодавцу.</w:t>
      </w:r>
    </w:p>
    <w:p>
      <w:pPr>
        <w:pStyle w:val="0"/>
        <w:spacing w:before="240" w:lineRule="auto"/>
        <w:ind w:firstLine="540"/>
        <w:jc w:val="both"/>
      </w:pPr>
      <w:r>
        <w:rPr>
          <w:sz w:val="24"/>
        </w:rPr>
        <w:t xml:space="preserve">Данные, указанные по группе аналитических признаков "Информация о субординированном займе", должны соответствовать данным, указанным по группе аналитических признаков "Идентификатор обязательства" </w:t>
      </w:r>
      <w:hyperlink w:history="0" w:anchor="P26192" w:tooltip="Подраздел 3.4.">
        <w:r>
          <w:rPr>
            <w:sz w:val="24"/>
            <w:color w:val="0000ff"/>
          </w:rPr>
          <w:t xml:space="preserve">подраздела 3.4 раздела 3</w:t>
        </w:r>
      </w:hyperlink>
      <w:r>
        <w:rPr>
          <w:sz w:val="24"/>
        </w:rPr>
        <w:t xml:space="preserve"> отчетности по форме 0420154.</w:t>
      </w:r>
    </w:p>
    <w:p>
      <w:pPr>
        <w:pStyle w:val="0"/>
        <w:spacing w:before="240" w:lineRule="auto"/>
        <w:ind w:firstLine="540"/>
        <w:jc w:val="both"/>
      </w:pPr>
      <w:r>
        <w:rPr>
          <w:sz w:val="24"/>
        </w:rPr>
        <w:t xml:space="preserve">3.1. По показателю "Код сделки (субординированные займы)" </w:t>
      </w:r>
      <w:hyperlink w:history="0" w:anchor="P35706" w:tooltip="25">
        <w:r>
          <w:rPr>
            <w:sz w:val="24"/>
            <w:color w:val="0000ff"/>
          </w:rPr>
          <w:t xml:space="preserve">(строка 25)</w:t>
        </w:r>
      </w:hyperlink>
      <w:r>
        <w:rPr>
          <w:sz w:val="24"/>
        </w:rPr>
        <w:t xml:space="preserve"> для каждого договора субординированного займа указывается код, состоящий из двух разрядов (X1 - X2), характеризующий заимодавца.</w:t>
      </w:r>
    </w:p>
    <w:p>
      <w:pPr>
        <w:pStyle w:val="0"/>
        <w:spacing w:before="240" w:lineRule="auto"/>
        <w:ind w:firstLine="540"/>
        <w:jc w:val="both"/>
      </w:pPr>
      <w:r>
        <w:rPr>
          <w:sz w:val="24"/>
        </w:rPr>
        <w:t xml:space="preserve">3.1.1. В первом разряде (X1) указывается юридическое лицо - заимодавец:</w:t>
      </w:r>
    </w:p>
    <w:bookmarkStart w:id="36846" w:name="P36846"/>
    <w:bookmarkEnd w:id="36846"/>
    <w:p>
      <w:pPr>
        <w:pStyle w:val="0"/>
        <w:spacing w:before="240" w:lineRule="auto"/>
        <w:ind w:firstLine="540"/>
        <w:jc w:val="both"/>
      </w:pPr>
      <w:r>
        <w:rPr>
          <w:sz w:val="24"/>
        </w:rPr>
        <w:t xml:space="preserve">1 - банк;</w:t>
      </w:r>
    </w:p>
    <w:p>
      <w:pPr>
        <w:pStyle w:val="0"/>
        <w:spacing w:before="240" w:lineRule="auto"/>
        <w:ind w:firstLine="540"/>
        <w:jc w:val="both"/>
      </w:pPr>
      <w:r>
        <w:rPr>
          <w:sz w:val="24"/>
        </w:rPr>
        <w:t xml:space="preserve">2 - небанковская кредитная организация;</w:t>
      </w:r>
    </w:p>
    <w:p>
      <w:pPr>
        <w:pStyle w:val="0"/>
        <w:spacing w:before="240" w:lineRule="auto"/>
        <w:ind w:firstLine="540"/>
        <w:jc w:val="both"/>
      </w:pPr>
      <w:r>
        <w:rPr>
          <w:sz w:val="24"/>
        </w:rPr>
        <w:t xml:space="preserve">3 - страховая организация;</w:t>
      </w:r>
    </w:p>
    <w:p>
      <w:pPr>
        <w:pStyle w:val="0"/>
        <w:spacing w:before="240" w:lineRule="auto"/>
        <w:ind w:firstLine="540"/>
        <w:jc w:val="both"/>
      </w:pPr>
      <w:r>
        <w:rPr>
          <w:sz w:val="24"/>
        </w:rPr>
        <w:t xml:space="preserve">4 - общество взаимного страхования или страховой брокер;</w:t>
      </w:r>
    </w:p>
    <w:p>
      <w:pPr>
        <w:pStyle w:val="0"/>
        <w:spacing w:before="240" w:lineRule="auto"/>
        <w:ind w:firstLine="540"/>
        <w:jc w:val="both"/>
      </w:pPr>
      <w:r>
        <w:rPr>
          <w:sz w:val="24"/>
        </w:rPr>
        <w:t xml:space="preserve">5 - микрофинансовая организация;</w:t>
      </w:r>
    </w:p>
    <w:bookmarkStart w:id="36851" w:name="P36851"/>
    <w:bookmarkEnd w:id="36851"/>
    <w:p>
      <w:pPr>
        <w:pStyle w:val="0"/>
        <w:spacing w:before="240" w:lineRule="auto"/>
        <w:ind w:firstLine="540"/>
        <w:jc w:val="both"/>
      </w:pPr>
      <w:r>
        <w:rPr>
          <w:sz w:val="24"/>
        </w:rPr>
        <w:t xml:space="preserve">6 - кредитный потребительский кооператив или сельскохозяйственный кредитный потребительский кооператив;</w:t>
      </w:r>
    </w:p>
    <w:p>
      <w:pPr>
        <w:pStyle w:val="0"/>
        <w:spacing w:before="240" w:lineRule="auto"/>
        <w:ind w:firstLine="540"/>
        <w:jc w:val="both"/>
      </w:pPr>
      <w:r>
        <w:rPr>
          <w:sz w:val="24"/>
        </w:rPr>
        <w:t xml:space="preserve">7 - другая организация, не указанная в </w:t>
      </w:r>
      <w:hyperlink w:history="0" w:anchor="P36846" w:tooltip="1 - банк;">
        <w:r>
          <w:rPr>
            <w:sz w:val="24"/>
            <w:color w:val="0000ff"/>
          </w:rPr>
          <w:t xml:space="preserve">абзацах втором</w:t>
        </w:r>
      </w:hyperlink>
      <w:r>
        <w:rPr>
          <w:sz w:val="24"/>
        </w:rPr>
        <w:t xml:space="preserve"> - </w:t>
      </w:r>
      <w:hyperlink w:history="0" w:anchor="P36851" w:tooltip="6 - кредитный потребительский кооператив или сельскохозяйственный кредитный потребительский кооператив;">
        <w:r>
          <w:rPr>
            <w:sz w:val="24"/>
            <w:color w:val="0000ff"/>
          </w:rPr>
          <w:t xml:space="preserve">седьмом</w:t>
        </w:r>
      </w:hyperlink>
      <w:r>
        <w:rPr>
          <w:sz w:val="24"/>
        </w:rPr>
        <w:t xml:space="preserve"> настоящего подпункта.</w:t>
      </w:r>
    </w:p>
    <w:p>
      <w:pPr>
        <w:pStyle w:val="0"/>
        <w:spacing w:before="240" w:lineRule="auto"/>
        <w:ind w:firstLine="540"/>
        <w:jc w:val="both"/>
      </w:pPr>
      <w:r>
        <w:rPr>
          <w:sz w:val="24"/>
        </w:rPr>
        <w:t xml:space="preserve">Для физического лица - заимодавца (в том числе индивидуального предпринимателя) в первом разряде (X1) указывается значение 0 (ноль).</w:t>
      </w:r>
    </w:p>
    <w:p>
      <w:pPr>
        <w:pStyle w:val="0"/>
        <w:spacing w:before="240" w:lineRule="auto"/>
        <w:ind w:firstLine="540"/>
        <w:jc w:val="both"/>
      </w:pPr>
      <w:r>
        <w:rPr>
          <w:sz w:val="24"/>
        </w:rPr>
        <w:t xml:space="preserve">3.1.2. Во втором разряде (X2) указывается, является ли страховая организация дочерним обществом страховой организации - заимодавца:</w:t>
      </w:r>
    </w:p>
    <w:p>
      <w:pPr>
        <w:pStyle w:val="0"/>
        <w:spacing w:before="240" w:lineRule="auto"/>
        <w:ind w:firstLine="540"/>
        <w:jc w:val="both"/>
      </w:pPr>
      <w:r>
        <w:rPr>
          <w:sz w:val="24"/>
        </w:rPr>
        <w:t xml:space="preserve">1 - страховая организация является дочерним обществом страховой организации - заимодавца;</w:t>
      </w:r>
    </w:p>
    <w:p>
      <w:pPr>
        <w:pStyle w:val="0"/>
        <w:spacing w:before="240" w:lineRule="auto"/>
        <w:ind w:firstLine="540"/>
        <w:jc w:val="both"/>
      </w:pPr>
      <w:r>
        <w:rPr>
          <w:sz w:val="24"/>
        </w:rPr>
        <w:t xml:space="preserve">2 - страховая организация не является дочерним обществом страховой организации - заимодавца.</w:t>
      </w:r>
    </w:p>
    <w:p>
      <w:pPr>
        <w:pStyle w:val="0"/>
        <w:spacing w:before="240" w:lineRule="auto"/>
        <w:ind w:firstLine="540"/>
        <w:jc w:val="both"/>
      </w:pPr>
      <w:r>
        <w:rPr>
          <w:sz w:val="24"/>
        </w:rPr>
        <w:t xml:space="preserve">Для заимодавца, не являющегося страховой организацией, во втором разряде (X2) указывается значение 0 (ноль).</w:t>
      </w:r>
    </w:p>
    <w:p>
      <w:pPr>
        <w:pStyle w:val="0"/>
        <w:spacing w:before="240" w:lineRule="auto"/>
        <w:ind w:firstLine="540"/>
        <w:jc w:val="both"/>
      </w:pPr>
      <w:r>
        <w:rPr>
          <w:sz w:val="24"/>
        </w:rPr>
        <w:t xml:space="preserve">3.2. По показателю "Дата заключения договора займа" </w:t>
      </w:r>
      <w:hyperlink w:history="0" w:anchor="P35718" w:tooltip="26">
        <w:r>
          <w:rPr>
            <w:sz w:val="24"/>
            <w:color w:val="0000ff"/>
          </w:rPr>
          <w:t xml:space="preserve">(строка 26)</w:t>
        </w:r>
      </w:hyperlink>
      <w:r>
        <w:rPr>
          <w:sz w:val="24"/>
        </w:rPr>
        <w:t xml:space="preserve"> для каждого договора субординированного займа указывается дата его заключения страховщиком.</w:t>
      </w:r>
    </w:p>
    <w:p>
      <w:pPr>
        <w:pStyle w:val="0"/>
        <w:spacing w:before="240" w:lineRule="auto"/>
        <w:ind w:firstLine="540"/>
        <w:jc w:val="both"/>
      </w:pPr>
      <w:r>
        <w:rPr>
          <w:sz w:val="24"/>
        </w:rPr>
        <w:t xml:space="preserve">3.3. По показателю "Номер договора займа" </w:t>
      </w:r>
      <w:hyperlink w:history="0" w:anchor="P35730" w:tooltip="27">
        <w:r>
          <w:rPr>
            <w:sz w:val="24"/>
            <w:color w:val="0000ff"/>
          </w:rPr>
          <w:t xml:space="preserve">(строка 27)</w:t>
        </w:r>
      </w:hyperlink>
      <w:r>
        <w:rPr>
          <w:sz w:val="24"/>
        </w:rPr>
        <w:t xml:space="preserve"> для каждого договора субординированного займа указывается его номер (при наличии).</w:t>
      </w:r>
    </w:p>
    <w:p>
      <w:pPr>
        <w:pStyle w:val="0"/>
        <w:spacing w:before="240" w:lineRule="auto"/>
        <w:ind w:firstLine="540"/>
        <w:jc w:val="both"/>
      </w:pPr>
      <w:r>
        <w:rPr>
          <w:sz w:val="24"/>
        </w:rPr>
        <w:t xml:space="preserve">3.4. По показателю "Код валюты" </w:t>
      </w:r>
      <w:hyperlink w:history="0" w:anchor="P35742" w:tooltip="28">
        <w:r>
          <w:rPr>
            <w:sz w:val="24"/>
            <w:color w:val="0000ff"/>
          </w:rPr>
          <w:t xml:space="preserve">(строка 28)</w:t>
        </w:r>
      </w:hyperlink>
      <w:r>
        <w:rPr>
          <w:sz w:val="24"/>
        </w:rPr>
        <w:t xml:space="preserve"> для каждого договора субординированного займа указывается код валюты предоставленного страховщику субординированного займа.</w:t>
      </w:r>
    </w:p>
    <w:p>
      <w:pPr>
        <w:pStyle w:val="0"/>
        <w:spacing w:before="240" w:lineRule="auto"/>
        <w:ind w:firstLine="540"/>
        <w:jc w:val="both"/>
      </w:pPr>
      <w:r>
        <w:rPr>
          <w:sz w:val="24"/>
        </w:rPr>
        <w:t xml:space="preserve">3.5. По показателю "Объем одного субординированного займа, в единицах валюты" </w:t>
      </w:r>
      <w:hyperlink w:history="0" w:anchor="P35754" w:tooltip="29">
        <w:r>
          <w:rPr>
            <w:sz w:val="24"/>
            <w:color w:val="0000ff"/>
          </w:rPr>
          <w:t xml:space="preserve">(строка 29)</w:t>
        </w:r>
      </w:hyperlink>
      <w:r>
        <w:rPr>
          <w:sz w:val="24"/>
        </w:rPr>
        <w:t xml:space="preserve"> для каждого договора субординированного займа указывается в соответствии с условиями договора субординированного займа объем субординированного займа в валюте, указанной по показателю "Код валюты" </w:t>
      </w:r>
      <w:hyperlink w:history="0" w:anchor="P35742" w:tooltip="28">
        <w:r>
          <w:rPr>
            <w:sz w:val="24"/>
            <w:color w:val="0000ff"/>
          </w:rPr>
          <w:t xml:space="preserve">(строка 28)</w:t>
        </w:r>
      </w:hyperlink>
      <w:r>
        <w:rPr>
          <w:sz w:val="24"/>
        </w:rPr>
        <w:t xml:space="preserve">.</w:t>
      </w:r>
    </w:p>
    <w:p>
      <w:pPr>
        <w:pStyle w:val="0"/>
        <w:spacing w:before="240" w:lineRule="auto"/>
        <w:ind w:firstLine="540"/>
        <w:jc w:val="both"/>
      </w:pPr>
      <w:r>
        <w:rPr>
          <w:sz w:val="24"/>
        </w:rPr>
        <w:t xml:space="preserve">3.6. По показателю "Дата выдачи займа" </w:t>
      </w:r>
      <w:hyperlink w:history="0" w:anchor="P35766" w:tooltip="30">
        <w:r>
          <w:rPr>
            <w:sz w:val="24"/>
            <w:color w:val="0000ff"/>
          </w:rPr>
          <w:t xml:space="preserve">(строка 30)</w:t>
        </w:r>
      </w:hyperlink>
      <w:r>
        <w:rPr>
          <w:sz w:val="24"/>
        </w:rPr>
        <w:t xml:space="preserve"> для каждого договора субординированного займа указывается дата выдачи субординированного займа в соответствии с договором субординированного займа.</w:t>
      </w:r>
    </w:p>
    <w:p>
      <w:pPr>
        <w:pStyle w:val="0"/>
        <w:spacing w:before="240" w:lineRule="auto"/>
        <w:ind w:firstLine="540"/>
        <w:jc w:val="both"/>
      </w:pPr>
      <w:r>
        <w:rPr>
          <w:sz w:val="24"/>
        </w:rPr>
        <w:t xml:space="preserve">3.7. По показателю "Дата погашения займа" </w:t>
      </w:r>
      <w:hyperlink w:history="0" w:anchor="P35778" w:tooltip="31">
        <w:r>
          <w:rPr>
            <w:sz w:val="24"/>
            <w:color w:val="0000ff"/>
          </w:rPr>
          <w:t xml:space="preserve">(строка 31)</w:t>
        </w:r>
      </w:hyperlink>
      <w:r>
        <w:rPr>
          <w:sz w:val="24"/>
        </w:rPr>
        <w:t xml:space="preserve"> для каждого договора субординированного займа указывается дата погашения субординированного займа в соответствии с договором субординированного займа.</w:t>
      </w:r>
    </w:p>
    <w:p>
      <w:pPr>
        <w:pStyle w:val="0"/>
        <w:spacing w:before="240" w:lineRule="auto"/>
        <w:ind w:firstLine="540"/>
        <w:jc w:val="both"/>
      </w:pPr>
      <w:r>
        <w:rPr>
          <w:sz w:val="24"/>
        </w:rPr>
        <w:t xml:space="preserve">3.8. В случае учета страховой организацией полученного ею субординированного займа при расчете нормативного соотношения собственных средств (капитала) и принятых обязательств в соответствии с </w:t>
      </w:r>
      <w:hyperlink w:history="0" r:id="rId59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4.3 статьи 25</w:t>
        </w:r>
      </w:hyperlink>
      <w:r>
        <w:rPr>
          <w:sz w:val="24"/>
        </w:rPr>
        <w:t xml:space="preserve"> Закона Российской Федерации N 4015-I по показателю "Дата, с которой субординированный заем включен в расчет нормативного соотношения собственных средств (капитала) и принятых обязательств" </w:t>
      </w:r>
      <w:hyperlink w:history="0" w:anchor="P35790" w:tooltip="32">
        <w:r>
          <w:rPr>
            <w:sz w:val="24"/>
            <w:color w:val="0000ff"/>
          </w:rPr>
          <w:t xml:space="preserve">(строка 32)</w:t>
        </w:r>
      </w:hyperlink>
      <w:r>
        <w:rPr>
          <w:sz w:val="24"/>
        </w:rPr>
        <w:t xml:space="preserve"> для каждого договора субординированного займа указывается дата, с которой субординированный заем включен страховой организацией в расчет нормативного соотношения собственных средств (капитала) и принятых обязательств. В ином случае показатель не формируется.</w:t>
      </w:r>
    </w:p>
    <w:p>
      <w:pPr>
        <w:pStyle w:val="0"/>
        <w:spacing w:before="240" w:lineRule="auto"/>
        <w:ind w:firstLine="540"/>
        <w:jc w:val="both"/>
      </w:pPr>
      <w:r>
        <w:rPr>
          <w:sz w:val="24"/>
        </w:rPr>
        <w:t xml:space="preserve">3.9. По показателю "Процентная ставка, процентов годовых" </w:t>
      </w:r>
      <w:hyperlink w:history="0" w:anchor="P35802" w:tooltip="33">
        <w:r>
          <w:rPr>
            <w:sz w:val="24"/>
            <w:color w:val="0000ff"/>
          </w:rPr>
          <w:t xml:space="preserve">(строка 33)</w:t>
        </w:r>
      </w:hyperlink>
      <w:r>
        <w:rPr>
          <w:sz w:val="24"/>
        </w:rPr>
        <w:t xml:space="preserve"> для каждого договора субординированного займа указывается размер процентной ставки, под которую страховщиком привлечен субординированный заем, в соответствии с условиями договора субординированного займа.</w:t>
      </w:r>
    </w:p>
    <w:p>
      <w:pPr>
        <w:pStyle w:val="0"/>
        <w:spacing w:before="240" w:lineRule="auto"/>
        <w:ind w:firstLine="540"/>
        <w:jc w:val="both"/>
      </w:pPr>
      <w:r>
        <w:rPr>
          <w:sz w:val="24"/>
        </w:rPr>
        <w:t xml:space="preserve">3.10. По показателю "Эффективная процентная ставка, процентов годовых" </w:t>
      </w:r>
      <w:hyperlink w:history="0" w:anchor="P35814" w:tooltip="34">
        <w:r>
          <w:rPr>
            <w:sz w:val="24"/>
            <w:color w:val="0000ff"/>
          </w:rPr>
          <w:t xml:space="preserve">(строка 34)</w:t>
        </w:r>
      </w:hyperlink>
      <w:r>
        <w:rPr>
          <w:sz w:val="24"/>
        </w:rPr>
        <w:t xml:space="preserve"> для каждого договора субординированного займа указывается размер эффективной процентной ставки, используемой в значении, определенном </w:t>
      </w:r>
      <w:hyperlink w:history="0" r:id="rId600" w:tooltip="&quot;Международный стандарт финансовой отчетности (IFRS) 9 &quot;Финансовые инструменты&quot; (введен в действие на территории Российской Федерации в редакции 2014 года Приказом Минфина России от 27.06.2016 N 98н) (ред. от 17.02.2021) {КонсультантПлюс}">
        <w:r>
          <w:rPr>
            <w:sz w:val="24"/>
            <w:color w:val="0000ff"/>
          </w:rPr>
          <w:t xml:space="preserve">приложением A</w:t>
        </w:r>
      </w:hyperlink>
      <w:r>
        <w:rPr>
          <w:sz w:val="24"/>
        </w:rPr>
        <w:t xml:space="preserve"> МСФО (IFRS) 9.</w:t>
      </w:r>
    </w:p>
    <w:p>
      <w:pPr>
        <w:pStyle w:val="0"/>
        <w:spacing w:before="240" w:lineRule="auto"/>
        <w:ind w:firstLine="540"/>
        <w:jc w:val="both"/>
      </w:pPr>
      <w:r>
        <w:rPr>
          <w:sz w:val="24"/>
        </w:rPr>
        <w:t xml:space="preserve">3.11. По показателю "Объем полученных средств по договору займа в отчетном периоде" </w:t>
      </w:r>
      <w:hyperlink w:history="0" w:anchor="P35826" w:tooltip="35">
        <w:r>
          <w:rPr>
            <w:sz w:val="24"/>
            <w:color w:val="0000ff"/>
          </w:rPr>
          <w:t xml:space="preserve">(строка 35)</w:t>
        </w:r>
      </w:hyperlink>
      <w:r>
        <w:rPr>
          <w:sz w:val="24"/>
        </w:rPr>
        <w:t xml:space="preserve"> для каждого договора субординированного займа указывается объем средств, полученных по нему страховщиком в отчетном периоде.</w:t>
      </w:r>
    </w:p>
    <w:p>
      <w:pPr>
        <w:pStyle w:val="0"/>
        <w:spacing w:before="240" w:lineRule="auto"/>
        <w:ind w:firstLine="540"/>
        <w:jc w:val="both"/>
      </w:pPr>
      <w:r>
        <w:rPr>
          <w:sz w:val="24"/>
        </w:rPr>
        <w:t xml:space="preserve">3.12. По показателям "Дата погашения части субординированного займа" </w:t>
      </w:r>
      <w:hyperlink w:history="0" w:anchor="P35838" w:tooltip="36">
        <w:r>
          <w:rPr>
            <w:sz w:val="24"/>
            <w:color w:val="0000ff"/>
          </w:rPr>
          <w:t xml:space="preserve">(строка 36)</w:t>
        </w:r>
      </w:hyperlink>
      <w:r>
        <w:rPr>
          <w:sz w:val="24"/>
        </w:rPr>
        <w:t xml:space="preserve"> и "Дата досрочного погашения (дата исключения из расчета нормативного соотношения собственных средств (капитала) и принятых обязательств)" </w:t>
      </w:r>
      <w:hyperlink w:history="0" w:anchor="P35850" w:tooltip="37">
        <w:r>
          <w:rPr>
            <w:sz w:val="24"/>
            <w:color w:val="0000ff"/>
          </w:rPr>
          <w:t xml:space="preserve">(строка 37)</w:t>
        </w:r>
      </w:hyperlink>
      <w:r>
        <w:rPr>
          <w:sz w:val="24"/>
        </w:rPr>
        <w:t xml:space="preserve"> для каждого договора субординированного займа указываются соответственно дата погашения части субординированного займа и дата досрочного погашения субординированного займа (дата исключения субординированного займа из расчета нормативного соотношения собственных средств (капитала) и принятых обязательств).</w:t>
      </w:r>
    </w:p>
    <w:p>
      <w:pPr>
        <w:pStyle w:val="0"/>
        <w:spacing w:before="240" w:lineRule="auto"/>
        <w:ind w:firstLine="540"/>
        <w:jc w:val="both"/>
      </w:pPr>
      <w:r>
        <w:rPr>
          <w:sz w:val="24"/>
        </w:rPr>
        <w:t xml:space="preserve">3.13. По показателю "Сумма погашенной части по договору займа в отчетном периоде" </w:t>
      </w:r>
      <w:hyperlink w:history="0" w:anchor="P35862" w:tooltip="38">
        <w:r>
          <w:rPr>
            <w:sz w:val="24"/>
            <w:color w:val="0000ff"/>
          </w:rPr>
          <w:t xml:space="preserve">(строка 38)</w:t>
        </w:r>
      </w:hyperlink>
      <w:r>
        <w:rPr>
          <w:sz w:val="24"/>
        </w:rPr>
        <w:t xml:space="preserve"> для каждого договора субординированного займа указывается сумма погашенной части субординированного займа в отчетном периоде.</w:t>
      </w:r>
    </w:p>
    <w:p>
      <w:pPr>
        <w:pStyle w:val="0"/>
        <w:spacing w:before="240" w:lineRule="auto"/>
        <w:ind w:firstLine="540"/>
        <w:jc w:val="both"/>
      </w:pPr>
      <w:r>
        <w:rPr>
          <w:sz w:val="24"/>
        </w:rPr>
        <w:t xml:space="preserve">3.14. По показателям "Первоначальная стоимость полученных средств по договору займа" </w:t>
      </w:r>
      <w:hyperlink w:history="0" w:anchor="P35874" w:tooltip="39">
        <w:r>
          <w:rPr>
            <w:sz w:val="24"/>
            <w:color w:val="0000ff"/>
          </w:rPr>
          <w:t xml:space="preserve">(строка 39)</w:t>
        </w:r>
      </w:hyperlink>
      <w:r>
        <w:rPr>
          <w:sz w:val="24"/>
        </w:rPr>
        <w:t xml:space="preserve">, "Накопленная корректировка полученных средств по договору займа" </w:t>
      </w:r>
      <w:hyperlink w:history="0" w:anchor="P35886" w:tooltip="40">
        <w:r>
          <w:rPr>
            <w:sz w:val="24"/>
            <w:color w:val="0000ff"/>
          </w:rPr>
          <w:t xml:space="preserve">(строка 40)</w:t>
        </w:r>
      </w:hyperlink>
      <w:r>
        <w:rPr>
          <w:sz w:val="24"/>
        </w:rPr>
        <w:t xml:space="preserve">, "Остаток полученных средств с учетом корректировки по договору займа" </w:t>
      </w:r>
      <w:hyperlink w:history="0" w:anchor="P35898" w:tooltip="41">
        <w:r>
          <w:rPr>
            <w:sz w:val="24"/>
            <w:color w:val="0000ff"/>
          </w:rPr>
          <w:t xml:space="preserve">(строка 41)</w:t>
        </w:r>
      </w:hyperlink>
      <w:r>
        <w:rPr>
          <w:sz w:val="24"/>
        </w:rPr>
        <w:t xml:space="preserve"> для каждого договора субординированного займа указывается на конец отчетного периода стоимость при первоначальном признании обязательств страховщика по договору субординированного займа, величина изменения стоимости обязательств после первоначального признания, остаток полученных средств с учетом изменения стоимости после первоначального признания соответственно.</w:t>
      </w:r>
    </w:p>
    <w:p>
      <w:pPr>
        <w:pStyle w:val="0"/>
        <w:spacing w:before="240" w:lineRule="auto"/>
        <w:ind w:firstLine="540"/>
        <w:jc w:val="both"/>
      </w:pPr>
      <w:r>
        <w:rPr>
          <w:sz w:val="24"/>
        </w:rPr>
        <w:t xml:space="preserve">3.15. По показателю "Примечание" </w:t>
      </w:r>
      <w:hyperlink w:history="0" w:anchor="P35910" w:tooltip="42">
        <w:r>
          <w:rPr>
            <w:sz w:val="24"/>
            <w:color w:val="0000ff"/>
          </w:rPr>
          <w:t xml:space="preserve">(строка 42)</w:t>
        </w:r>
      </w:hyperlink>
      <w:r>
        <w:rPr>
          <w:sz w:val="24"/>
        </w:rPr>
        <w:t xml:space="preserve"> указываются реквизиты договора (дополнительного соглашения), в соответствии с которым внесены изменения в условия договора субординированного займа (в случае изменения его условий), а также иная информация (при наличии), являющаяся по решению страховщика существенной.</w:t>
      </w:r>
    </w:p>
    <w:p>
      <w:pPr>
        <w:pStyle w:val="0"/>
        <w:spacing w:before="240" w:lineRule="auto"/>
        <w:ind w:firstLine="540"/>
        <w:jc w:val="both"/>
      </w:pPr>
      <w:r>
        <w:rPr>
          <w:sz w:val="24"/>
        </w:rPr>
        <w:t xml:space="preserve">3.16. Итоговые значения показателей "Объем полученных средств по договору займа в отчетном периоде" </w:t>
      </w:r>
      <w:hyperlink w:history="0" w:anchor="P35826" w:tooltip="35">
        <w:r>
          <w:rPr>
            <w:sz w:val="24"/>
            <w:color w:val="0000ff"/>
          </w:rPr>
          <w:t xml:space="preserve">(строка 35)</w:t>
        </w:r>
      </w:hyperlink>
      <w:r>
        <w:rPr>
          <w:sz w:val="24"/>
        </w:rPr>
        <w:t xml:space="preserve">, "Сумма погашенной части по договору займа в отчетном периоде" </w:t>
      </w:r>
      <w:hyperlink w:history="0" w:anchor="P35862" w:tooltip="38">
        <w:r>
          <w:rPr>
            <w:sz w:val="24"/>
            <w:color w:val="0000ff"/>
          </w:rPr>
          <w:t xml:space="preserve">(строка 38)</w:t>
        </w:r>
      </w:hyperlink>
      <w:r>
        <w:rPr>
          <w:sz w:val="24"/>
        </w:rPr>
        <w:t xml:space="preserve">, "Первоначальная стоимость полученных средств по договору займа" </w:t>
      </w:r>
      <w:hyperlink w:history="0" w:anchor="P35874" w:tooltip="39">
        <w:r>
          <w:rPr>
            <w:sz w:val="24"/>
            <w:color w:val="0000ff"/>
          </w:rPr>
          <w:t xml:space="preserve">(строка 39)</w:t>
        </w:r>
      </w:hyperlink>
      <w:r>
        <w:rPr>
          <w:sz w:val="24"/>
        </w:rPr>
        <w:t xml:space="preserve">, "Накопленная корректировка полученных средств по договору займа" </w:t>
      </w:r>
      <w:hyperlink w:history="0" w:anchor="P35886" w:tooltip="40">
        <w:r>
          <w:rPr>
            <w:sz w:val="24"/>
            <w:color w:val="0000ff"/>
          </w:rPr>
          <w:t xml:space="preserve">(строка 40)</w:t>
        </w:r>
      </w:hyperlink>
      <w:r>
        <w:rPr>
          <w:sz w:val="24"/>
        </w:rPr>
        <w:t xml:space="preserve">, "Остаток полученных средств с учетом корректировки по договору займа" </w:t>
      </w:r>
      <w:hyperlink w:history="0" w:anchor="P35898" w:tooltip="41">
        <w:r>
          <w:rPr>
            <w:sz w:val="24"/>
            <w:color w:val="0000ff"/>
          </w:rPr>
          <w:t xml:space="preserve">(строка 41)</w:t>
        </w:r>
      </w:hyperlink>
      <w:r>
        <w:rPr>
          <w:sz w:val="24"/>
        </w:rPr>
        <w:t xml:space="preserve"> определяются страховщиком путем суммирования данных по всем договорам субординированного займа, отраженных по указанным показателям.</w:t>
      </w:r>
    </w:p>
    <w:p>
      <w:pPr>
        <w:pStyle w:val="0"/>
        <w:spacing w:before="240" w:lineRule="auto"/>
        <w:ind w:firstLine="540"/>
        <w:jc w:val="both"/>
      </w:pPr>
      <w:r>
        <w:rPr>
          <w:sz w:val="24"/>
        </w:rPr>
        <w:t xml:space="preserve">4. По показателям </w:t>
      </w:r>
      <w:hyperlink w:history="0" w:anchor="P35922" w:tooltip="Раздел 3.">
        <w:r>
          <w:rPr>
            <w:sz w:val="24"/>
            <w:color w:val="0000ff"/>
          </w:rPr>
          <w:t xml:space="preserve">раздела 3</w:t>
        </w:r>
      </w:hyperlink>
      <w:r>
        <w:rPr>
          <w:sz w:val="24"/>
        </w:rPr>
        <w:t xml:space="preserve"> отчетности по форме 0420160 отражаются сведения о выданных векселях страховщика.</w:t>
      </w:r>
    </w:p>
    <w:p>
      <w:pPr>
        <w:pStyle w:val="0"/>
        <w:spacing w:before="240" w:lineRule="auto"/>
        <w:ind w:firstLine="540"/>
        <w:jc w:val="both"/>
      </w:pPr>
      <w:r>
        <w:rPr>
          <w:sz w:val="24"/>
        </w:rPr>
        <w:t xml:space="preserve">По группе аналитических признаков "Идентификатор первого векселедержателя" указывается первый векселедержатель (лицо, на имя которого изначально выписан вексель).</w:t>
      </w:r>
    </w:p>
    <w:p>
      <w:pPr>
        <w:pStyle w:val="0"/>
        <w:spacing w:before="240" w:lineRule="auto"/>
        <w:ind w:firstLine="540"/>
        <w:jc w:val="both"/>
      </w:pPr>
      <w:r>
        <w:rPr>
          <w:sz w:val="24"/>
        </w:rPr>
        <w:t xml:space="preserve">Значение идентификатора первого векселедержателя, указанное по группе аналитических признаков "Идентификатор первого векселедержателя",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первому векселедержателю.</w:t>
      </w:r>
    </w:p>
    <w:p>
      <w:pPr>
        <w:pStyle w:val="0"/>
        <w:spacing w:before="240" w:lineRule="auto"/>
        <w:ind w:firstLine="540"/>
        <w:jc w:val="both"/>
      </w:pPr>
      <w:r>
        <w:rPr>
          <w:sz w:val="24"/>
        </w:rPr>
        <w:t xml:space="preserve">По группе аналитических признаков "Идентификатор плательщика по векселю" указывается плательщик по векселю (лицо, которое обязано осуществить платеж по выданному векселю). Для простого векселя по группе аналитических признаков "Идентификатор плательщика по векселю" указывается значение "НП".</w:t>
      </w:r>
    </w:p>
    <w:p>
      <w:pPr>
        <w:pStyle w:val="0"/>
        <w:spacing w:before="240" w:lineRule="auto"/>
        <w:ind w:firstLine="540"/>
        <w:jc w:val="both"/>
      </w:pPr>
      <w:r>
        <w:rPr>
          <w:sz w:val="24"/>
        </w:rPr>
        <w:t xml:space="preserve">Значение идентификатора плательщика по векселю, указанное по группе аналитических признаков "Идентификатор плательщика по векселю" (за исключением случаев указания значения "НП"),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плательщику по векселю.</w:t>
      </w:r>
    </w:p>
    <w:p>
      <w:pPr>
        <w:pStyle w:val="0"/>
        <w:spacing w:before="240" w:lineRule="auto"/>
        <w:ind w:firstLine="540"/>
        <w:jc w:val="both"/>
      </w:pPr>
      <w:r>
        <w:rPr>
          <w:sz w:val="24"/>
        </w:rPr>
        <w:t xml:space="preserve">По группе аналитических признаков "Идентификатор векселедержателя" указывается векселедержатель (собственник) векселя, находящегося у страховщика-векселедателя по различным основаниям (в том числе на погашении, на основании заключенных договоров хранения, залога (заклада), договора комиссии, агентского договора). Для выданного векселя, не находящегося у страховщика-векселедателя, по группе аналитических признаков "Идентификатор векселедержателя" указывается значение "НП".</w:t>
      </w:r>
    </w:p>
    <w:p>
      <w:pPr>
        <w:pStyle w:val="0"/>
        <w:spacing w:before="240" w:lineRule="auto"/>
        <w:ind w:firstLine="540"/>
        <w:jc w:val="both"/>
      </w:pPr>
      <w:r>
        <w:rPr>
          <w:sz w:val="24"/>
        </w:rPr>
        <w:t xml:space="preserve">Значение идентификатора векселедержателя, указанное по группе аналитических признаков "Идентификатор векселедержателя" (за исключением случаев указания значения "НП"),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векселедержателю.</w:t>
      </w:r>
    </w:p>
    <w:p>
      <w:pPr>
        <w:pStyle w:val="0"/>
        <w:spacing w:before="240" w:lineRule="auto"/>
        <w:ind w:firstLine="540"/>
        <w:jc w:val="both"/>
      </w:pPr>
      <w:r>
        <w:rPr>
          <w:sz w:val="24"/>
        </w:rPr>
        <w:t xml:space="preserve">Данные, указанные по группе аналитических признаков "Идентификатор выданного векселя", должны соответствовать данным, указанным по группе аналитических признаков "Идентификатор обязательства" </w:t>
      </w:r>
      <w:hyperlink w:history="0" w:anchor="P25948" w:tooltip="Подраздел 3.2.">
        <w:r>
          <w:rPr>
            <w:sz w:val="24"/>
            <w:color w:val="0000ff"/>
          </w:rPr>
          <w:t xml:space="preserve">подраздела 3.2 раздела 3</w:t>
        </w:r>
      </w:hyperlink>
      <w:r>
        <w:rPr>
          <w:sz w:val="24"/>
        </w:rPr>
        <w:t xml:space="preserve"> отчетности по форме 0420154.</w:t>
      </w:r>
    </w:p>
    <w:p>
      <w:pPr>
        <w:pStyle w:val="0"/>
        <w:spacing w:before="240" w:lineRule="auto"/>
        <w:ind w:firstLine="540"/>
        <w:jc w:val="both"/>
      </w:pPr>
      <w:r>
        <w:rPr>
          <w:sz w:val="24"/>
        </w:rPr>
        <w:t xml:space="preserve">4.1. По показателям "Серия векселя" </w:t>
      </w:r>
      <w:hyperlink w:history="0" w:anchor="P35924" w:tooltip="43">
        <w:r>
          <w:rPr>
            <w:sz w:val="24"/>
            <w:color w:val="0000ff"/>
          </w:rPr>
          <w:t xml:space="preserve">(строка 43)</w:t>
        </w:r>
      </w:hyperlink>
      <w:r>
        <w:rPr>
          <w:sz w:val="24"/>
        </w:rPr>
        <w:t xml:space="preserve"> и "Номер векселя" </w:t>
      </w:r>
      <w:hyperlink w:history="0" w:anchor="P35952" w:tooltip="44">
        <w:r>
          <w:rPr>
            <w:sz w:val="24"/>
            <w:color w:val="0000ff"/>
          </w:rPr>
          <w:t xml:space="preserve">(строка 44)</w:t>
        </w:r>
      </w:hyperlink>
      <w:r>
        <w:rPr>
          <w:sz w:val="24"/>
        </w:rPr>
        <w:t xml:space="preserve"> для каждого векселя указываются соответственно его серия и номер согласно установленному страховщиком порядку присвоения серий и номеров выданным векселям.</w:t>
      </w:r>
    </w:p>
    <w:p>
      <w:pPr>
        <w:pStyle w:val="0"/>
        <w:spacing w:before="240" w:lineRule="auto"/>
        <w:ind w:firstLine="540"/>
        <w:jc w:val="both"/>
      </w:pPr>
      <w:r>
        <w:rPr>
          <w:sz w:val="24"/>
        </w:rPr>
        <w:t xml:space="preserve">В случае отсутствия серии и номера векселя показатели "Серия векселя" </w:t>
      </w:r>
      <w:hyperlink w:history="0" w:anchor="P35924" w:tooltip="43">
        <w:r>
          <w:rPr>
            <w:sz w:val="24"/>
            <w:color w:val="0000ff"/>
          </w:rPr>
          <w:t xml:space="preserve">(строка 43)</w:t>
        </w:r>
      </w:hyperlink>
      <w:r>
        <w:rPr>
          <w:sz w:val="24"/>
        </w:rPr>
        <w:t xml:space="preserve"> и "Номер векселя" </w:t>
      </w:r>
      <w:hyperlink w:history="0" w:anchor="P35952" w:tooltip="44">
        <w:r>
          <w:rPr>
            <w:sz w:val="24"/>
            <w:color w:val="0000ff"/>
          </w:rPr>
          <w:t xml:space="preserve">(строка 44)</w:t>
        </w:r>
      </w:hyperlink>
      <w:r>
        <w:rPr>
          <w:sz w:val="24"/>
        </w:rPr>
        <w:t xml:space="preserve"> не формируются.</w:t>
      </w:r>
    </w:p>
    <w:p>
      <w:pPr>
        <w:pStyle w:val="0"/>
        <w:spacing w:before="240" w:lineRule="auto"/>
        <w:ind w:firstLine="540"/>
        <w:jc w:val="both"/>
      </w:pPr>
      <w:r>
        <w:rPr>
          <w:sz w:val="24"/>
        </w:rPr>
        <w:t xml:space="preserve">4.2. По показателю "Номер бланка векселя" </w:t>
      </w:r>
      <w:hyperlink w:history="0" w:anchor="P35980" w:tooltip="45">
        <w:r>
          <w:rPr>
            <w:sz w:val="24"/>
            <w:color w:val="0000ff"/>
          </w:rPr>
          <w:t xml:space="preserve">(строка 45)</w:t>
        </w:r>
      </w:hyperlink>
      <w:r>
        <w:rPr>
          <w:sz w:val="24"/>
        </w:rPr>
        <w:t xml:space="preserve"> для каждого векселя указывается номер его бланка.</w:t>
      </w:r>
    </w:p>
    <w:p>
      <w:pPr>
        <w:pStyle w:val="0"/>
        <w:spacing w:before="240" w:lineRule="auto"/>
        <w:ind w:firstLine="540"/>
        <w:jc w:val="both"/>
      </w:pPr>
      <w:r>
        <w:rPr>
          <w:sz w:val="24"/>
        </w:rPr>
        <w:t xml:space="preserve">В случае отсутствия номера бланка показатель "Номер бланка векселя" </w:t>
      </w:r>
      <w:hyperlink w:history="0" w:anchor="P35980" w:tooltip="45">
        <w:r>
          <w:rPr>
            <w:sz w:val="24"/>
            <w:color w:val="0000ff"/>
          </w:rPr>
          <w:t xml:space="preserve">(строка 45)</w:t>
        </w:r>
      </w:hyperlink>
      <w:r>
        <w:rPr>
          <w:sz w:val="24"/>
        </w:rPr>
        <w:t xml:space="preserve"> не формируется.</w:t>
      </w:r>
    </w:p>
    <w:p>
      <w:pPr>
        <w:pStyle w:val="0"/>
        <w:spacing w:before="240" w:lineRule="auto"/>
        <w:ind w:firstLine="540"/>
        <w:jc w:val="both"/>
      </w:pPr>
      <w:r>
        <w:rPr>
          <w:sz w:val="24"/>
        </w:rPr>
        <w:t xml:space="preserve">4.3. По показателю "Состояние векселя на отчетную дату" </w:t>
      </w:r>
      <w:hyperlink w:history="0" w:anchor="P36008" w:tooltip="46">
        <w:r>
          <w:rPr>
            <w:sz w:val="24"/>
            <w:color w:val="0000ff"/>
          </w:rPr>
          <w:t xml:space="preserve">(строка 46)</w:t>
        </w:r>
      </w:hyperlink>
      <w:r>
        <w:rPr>
          <w:sz w:val="24"/>
        </w:rPr>
        <w:t xml:space="preserve"> для каждого векселя указывается информация о его состоянии на последний календарный день отчетного периода в соответствии со следующими кодами:</w:t>
      </w:r>
    </w:p>
    <w:bookmarkStart w:id="36886" w:name="P36886"/>
    <w:bookmarkEnd w:id="36886"/>
    <w:p>
      <w:pPr>
        <w:pStyle w:val="0"/>
        <w:spacing w:before="240" w:lineRule="auto"/>
        <w:ind w:firstLine="540"/>
        <w:jc w:val="both"/>
      </w:pPr>
      <w:r>
        <w:rPr>
          <w:sz w:val="24"/>
        </w:rPr>
        <w:t xml:space="preserve">1 - в обращении;</w:t>
      </w:r>
    </w:p>
    <w:p>
      <w:pPr>
        <w:pStyle w:val="0"/>
        <w:spacing w:before="240" w:lineRule="auto"/>
        <w:ind w:firstLine="540"/>
        <w:jc w:val="both"/>
      </w:pPr>
      <w:r>
        <w:rPr>
          <w:sz w:val="24"/>
        </w:rPr>
        <w:t xml:space="preserve">2 - выкуплен для дальнейшей перепродажи;</w:t>
      </w:r>
    </w:p>
    <w:p>
      <w:pPr>
        <w:pStyle w:val="0"/>
        <w:spacing w:before="240" w:lineRule="auto"/>
        <w:ind w:firstLine="540"/>
        <w:jc w:val="both"/>
      </w:pPr>
      <w:r>
        <w:rPr>
          <w:sz w:val="24"/>
        </w:rPr>
        <w:t xml:space="preserve">3 - принят в залог;</w:t>
      </w:r>
    </w:p>
    <w:p>
      <w:pPr>
        <w:pStyle w:val="0"/>
        <w:spacing w:before="240" w:lineRule="auto"/>
        <w:ind w:firstLine="540"/>
        <w:jc w:val="both"/>
      </w:pPr>
      <w:r>
        <w:rPr>
          <w:sz w:val="24"/>
        </w:rPr>
        <w:t xml:space="preserve">4 - принят к погашению;</w:t>
      </w:r>
    </w:p>
    <w:p>
      <w:pPr>
        <w:pStyle w:val="0"/>
        <w:spacing w:before="240" w:lineRule="auto"/>
        <w:ind w:firstLine="540"/>
        <w:jc w:val="both"/>
      </w:pPr>
      <w:r>
        <w:rPr>
          <w:sz w:val="24"/>
        </w:rPr>
        <w:t xml:space="preserve">5 - принят на хранение;</w:t>
      </w:r>
    </w:p>
    <w:p>
      <w:pPr>
        <w:pStyle w:val="0"/>
        <w:spacing w:before="240" w:lineRule="auto"/>
        <w:ind w:firstLine="540"/>
        <w:jc w:val="both"/>
      </w:pPr>
      <w:r>
        <w:rPr>
          <w:sz w:val="24"/>
        </w:rPr>
        <w:t xml:space="preserve">6 - выбыл из обращения;</w:t>
      </w:r>
    </w:p>
    <w:bookmarkStart w:id="36892" w:name="P36892"/>
    <w:bookmarkEnd w:id="36892"/>
    <w:p>
      <w:pPr>
        <w:pStyle w:val="0"/>
        <w:spacing w:before="240" w:lineRule="auto"/>
        <w:ind w:firstLine="540"/>
        <w:jc w:val="both"/>
      </w:pPr>
      <w:r>
        <w:rPr>
          <w:sz w:val="24"/>
        </w:rPr>
        <w:t xml:space="preserve">7 - погашен;</w:t>
      </w:r>
    </w:p>
    <w:p>
      <w:pPr>
        <w:pStyle w:val="0"/>
        <w:spacing w:before="240" w:lineRule="auto"/>
        <w:ind w:firstLine="540"/>
        <w:jc w:val="both"/>
      </w:pPr>
      <w:r>
        <w:rPr>
          <w:sz w:val="24"/>
        </w:rPr>
        <w:t xml:space="preserve">8 - иное состояние векселя, не указанное в </w:t>
      </w:r>
      <w:hyperlink w:history="0" w:anchor="P36886" w:tooltip="1 - в обращении;">
        <w:r>
          <w:rPr>
            <w:sz w:val="24"/>
            <w:color w:val="0000ff"/>
          </w:rPr>
          <w:t xml:space="preserve">абзацах втором</w:t>
        </w:r>
      </w:hyperlink>
      <w:r>
        <w:rPr>
          <w:sz w:val="24"/>
        </w:rPr>
        <w:t xml:space="preserve"> - </w:t>
      </w:r>
      <w:hyperlink w:history="0" w:anchor="P36892" w:tooltip="7 - погашен;">
        <w:r>
          <w:rPr>
            <w:sz w:val="24"/>
            <w:color w:val="0000ff"/>
          </w:rPr>
          <w:t xml:space="preserve">восьмом</w:t>
        </w:r>
      </w:hyperlink>
      <w:r>
        <w:rPr>
          <w:sz w:val="24"/>
        </w:rPr>
        <w:t xml:space="preserve"> настоящего подпункта.</w:t>
      </w:r>
    </w:p>
    <w:p>
      <w:pPr>
        <w:pStyle w:val="0"/>
        <w:spacing w:before="240" w:lineRule="auto"/>
        <w:ind w:firstLine="540"/>
        <w:jc w:val="both"/>
      </w:pPr>
      <w:r>
        <w:rPr>
          <w:sz w:val="24"/>
        </w:rPr>
        <w:t xml:space="preserve">Для векселей, не предъявленных к платежу, в отношении которых у страховщика отсутствует информация об их месте нахождения, владельце и состоянии, указывается код 1.</w:t>
      </w:r>
    </w:p>
    <w:bookmarkStart w:id="36895" w:name="P36895"/>
    <w:bookmarkEnd w:id="36895"/>
    <w:p>
      <w:pPr>
        <w:pStyle w:val="0"/>
        <w:spacing w:before="240" w:lineRule="auto"/>
        <w:ind w:firstLine="540"/>
        <w:jc w:val="both"/>
      </w:pPr>
      <w:r>
        <w:rPr>
          <w:sz w:val="24"/>
        </w:rPr>
        <w:t xml:space="preserve">При нахождении векселя в состоянии, в котором невозможно его обращение (в том числе запрещен к оплате решением суда, блокирован, утерян, внесен в перечень векселей, признанных недействительными, изъят правоохранительными органами), по показателю "Состояние векселя на отчетную дату" </w:t>
      </w:r>
      <w:hyperlink w:history="0" w:anchor="P36008" w:tooltip="46">
        <w:r>
          <w:rPr>
            <w:sz w:val="24"/>
            <w:color w:val="0000ff"/>
          </w:rPr>
          <w:t xml:space="preserve">(строка 46)</w:t>
        </w:r>
      </w:hyperlink>
      <w:r>
        <w:rPr>
          <w:sz w:val="24"/>
        </w:rPr>
        <w:t xml:space="preserve"> указывается код 6. При этом по показателю "Примечание" </w:t>
      </w:r>
      <w:hyperlink w:history="0" w:anchor="P36568" w:tooltip="66">
        <w:r>
          <w:rPr>
            <w:sz w:val="24"/>
            <w:color w:val="0000ff"/>
          </w:rPr>
          <w:t xml:space="preserve">(строка 66)</w:t>
        </w:r>
      </w:hyperlink>
      <w:r>
        <w:rPr>
          <w:sz w:val="24"/>
        </w:rPr>
        <w:t xml:space="preserve"> указывается информация о состоянии векселя (для состояния векселя "запрещен к оплате решением суда" указываются наименование суда и дата его решения).</w:t>
      </w:r>
    </w:p>
    <w:p>
      <w:pPr>
        <w:pStyle w:val="0"/>
        <w:spacing w:before="240" w:lineRule="auto"/>
        <w:ind w:firstLine="540"/>
        <w:jc w:val="both"/>
      </w:pPr>
      <w:r>
        <w:rPr>
          <w:sz w:val="24"/>
        </w:rPr>
        <w:t xml:space="preserve">4.4. По показателю "Код сделки (векселя)" </w:t>
      </w:r>
      <w:hyperlink w:history="0" w:anchor="P36036" w:tooltip="47">
        <w:r>
          <w:rPr>
            <w:sz w:val="24"/>
            <w:color w:val="0000ff"/>
          </w:rPr>
          <w:t xml:space="preserve">(строка 47)</w:t>
        </w:r>
      </w:hyperlink>
      <w:r>
        <w:rPr>
          <w:sz w:val="24"/>
        </w:rPr>
        <w:t xml:space="preserve"> для каждого векселя указывается код, состоящий из трех разрядов (X1 - X2 - X3), характеризующий существенные условия сделки.</w:t>
      </w:r>
    </w:p>
    <w:p>
      <w:pPr>
        <w:pStyle w:val="0"/>
        <w:spacing w:before="240" w:lineRule="auto"/>
        <w:ind w:firstLine="540"/>
        <w:jc w:val="both"/>
      </w:pPr>
      <w:r>
        <w:rPr>
          <w:sz w:val="24"/>
        </w:rPr>
        <w:t xml:space="preserve">4.4.1. В первом разряде (X1) указывается роль страховщика в отношении выданного им векселя:</w:t>
      </w:r>
    </w:p>
    <w:p>
      <w:pPr>
        <w:pStyle w:val="0"/>
        <w:spacing w:before="240" w:lineRule="auto"/>
        <w:ind w:firstLine="540"/>
        <w:jc w:val="both"/>
      </w:pPr>
      <w:r>
        <w:rPr>
          <w:sz w:val="24"/>
        </w:rPr>
        <w:t xml:space="preserve">1 - векселедатель простого векселя;</w:t>
      </w:r>
    </w:p>
    <w:p>
      <w:pPr>
        <w:pStyle w:val="0"/>
        <w:spacing w:before="240" w:lineRule="auto"/>
        <w:ind w:firstLine="540"/>
        <w:jc w:val="both"/>
      </w:pPr>
      <w:r>
        <w:rPr>
          <w:sz w:val="24"/>
        </w:rPr>
        <w:t xml:space="preserve">2 - векселедатель переводного векселя;</w:t>
      </w:r>
    </w:p>
    <w:p>
      <w:pPr>
        <w:pStyle w:val="0"/>
        <w:spacing w:before="240" w:lineRule="auto"/>
        <w:ind w:firstLine="540"/>
        <w:jc w:val="both"/>
      </w:pPr>
      <w:r>
        <w:rPr>
          <w:sz w:val="24"/>
        </w:rPr>
        <w:t xml:space="preserve">3 - одновременно векселедатель и акцептант одного и того же переводного векселя;</w:t>
      </w:r>
    </w:p>
    <w:p>
      <w:pPr>
        <w:pStyle w:val="0"/>
        <w:spacing w:before="240" w:lineRule="auto"/>
        <w:ind w:firstLine="540"/>
        <w:jc w:val="both"/>
      </w:pPr>
      <w:r>
        <w:rPr>
          <w:sz w:val="24"/>
        </w:rPr>
        <w:t xml:space="preserve">4 - векселедатель переводного векселя, воспрещаемого им для предъявления к акцепту;</w:t>
      </w:r>
    </w:p>
    <w:p>
      <w:pPr>
        <w:pStyle w:val="0"/>
        <w:spacing w:before="240" w:lineRule="auto"/>
        <w:ind w:firstLine="540"/>
        <w:jc w:val="both"/>
      </w:pPr>
      <w:r>
        <w:rPr>
          <w:sz w:val="24"/>
        </w:rPr>
        <w:t xml:space="preserve">5 - векселедатель неакцептованного переводного векселя, протест в неакцепте которого был совершен;</w:t>
      </w:r>
    </w:p>
    <w:p>
      <w:pPr>
        <w:pStyle w:val="0"/>
        <w:spacing w:before="240" w:lineRule="auto"/>
        <w:ind w:firstLine="540"/>
        <w:jc w:val="both"/>
      </w:pPr>
      <w:r>
        <w:rPr>
          <w:sz w:val="24"/>
        </w:rPr>
        <w:t xml:space="preserve">6 - векселедатель неакцептованного переводного векселя, протест в неакцепте которого не был совершен;</w:t>
      </w:r>
    </w:p>
    <w:p>
      <w:pPr>
        <w:pStyle w:val="0"/>
        <w:spacing w:before="240" w:lineRule="auto"/>
        <w:ind w:firstLine="540"/>
        <w:jc w:val="both"/>
      </w:pPr>
      <w:r>
        <w:rPr>
          <w:sz w:val="24"/>
        </w:rPr>
        <w:t xml:space="preserve">7 - векселедатель переводного векселя, акцепт по которому ограничен плательщиком частью суммы.</w:t>
      </w:r>
    </w:p>
    <w:p>
      <w:pPr>
        <w:pStyle w:val="0"/>
        <w:spacing w:before="240" w:lineRule="auto"/>
        <w:ind w:firstLine="540"/>
        <w:jc w:val="both"/>
      </w:pPr>
      <w:r>
        <w:rPr>
          <w:sz w:val="24"/>
        </w:rPr>
        <w:t xml:space="preserve">4.4.2. Во втором разряде (X2) указывается тип векселя:</w:t>
      </w:r>
    </w:p>
    <w:p>
      <w:pPr>
        <w:pStyle w:val="0"/>
        <w:spacing w:before="240" w:lineRule="auto"/>
        <w:ind w:firstLine="540"/>
        <w:jc w:val="both"/>
      </w:pPr>
      <w:r>
        <w:rPr>
          <w:sz w:val="24"/>
        </w:rPr>
        <w:t xml:space="preserve">1 - дисконтный;</w:t>
      </w:r>
    </w:p>
    <w:p>
      <w:pPr>
        <w:pStyle w:val="0"/>
        <w:spacing w:before="240" w:lineRule="auto"/>
        <w:ind w:firstLine="540"/>
        <w:jc w:val="both"/>
      </w:pPr>
      <w:r>
        <w:rPr>
          <w:sz w:val="24"/>
        </w:rPr>
        <w:t xml:space="preserve">2 - процентный.</w:t>
      </w:r>
    </w:p>
    <w:p>
      <w:pPr>
        <w:pStyle w:val="0"/>
        <w:spacing w:before="240" w:lineRule="auto"/>
        <w:ind w:firstLine="540"/>
        <w:jc w:val="both"/>
      </w:pPr>
      <w:r>
        <w:rPr>
          <w:sz w:val="24"/>
        </w:rPr>
        <w:t xml:space="preserve">4.4.3. В третьем разряде (X3) указывается основание совершения сделки:</w:t>
      </w:r>
    </w:p>
    <w:bookmarkStart w:id="36909" w:name="P36909"/>
    <w:bookmarkEnd w:id="36909"/>
    <w:p>
      <w:pPr>
        <w:pStyle w:val="0"/>
        <w:spacing w:before="240" w:lineRule="auto"/>
        <w:ind w:firstLine="540"/>
        <w:jc w:val="both"/>
      </w:pPr>
      <w:r>
        <w:rPr>
          <w:sz w:val="24"/>
        </w:rPr>
        <w:t xml:space="preserve">1 - договор купли-продажи;</w:t>
      </w:r>
    </w:p>
    <w:p>
      <w:pPr>
        <w:pStyle w:val="0"/>
        <w:spacing w:before="240" w:lineRule="auto"/>
        <w:ind w:firstLine="540"/>
        <w:jc w:val="both"/>
      </w:pPr>
      <w:r>
        <w:rPr>
          <w:sz w:val="24"/>
        </w:rPr>
        <w:t xml:space="preserve">2 - договор мены;</w:t>
      </w:r>
    </w:p>
    <w:bookmarkStart w:id="36911" w:name="P36911"/>
    <w:bookmarkEnd w:id="36911"/>
    <w:p>
      <w:pPr>
        <w:pStyle w:val="0"/>
        <w:spacing w:before="240" w:lineRule="auto"/>
        <w:ind w:firstLine="540"/>
        <w:jc w:val="both"/>
      </w:pPr>
      <w:r>
        <w:rPr>
          <w:sz w:val="24"/>
        </w:rPr>
        <w:t xml:space="preserve">3 - оплата уставного капитала страховой организации;</w:t>
      </w:r>
    </w:p>
    <w:p>
      <w:pPr>
        <w:pStyle w:val="0"/>
        <w:spacing w:before="240" w:lineRule="auto"/>
        <w:ind w:firstLine="540"/>
        <w:jc w:val="both"/>
      </w:pPr>
      <w:r>
        <w:rPr>
          <w:sz w:val="24"/>
        </w:rPr>
        <w:t xml:space="preserve">4 - иное основание, не указанное в </w:t>
      </w:r>
      <w:hyperlink w:history="0" w:anchor="P36909" w:tooltip="1 - договор купли-продажи;">
        <w:r>
          <w:rPr>
            <w:sz w:val="24"/>
            <w:color w:val="0000ff"/>
          </w:rPr>
          <w:t xml:space="preserve">абзацах втором</w:t>
        </w:r>
      </w:hyperlink>
      <w:r>
        <w:rPr>
          <w:sz w:val="24"/>
        </w:rPr>
        <w:t xml:space="preserve"> - </w:t>
      </w:r>
      <w:hyperlink w:history="0" w:anchor="P36911" w:tooltip="3 - оплата уставного капитала страховой организации;">
        <w:r>
          <w:rPr>
            <w:sz w:val="24"/>
            <w:color w:val="0000ff"/>
          </w:rPr>
          <w:t xml:space="preserve">четвертом</w:t>
        </w:r>
      </w:hyperlink>
      <w:r>
        <w:rPr>
          <w:sz w:val="24"/>
        </w:rPr>
        <w:t xml:space="preserve"> настоящего подпункта.</w:t>
      </w:r>
    </w:p>
    <w:p>
      <w:pPr>
        <w:pStyle w:val="0"/>
        <w:spacing w:before="240" w:lineRule="auto"/>
        <w:ind w:firstLine="540"/>
        <w:jc w:val="both"/>
      </w:pPr>
      <w:r>
        <w:rPr>
          <w:sz w:val="24"/>
        </w:rPr>
        <w:t xml:space="preserve">В случае если вексель выдан по договору, предметом которого является купля-продажа векселя, третий разряд (X3) принимает значение 1.</w:t>
      </w:r>
    </w:p>
    <w:p>
      <w:pPr>
        <w:pStyle w:val="0"/>
        <w:spacing w:before="240" w:lineRule="auto"/>
        <w:ind w:firstLine="540"/>
        <w:jc w:val="both"/>
      </w:pPr>
      <w:r>
        <w:rPr>
          <w:sz w:val="24"/>
        </w:rPr>
        <w:t xml:space="preserve">4.5. По показателю "Дата составления (выдачи) векселя" </w:t>
      </w:r>
      <w:hyperlink w:history="0" w:anchor="P36064" w:tooltip="48">
        <w:r>
          <w:rPr>
            <w:sz w:val="24"/>
            <w:color w:val="0000ff"/>
          </w:rPr>
          <w:t xml:space="preserve">(строка 48)</w:t>
        </w:r>
      </w:hyperlink>
      <w:r>
        <w:rPr>
          <w:sz w:val="24"/>
        </w:rPr>
        <w:t xml:space="preserve"> для каждого векселя указывается дата его составления (дата его выдачи векселедателем).</w:t>
      </w:r>
    </w:p>
    <w:p>
      <w:pPr>
        <w:pStyle w:val="0"/>
        <w:spacing w:before="240" w:lineRule="auto"/>
        <w:ind w:firstLine="540"/>
        <w:jc w:val="both"/>
      </w:pPr>
      <w:r>
        <w:rPr>
          <w:sz w:val="24"/>
        </w:rPr>
        <w:t xml:space="preserve">4.6. По показателю "Дата фактического погашения" </w:t>
      </w:r>
      <w:hyperlink w:history="0" w:anchor="P36092" w:tooltip="49">
        <w:r>
          <w:rPr>
            <w:sz w:val="24"/>
            <w:color w:val="0000ff"/>
          </w:rPr>
          <w:t xml:space="preserve">(строка 49)</w:t>
        </w:r>
      </w:hyperlink>
      <w:r>
        <w:rPr>
          <w:sz w:val="24"/>
        </w:rPr>
        <w:t xml:space="preserve"> для каждого векселя указывается дата его фактического погашения.</w:t>
      </w:r>
    </w:p>
    <w:bookmarkStart w:id="36916" w:name="P36916"/>
    <w:bookmarkEnd w:id="36916"/>
    <w:p>
      <w:pPr>
        <w:pStyle w:val="0"/>
        <w:spacing w:before="240" w:lineRule="auto"/>
        <w:ind w:firstLine="540"/>
        <w:jc w:val="both"/>
      </w:pPr>
      <w:r>
        <w:rPr>
          <w:sz w:val="24"/>
        </w:rPr>
        <w:t xml:space="preserve">4.7. По показателю "Условия погашения векселя" </w:t>
      </w:r>
      <w:hyperlink w:history="0" w:anchor="P36120" w:tooltip="50">
        <w:r>
          <w:rPr>
            <w:sz w:val="24"/>
            <w:color w:val="0000ff"/>
          </w:rPr>
          <w:t xml:space="preserve">(строка 50)</w:t>
        </w:r>
      </w:hyperlink>
      <w:r>
        <w:rPr>
          <w:sz w:val="24"/>
        </w:rPr>
        <w:t xml:space="preserve"> для каждого векселя указываются условия его погашения ("По предъявлении", "По предъявлении, но не ранее определенной даты", "По предъявлении, но не позднее определенной даты", "По предъявлении, но не ранее определенной даты и не позднее определенной даты", "Через определенное количество дней с даты составления", "На определенную дату").</w:t>
      </w:r>
    </w:p>
    <w:bookmarkStart w:id="36917" w:name="P36917"/>
    <w:bookmarkEnd w:id="36917"/>
    <w:p>
      <w:pPr>
        <w:pStyle w:val="0"/>
        <w:spacing w:before="240" w:lineRule="auto"/>
        <w:ind w:firstLine="540"/>
        <w:jc w:val="both"/>
      </w:pPr>
      <w:r>
        <w:rPr>
          <w:sz w:val="24"/>
        </w:rPr>
        <w:t xml:space="preserve">В случае если в векселе указаны условия погашения, не перечисленные в </w:t>
      </w:r>
      <w:hyperlink w:history="0" w:anchor="P36916" w:tooltip="4.7. По показателю &quot;Условия погашения векселя&quot; (строка 50) для каждого векселя указываются условия его погашения (&quot;По предъявлении&quot;, &quot;По предъявлении, но не ранее определенной даты&quot;, &quot;По предъявлении, но не позднее определенной даты&quot;, &quot;По предъявлении, но не ранее определенной даты и не позднее определенной даты&quot;, &quot;Через определенное количество дней с даты составления&quot;, &quot;На определенную дату&quot;).">
        <w:r>
          <w:rPr>
            <w:sz w:val="24"/>
            <w:color w:val="0000ff"/>
          </w:rPr>
          <w:t xml:space="preserve">абзаце первом</w:t>
        </w:r>
      </w:hyperlink>
      <w:r>
        <w:rPr>
          <w:sz w:val="24"/>
        </w:rPr>
        <w:t xml:space="preserve"> настоящего подпункта, по показателю "Условия погашения векселя" </w:t>
      </w:r>
      <w:hyperlink w:history="0" w:anchor="P36120" w:tooltip="50">
        <w:r>
          <w:rPr>
            <w:sz w:val="24"/>
            <w:color w:val="0000ff"/>
          </w:rPr>
          <w:t xml:space="preserve">(строка 50)</w:t>
        </w:r>
      </w:hyperlink>
      <w:r>
        <w:rPr>
          <w:sz w:val="24"/>
        </w:rPr>
        <w:t xml:space="preserve"> указывается "Иное", по показателю "Примечание" </w:t>
      </w:r>
      <w:hyperlink w:history="0" w:anchor="P36568" w:tooltip="66">
        <w:r>
          <w:rPr>
            <w:sz w:val="24"/>
            <w:color w:val="0000ff"/>
          </w:rPr>
          <w:t xml:space="preserve">(строка 66)</w:t>
        </w:r>
      </w:hyperlink>
      <w:r>
        <w:rPr>
          <w:sz w:val="24"/>
        </w:rPr>
        <w:t xml:space="preserve"> указывается условие погашения в соответствии с векселем (в том числе указываются даты, количество дней).</w:t>
      </w:r>
    </w:p>
    <w:p>
      <w:pPr>
        <w:pStyle w:val="0"/>
        <w:spacing w:before="240" w:lineRule="auto"/>
        <w:ind w:firstLine="540"/>
        <w:jc w:val="both"/>
      </w:pPr>
      <w:r>
        <w:rPr>
          <w:sz w:val="24"/>
        </w:rPr>
        <w:t xml:space="preserve">4.8. По показателю "Код валюты" </w:t>
      </w:r>
      <w:hyperlink w:history="0" w:anchor="P36148" w:tooltip="51">
        <w:r>
          <w:rPr>
            <w:sz w:val="24"/>
            <w:color w:val="0000ff"/>
          </w:rPr>
          <w:t xml:space="preserve">(строка 51)</w:t>
        </w:r>
      </w:hyperlink>
      <w:r>
        <w:rPr>
          <w:sz w:val="24"/>
        </w:rPr>
        <w:t xml:space="preserve"> для каждого векселя указывается код валюты, в которой выражена вексельная сумма.</w:t>
      </w:r>
    </w:p>
    <w:p>
      <w:pPr>
        <w:pStyle w:val="0"/>
        <w:spacing w:before="240" w:lineRule="auto"/>
        <w:ind w:firstLine="540"/>
        <w:jc w:val="both"/>
      </w:pPr>
      <w:r>
        <w:rPr>
          <w:sz w:val="24"/>
        </w:rPr>
        <w:t xml:space="preserve">4.9. По показателю "Вексельная сумма по одному векселю, в единицах валюты номинала" </w:t>
      </w:r>
      <w:hyperlink w:history="0" w:anchor="P36176" w:tooltip="52">
        <w:r>
          <w:rPr>
            <w:sz w:val="24"/>
            <w:color w:val="0000ff"/>
          </w:rPr>
          <w:t xml:space="preserve">(строка 52)</w:t>
        </w:r>
      </w:hyperlink>
      <w:r>
        <w:rPr>
          <w:sz w:val="24"/>
        </w:rPr>
        <w:t xml:space="preserve"> для каждого векселя на основании его данных указывается вексельная сумма в единицах валюты, указанной по показателю "Код валюты" </w:t>
      </w:r>
      <w:hyperlink w:history="0" w:anchor="P36148" w:tooltip="51">
        <w:r>
          <w:rPr>
            <w:sz w:val="24"/>
            <w:color w:val="0000ff"/>
          </w:rPr>
          <w:t xml:space="preserve">(строка 51)</w:t>
        </w:r>
      </w:hyperlink>
      <w:r>
        <w:rPr>
          <w:sz w:val="24"/>
        </w:rPr>
        <w:t xml:space="preserve">.</w:t>
      </w:r>
    </w:p>
    <w:p>
      <w:pPr>
        <w:pStyle w:val="0"/>
        <w:spacing w:before="240" w:lineRule="auto"/>
        <w:ind w:firstLine="540"/>
        <w:jc w:val="both"/>
      </w:pPr>
      <w:r>
        <w:rPr>
          <w:sz w:val="24"/>
        </w:rPr>
        <w:t xml:space="preserve">4.10. По показателю "Эффективная процентная ставка, процентов годовых" </w:t>
      </w:r>
      <w:hyperlink w:history="0" w:anchor="P36204" w:tooltip="53">
        <w:r>
          <w:rPr>
            <w:sz w:val="24"/>
            <w:color w:val="0000ff"/>
          </w:rPr>
          <w:t xml:space="preserve">(строка 53)</w:t>
        </w:r>
      </w:hyperlink>
      <w:r>
        <w:rPr>
          <w:sz w:val="24"/>
        </w:rPr>
        <w:t xml:space="preserve"> для каждого векселя указывается размер эффективной процентной ставки, используемой в значении, определенном </w:t>
      </w:r>
      <w:hyperlink w:history="0" r:id="rId601" w:tooltip="&quot;Международный стандарт финансовой отчетности (IFRS) 9 &quot;Финансовые инструменты&quot; (введен в действие на территории Российской Федерации в редакции 2014 года Приказом Минфина России от 27.06.2016 N 98н) (ред. от 17.02.2021) {КонсультантПлюс}">
        <w:r>
          <w:rPr>
            <w:sz w:val="24"/>
            <w:color w:val="0000ff"/>
          </w:rPr>
          <w:t xml:space="preserve">приложением A</w:t>
        </w:r>
      </w:hyperlink>
      <w:r>
        <w:rPr>
          <w:sz w:val="24"/>
        </w:rPr>
        <w:t xml:space="preserve"> МСФО (IFRS) 9.</w:t>
      </w:r>
    </w:p>
    <w:p>
      <w:pPr>
        <w:pStyle w:val="0"/>
        <w:spacing w:before="240" w:lineRule="auto"/>
        <w:ind w:firstLine="540"/>
        <w:jc w:val="both"/>
      </w:pPr>
      <w:r>
        <w:rPr>
          <w:sz w:val="24"/>
        </w:rPr>
        <w:t xml:space="preserve">4.11. По показателю "Дата получения средств при реализации векселя" </w:t>
      </w:r>
      <w:hyperlink w:history="0" w:anchor="P36232" w:tooltip="54">
        <w:r>
          <w:rPr>
            <w:sz w:val="24"/>
            <w:color w:val="0000ff"/>
          </w:rPr>
          <w:t xml:space="preserve">(строка 54)</w:t>
        </w:r>
      </w:hyperlink>
      <w:r>
        <w:rPr>
          <w:sz w:val="24"/>
        </w:rPr>
        <w:t xml:space="preserve"> для каждого векселя указывается дата получения средств векселедателем в результате его реализации в отчетном периоде.</w:t>
      </w:r>
    </w:p>
    <w:p>
      <w:pPr>
        <w:pStyle w:val="0"/>
        <w:spacing w:before="240" w:lineRule="auto"/>
        <w:ind w:firstLine="540"/>
        <w:jc w:val="both"/>
      </w:pPr>
      <w:r>
        <w:rPr>
          <w:sz w:val="24"/>
        </w:rPr>
        <w:t xml:space="preserve">4.12. По показателю "Сумма, фактически полученная при реализации векселей" </w:t>
      </w:r>
      <w:hyperlink w:history="0" w:anchor="P36260" w:tooltip="55">
        <w:r>
          <w:rPr>
            <w:sz w:val="24"/>
            <w:color w:val="0000ff"/>
          </w:rPr>
          <w:t xml:space="preserve">(строка 55)</w:t>
        </w:r>
      </w:hyperlink>
      <w:r>
        <w:rPr>
          <w:sz w:val="24"/>
        </w:rPr>
        <w:t xml:space="preserve"> для каждого векселя указывается сумма от его реализации, фактически полученная страховщиком в отчетном периоде.</w:t>
      </w:r>
    </w:p>
    <w:p>
      <w:pPr>
        <w:pStyle w:val="0"/>
        <w:spacing w:before="240" w:lineRule="auto"/>
        <w:ind w:firstLine="540"/>
        <w:jc w:val="both"/>
      </w:pPr>
      <w:r>
        <w:rPr>
          <w:sz w:val="24"/>
        </w:rPr>
        <w:t xml:space="preserve">4.13. По показателю "Вид актива, полученного векселедателем от реализации векселя" </w:t>
      </w:r>
      <w:hyperlink w:history="0" w:anchor="P36288" w:tooltip="56">
        <w:r>
          <w:rPr>
            <w:sz w:val="24"/>
            <w:color w:val="0000ff"/>
          </w:rPr>
          <w:t xml:space="preserve">(строка 56)</w:t>
        </w:r>
      </w:hyperlink>
      <w:r>
        <w:rPr>
          <w:sz w:val="24"/>
        </w:rPr>
        <w:t xml:space="preserve"> для каждого векселя указывается вид актива, полученного векселедателем от реализации векселя (в том числе "Денежные средства", "Недвижимость", "Облигация", "Акция"), с отражением идентификатора контрагента по группе аналитических признаков "Идентификатор контрагента по активу, полученному от реализации векселя".</w:t>
      </w:r>
    </w:p>
    <w:p>
      <w:pPr>
        <w:pStyle w:val="0"/>
        <w:spacing w:before="240" w:lineRule="auto"/>
        <w:ind w:firstLine="540"/>
        <w:jc w:val="both"/>
      </w:pPr>
      <w:r>
        <w:rPr>
          <w:sz w:val="24"/>
        </w:rPr>
        <w:t xml:space="preserve">В случае если по показателю "Вид актива, полученного векселедателем от реализации векселя" </w:t>
      </w:r>
      <w:hyperlink w:history="0" w:anchor="P36288" w:tooltip="56">
        <w:r>
          <w:rPr>
            <w:sz w:val="24"/>
            <w:color w:val="0000ff"/>
          </w:rPr>
          <w:t xml:space="preserve">(строка 56)</w:t>
        </w:r>
      </w:hyperlink>
      <w:r>
        <w:rPr>
          <w:sz w:val="24"/>
        </w:rPr>
        <w:t xml:space="preserve"> отражена недвижимость, стоимость которой определена на основании отчета оценщика, по группе аналитических признаков "Идентификатор контрагента по активу, полученному от реализации векселя" указывается идентификатор оценщика.</w:t>
      </w:r>
    </w:p>
    <w:bookmarkStart w:id="36925" w:name="P36925"/>
    <w:bookmarkEnd w:id="36925"/>
    <w:p>
      <w:pPr>
        <w:pStyle w:val="0"/>
        <w:spacing w:before="240" w:lineRule="auto"/>
        <w:ind w:firstLine="540"/>
        <w:jc w:val="both"/>
      </w:pPr>
      <w:r>
        <w:rPr>
          <w:sz w:val="24"/>
        </w:rPr>
        <w:t xml:space="preserve">В случае если по показателю "Вид актива, полученного векселедателем от реализации векселя" </w:t>
      </w:r>
      <w:hyperlink w:history="0" w:anchor="P36288" w:tooltip="56">
        <w:r>
          <w:rPr>
            <w:sz w:val="24"/>
            <w:color w:val="0000ff"/>
          </w:rPr>
          <w:t xml:space="preserve">(строка 56)</w:t>
        </w:r>
      </w:hyperlink>
      <w:r>
        <w:rPr>
          <w:sz w:val="24"/>
        </w:rPr>
        <w:t xml:space="preserve"> отражена недвижимость, по показателю "Наименование и назначение объекта недвижимости, полученного от реализации векселя" </w:t>
      </w:r>
      <w:hyperlink w:history="0" w:anchor="P36316" w:tooltip="57">
        <w:r>
          <w:rPr>
            <w:sz w:val="24"/>
            <w:color w:val="0000ff"/>
          </w:rPr>
          <w:t xml:space="preserve">(строка 57)</w:t>
        </w:r>
      </w:hyperlink>
      <w:r>
        <w:rPr>
          <w:sz w:val="24"/>
        </w:rPr>
        <w:t xml:space="preserve"> указываются наименование и назначение объекта недвижимости, по показателю "Примечание" </w:t>
      </w:r>
      <w:hyperlink w:history="0" w:anchor="P36568" w:tooltip="66">
        <w:r>
          <w:rPr>
            <w:sz w:val="24"/>
            <w:color w:val="0000ff"/>
          </w:rPr>
          <w:t xml:space="preserve">(строка 66)</w:t>
        </w:r>
      </w:hyperlink>
      <w:r>
        <w:rPr>
          <w:sz w:val="24"/>
        </w:rPr>
        <w:t xml:space="preserve"> указывается адрес (местоположение) объекта недвижимости.</w:t>
      </w:r>
    </w:p>
    <w:p>
      <w:pPr>
        <w:pStyle w:val="0"/>
        <w:spacing w:before="240" w:lineRule="auto"/>
        <w:ind w:firstLine="540"/>
        <w:jc w:val="both"/>
      </w:pPr>
      <w:r>
        <w:rPr>
          <w:sz w:val="24"/>
        </w:rPr>
        <w:t xml:space="preserve">Значение идентификатора контрагента по активу, полученному от реализации векселя, указанное по группе аналитических признаков "Идентификатор контрагента по активу, полученному от реализации векселя",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контрагенту по активу, полученному от реализации векселя.</w:t>
      </w:r>
    </w:p>
    <w:p>
      <w:pPr>
        <w:pStyle w:val="0"/>
        <w:spacing w:before="240" w:lineRule="auto"/>
        <w:ind w:firstLine="540"/>
        <w:jc w:val="both"/>
      </w:pPr>
      <w:r>
        <w:rPr>
          <w:sz w:val="24"/>
        </w:rPr>
        <w:t xml:space="preserve">По показателю "Идентификационный код полученного актива" </w:t>
      </w:r>
      <w:hyperlink w:history="0" w:anchor="P36344" w:tooltip="58">
        <w:r>
          <w:rPr>
            <w:sz w:val="24"/>
            <w:color w:val="0000ff"/>
          </w:rPr>
          <w:t xml:space="preserve">(строка 58)</w:t>
        </w:r>
      </w:hyperlink>
      <w:r>
        <w:rPr>
          <w:sz w:val="24"/>
        </w:rPr>
        <w:t xml:space="preserve"> для каждого векселя указывается идентификационный код актива, полученного страховщиком от его реализации, соответствующий идентификатору актива, указываемому в отчетности по </w:t>
      </w:r>
      <w:hyperlink w:history="0" w:anchor="P2335" w:tooltip="Отчетность по форме 0420154">
        <w:r>
          <w:rPr>
            <w:sz w:val="24"/>
            <w:color w:val="0000ff"/>
          </w:rPr>
          <w:t xml:space="preserve">форме 0420154</w:t>
        </w:r>
      </w:hyperlink>
      <w:r>
        <w:rPr>
          <w:sz w:val="24"/>
        </w:rPr>
        <w:t xml:space="preserve">.</w:t>
      </w:r>
    </w:p>
    <w:p>
      <w:pPr>
        <w:pStyle w:val="0"/>
        <w:spacing w:before="240" w:lineRule="auto"/>
        <w:ind w:firstLine="540"/>
        <w:jc w:val="both"/>
      </w:pPr>
      <w:r>
        <w:rPr>
          <w:sz w:val="24"/>
        </w:rPr>
        <w:t xml:space="preserve">4.14. По показателям "Первоначальная стоимость выданного векселя" </w:t>
      </w:r>
      <w:hyperlink w:history="0" w:anchor="P36372" w:tooltip="59">
        <w:r>
          <w:rPr>
            <w:sz w:val="24"/>
            <w:color w:val="0000ff"/>
          </w:rPr>
          <w:t xml:space="preserve">(строка 59)</w:t>
        </w:r>
      </w:hyperlink>
      <w:r>
        <w:rPr>
          <w:sz w:val="24"/>
        </w:rPr>
        <w:t xml:space="preserve">, "Накопленная корректировка по выданному векселю" </w:t>
      </w:r>
      <w:hyperlink w:history="0" w:anchor="P36400" w:tooltip="60">
        <w:r>
          <w:rPr>
            <w:sz w:val="24"/>
            <w:color w:val="0000ff"/>
          </w:rPr>
          <w:t xml:space="preserve">(строка 60)</w:t>
        </w:r>
      </w:hyperlink>
      <w:r>
        <w:rPr>
          <w:sz w:val="24"/>
        </w:rPr>
        <w:t xml:space="preserve">, "Балансовая стоимость выданного векселя" </w:t>
      </w:r>
      <w:hyperlink w:history="0" w:anchor="P36428" w:tooltip="61">
        <w:r>
          <w:rPr>
            <w:sz w:val="24"/>
            <w:color w:val="0000ff"/>
          </w:rPr>
          <w:t xml:space="preserve">(строка 61)</w:t>
        </w:r>
      </w:hyperlink>
      <w:r>
        <w:rPr>
          <w:sz w:val="24"/>
        </w:rPr>
        <w:t xml:space="preserve"> для каждого векселя указываются на конец отчетного периода стоимость при его первоначальном признании, величина изменения его стоимости после первоначального признания, его балансовая стоимость соответственно.</w:t>
      </w:r>
    </w:p>
    <w:p>
      <w:pPr>
        <w:pStyle w:val="0"/>
        <w:spacing w:before="240" w:lineRule="auto"/>
        <w:ind w:firstLine="540"/>
        <w:jc w:val="both"/>
      </w:pPr>
      <w:r>
        <w:rPr>
          <w:sz w:val="24"/>
        </w:rPr>
        <w:t xml:space="preserve">4.15. По показателю "Сумма, фактически уплаченная по обязательствам по векселю" </w:t>
      </w:r>
      <w:hyperlink w:history="0" w:anchor="P36456" w:tooltip="62">
        <w:r>
          <w:rPr>
            <w:sz w:val="24"/>
            <w:color w:val="0000ff"/>
          </w:rPr>
          <w:t xml:space="preserve">(строка 62)</w:t>
        </w:r>
      </w:hyperlink>
      <w:r>
        <w:rPr>
          <w:sz w:val="24"/>
        </w:rPr>
        <w:t xml:space="preserve"> для каждого векселя указывается фактически уплаченная векселедержателю в отчетном периоде сумма по обязательствам по векселю.</w:t>
      </w:r>
    </w:p>
    <w:p>
      <w:pPr>
        <w:pStyle w:val="0"/>
        <w:spacing w:before="240" w:lineRule="auto"/>
        <w:ind w:firstLine="540"/>
        <w:jc w:val="both"/>
      </w:pPr>
      <w:r>
        <w:rPr>
          <w:sz w:val="24"/>
        </w:rPr>
        <w:t xml:space="preserve">4.16. По показателю "Вид актива, переданного при погашении векселя" </w:t>
      </w:r>
      <w:hyperlink w:history="0" w:anchor="P36484" w:tooltip="63">
        <w:r>
          <w:rPr>
            <w:sz w:val="24"/>
            <w:color w:val="0000ff"/>
          </w:rPr>
          <w:t xml:space="preserve">(строка 63)</w:t>
        </w:r>
      </w:hyperlink>
      <w:r>
        <w:rPr>
          <w:sz w:val="24"/>
        </w:rPr>
        <w:t xml:space="preserve"> для каждого векселя указывается вид актива, фактически полученного векселедержателем в рамках прекращения обязательства по векселю (в том числе "Денежные средства", "Недвижимость", "Вексель", "Облигация", "Акция"), с отражением идентификатора контрагента по группе аналитических признаков "Идентификатор контрагента по активу, переданному при погашении векселя".</w:t>
      </w:r>
    </w:p>
    <w:p>
      <w:pPr>
        <w:pStyle w:val="0"/>
        <w:spacing w:before="240" w:lineRule="auto"/>
        <w:ind w:firstLine="540"/>
        <w:jc w:val="both"/>
      </w:pPr>
      <w:r>
        <w:rPr>
          <w:sz w:val="24"/>
        </w:rPr>
        <w:t xml:space="preserve">В случае если по показателю "Вид актива, переданного при погашении векселя" </w:t>
      </w:r>
      <w:hyperlink w:history="0" w:anchor="P36484" w:tooltip="63">
        <w:r>
          <w:rPr>
            <w:sz w:val="24"/>
            <w:color w:val="0000ff"/>
          </w:rPr>
          <w:t xml:space="preserve">(строка 63)</w:t>
        </w:r>
      </w:hyperlink>
      <w:r>
        <w:rPr>
          <w:sz w:val="24"/>
        </w:rPr>
        <w:t xml:space="preserve"> отражена недвижимость, стоимость которой определена на основании отчета оценщика, по группе аналитических признаков "Идентификатор контрагента по активу, переданному при погашении векселя" указывается идентификатор оценщика.</w:t>
      </w:r>
    </w:p>
    <w:bookmarkStart w:id="36932" w:name="P36932"/>
    <w:bookmarkEnd w:id="36932"/>
    <w:p>
      <w:pPr>
        <w:pStyle w:val="0"/>
        <w:spacing w:before="240" w:lineRule="auto"/>
        <w:ind w:firstLine="540"/>
        <w:jc w:val="both"/>
      </w:pPr>
      <w:r>
        <w:rPr>
          <w:sz w:val="24"/>
        </w:rPr>
        <w:t xml:space="preserve">В случае если по показателю "Вид актива, переданного при погашении векселя" </w:t>
      </w:r>
      <w:hyperlink w:history="0" w:anchor="P36484" w:tooltip="63">
        <w:r>
          <w:rPr>
            <w:sz w:val="24"/>
            <w:color w:val="0000ff"/>
          </w:rPr>
          <w:t xml:space="preserve">(строка 63)</w:t>
        </w:r>
      </w:hyperlink>
      <w:r>
        <w:rPr>
          <w:sz w:val="24"/>
        </w:rPr>
        <w:t xml:space="preserve"> отражена недвижимость, по показателю "Наименование и назначение объекта недвижимости, переданного при погашении векселя" </w:t>
      </w:r>
      <w:hyperlink w:history="0" w:anchor="P36512" w:tooltip="64">
        <w:r>
          <w:rPr>
            <w:sz w:val="24"/>
            <w:color w:val="0000ff"/>
          </w:rPr>
          <w:t xml:space="preserve">(строка 64)</w:t>
        </w:r>
      </w:hyperlink>
      <w:r>
        <w:rPr>
          <w:sz w:val="24"/>
        </w:rPr>
        <w:t xml:space="preserve"> указываются наименование и назначение объекта недвижимости, по показателю "Примечание" </w:t>
      </w:r>
      <w:hyperlink w:history="0" w:anchor="P36568" w:tooltip="66">
        <w:r>
          <w:rPr>
            <w:sz w:val="24"/>
            <w:color w:val="0000ff"/>
          </w:rPr>
          <w:t xml:space="preserve">(строка 66)</w:t>
        </w:r>
      </w:hyperlink>
      <w:r>
        <w:rPr>
          <w:sz w:val="24"/>
        </w:rPr>
        <w:t xml:space="preserve"> указывается адрес (местоположение) объекта недвижимости.</w:t>
      </w:r>
    </w:p>
    <w:p>
      <w:pPr>
        <w:pStyle w:val="0"/>
        <w:spacing w:before="240" w:lineRule="auto"/>
        <w:ind w:firstLine="540"/>
        <w:jc w:val="both"/>
      </w:pPr>
      <w:r>
        <w:rPr>
          <w:sz w:val="24"/>
        </w:rPr>
        <w:t xml:space="preserve">Значение идентификатора контрагента по активу, переданному при погашении векселя, указанное по группе аналитических признаков "Идентификатор контрагента по активу, переданному при погашении векселя",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по этому контрагенту по активу, переданному при погашении векселя.</w:t>
      </w:r>
    </w:p>
    <w:p>
      <w:pPr>
        <w:pStyle w:val="0"/>
        <w:spacing w:before="240" w:lineRule="auto"/>
        <w:ind w:firstLine="540"/>
        <w:jc w:val="both"/>
      </w:pPr>
      <w:r>
        <w:rPr>
          <w:sz w:val="24"/>
        </w:rPr>
        <w:t xml:space="preserve">По показателю "Идентификационный код актива, переданного при погашении актива" </w:t>
      </w:r>
      <w:hyperlink w:history="0" w:anchor="P36540" w:tooltip="65">
        <w:r>
          <w:rPr>
            <w:sz w:val="24"/>
            <w:color w:val="0000ff"/>
          </w:rPr>
          <w:t xml:space="preserve">(строка 65)</w:t>
        </w:r>
      </w:hyperlink>
      <w:r>
        <w:rPr>
          <w:sz w:val="24"/>
        </w:rPr>
        <w:t xml:space="preserve"> для каждого векселя указывается идентификационный код актива, полученного векселедержателем в результате его погашения, соответствующий идентификатору актива, указываемому в отчетности по </w:t>
      </w:r>
      <w:hyperlink w:history="0" w:anchor="P2335" w:tooltip="Отчетность по форме 0420154">
        <w:r>
          <w:rPr>
            <w:sz w:val="24"/>
            <w:color w:val="0000ff"/>
          </w:rPr>
          <w:t xml:space="preserve">форме 0420154</w:t>
        </w:r>
      </w:hyperlink>
      <w:r>
        <w:rPr>
          <w:sz w:val="24"/>
        </w:rPr>
        <w:t xml:space="preserve">.</w:t>
      </w:r>
    </w:p>
    <w:p>
      <w:pPr>
        <w:pStyle w:val="0"/>
        <w:spacing w:before="240" w:lineRule="auto"/>
        <w:ind w:firstLine="540"/>
        <w:jc w:val="both"/>
      </w:pPr>
      <w:r>
        <w:rPr>
          <w:sz w:val="24"/>
        </w:rPr>
        <w:t xml:space="preserve">4.17. По показателю "Примечание" </w:t>
      </w:r>
      <w:hyperlink w:history="0" w:anchor="P36568" w:tooltip="66">
        <w:r>
          <w:rPr>
            <w:sz w:val="24"/>
            <w:color w:val="0000ff"/>
          </w:rPr>
          <w:t xml:space="preserve">(строка 66)</w:t>
        </w:r>
      </w:hyperlink>
      <w:r>
        <w:rPr>
          <w:sz w:val="24"/>
        </w:rPr>
        <w:t xml:space="preserve"> указывается информация, предусмотренная </w:t>
      </w:r>
      <w:hyperlink w:history="0" w:anchor="P36895" w:tooltip="При нахождении векселя в состоянии, в котором невозможно его обращение (в том числе запрещен к оплате решением суда, блокирован, утерян, внесен в перечень векселей, признанных недействительными, изъят правоохранительными органами), по показателю &quot;Состояние векселя на отчетную дату&quot; (строка 46) указывается код 6. При этом по показателю &quot;Примечание&quot; (строка 66) указывается информация о состоянии векселя (для состояния векселя &quot;запрещен к оплате решением суда&quot; указываются наименование суда и дата его решения).">
        <w:r>
          <w:rPr>
            <w:sz w:val="24"/>
            <w:color w:val="0000ff"/>
          </w:rPr>
          <w:t xml:space="preserve">абзацем одиннадцатым подпункта 4.3</w:t>
        </w:r>
      </w:hyperlink>
      <w:r>
        <w:rPr>
          <w:sz w:val="24"/>
        </w:rPr>
        <w:t xml:space="preserve">, </w:t>
      </w:r>
      <w:hyperlink w:history="0" w:anchor="P36917" w:tooltip="В случае если в векселе указаны условия погашения, не перечисленные в абзаце первом настоящего подпункта, по показателю &quot;Условия погашения векселя&quot; (строка 50) указывается &quot;Иное&quot;, по показателю &quot;Примечание&quot; (строка 66) указывается условие погашения в соответствии с векселем (в том числе указываются даты, количество дней).">
        <w:r>
          <w:rPr>
            <w:sz w:val="24"/>
            <w:color w:val="0000ff"/>
          </w:rPr>
          <w:t xml:space="preserve">абзацем вторым подпункта 4.7</w:t>
        </w:r>
      </w:hyperlink>
      <w:r>
        <w:rPr>
          <w:sz w:val="24"/>
        </w:rPr>
        <w:t xml:space="preserve">, </w:t>
      </w:r>
      <w:hyperlink w:history="0" w:anchor="P36925" w:tooltip="В случае если по показателю &quot;Вид актива, полученного векселедателем от реализации векселя&quot; (строка 56) отражена недвижимость, по показателю &quot;Наименование и назначение объекта недвижимости, полученного от реализации векселя&quot; (строка 57) указываются наименование и назначение объекта недвижимости, по показателю &quot;Примечание&quot; (строка 66) указывается адрес (местоположение) объекта недвижимости.">
        <w:r>
          <w:rPr>
            <w:sz w:val="24"/>
            <w:color w:val="0000ff"/>
          </w:rPr>
          <w:t xml:space="preserve">абзацем третьим подпункта 4.13</w:t>
        </w:r>
      </w:hyperlink>
      <w:r>
        <w:rPr>
          <w:sz w:val="24"/>
        </w:rPr>
        <w:t xml:space="preserve">, </w:t>
      </w:r>
      <w:hyperlink w:history="0" w:anchor="P36932" w:tooltip="В случае если по показателю &quot;Вид актива, переданного при погашении векселя&quot; (строка 63) отражена недвижимость, по показателю &quot;Наименование и назначение объекта недвижимости, переданного при погашении векселя&quot; (строка 64) указываются наименование и назначение объекта недвижимости, по показателю &quot;Примечание&quot; (строка 66) указывается адрес (местоположение) объекта недвижимости.">
        <w:r>
          <w:rPr>
            <w:sz w:val="24"/>
            <w:color w:val="0000ff"/>
          </w:rPr>
          <w:t xml:space="preserve">абзацем третьим подпункта 4.16</w:t>
        </w:r>
      </w:hyperlink>
      <w:r>
        <w:rPr>
          <w:sz w:val="24"/>
        </w:rPr>
        <w:t xml:space="preserve"> настоящего пункта, а также иная информация (при наличии), являющаяся по решению страховщика существенной.</w:t>
      </w:r>
    </w:p>
    <w:p>
      <w:pPr>
        <w:pStyle w:val="0"/>
        <w:spacing w:before="240" w:lineRule="auto"/>
        <w:ind w:firstLine="540"/>
        <w:jc w:val="both"/>
      </w:pPr>
      <w:r>
        <w:rPr>
          <w:sz w:val="24"/>
        </w:rPr>
        <w:t xml:space="preserve">В случае отражения недвижимости по показателям "Вид актива, полученного векселедателем от реализации векселя" </w:t>
      </w:r>
      <w:hyperlink w:history="0" w:anchor="P36288" w:tooltip="56">
        <w:r>
          <w:rPr>
            <w:sz w:val="24"/>
            <w:color w:val="0000ff"/>
          </w:rPr>
          <w:t xml:space="preserve">(строка 56)</w:t>
        </w:r>
      </w:hyperlink>
      <w:r>
        <w:rPr>
          <w:sz w:val="24"/>
        </w:rPr>
        <w:t xml:space="preserve"> или "Вид актива, переданного при погашении векселя" </w:t>
      </w:r>
      <w:hyperlink w:history="0" w:anchor="P36484" w:tooltip="63">
        <w:r>
          <w:rPr>
            <w:sz w:val="24"/>
            <w:color w:val="0000ff"/>
          </w:rPr>
          <w:t xml:space="preserve">(строка 63)</w:t>
        </w:r>
      </w:hyperlink>
      <w:r>
        <w:rPr>
          <w:sz w:val="24"/>
        </w:rPr>
        <w:t xml:space="preserve"> для каждого адреса (местоположения) объекта недвижимости указывается конкретный вид операции с ним ("Реализация векселя", "Оплата обязательств по векселю").</w:t>
      </w:r>
    </w:p>
    <w:p>
      <w:pPr>
        <w:pStyle w:val="0"/>
        <w:spacing w:before="240" w:lineRule="auto"/>
        <w:ind w:firstLine="540"/>
        <w:jc w:val="both"/>
      </w:pPr>
      <w:r>
        <w:rPr>
          <w:sz w:val="24"/>
        </w:rPr>
        <w:t xml:space="preserve">4.18. Итоговые значения показателей "Сумма, фактически полученная при реализации векселей" </w:t>
      </w:r>
      <w:hyperlink w:history="0" w:anchor="P36260" w:tooltip="55">
        <w:r>
          <w:rPr>
            <w:sz w:val="24"/>
            <w:color w:val="0000ff"/>
          </w:rPr>
          <w:t xml:space="preserve">(строка 55)</w:t>
        </w:r>
      </w:hyperlink>
      <w:r>
        <w:rPr>
          <w:sz w:val="24"/>
        </w:rPr>
        <w:t xml:space="preserve">, "Первоначальная стоимость выданного векселя" </w:t>
      </w:r>
      <w:hyperlink w:history="0" w:anchor="P36372" w:tooltip="59">
        <w:r>
          <w:rPr>
            <w:sz w:val="24"/>
            <w:color w:val="0000ff"/>
          </w:rPr>
          <w:t xml:space="preserve">(строка 59)</w:t>
        </w:r>
      </w:hyperlink>
      <w:r>
        <w:rPr>
          <w:sz w:val="24"/>
        </w:rPr>
        <w:t xml:space="preserve">, "Накопленная корректировка по выданному векселю" </w:t>
      </w:r>
      <w:hyperlink w:history="0" w:anchor="P36400" w:tooltip="60">
        <w:r>
          <w:rPr>
            <w:sz w:val="24"/>
            <w:color w:val="0000ff"/>
          </w:rPr>
          <w:t xml:space="preserve">(строка 60)</w:t>
        </w:r>
      </w:hyperlink>
      <w:r>
        <w:rPr>
          <w:sz w:val="24"/>
        </w:rPr>
        <w:t xml:space="preserve">, "Балансовая стоимость выданного векселя" </w:t>
      </w:r>
      <w:hyperlink w:history="0" w:anchor="P36428" w:tooltip="61">
        <w:r>
          <w:rPr>
            <w:sz w:val="24"/>
            <w:color w:val="0000ff"/>
          </w:rPr>
          <w:t xml:space="preserve">(строка 61)</w:t>
        </w:r>
      </w:hyperlink>
      <w:r>
        <w:rPr>
          <w:sz w:val="24"/>
        </w:rPr>
        <w:t xml:space="preserve">, "Сумма, фактически уплаченная по обязательствам по векселю" </w:t>
      </w:r>
      <w:hyperlink w:history="0" w:anchor="P36456" w:tooltip="62">
        <w:r>
          <w:rPr>
            <w:sz w:val="24"/>
            <w:color w:val="0000ff"/>
          </w:rPr>
          <w:t xml:space="preserve">(строка 62)</w:t>
        </w:r>
      </w:hyperlink>
      <w:r>
        <w:rPr>
          <w:sz w:val="24"/>
        </w:rPr>
        <w:t xml:space="preserve"> определяются страховщиком путем суммирования данных по всем выданным векселям, отраженных по указанным показателям.</w:t>
      </w:r>
    </w:p>
    <w:p>
      <w:pPr>
        <w:pStyle w:val="0"/>
        <w:spacing w:before="240" w:lineRule="auto"/>
        <w:ind w:firstLine="540"/>
        <w:jc w:val="both"/>
      </w:pPr>
      <w:r>
        <w:rPr>
          <w:sz w:val="24"/>
        </w:rPr>
        <w:t xml:space="preserve">5. По показателям </w:t>
      </w:r>
      <w:hyperlink w:history="0" w:anchor="P36596" w:tooltip="Раздел 4.">
        <w:r>
          <w:rPr>
            <w:sz w:val="24"/>
            <w:color w:val="0000ff"/>
          </w:rPr>
          <w:t xml:space="preserve">раздела 4</w:t>
        </w:r>
      </w:hyperlink>
      <w:r>
        <w:rPr>
          <w:sz w:val="24"/>
        </w:rPr>
        <w:t xml:space="preserve"> отчетности по форме 0420160 отражаются сведения о выпущенных облигациях страховщика.</w:t>
      </w:r>
    </w:p>
    <w:p>
      <w:pPr>
        <w:pStyle w:val="0"/>
        <w:spacing w:before="240" w:lineRule="auto"/>
        <w:ind w:firstLine="540"/>
        <w:jc w:val="both"/>
      </w:pPr>
      <w:r>
        <w:rPr>
          <w:sz w:val="24"/>
        </w:rPr>
        <w:t xml:space="preserve">Показатели </w:t>
      </w:r>
      <w:hyperlink w:history="0" w:anchor="P36596" w:tooltip="Раздел 4.">
        <w:r>
          <w:rPr>
            <w:sz w:val="24"/>
            <w:color w:val="0000ff"/>
          </w:rPr>
          <w:t xml:space="preserve">раздела 4</w:t>
        </w:r>
      </w:hyperlink>
      <w:r>
        <w:rPr>
          <w:sz w:val="24"/>
        </w:rPr>
        <w:t xml:space="preserve"> отчетности по форме 0420160 приводятся по каждому выпуску облигаций. Сведения о дополнительных выпусках облигаций отражаются дополнительно к сведениям о выпуске облигаций.</w:t>
      </w:r>
    </w:p>
    <w:p>
      <w:pPr>
        <w:pStyle w:val="0"/>
        <w:spacing w:before="240" w:lineRule="auto"/>
        <w:ind w:firstLine="540"/>
        <w:jc w:val="both"/>
      </w:pPr>
      <w:r>
        <w:rPr>
          <w:sz w:val="24"/>
        </w:rPr>
        <w:t xml:space="preserve">Данные, указанные по группе аналитических признаков "Идентификатор выпущенной облигации", должны соответствовать данным, указанным по группе аналитических признаков "Идентификатор обязательства" </w:t>
      </w:r>
      <w:hyperlink w:history="0" w:anchor="P25948" w:tooltip="Подраздел 3.2.">
        <w:r>
          <w:rPr>
            <w:sz w:val="24"/>
            <w:color w:val="0000ff"/>
          </w:rPr>
          <w:t xml:space="preserve">подраздела 3.2 раздела 3</w:t>
        </w:r>
      </w:hyperlink>
      <w:r>
        <w:rPr>
          <w:sz w:val="24"/>
        </w:rPr>
        <w:t xml:space="preserve"> отчетности по форме 0420154.</w:t>
      </w:r>
    </w:p>
    <w:p>
      <w:pPr>
        <w:pStyle w:val="0"/>
        <w:spacing w:before="240" w:lineRule="auto"/>
        <w:ind w:firstLine="540"/>
        <w:jc w:val="both"/>
      </w:pPr>
      <w:r>
        <w:rPr>
          <w:sz w:val="24"/>
        </w:rPr>
        <w:t xml:space="preserve">5.1. По показателю "Регистрационный номер выпуска облигаций" </w:t>
      </w:r>
      <w:hyperlink w:history="0" w:anchor="P36598" w:tooltip="67">
        <w:r>
          <w:rPr>
            <w:sz w:val="24"/>
            <w:color w:val="0000ff"/>
          </w:rPr>
          <w:t xml:space="preserve">(строка 67)</w:t>
        </w:r>
      </w:hyperlink>
      <w:r>
        <w:rPr>
          <w:sz w:val="24"/>
        </w:rPr>
        <w:t xml:space="preserve"> для каждого выпуска облигаций указывается его регистрационный номер, идентифицирующий конкретный выпуск.</w:t>
      </w:r>
    </w:p>
    <w:p>
      <w:pPr>
        <w:pStyle w:val="0"/>
        <w:spacing w:before="240" w:lineRule="auto"/>
        <w:ind w:firstLine="540"/>
        <w:jc w:val="both"/>
      </w:pPr>
      <w:r>
        <w:rPr>
          <w:sz w:val="24"/>
        </w:rPr>
        <w:t xml:space="preserve">5.2. По показателю "Дата регистрации" </w:t>
      </w:r>
      <w:hyperlink w:history="0" w:anchor="P36606" w:tooltip="68">
        <w:r>
          <w:rPr>
            <w:sz w:val="24"/>
            <w:color w:val="0000ff"/>
          </w:rPr>
          <w:t xml:space="preserve">(строка 68)</w:t>
        </w:r>
      </w:hyperlink>
      <w:r>
        <w:rPr>
          <w:sz w:val="24"/>
        </w:rPr>
        <w:t xml:space="preserve"> для каждого выпуска облигаций указывается дата присвоения ему регистрационного номера.</w:t>
      </w:r>
    </w:p>
    <w:p>
      <w:pPr>
        <w:pStyle w:val="0"/>
        <w:spacing w:before="240" w:lineRule="auto"/>
        <w:ind w:firstLine="540"/>
        <w:jc w:val="both"/>
      </w:pPr>
      <w:r>
        <w:rPr>
          <w:sz w:val="24"/>
        </w:rPr>
        <w:t xml:space="preserve">5.3. По показателю "Наименование регистрирующего органа" </w:t>
      </w:r>
      <w:hyperlink w:history="0" w:anchor="P36614" w:tooltip="69">
        <w:r>
          <w:rPr>
            <w:sz w:val="24"/>
            <w:color w:val="0000ff"/>
          </w:rPr>
          <w:t xml:space="preserve">(строка 69)</w:t>
        </w:r>
      </w:hyperlink>
      <w:r>
        <w:rPr>
          <w:sz w:val="24"/>
        </w:rPr>
        <w:t xml:space="preserve"> для каждого выпуска облигаций указывается полное наименование органа, осуществившего регистрацию выпуска облигаций.</w:t>
      </w:r>
    </w:p>
    <w:p>
      <w:pPr>
        <w:pStyle w:val="0"/>
        <w:spacing w:before="240" w:lineRule="auto"/>
        <w:ind w:firstLine="540"/>
        <w:jc w:val="both"/>
      </w:pPr>
      <w:r>
        <w:rPr>
          <w:sz w:val="24"/>
        </w:rPr>
        <w:t xml:space="preserve">5.4. По показателю "Дата начала размещения выпущенных облигаций" </w:t>
      </w:r>
      <w:hyperlink w:history="0" w:anchor="P36622" w:tooltip="70">
        <w:r>
          <w:rPr>
            <w:sz w:val="24"/>
            <w:color w:val="0000ff"/>
          </w:rPr>
          <w:t xml:space="preserve">(строка 70)</w:t>
        </w:r>
      </w:hyperlink>
      <w:r>
        <w:rPr>
          <w:sz w:val="24"/>
        </w:rPr>
        <w:t xml:space="preserve"> для каждого выпуска облигаций указывается дата начала их размещения.</w:t>
      </w:r>
    </w:p>
    <w:p>
      <w:pPr>
        <w:pStyle w:val="0"/>
        <w:spacing w:before="240" w:lineRule="auto"/>
        <w:ind w:firstLine="540"/>
        <w:jc w:val="both"/>
      </w:pPr>
      <w:r>
        <w:rPr>
          <w:sz w:val="24"/>
        </w:rPr>
        <w:t xml:space="preserve">5.5. По показателю "Дата окончания размещения выпущенных облигаций" </w:t>
      </w:r>
      <w:hyperlink w:history="0" w:anchor="P36630" w:tooltip="71">
        <w:r>
          <w:rPr>
            <w:sz w:val="24"/>
            <w:color w:val="0000ff"/>
          </w:rPr>
          <w:t xml:space="preserve">(строка 71)</w:t>
        </w:r>
      </w:hyperlink>
      <w:r>
        <w:rPr>
          <w:sz w:val="24"/>
        </w:rPr>
        <w:t xml:space="preserve"> для каждого выпуска облигаций указывается дата окончания их размещения.</w:t>
      </w:r>
    </w:p>
    <w:p>
      <w:pPr>
        <w:pStyle w:val="0"/>
        <w:spacing w:before="240" w:lineRule="auto"/>
        <w:ind w:firstLine="540"/>
        <w:jc w:val="both"/>
      </w:pPr>
      <w:r>
        <w:rPr>
          <w:sz w:val="24"/>
        </w:rPr>
        <w:t xml:space="preserve">5.6. По показателю "Код выпуска облигаций" </w:t>
      </w:r>
      <w:hyperlink w:history="0" w:anchor="P36638" w:tooltip="72">
        <w:r>
          <w:rPr>
            <w:sz w:val="24"/>
            <w:color w:val="0000ff"/>
          </w:rPr>
          <w:t xml:space="preserve">(строка 72)</w:t>
        </w:r>
      </w:hyperlink>
      <w:r>
        <w:rPr>
          <w:sz w:val="24"/>
        </w:rPr>
        <w:t xml:space="preserve"> для каждого выпуска облигаций указывается его код, состоящий из семи разрядов (X1 - X2 - X3 - X4 - X5 - X6 - X7), характеризующий конкретный выпуск.</w:t>
      </w:r>
    </w:p>
    <w:p>
      <w:pPr>
        <w:pStyle w:val="0"/>
        <w:spacing w:before="240" w:lineRule="auto"/>
        <w:ind w:firstLine="540"/>
        <w:jc w:val="both"/>
      </w:pPr>
      <w:r>
        <w:rPr>
          <w:sz w:val="24"/>
        </w:rPr>
        <w:t xml:space="preserve">5.6.1. В первом разряде (X1), состоящем из двух цифр, указывается состояние выпуска облигаций на конец отчетного периода:</w:t>
      </w:r>
    </w:p>
    <w:p>
      <w:pPr>
        <w:pStyle w:val="0"/>
        <w:spacing w:before="240" w:lineRule="auto"/>
        <w:ind w:firstLine="540"/>
        <w:jc w:val="both"/>
      </w:pPr>
      <w:r>
        <w:rPr>
          <w:sz w:val="24"/>
        </w:rPr>
        <w:t xml:space="preserve">01 - размещается;</w:t>
      </w:r>
    </w:p>
    <w:p>
      <w:pPr>
        <w:pStyle w:val="0"/>
        <w:spacing w:before="240" w:lineRule="auto"/>
        <w:ind w:firstLine="540"/>
        <w:jc w:val="both"/>
      </w:pPr>
      <w:r>
        <w:rPr>
          <w:sz w:val="24"/>
        </w:rPr>
        <w:t xml:space="preserve">02 - размещен;</w:t>
      </w:r>
    </w:p>
    <w:p>
      <w:pPr>
        <w:pStyle w:val="0"/>
        <w:spacing w:before="240" w:lineRule="auto"/>
        <w:ind w:firstLine="540"/>
        <w:jc w:val="both"/>
      </w:pPr>
      <w:r>
        <w:rPr>
          <w:sz w:val="24"/>
        </w:rPr>
        <w:t xml:space="preserve">03 - в обращении;</w:t>
      </w:r>
    </w:p>
    <w:p>
      <w:pPr>
        <w:pStyle w:val="0"/>
        <w:spacing w:before="240" w:lineRule="auto"/>
        <w:ind w:firstLine="540"/>
        <w:jc w:val="both"/>
      </w:pPr>
      <w:r>
        <w:rPr>
          <w:sz w:val="24"/>
        </w:rPr>
        <w:t xml:space="preserve">04 - в погашении.</w:t>
      </w:r>
    </w:p>
    <w:p>
      <w:pPr>
        <w:pStyle w:val="0"/>
        <w:spacing w:before="240" w:lineRule="auto"/>
        <w:ind w:firstLine="540"/>
        <w:jc w:val="both"/>
      </w:pPr>
      <w:r>
        <w:rPr>
          <w:sz w:val="24"/>
        </w:rPr>
        <w:t xml:space="preserve">5.6.2. Во втором разряде (X2) указывается форма выпуска облигаций:</w:t>
      </w:r>
    </w:p>
    <w:p>
      <w:pPr>
        <w:pStyle w:val="0"/>
        <w:spacing w:before="240" w:lineRule="auto"/>
        <w:ind w:firstLine="540"/>
        <w:jc w:val="both"/>
      </w:pPr>
      <w:r>
        <w:rPr>
          <w:sz w:val="24"/>
        </w:rPr>
        <w:t xml:space="preserve">1 - документарная форма;</w:t>
      </w:r>
    </w:p>
    <w:p>
      <w:pPr>
        <w:pStyle w:val="0"/>
        <w:spacing w:before="240" w:lineRule="auto"/>
        <w:ind w:firstLine="540"/>
        <w:jc w:val="both"/>
      </w:pPr>
      <w:r>
        <w:rPr>
          <w:sz w:val="24"/>
        </w:rPr>
        <w:t xml:space="preserve">2 - бездокументарная форма.</w:t>
      </w:r>
    </w:p>
    <w:p>
      <w:pPr>
        <w:pStyle w:val="0"/>
        <w:spacing w:before="240" w:lineRule="auto"/>
        <w:ind w:firstLine="540"/>
        <w:jc w:val="both"/>
      </w:pPr>
      <w:r>
        <w:rPr>
          <w:sz w:val="24"/>
        </w:rPr>
        <w:t xml:space="preserve">5.6.3. В третьем разряде (X3) указывается категория выпуска облигаций:</w:t>
      </w:r>
    </w:p>
    <w:p>
      <w:pPr>
        <w:pStyle w:val="0"/>
        <w:spacing w:before="240" w:lineRule="auto"/>
        <w:ind w:firstLine="540"/>
        <w:jc w:val="both"/>
      </w:pPr>
      <w:r>
        <w:rPr>
          <w:sz w:val="24"/>
        </w:rPr>
        <w:t xml:space="preserve">1 - конвертируемые;</w:t>
      </w:r>
    </w:p>
    <w:p>
      <w:pPr>
        <w:pStyle w:val="0"/>
        <w:spacing w:before="240" w:lineRule="auto"/>
        <w:ind w:firstLine="540"/>
        <w:jc w:val="both"/>
      </w:pPr>
      <w:r>
        <w:rPr>
          <w:sz w:val="24"/>
        </w:rPr>
        <w:t xml:space="preserve">2 - неконвертируемые.</w:t>
      </w:r>
    </w:p>
    <w:p>
      <w:pPr>
        <w:pStyle w:val="0"/>
        <w:spacing w:before="240" w:lineRule="auto"/>
        <w:ind w:firstLine="540"/>
        <w:jc w:val="both"/>
      </w:pPr>
      <w:r>
        <w:rPr>
          <w:sz w:val="24"/>
        </w:rPr>
        <w:t xml:space="preserve">5.6.4. В четвертом разряде (X4) указывается возможность идентификации владельцев облигаций:</w:t>
      </w:r>
    </w:p>
    <w:p>
      <w:pPr>
        <w:pStyle w:val="0"/>
        <w:spacing w:before="240" w:lineRule="auto"/>
        <w:ind w:firstLine="540"/>
        <w:jc w:val="both"/>
      </w:pPr>
      <w:r>
        <w:rPr>
          <w:sz w:val="24"/>
        </w:rPr>
        <w:t xml:space="preserve">1 - именные;</w:t>
      </w:r>
    </w:p>
    <w:p>
      <w:pPr>
        <w:pStyle w:val="0"/>
        <w:spacing w:before="240" w:lineRule="auto"/>
        <w:ind w:firstLine="540"/>
        <w:jc w:val="both"/>
      </w:pPr>
      <w:r>
        <w:rPr>
          <w:sz w:val="24"/>
        </w:rPr>
        <w:t xml:space="preserve">2 - на предъявителя.</w:t>
      </w:r>
    </w:p>
    <w:p>
      <w:pPr>
        <w:pStyle w:val="0"/>
        <w:spacing w:before="240" w:lineRule="auto"/>
        <w:ind w:firstLine="540"/>
        <w:jc w:val="both"/>
      </w:pPr>
      <w:r>
        <w:rPr>
          <w:sz w:val="24"/>
        </w:rPr>
        <w:t xml:space="preserve">5.6.5. В пятом разряде (X5) указывается способ размещения выпуска облигаций:</w:t>
      </w:r>
    </w:p>
    <w:p>
      <w:pPr>
        <w:pStyle w:val="0"/>
        <w:spacing w:before="240" w:lineRule="auto"/>
        <w:ind w:firstLine="540"/>
        <w:jc w:val="both"/>
      </w:pPr>
      <w:r>
        <w:rPr>
          <w:sz w:val="24"/>
        </w:rPr>
        <w:t xml:space="preserve">1 - открытая подписка;</w:t>
      </w:r>
    </w:p>
    <w:p>
      <w:pPr>
        <w:pStyle w:val="0"/>
        <w:spacing w:before="240" w:lineRule="auto"/>
        <w:ind w:firstLine="540"/>
        <w:jc w:val="both"/>
      </w:pPr>
      <w:r>
        <w:rPr>
          <w:sz w:val="24"/>
        </w:rPr>
        <w:t xml:space="preserve">2 - закрытая подписка;</w:t>
      </w:r>
    </w:p>
    <w:p>
      <w:pPr>
        <w:pStyle w:val="0"/>
        <w:spacing w:before="240" w:lineRule="auto"/>
        <w:ind w:firstLine="540"/>
        <w:jc w:val="both"/>
      </w:pPr>
      <w:r>
        <w:rPr>
          <w:sz w:val="24"/>
        </w:rPr>
        <w:t xml:space="preserve">3 - конвертация.</w:t>
      </w:r>
    </w:p>
    <w:p>
      <w:pPr>
        <w:pStyle w:val="0"/>
        <w:spacing w:before="240" w:lineRule="auto"/>
        <w:ind w:firstLine="540"/>
        <w:jc w:val="both"/>
      </w:pPr>
      <w:r>
        <w:rPr>
          <w:sz w:val="24"/>
        </w:rPr>
        <w:t xml:space="preserve">5.6.6. В шестом разряде (X6) указывается вид дохода по облигациям:</w:t>
      </w:r>
    </w:p>
    <w:p>
      <w:pPr>
        <w:pStyle w:val="0"/>
        <w:spacing w:before="240" w:lineRule="auto"/>
        <w:ind w:firstLine="540"/>
        <w:jc w:val="both"/>
      </w:pPr>
      <w:r>
        <w:rPr>
          <w:sz w:val="24"/>
        </w:rPr>
        <w:t xml:space="preserve">1 - с постоянным купонным доходом;</w:t>
      </w:r>
    </w:p>
    <w:p>
      <w:pPr>
        <w:pStyle w:val="0"/>
        <w:spacing w:before="240" w:lineRule="auto"/>
        <w:ind w:firstLine="540"/>
        <w:jc w:val="both"/>
      </w:pPr>
      <w:r>
        <w:rPr>
          <w:sz w:val="24"/>
        </w:rPr>
        <w:t xml:space="preserve">2 - с переменным купонным доходом;</w:t>
      </w:r>
    </w:p>
    <w:p>
      <w:pPr>
        <w:pStyle w:val="0"/>
        <w:spacing w:before="240" w:lineRule="auto"/>
        <w:ind w:firstLine="540"/>
        <w:jc w:val="both"/>
      </w:pPr>
      <w:r>
        <w:rPr>
          <w:sz w:val="24"/>
        </w:rPr>
        <w:t xml:space="preserve">3 - бескупонные (дисконтные).</w:t>
      </w:r>
    </w:p>
    <w:p>
      <w:pPr>
        <w:pStyle w:val="0"/>
        <w:spacing w:before="240" w:lineRule="auto"/>
        <w:ind w:firstLine="540"/>
        <w:jc w:val="both"/>
      </w:pPr>
      <w:r>
        <w:rPr>
          <w:sz w:val="24"/>
        </w:rPr>
        <w:t xml:space="preserve">5.6.7. В седьмом разряде (X7), состоящем из двух цифр, указывается наличие возможности досрочного погашения выпуска облигаций или досрочного приобретения выпуска облигаций:</w:t>
      </w:r>
    </w:p>
    <w:p>
      <w:pPr>
        <w:pStyle w:val="0"/>
        <w:spacing w:before="240" w:lineRule="auto"/>
        <w:ind w:firstLine="540"/>
        <w:jc w:val="both"/>
      </w:pPr>
      <w:r>
        <w:rPr>
          <w:sz w:val="24"/>
        </w:rPr>
        <w:t xml:space="preserve">01 - наличие права на досрочное погашение или досрочное приобретение по требованию владельца облигации отсутствует;</w:t>
      </w:r>
    </w:p>
    <w:p>
      <w:pPr>
        <w:pStyle w:val="0"/>
        <w:spacing w:before="240" w:lineRule="auto"/>
        <w:ind w:firstLine="540"/>
        <w:jc w:val="both"/>
      </w:pPr>
      <w:r>
        <w:rPr>
          <w:sz w:val="24"/>
        </w:rPr>
        <w:t xml:space="preserve">02 - наличие права на досрочное погашение по требованию владельца облигации;</w:t>
      </w:r>
    </w:p>
    <w:p>
      <w:pPr>
        <w:pStyle w:val="0"/>
        <w:spacing w:before="240" w:lineRule="auto"/>
        <w:ind w:firstLine="540"/>
        <w:jc w:val="both"/>
      </w:pPr>
      <w:r>
        <w:rPr>
          <w:sz w:val="24"/>
        </w:rPr>
        <w:t xml:space="preserve">03 - наличие права на досрочное приобретение по требованию владельца облигации;</w:t>
      </w:r>
    </w:p>
    <w:p>
      <w:pPr>
        <w:pStyle w:val="0"/>
        <w:spacing w:before="240" w:lineRule="auto"/>
        <w:ind w:firstLine="540"/>
        <w:jc w:val="both"/>
      </w:pPr>
      <w:r>
        <w:rPr>
          <w:sz w:val="24"/>
        </w:rPr>
        <w:t xml:space="preserve">04 - наличие права на досрочное приобретение и погашение по требованию владельца облигации;</w:t>
      </w:r>
    </w:p>
    <w:p>
      <w:pPr>
        <w:pStyle w:val="0"/>
        <w:spacing w:before="240" w:lineRule="auto"/>
        <w:ind w:firstLine="540"/>
        <w:jc w:val="both"/>
      </w:pPr>
      <w:r>
        <w:rPr>
          <w:sz w:val="24"/>
        </w:rPr>
        <w:t xml:space="preserve">05 - наличие права на досрочное приобретение по соглашению между страховщиком-эмитентом и владельцем облигации;</w:t>
      </w:r>
    </w:p>
    <w:p>
      <w:pPr>
        <w:pStyle w:val="0"/>
        <w:spacing w:before="240" w:lineRule="auto"/>
        <w:ind w:firstLine="540"/>
        <w:jc w:val="both"/>
      </w:pPr>
      <w:r>
        <w:rPr>
          <w:sz w:val="24"/>
        </w:rPr>
        <w:t xml:space="preserve">06 - наличие права на досрочное погашение облигации по усмотрению страховщика-эмитента;</w:t>
      </w:r>
    </w:p>
    <w:p>
      <w:pPr>
        <w:pStyle w:val="0"/>
        <w:spacing w:before="240" w:lineRule="auto"/>
        <w:ind w:firstLine="540"/>
        <w:jc w:val="both"/>
      </w:pPr>
      <w:r>
        <w:rPr>
          <w:sz w:val="24"/>
        </w:rPr>
        <w:t xml:space="preserve">07 - наличие права на досрочное погашение по требованию владельца облигации и на досрочное приобретение по соглашению между страховщиком-эмитентом и владельцем облигации;</w:t>
      </w:r>
    </w:p>
    <w:p>
      <w:pPr>
        <w:pStyle w:val="0"/>
        <w:spacing w:before="240" w:lineRule="auto"/>
        <w:ind w:firstLine="540"/>
        <w:jc w:val="both"/>
      </w:pPr>
      <w:r>
        <w:rPr>
          <w:sz w:val="24"/>
        </w:rPr>
        <w:t xml:space="preserve">08 - наличие права на досрочное погашение по требованию владельца облигации и на досрочное погашение облигации по усмотрению страховщика-эмитента;</w:t>
      </w:r>
    </w:p>
    <w:p>
      <w:pPr>
        <w:pStyle w:val="0"/>
        <w:spacing w:before="240" w:lineRule="auto"/>
        <w:ind w:firstLine="540"/>
        <w:jc w:val="both"/>
      </w:pPr>
      <w:r>
        <w:rPr>
          <w:sz w:val="24"/>
        </w:rPr>
        <w:t xml:space="preserve">09 - наличие права на досрочное приобретение по требованию владельца облигации и на досрочное погашение облигации по усмотрению страховщика-эмитента;</w:t>
      </w:r>
    </w:p>
    <w:p>
      <w:pPr>
        <w:pStyle w:val="0"/>
        <w:spacing w:before="240" w:lineRule="auto"/>
        <w:ind w:firstLine="540"/>
        <w:jc w:val="both"/>
      </w:pPr>
      <w:r>
        <w:rPr>
          <w:sz w:val="24"/>
        </w:rPr>
        <w:t xml:space="preserve">10 - наличие права на досрочное приобретение по соглашению между страховщиком-эмитентом и владельцем облигации и на досрочное погашение облигации по усмотрению страховщика-эмитента.</w:t>
      </w:r>
    </w:p>
    <w:p>
      <w:pPr>
        <w:pStyle w:val="0"/>
        <w:spacing w:before="240" w:lineRule="auto"/>
        <w:ind w:firstLine="540"/>
        <w:jc w:val="both"/>
      </w:pPr>
      <w:r>
        <w:rPr>
          <w:sz w:val="24"/>
        </w:rPr>
        <w:t xml:space="preserve">5.7. По показателю "Код валюты" </w:t>
      </w:r>
      <w:hyperlink w:history="0" w:anchor="P36646" w:tooltip="73">
        <w:r>
          <w:rPr>
            <w:sz w:val="24"/>
            <w:color w:val="0000ff"/>
          </w:rPr>
          <w:t xml:space="preserve">(строка 73)</w:t>
        </w:r>
      </w:hyperlink>
      <w:r>
        <w:rPr>
          <w:sz w:val="24"/>
        </w:rPr>
        <w:t xml:space="preserve"> для каждого выпуска облигаций указывается код валюты, в которой выражена номинальная стоимость облигации.</w:t>
      </w:r>
    </w:p>
    <w:p>
      <w:pPr>
        <w:pStyle w:val="0"/>
        <w:spacing w:before="240" w:lineRule="auto"/>
        <w:ind w:firstLine="540"/>
        <w:jc w:val="both"/>
      </w:pPr>
      <w:r>
        <w:rPr>
          <w:sz w:val="24"/>
        </w:rPr>
        <w:t xml:space="preserve">5.8. По показателю "Номинальная стоимость одного выпуска облигаций, в единицах валюты номинала" </w:t>
      </w:r>
      <w:hyperlink w:history="0" w:anchor="P36654" w:tooltip="74">
        <w:r>
          <w:rPr>
            <w:sz w:val="24"/>
            <w:color w:val="0000ff"/>
          </w:rPr>
          <w:t xml:space="preserve">(строка 74)</w:t>
        </w:r>
      </w:hyperlink>
      <w:r>
        <w:rPr>
          <w:sz w:val="24"/>
        </w:rPr>
        <w:t xml:space="preserve"> для каждого выпуска облигаций указывается его номинальная стоимость в единицах валюты номинала, указанной по показателю "Код валюты" </w:t>
      </w:r>
      <w:hyperlink w:history="0" w:anchor="P36646" w:tooltip="73">
        <w:r>
          <w:rPr>
            <w:sz w:val="24"/>
            <w:color w:val="0000ff"/>
          </w:rPr>
          <w:t xml:space="preserve">(строка 73)</w:t>
        </w:r>
      </w:hyperlink>
      <w:r>
        <w:rPr>
          <w:sz w:val="24"/>
        </w:rPr>
        <w:t xml:space="preserve">.</w:t>
      </w:r>
    </w:p>
    <w:p>
      <w:pPr>
        <w:pStyle w:val="0"/>
        <w:spacing w:before="240" w:lineRule="auto"/>
        <w:ind w:firstLine="540"/>
        <w:jc w:val="both"/>
      </w:pPr>
      <w:r>
        <w:rPr>
          <w:sz w:val="24"/>
        </w:rPr>
        <w:t xml:space="preserve">5.9. По показателю "Количество облигаций в соответствии с решением о выпуске, штук" </w:t>
      </w:r>
      <w:hyperlink w:history="0" w:anchor="P36662" w:tooltip="75">
        <w:r>
          <w:rPr>
            <w:sz w:val="24"/>
            <w:color w:val="0000ff"/>
          </w:rPr>
          <w:t xml:space="preserve">(строка 75)</w:t>
        </w:r>
      </w:hyperlink>
      <w:r>
        <w:rPr>
          <w:sz w:val="24"/>
        </w:rPr>
        <w:t xml:space="preserve"> для каждого выпуска облигаций указывается общее количество облигаций страховщика в рамках выпуска в соответствии с решением о выпуске (в штуках).</w:t>
      </w:r>
    </w:p>
    <w:p>
      <w:pPr>
        <w:pStyle w:val="0"/>
        <w:spacing w:before="240" w:lineRule="auto"/>
        <w:ind w:firstLine="540"/>
        <w:jc w:val="both"/>
      </w:pPr>
      <w:r>
        <w:rPr>
          <w:sz w:val="24"/>
        </w:rPr>
        <w:t xml:space="preserve">5.10. По показателю "Количество размещенных выпущенных облигаций, штук" </w:t>
      </w:r>
      <w:hyperlink w:history="0" w:anchor="P36670" w:tooltip="76">
        <w:r>
          <w:rPr>
            <w:sz w:val="24"/>
            <w:color w:val="0000ff"/>
          </w:rPr>
          <w:t xml:space="preserve">(строка 76)</w:t>
        </w:r>
      </w:hyperlink>
      <w:r>
        <w:rPr>
          <w:sz w:val="24"/>
        </w:rPr>
        <w:t xml:space="preserve"> для каждого выпуска облигаций указывается общее количество размещенных облигаций страховщика в рамках выпуска (в штуках).</w:t>
      </w:r>
    </w:p>
    <w:p>
      <w:pPr>
        <w:pStyle w:val="0"/>
        <w:spacing w:before="240" w:lineRule="auto"/>
        <w:ind w:firstLine="540"/>
        <w:jc w:val="both"/>
      </w:pPr>
      <w:r>
        <w:rPr>
          <w:sz w:val="24"/>
        </w:rPr>
        <w:t xml:space="preserve">5.11. По показателю "Количество облигаций, находящихся в обращении, штук" </w:t>
      </w:r>
      <w:hyperlink w:history="0" w:anchor="P36678" w:tooltip="77">
        <w:r>
          <w:rPr>
            <w:sz w:val="24"/>
            <w:color w:val="0000ff"/>
          </w:rPr>
          <w:t xml:space="preserve">(строка 77)</w:t>
        </w:r>
      </w:hyperlink>
      <w:r>
        <w:rPr>
          <w:sz w:val="24"/>
        </w:rPr>
        <w:t xml:space="preserve"> для каждого выпуска облигаций указывается общее количество облигаций страховщика в рамках выпуска, находящихся в обращении (в штуках).</w:t>
      </w:r>
    </w:p>
    <w:p>
      <w:pPr>
        <w:pStyle w:val="0"/>
        <w:spacing w:before="240" w:lineRule="auto"/>
        <w:ind w:firstLine="540"/>
        <w:jc w:val="both"/>
      </w:pPr>
      <w:r>
        <w:rPr>
          <w:sz w:val="24"/>
        </w:rPr>
        <w:t xml:space="preserve">5.12. По показателю "Общая выручка от реализации выпуска" </w:t>
      </w:r>
      <w:hyperlink w:history="0" w:anchor="P36686" w:tooltip="78">
        <w:r>
          <w:rPr>
            <w:sz w:val="24"/>
            <w:color w:val="0000ff"/>
          </w:rPr>
          <w:t xml:space="preserve">(строка 78)</w:t>
        </w:r>
      </w:hyperlink>
      <w:r>
        <w:rPr>
          <w:sz w:val="24"/>
        </w:rPr>
        <w:t xml:space="preserve"> для каждого выпуска облигаций указывается объем денежных средств, фактически полученных страховщиком от размещения облигаций.</w:t>
      </w:r>
    </w:p>
    <w:p>
      <w:pPr>
        <w:pStyle w:val="0"/>
        <w:spacing w:before="240" w:lineRule="auto"/>
        <w:ind w:firstLine="540"/>
        <w:jc w:val="both"/>
      </w:pPr>
      <w:r>
        <w:rPr>
          <w:sz w:val="24"/>
        </w:rPr>
        <w:t xml:space="preserve">В случае если на конец отчетного периода размещение облигаций не началось, показатель "Общая выручка от реализации выпуска" </w:t>
      </w:r>
      <w:hyperlink w:history="0" w:anchor="P36686" w:tooltip="78">
        <w:r>
          <w:rPr>
            <w:sz w:val="24"/>
            <w:color w:val="0000ff"/>
          </w:rPr>
          <w:t xml:space="preserve">(строка 78)</w:t>
        </w:r>
      </w:hyperlink>
      <w:r>
        <w:rPr>
          <w:sz w:val="24"/>
        </w:rPr>
        <w:t xml:space="preserve"> не формируется.</w:t>
      </w:r>
    </w:p>
    <w:p>
      <w:pPr>
        <w:pStyle w:val="0"/>
        <w:spacing w:before="240" w:lineRule="auto"/>
        <w:ind w:firstLine="540"/>
        <w:jc w:val="both"/>
      </w:pPr>
      <w:r>
        <w:rPr>
          <w:sz w:val="24"/>
        </w:rPr>
        <w:t xml:space="preserve">5.13. По показателю "Дата погашения основного долга выпуска облигаций" </w:t>
      </w:r>
      <w:hyperlink w:history="0" w:anchor="P36694" w:tooltip="79">
        <w:r>
          <w:rPr>
            <w:sz w:val="24"/>
            <w:color w:val="0000ff"/>
          </w:rPr>
          <w:t xml:space="preserve">(строка 79)</w:t>
        </w:r>
      </w:hyperlink>
      <w:r>
        <w:rPr>
          <w:sz w:val="24"/>
        </w:rPr>
        <w:t xml:space="preserve"> для каждого выпуска облигаций указывается дата погашения основного долга по облигациям выпуска.</w:t>
      </w:r>
    </w:p>
    <w:p>
      <w:pPr>
        <w:pStyle w:val="0"/>
        <w:spacing w:before="240" w:lineRule="auto"/>
        <w:ind w:firstLine="540"/>
        <w:jc w:val="both"/>
      </w:pPr>
      <w:r>
        <w:rPr>
          <w:sz w:val="24"/>
        </w:rPr>
        <w:t xml:space="preserve">В случае если на конец отчетного периода дата начала размещения выпуска облигаций страховщиком не определена, указывается порядок определения даты погашения основного долга по облигациям выпуска.</w:t>
      </w:r>
    </w:p>
    <w:p>
      <w:pPr>
        <w:pStyle w:val="0"/>
        <w:spacing w:before="240" w:lineRule="auto"/>
        <w:ind w:firstLine="540"/>
        <w:jc w:val="both"/>
      </w:pPr>
      <w:r>
        <w:rPr>
          <w:sz w:val="24"/>
        </w:rPr>
        <w:t xml:space="preserve">5.14. По показателю "Величина дохода по выпущенным облигациям, в процентах к номиналу" </w:t>
      </w:r>
      <w:hyperlink w:history="0" w:anchor="P36702" w:tooltip="80">
        <w:r>
          <w:rPr>
            <w:sz w:val="24"/>
            <w:color w:val="0000ff"/>
          </w:rPr>
          <w:t xml:space="preserve">(строка 80)</w:t>
        </w:r>
      </w:hyperlink>
      <w:r>
        <w:rPr>
          <w:sz w:val="24"/>
        </w:rPr>
        <w:t xml:space="preserve"> для каждого выпуска облигаций указывается величина дохода (купонного дохода или дисконта) по выпущенным страховщиком облигациям, причитающегося их владельцам, в процентах от их номинальной стоимости.</w:t>
      </w:r>
    </w:p>
    <w:p>
      <w:pPr>
        <w:pStyle w:val="0"/>
        <w:spacing w:before="240" w:lineRule="auto"/>
        <w:ind w:firstLine="540"/>
        <w:jc w:val="both"/>
      </w:pPr>
      <w:r>
        <w:rPr>
          <w:sz w:val="24"/>
        </w:rPr>
        <w:t xml:space="preserve">По показателю "Величина дохода по выпущенным облигациям, в процентах к номиналу" </w:t>
      </w:r>
      <w:hyperlink w:history="0" w:anchor="P36702" w:tooltip="80">
        <w:r>
          <w:rPr>
            <w:sz w:val="24"/>
            <w:color w:val="0000ff"/>
          </w:rPr>
          <w:t xml:space="preserve">(строка 80)</w:t>
        </w:r>
      </w:hyperlink>
      <w:r>
        <w:rPr>
          <w:sz w:val="24"/>
        </w:rPr>
        <w:t xml:space="preserve"> для облигации с переменным купонным доходом указывается размер дохода (купона) по выпущенным страховщиком облигациям на конец отчетного периода.</w:t>
      </w:r>
    </w:p>
    <w:p>
      <w:pPr>
        <w:pStyle w:val="0"/>
        <w:spacing w:before="240" w:lineRule="auto"/>
        <w:ind w:firstLine="540"/>
        <w:jc w:val="both"/>
      </w:pPr>
      <w:r>
        <w:rPr>
          <w:sz w:val="24"/>
        </w:rPr>
        <w:t xml:space="preserve">В случае если на конец отчетного периода размер дохода (купона) по выпущенным страховщиком облигациям не определен, сумма обязательств, подлежащих исполнению по облигации в части выплат по купонным периодам, определяется исходя из ключевой ставки, установленной Банком России в соответствии со </w:t>
      </w:r>
      <w:hyperlink w:history="0" r:id="rId602"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статьей 7</w:t>
        </w:r>
      </w:hyperlink>
      <w:r>
        <w:rPr>
          <w:sz w:val="24"/>
        </w:rPr>
        <w:t xml:space="preserve"> Федерального закона от 10 июля 2002 года N 86-ФЗ "О Центральном банке Российской Федерации (Банке России)", на конец отчетного периода.</w:t>
      </w:r>
    </w:p>
    <w:p>
      <w:pPr>
        <w:pStyle w:val="0"/>
        <w:spacing w:before="240" w:lineRule="auto"/>
        <w:ind w:firstLine="540"/>
        <w:jc w:val="both"/>
      </w:pPr>
      <w:r>
        <w:rPr>
          <w:sz w:val="24"/>
        </w:rPr>
        <w:t xml:space="preserve">5.15. По показателю "Эффективная процентная ставка, процентов годовых" </w:t>
      </w:r>
      <w:hyperlink w:history="0" w:anchor="P36710" w:tooltip="81">
        <w:r>
          <w:rPr>
            <w:sz w:val="24"/>
            <w:color w:val="0000ff"/>
          </w:rPr>
          <w:t xml:space="preserve">(строка 81)</w:t>
        </w:r>
      </w:hyperlink>
      <w:r>
        <w:rPr>
          <w:sz w:val="24"/>
        </w:rPr>
        <w:t xml:space="preserve"> для каждого выпуска облигаций указывается размер эффективной процентной ставки, используемой в значении, определенном </w:t>
      </w:r>
      <w:hyperlink w:history="0" r:id="rId603" w:tooltip="&quot;Международный стандарт финансовой отчетности (IFRS) 9 &quot;Финансовые инструменты&quot; (введен в действие на территории Российской Федерации в редакции 2014 года Приказом Минфина России от 27.06.2016 N 98н) (ред. от 17.02.2021) {КонсультантПлюс}">
        <w:r>
          <w:rPr>
            <w:sz w:val="24"/>
            <w:color w:val="0000ff"/>
          </w:rPr>
          <w:t xml:space="preserve">приложением A</w:t>
        </w:r>
      </w:hyperlink>
      <w:r>
        <w:rPr>
          <w:sz w:val="24"/>
        </w:rPr>
        <w:t xml:space="preserve"> МСФО (IFRS) 9.</w:t>
      </w:r>
    </w:p>
    <w:p>
      <w:pPr>
        <w:pStyle w:val="0"/>
        <w:spacing w:before="240" w:lineRule="auto"/>
        <w:ind w:firstLine="540"/>
        <w:jc w:val="both"/>
      </w:pPr>
      <w:r>
        <w:rPr>
          <w:sz w:val="24"/>
        </w:rPr>
        <w:t xml:space="preserve">5.16. По показателю "Периодичность выплаты купона в год" </w:t>
      </w:r>
      <w:hyperlink w:history="0" w:anchor="P36718" w:tooltip="82">
        <w:r>
          <w:rPr>
            <w:sz w:val="24"/>
            <w:color w:val="0000ff"/>
          </w:rPr>
          <w:t xml:space="preserve">(строка 82)</w:t>
        </w:r>
      </w:hyperlink>
      <w:r>
        <w:rPr>
          <w:sz w:val="24"/>
        </w:rPr>
        <w:t xml:space="preserve"> для каждого выпуска облигаций указывается количество выплат купона по выпущенным страховщиком облигациям в год. Для бескупонных (дисконтных) облигаций сведения не приводятся.</w:t>
      </w:r>
    </w:p>
    <w:p>
      <w:pPr>
        <w:pStyle w:val="0"/>
        <w:spacing w:before="240" w:lineRule="auto"/>
        <w:ind w:firstLine="540"/>
        <w:jc w:val="both"/>
      </w:pPr>
      <w:r>
        <w:rPr>
          <w:sz w:val="24"/>
        </w:rPr>
        <w:t xml:space="preserve">5.17. По показателю "Дата последней выплаты купона" </w:t>
      </w:r>
      <w:hyperlink w:history="0" w:anchor="P36726" w:tooltip="83">
        <w:r>
          <w:rPr>
            <w:sz w:val="24"/>
            <w:color w:val="0000ff"/>
          </w:rPr>
          <w:t xml:space="preserve">(строка 83)</w:t>
        </w:r>
      </w:hyperlink>
      <w:r>
        <w:rPr>
          <w:sz w:val="24"/>
        </w:rPr>
        <w:t xml:space="preserve"> для каждого выпуска облигаций указывается дата последней выплаты купона по выпущенным страховщиком облигациям. Для бескупонных (дисконтных) облигаций сведения не приводятся.</w:t>
      </w:r>
    </w:p>
    <w:p>
      <w:pPr>
        <w:pStyle w:val="0"/>
        <w:spacing w:before="240" w:lineRule="auto"/>
        <w:ind w:firstLine="540"/>
        <w:jc w:val="both"/>
      </w:pPr>
      <w:r>
        <w:rPr>
          <w:sz w:val="24"/>
        </w:rPr>
        <w:t xml:space="preserve">5.18. По показателям "Первоначальная стоимость обязательств, подлежащих исполнению по облигации" </w:t>
      </w:r>
      <w:hyperlink w:history="0" w:anchor="P36734" w:tooltip="84">
        <w:r>
          <w:rPr>
            <w:sz w:val="24"/>
            <w:color w:val="0000ff"/>
          </w:rPr>
          <w:t xml:space="preserve">(строка 84)</w:t>
        </w:r>
      </w:hyperlink>
      <w:r>
        <w:rPr>
          <w:sz w:val="24"/>
        </w:rPr>
        <w:t xml:space="preserve">, "Накопленная корректировка к стоимости обязательств, подлежащих исполнению по облигации" </w:t>
      </w:r>
      <w:hyperlink w:history="0" w:anchor="P36742" w:tooltip="85">
        <w:r>
          <w:rPr>
            <w:sz w:val="24"/>
            <w:color w:val="0000ff"/>
          </w:rPr>
          <w:t xml:space="preserve">(строка 85)</w:t>
        </w:r>
      </w:hyperlink>
      <w:r>
        <w:rPr>
          <w:sz w:val="24"/>
        </w:rPr>
        <w:t xml:space="preserve">, "Балансовая стоимость обязательств, подлежащих исполнению по облигации (с учетом накопленной корректировки)" </w:t>
      </w:r>
      <w:hyperlink w:history="0" w:anchor="P36750" w:tooltip="86">
        <w:r>
          <w:rPr>
            <w:sz w:val="24"/>
            <w:color w:val="0000ff"/>
          </w:rPr>
          <w:t xml:space="preserve">(строка 86)</w:t>
        </w:r>
      </w:hyperlink>
      <w:r>
        <w:rPr>
          <w:sz w:val="24"/>
        </w:rPr>
        <w:t xml:space="preserve"> для каждого выпуска облигаций указываются на конец отчетного периода стоимость при их первоначальном признании, величина изменения их стоимости после первоначального признания, балансовая стоимость обязательств, подлежащих исполнению по облигациям, включая купонные платежи, не выплаченные на конец отчетного периода, соответственно.</w:t>
      </w:r>
    </w:p>
    <w:p>
      <w:pPr>
        <w:pStyle w:val="0"/>
        <w:spacing w:before="240" w:lineRule="auto"/>
        <w:ind w:firstLine="540"/>
        <w:jc w:val="both"/>
      </w:pPr>
      <w:r>
        <w:rPr>
          <w:sz w:val="24"/>
        </w:rPr>
        <w:t xml:space="preserve">5.19. По показателю "Примечание" </w:t>
      </w:r>
      <w:hyperlink w:history="0" w:anchor="P36758" w:tooltip="87">
        <w:r>
          <w:rPr>
            <w:sz w:val="24"/>
            <w:color w:val="0000ff"/>
          </w:rPr>
          <w:t xml:space="preserve">(строка 87)</w:t>
        </w:r>
      </w:hyperlink>
      <w:r>
        <w:rPr>
          <w:sz w:val="24"/>
        </w:rPr>
        <w:t xml:space="preserve"> для каждого выпуска облигаций указывается информация, характеризующая этот выпуск и являющаяся по решению страховщика существенной, в том числе сведения о неисполненных обязательствах страховщика по облигации и о причинах такого неисполнения.</w:t>
      </w:r>
    </w:p>
    <w:p>
      <w:pPr>
        <w:pStyle w:val="0"/>
        <w:spacing w:before="240" w:lineRule="auto"/>
        <w:ind w:firstLine="540"/>
        <w:jc w:val="both"/>
      </w:pPr>
      <w:r>
        <w:rPr>
          <w:sz w:val="24"/>
        </w:rPr>
        <w:t xml:space="preserve">В случае если погашение основного долга по облигациям выпуска страховщик планирует осуществить имущественным эквивалентом, по показателю "Примечание" </w:t>
      </w:r>
      <w:hyperlink w:history="0" w:anchor="P36758" w:tooltip="87">
        <w:r>
          <w:rPr>
            <w:sz w:val="24"/>
            <w:color w:val="0000ff"/>
          </w:rPr>
          <w:t xml:space="preserve">(строка 87)</w:t>
        </w:r>
      </w:hyperlink>
      <w:r>
        <w:rPr>
          <w:sz w:val="24"/>
        </w:rPr>
        <w:t xml:space="preserve"> указываются вид имущества, за счет которого осуществляется погашение облигации, и его характеристики, являющиеся по решению страховщика существенными.</w:t>
      </w:r>
    </w:p>
    <w:p>
      <w:pPr>
        <w:pStyle w:val="0"/>
        <w:spacing w:before="240" w:lineRule="auto"/>
        <w:ind w:firstLine="540"/>
        <w:jc w:val="both"/>
      </w:pPr>
      <w:r>
        <w:rPr>
          <w:sz w:val="24"/>
        </w:rPr>
        <w:t xml:space="preserve">5.20. Итоговые значения показателей "Количество облигаций в соответствии с решением о выпуске, штук" </w:t>
      </w:r>
      <w:hyperlink w:history="0" w:anchor="P36662" w:tooltip="75">
        <w:r>
          <w:rPr>
            <w:sz w:val="24"/>
            <w:color w:val="0000ff"/>
          </w:rPr>
          <w:t xml:space="preserve">(строка 75)</w:t>
        </w:r>
      </w:hyperlink>
      <w:r>
        <w:rPr>
          <w:sz w:val="24"/>
        </w:rPr>
        <w:t xml:space="preserve">, "Количество размещенных выпущенных облигаций, штук" </w:t>
      </w:r>
      <w:hyperlink w:history="0" w:anchor="P36670" w:tooltip="76">
        <w:r>
          <w:rPr>
            <w:sz w:val="24"/>
            <w:color w:val="0000ff"/>
          </w:rPr>
          <w:t xml:space="preserve">(строка 76)</w:t>
        </w:r>
      </w:hyperlink>
      <w:r>
        <w:rPr>
          <w:sz w:val="24"/>
        </w:rPr>
        <w:t xml:space="preserve">, "Количество облигаций, находящихся в обращении, штук" </w:t>
      </w:r>
      <w:hyperlink w:history="0" w:anchor="P36678" w:tooltip="77">
        <w:r>
          <w:rPr>
            <w:sz w:val="24"/>
            <w:color w:val="0000ff"/>
          </w:rPr>
          <w:t xml:space="preserve">(строка 77)</w:t>
        </w:r>
      </w:hyperlink>
      <w:r>
        <w:rPr>
          <w:sz w:val="24"/>
        </w:rPr>
        <w:t xml:space="preserve">, "Общая выручка от реализации выпуска" </w:t>
      </w:r>
      <w:hyperlink w:history="0" w:anchor="P36686" w:tooltip="78">
        <w:r>
          <w:rPr>
            <w:sz w:val="24"/>
            <w:color w:val="0000ff"/>
          </w:rPr>
          <w:t xml:space="preserve">(строка 78)</w:t>
        </w:r>
      </w:hyperlink>
      <w:r>
        <w:rPr>
          <w:sz w:val="24"/>
        </w:rPr>
        <w:t xml:space="preserve">, "Первоначальная стоимость обязательств, подлежащих исполнению по облигации" </w:t>
      </w:r>
      <w:hyperlink w:history="0" w:anchor="P36734" w:tooltip="84">
        <w:r>
          <w:rPr>
            <w:sz w:val="24"/>
            <w:color w:val="0000ff"/>
          </w:rPr>
          <w:t xml:space="preserve">(строка 84)</w:t>
        </w:r>
      </w:hyperlink>
      <w:r>
        <w:rPr>
          <w:sz w:val="24"/>
        </w:rPr>
        <w:t xml:space="preserve">, "Накопленная корректировка к стоимости обязательств, подлежащих исполнению по облигации" </w:t>
      </w:r>
      <w:hyperlink w:history="0" w:anchor="P36742" w:tooltip="85">
        <w:r>
          <w:rPr>
            <w:sz w:val="24"/>
            <w:color w:val="0000ff"/>
          </w:rPr>
          <w:t xml:space="preserve">(строка 85)</w:t>
        </w:r>
      </w:hyperlink>
      <w:r>
        <w:rPr>
          <w:sz w:val="24"/>
        </w:rPr>
        <w:t xml:space="preserve">, "Балансовая стоимость обязательств, подлежащих исполнению по облигации (с учетом накопленной корректировки" </w:t>
      </w:r>
      <w:hyperlink w:history="0" w:anchor="P36750" w:tooltip="86">
        <w:r>
          <w:rPr>
            <w:sz w:val="24"/>
            <w:color w:val="0000ff"/>
          </w:rPr>
          <w:t xml:space="preserve">(строка 86)</w:t>
        </w:r>
      </w:hyperlink>
      <w:r>
        <w:rPr>
          <w:sz w:val="24"/>
        </w:rPr>
        <w:t xml:space="preserve"> определяются страховщиком путем суммирования данных по всем выпущенным облигациям, отраженных по указанным показателям.</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7006" w:name="P37006"/>
    <w:bookmarkEnd w:id="37006"/>
    <w:p>
      <w:pPr>
        <w:pStyle w:val="0"/>
        <w:jc w:val="center"/>
      </w:pPr>
      <w:r>
        <w:rPr>
          <w:sz w:val="24"/>
        </w:rPr>
        <w:t xml:space="preserve">Отчетность по форме 0420161</w:t>
      </w:r>
    </w:p>
    <w:p>
      <w:pPr>
        <w:pStyle w:val="0"/>
        <w:jc w:val="center"/>
      </w:pPr>
      <w:r>
        <w:rPr>
          <w:sz w:val="24"/>
        </w:rPr>
        <w:t xml:space="preserve">"Отчет о выданных страховщиком поручительствах, независимых</w:t>
      </w:r>
    </w:p>
    <w:p>
      <w:pPr>
        <w:pStyle w:val="0"/>
        <w:jc w:val="center"/>
      </w:pPr>
      <w:r>
        <w:rPr>
          <w:sz w:val="24"/>
        </w:rPr>
        <w:t xml:space="preserve">гарантиях и других способах обеспечения</w:t>
      </w:r>
    </w:p>
    <w:p>
      <w:pPr>
        <w:pStyle w:val="0"/>
        <w:jc w:val="center"/>
      </w:pPr>
      <w:r>
        <w:rPr>
          <w:sz w:val="24"/>
        </w:rPr>
        <w:t xml:space="preserve">исполнения обязательств"</w:t>
      </w:r>
    </w:p>
    <w:p>
      <w:pPr>
        <w:pStyle w:val="0"/>
        <w:ind w:firstLine="540"/>
        <w:jc w:val="both"/>
      </w:pPr>
      <w:r>
        <w:rPr>
          <w:sz w:val="24"/>
        </w:rPr>
      </w:r>
    </w:p>
    <w:p>
      <w:pPr>
        <w:pStyle w:val="0"/>
        <w:jc w:val="right"/>
      </w:pPr>
      <w:r>
        <w:rPr>
          <w:sz w:val="24"/>
        </w:rPr>
        <w:t xml:space="preserve">Код формы по </w:t>
      </w:r>
      <w:hyperlink w:history="0" r:id="rId604"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093" w:tooltip="&lt;1&gt; Общероссийский классификатор управленческой документации.">
        <w:r>
          <w:rPr>
            <w:sz w:val="24"/>
            <w:color w:val="0000ff"/>
          </w:rPr>
          <w:t xml:space="preserve">&lt;1&gt;</w:t>
        </w:r>
      </w:hyperlink>
      <w:r>
        <w:rPr>
          <w:sz w:val="24"/>
        </w:rPr>
        <w:t xml:space="preserve"> 0420161</w:t>
      </w:r>
    </w:p>
    <w:p>
      <w:pPr>
        <w:pStyle w:val="0"/>
        <w:ind w:firstLine="540"/>
        <w:jc w:val="both"/>
      </w:pPr>
      <w:r>
        <w:rPr>
          <w:sz w:val="24"/>
        </w:rPr>
      </w:r>
    </w:p>
    <w:p>
      <w:pPr>
        <w:pStyle w:val="0"/>
        <w:jc w:val="right"/>
      </w:pPr>
      <w:r>
        <w:rPr>
          <w:sz w:val="24"/>
        </w:rPr>
        <w:t xml:space="preserve">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7023" w:name="P37023"/>
          <w:bookmarkEnd w:id="37023"/>
          <w:p>
            <w:pPr>
              <w:pStyle w:val="0"/>
            </w:pPr>
            <w:r>
              <w:rPr>
                <w:sz w:val="24"/>
              </w:rPr>
              <w:t xml:space="preserve">1</w:t>
            </w:r>
          </w:p>
        </w:tc>
        <w:tc>
          <w:tcPr>
            <w:tcW w:w="2608" w:type="dxa"/>
          </w:tcPr>
          <w:p>
            <w:pPr>
              <w:pStyle w:val="0"/>
            </w:pPr>
            <w:r>
              <w:rPr>
                <w:sz w:val="24"/>
              </w:rPr>
              <w:t xml:space="preserve">Код сделки</w:t>
            </w:r>
          </w:p>
        </w:tc>
        <w:tc>
          <w:tcPr>
            <w:tcW w:w="2608" w:type="dxa"/>
          </w:tcPr>
          <w:p>
            <w:pPr>
              <w:pStyle w:val="0"/>
            </w:pPr>
            <w:r>
              <w:rPr>
                <w:sz w:val="24"/>
              </w:rPr>
            </w:r>
          </w:p>
        </w:tc>
        <w:tc>
          <w:tcPr>
            <w:tcW w:w="2948" w:type="dxa"/>
          </w:tcPr>
          <w:p>
            <w:pPr>
              <w:pStyle w:val="0"/>
            </w:pPr>
            <w:r>
              <w:rPr>
                <w:sz w:val="24"/>
              </w:rPr>
              <w:t xml:space="preserve">ins-dic:Ks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dim-int:ID_Dogovora_Taxis</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Идентификатор кредитора (бенефициара, залогодержателя)</w:t>
            </w:r>
          </w:p>
        </w:tc>
        <w:tc>
          <w:tcPr>
            <w:tcW w:w="2948" w:type="dxa"/>
          </w:tcPr>
          <w:p>
            <w:pPr>
              <w:pStyle w:val="0"/>
            </w:pPr>
            <w:r>
              <w:rPr>
                <w:sz w:val="24"/>
              </w:rPr>
              <w:t xml:space="preserve">dim-int:IDKredBenZalDerzhTaxis</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Идентификатор должника (принципала)</w:t>
            </w:r>
          </w:p>
        </w:tc>
        <w:tc>
          <w:tcPr>
            <w:tcW w:w="2948" w:type="dxa"/>
          </w:tcPr>
          <w:p>
            <w:pPr>
              <w:pStyle w:val="0"/>
            </w:pPr>
            <w:r>
              <w:rPr>
                <w:sz w:val="24"/>
              </w:rPr>
              <w:t xml:space="preserve">dim-int:IDDolzhnPrinczipTaxis</w:t>
            </w:r>
          </w:p>
        </w:tc>
      </w:tr>
      <w:tr>
        <w:tc>
          <w:tcPr>
            <w:tcW w:w="907" w:type="dxa"/>
          </w:tcPr>
          <w:bookmarkStart w:id="37039" w:name="P37039"/>
          <w:bookmarkEnd w:id="37039"/>
          <w:p>
            <w:pPr>
              <w:pStyle w:val="0"/>
            </w:pPr>
            <w:r>
              <w:rPr>
                <w:sz w:val="24"/>
              </w:rPr>
              <w:t xml:space="preserve">2</w:t>
            </w:r>
          </w:p>
        </w:tc>
        <w:tc>
          <w:tcPr>
            <w:tcW w:w="2608" w:type="dxa"/>
          </w:tcPr>
          <w:p>
            <w:pPr>
              <w:pStyle w:val="0"/>
            </w:pPr>
            <w:r>
              <w:rPr>
                <w:sz w:val="24"/>
              </w:rPr>
              <w:t xml:space="preserve">Дата заключения договора (соглашения)</w:t>
            </w:r>
          </w:p>
        </w:tc>
        <w:tc>
          <w:tcPr>
            <w:tcW w:w="2608" w:type="dxa"/>
          </w:tcPr>
          <w:p>
            <w:pPr>
              <w:pStyle w:val="0"/>
            </w:pPr>
            <w:r>
              <w:rPr>
                <w:sz w:val="24"/>
              </w:rPr>
            </w:r>
          </w:p>
        </w:tc>
        <w:tc>
          <w:tcPr>
            <w:tcW w:w="2948" w:type="dxa"/>
          </w:tcPr>
          <w:p>
            <w:pPr>
              <w:pStyle w:val="0"/>
            </w:pPr>
            <w:r>
              <w:rPr>
                <w:sz w:val="24"/>
              </w:rPr>
              <w:t xml:space="preserve">ins-dic:Data_Zakl_Dog_Sogl</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dim-int:ID_Dogovora_Taxis</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Идентификатор кредитора (бенефициара, залогодержателя)</w:t>
            </w:r>
          </w:p>
        </w:tc>
        <w:tc>
          <w:tcPr>
            <w:tcW w:w="2948" w:type="dxa"/>
          </w:tcPr>
          <w:p>
            <w:pPr>
              <w:pStyle w:val="0"/>
            </w:pPr>
            <w:r>
              <w:rPr>
                <w:sz w:val="24"/>
              </w:rPr>
              <w:t xml:space="preserve">dim-int:IDKredBenZalDerzhTaxis</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Идентификатор должника (принципала)</w:t>
            </w:r>
          </w:p>
        </w:tc>
        <w:tc>
          <w:tcPr>
            <w:tcW w:w="2948" w:type="dxa"/>
          </w:tcPr>
          <w:p>
            <w:pPr>
              <w:pStyle w:val="0"/>
            </w:pPr>
            <w:r>
              <w:rPr>
                <w:sz w:val="24"/>
              </w:rPr>
              <w:t xml:space="preserve">dim-int:IDDolzhnPrinczipTaxis</w:t>
            </w:r>
          </w:p>
        </w:tc>
      </w:tr>
      <w:tr>
        <w:tc>
          <w:tcPr>
            <w:tcW w:w="907" w:type="dxa"/>
          </w:tcPr>
          <w:bookmarkStart w:id="37055" w:name="P37055"/>
          <w:bookmarkEnd w:id="37055"/>
          <w:p>
            <w:pPr>
              <w:pStyle w:val="0"/>
            </w:pPr>
            <w:r>
              <w:rPr>
                <w:sz w:val="24"/>
              </w:rPr>
              <w:t xml:space="preserve">3</w:t>
            </w:r>
          </w:p>
        </w:tc>
        <w:tc>
          <w:tcPr>
            <w:tcW w:w="2608" w:type="dxa"/>
          </w:tcPr>
          <w:p>
            <w:pPr>
              <w:pStyle w:val="0"/>
            </w:pPr>
            <w:r>
              <w:rPr>
                <w:sz w:val="24"/>
              </w:rPr>
              <w:t xml:space="preserve">Номер договора (соглашения)</w:t>
            </w:r>
          </w:p>
        </w:tc>
        <w:tc>
          <w:tcPr>
            <w:tcW w:w="2608" w:type="dxa"/>
          </w:tcPr>
          <w:p>
            <w:pPr>
              <w:pStyle w:val="0"/>
            </w:pPr>
            <w:r>
              <w:rPr>
                <w:sz w:val="24"/>
              </w:rPr>
            </w:r>
          </w:p>
        </w:tc>
        <w:tc>
          <w:tcPr>
            <w:tcW w:w="2948" w:type="dxa"/>
          </w:tcPr>
          <w:p>
            <w:pPr>
              <w:pStyle w:val="0"/>
            </w:pPr>
            <w:r>
              <w:rPr>
                <w:sz w:val="24"/>
              </w:rPr>
              <w:t xml:space="preserve">ins-dic:Nomer_Dog_Sogl</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dim-int:ID_Dogovora_Taxis</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Идентификатор кредитора (бенефициара, залогодержателя)</w:t>
            </w:r>
          </w:p>
        </w:tc>
        <w:tc>
          <w:tcPr>
            <w:tcW w:w="2948" w:type="dxa"/>
          </w:tcPr>
          <w:p>
            <w:pPr>
              <w:pStyle w:val="0"/>
            </w:pPr>
            <w:r>
              <w:rPr>
                <w:sz w:val="24"/>
              </w:rPr>
              <w:t xml:space="preserve">dim-int:IDKredBenZalDerzhTaxis</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Идентификатор должника (принципала)</w:t>
            </w:r>
          </w:p>
        </w:tc>
        <w:tc>
          <w:tcPr>
            <w:tcW w:w="2948" w:type="dxa"/>
          </w:tcPr>
          <w:p>
            <w:pPr>
              <w:pStyle w:val="0"/>
            </w:pPr>
            <w:r>
              <w:rPr>
                <w:sz w:val="24"/>
              </w:rPr>
              <w:t xml:space="preserve">dim-int:IDDolzhnPrinczipTaxis</w:t>
            </w:r>
          </w:p>
        </w:tc>
      </w:tr>
      <w:tr>
        <w:tc>
          <w:tcPr>
            <w:tcW w:w="907" w:type="dxa"/>
          </w:tcPr>
          <w:bookmarkStart w:id="37071" w:name="P37071"/>
          <w:bookmarkEnd w:id="37071"/>
          <w:p>
            <w:pPr>
              <w:pStyle w:val="0"/>
            </w:pPr>
            <w:r>
              <w:rPr>
                <w:sz w:val="24"/>
              </w:rPr>
              <w:t xml:space="preserve">4</w:t>
            </w:r>
          </w:p>
        </w:tc>
        <w:tc>
          <w:tcPr>
            <w:tcW w:w="2608" w:type="dxa"/>
          </w:tcPr>
          <w:p>
            <w:pPr>
              <w:pStyle w:val="0"/>
            </w:pPr>
            <w:r>
              <w:rPr>
                <w:sz w:val="24"/>
              </w:rPr>
              <w:t xml:space="preserve">Срок, на который выдано обеспечение</w:t>
            </w:r>
          </w:p>
        </w:tc>
        <w:tc>
          <w:tcPr>
            <w:tcW w:w="2608" w:type="dxa"/>
          </w:tcPr>
          <w:p>
            <w:pPr>
              <w:pStyle w:val="0"/>
            </w:pPr>
            <w:r>
              <w:rPr>
                <w:sz w:val="24"/>
              </w:rPr>
            </w:r>
          </w:p>
        </w:tc>
        <w:tc>
          <w:tcPr>
            <w:tcW w:w="2948" w:type="dxa"/>
          </w:tcPr>
          <w:p>
            <w:pPr>
              <w:pStyle w:val="0"/>
            </w:pPr>
            <w:r>
              <w:rPr>
                <w:sz w:val="24"/>
              </w:rPr>
              <w:t xml:space="preserve">ins-dic:Srok_Obesp</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Идентификатор договора</w:t>
            </w:r>
          </w:p>
        </w:tc>
        <w:tc>
          <w:tcPr>
            <w:tcW w:w="2948" w:type="dxa"/>
          </w:tcPr>
          <w:p>
            <w:pPr>
              <w:pStyle w:val="0"/>
            </w:pPr>
            <w:r>
              <w:rPr>
                <w:sz w:val="24"/>
              </w:rPr>
              <w:t xml:space="preserve">dim-int:ID_Dogovora_Taxis</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Идентификатор кредитора (бенефициара, залогодержателя)</w:t>
            </w:r>
          </w:p>
        </w:tc>
        <w:tc>
          <w:tcPr>
            <w:tcW w:w="2948" w:type="dxa"/>
          </w:tcPr>
          <w:p>
            <w:pPr>
              <w:pStyle w:val="0"/>
            </w:pPr>
            <w:r>
              <w:rPr>
                <w:sz w:val="24"/>
              </w:rPr>
              <w:t xml:space="preserve">dim-int:IDKredBenZalDerzhTaxis</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Идентификатор должника (принципала)</w:t>
            </w:r>
          </w:p>
        </w:tc>
        <w:tc>
          <w:tcPr>
            <w:tcW w:w="2948" w:type="dxa"/>
          </w:tcPr>
          <w:p>
            <w:pPr>
              <w:pStyle w:val="0"/>
            </w:pPr>
            <w:r>
              <w:rPr>
                <w:sz w:val="24"/>
              </w:rPr>
              <w:t xml:space="preserve">dim-int:IDDolzhnPrinczipTaxis</w:t>
            </w:r>
          </w:p>
        </w:tc>
      </w:tr>
      <w:tr>
        <w:tc>
          <w:tcPr>
            <w:tcW w:w="907" w:type="dxa"/>
          </w:tcPr>
          <w:bookmarkStart w:id="37087" w:name="P37087"/>
          <w:bookmarkEnd w:id="37087"/>
          <w:p>
            <w:pPr>
              <w:pStyle w:val="0"/>
            </w:pPr>
            <w:r>
              <w:rPr>
                <w:sz w:val="24"/>
              </w:rPr>
              <w:t xml:space="preserve">5</w:t>
            </w:r>
          </w:p>
        </w:tc>
        <w:tc>
          <w:tcPr>
            <w:tcW w:w="2608" w:type="dxa"/>
          </w:tcPr>
          <w:p>
            <w:pPr>
              <w:pStyle w:val="0"/>
            </w:pPr>
            <w:r>
              <w:rPr>
                <w:sz w:val="24"/>
              </w:rPr>
              <w:t xml:space="preserve">Код валюты обеспечения</w:t>
            </w:r>
          </w:p>
        </w:tc>
        <w:tc>
          <w:tcPr>
            <w:tcW w:w="2608" w:type="dxa"/>
          </w:tcPr>
          <w:p>
            <w:pPr>
              <w:pStyle w:val="0"/>
            </w:pPr>
            <w:r>
              <w:rPr>
                <w:sz w:val="24"/>
              </w:rPr>
            </w:r>
          </w:p>
        </w:tc>
        <w:tc>
          <w:tcPr>
            <w:tcW w:w="2948" w:type="dxa"/>
          </w:tcPr>
          <w:p>
            <w:pPr>
              <w:pStyle w:val="0"/>
            </w:pPr>
            <w:r>
              <w:rPr>
                <w:sz w:val="24"/>
              </w:rPr>
              <w:t xml:space="preserve">ins-dic:Kod_Valyuty_Obesp_Enumerator</w:t>
            </w:r>
          </w:p>
        </w:tc>
      </w:tr>
    </w:tbl>
    <w:p>
      <w:pPr>
        <w:pStyle w:val="0"/>
        <w:ind w:firstLine="540"/>
        <w:jc w:val="both"/>
      </w:pPr>
      <w:r>
        <w:rPr>
          <w:sz w:val="24"/>
        </w:rPr>
      </w:r>
    </w:p>
    <w:p>
      <w:pPr>
        <w:pStyle w:val="0"/>
        <w:ind w:firstLine="540"/>
        <w:jc w:val="both"/>
      </w:pPr>
      <w:r>
        <w:rPr>
          <w:sz w:val="24"/>
        </w:rPr>
        <w:t xml:space="preserve">--------------------------------</w:t>
      </w:r>
    </w:p>
    <w:bookmarkStart w:id="37093" w:name="P37093"/>
    <w:bookmarkEnd w:id="37093"/>
    <w:p>
      <w:pPr>
        <w:pStyle w:val="0"/>
        <w:spacing w:before="240" w:lineRule="auto"/>
        <w:ind w:firstLine="540"/>
        <w:jc w:val="both"/>
      </w:pPr>
      <w:r>
        <w:rPr>
          <w:sz w:val="24"/>
        </w:rPr>
        <w:t xml:space="preserve">&lt;1&gt; Общероссийский </w:t>
      </w:r>
      <w:hyperlink w:history="0" r:id="rId60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721"/>
        <w:gridCol w:w="2041"/>
        <w:gridCol w:w="3402"/>
      </w:tblGrid>
      <w:tr>
        <w:tc>
          <w:tcPr>
            <w:tcW w:w="907" w:type="dxa"/>
          </w:tcPr>
          <w:p>
            <w:pPr>
              <w:pStyle w:val="0"/>
              <w:jc w:val="center"/>
            </w:pPr>
            <w:r>
              <w:rPr>
                <w:sz w:val="24"/>
              </w:rPr>
              <w:t xml:space="preserve">1</w:t>
            </w:r>
          </w:p>
        </w:tc>
        <w:tc>
          <w:tcPr>
            <w:tcW w:w="2721" w:type="dxa"/>
          </w:tcPr>
          <w:p>
            <w:pPr>
              <w:pStyle w:val="0"/>
              <w:jc w:val="center"/>
            </w:pPr>
            <w:r>
              <w:rPr>
                <w:sz w:val="24"/>
              </w:rPr>
              <w:t xml:space="preserve">2</w:t>
            </w:r>
          </w:p>
        </w:tc>
        <w:tc>
          <w:tcPr>
            <w:tcW w:w="2041" w:type="dxa"/>
          </w:tcPr>
          <w:p>
            <w:pPr>
              <w:pStyle w:val="0"/>
              <w:jc w:val="center"/>
            </w:pPr>
            <w:r>
              <w:rPr>
                <w:sz w:val="24"/>
              </w:rPr>
              <w:t xml:space="preserve">3</w:t>
            </w:r>
          </w:p>
        </w:tc>
        <w:tc>
          <w:tcPr>
            <w:tcW w:w="3402" w:type="dxa"/>
          </w:tcPr>
          <w:p>
            <w:pPr>
              <w:pStyle w:val="0"/>
              <w:jc w:val="center"/>
            </w:pPr>
            <w:r>
              <w:rPr>
                <w:sz w:val="24"/>
              </w:rPr>
              <w:t xml:space="preserve">4</w:t>
            </w:r>
          </w:p>
        </w:tc>
      </w:tr>
      <w:tr>
        <w:tc>
          <w:tcPr>
            <w:tcW w:w="907" w:type="dxa"/>
          </w:tcPr>
          <w:p>
            <w:pPr>
              <w:pStyle w:val="0"/>
            </w:pPr>
            <w:r>
              <w:rPr>
                <w:sz w:val="24"/>
              </w:rPr>
              <w:t xml:space="preserve">5.1</w:t>
            </w:r>
          </w:p>
        </w:tc>
        <w:tc>
          <w:tcPr>
            <w:tcW w:w="2721" w:type="dxa"/>
          </w:tcPr>
          <w:p>
            <w:pPr>
              <w:pStyle w:val="0"/>
            </w:pPr>
            <w:r>
              <w:rPr>
                <w:sz w:val="24"/>
              </w:rPr>
            </w:r>
          </w:p>
        </w:tc>
        <w:tc>
          <w:tcPr>
            <w:tcW w:w="2041" w:type="dxa"/>
          </w:tcPr>
          <w:p>
            <w:pPr>
              <w:pStyle w:val="0"/>
            </w:pPr>
            <w:r>
              <w:rPr>
                <w:sz w:val="24"/>
              </w:rPr>
              <w:t xml:space="preserve">Идентификатор договора</w:t>
            </w:r>
          </w:p>
        </w:tc>
        <w:tc>
          <w:tcPr>
            <w:tcW w:w="3402" w:type="dxa"/>
          </w:tcPr>
          <w:p>
            <w:pPr>
              <w:pStyle w:val="0"/>
            </w:pPr>
            <w:r>
              <w:rPr>
                <w:sz w:val="24"/>
              </w:rPr>
              <w:t xml:space="preserve">dim-int:ID_Dogovora_Taxis</w:t>
            </w:r>
          </w:p>
        </w:tc>
      </w:tr>
      <w:tr>
        <w:tc>
          <w:tcPr>
            <w:tcW w:w="907" w:type="dxa"/>
          </w:tcPr>
          <w:p>
            <w:pPr>
              <w:pStyle w:val="0"/>
            </w:pPr>
            <w:r>
              <w:rPr>
                <w:sz w:val="24"/>
              </w:rPr>
              <w:t xml:space="preserve">5.2</w:t>
            </w:r>
          </w:p>
        </w:tc>
        <w:tc>
          <w:tcPr>
            <w:tcW w:w="2721" w:type="dxa"/>
          </w:tcPr>
          <w:p>
            <w:pPr>
              <w:pStyle w:val="0"/>
            </w:pPr>
            <w:r>
              <w:rPr>
                <w:sz w:val="24"/>
              </w:rPr>
            </w:r>
          </w:p>
        </w:tc>
        <w:tc>
          <w:tcPr>
            <w:tcW w:w="2041" w:type="dxa"/>
          </w:tcPr>
          <w:p>
            <w:pPr>
              <w:pStyle w:val="0"/>
            </w:pPr>
            <w:r>
              <w:rPr>
                <w:sz w:val="24"/>
              </w:rPr>
              <w:t xml:space="preserve">Идентификатор кредитора (бенефициара, залогодержателя)</w:t>
            </w:r>
          </w:p>
        </w:tc>
        <w:tc>
          <w:tcPr>
            <w:tcW w:w="3402" w:type="dxa"/>
          </w:tcPr>
          <w:p>
            <w:pPr>
              <w:pStyle w:val="0"/>
            </w:pPr>
            <w:r>
              <w:rPr>
                <w:sz w:val="24"/>
              </w:rPr>
              <w:t xml:space="preserve">dim-int:IDKredBenZalDerzhTaxis</w:t>
            </w:r>
          </w:p>
        </w:tc>
      </w:tr>
      <w:tr>
        <w:tc>
          <w:tcPr>
            <w:tcW w:w="907" w:type="dxa"/>
          </w:tcPr>
          <w:p>
            <w:pPr>
              <w:pStyle w:val="0"/>
            </w:pPr>
            <w:r>
              <w:rPr>
                <w:sz w:val="24"/>
              </w:rPr>
              <w:t xml:space="preserve">5.3</w:t>
            </w:r>
          </w:p>
        </w:tc>
        <w:tc>
          <w:tcPr>
            <w:tcW w:w="2721" w:type="dxa"/>
          </w:tcPr>
          <w:p>
            <w:pPr>
              <w:pStyle w:val="0"/>
            </w:pPr>
            <w:r>
              <w:rPr>
                <w:sz w:val="24"/>
              </w:rPr>
            </w:r>
          </w:p>
        </w:tc>
        <w:tc>
          <w:tcPr>
            <w:tcW w:w="2041" w:type="dxa"/>
          </w:tcPr>
          <w:p>
            <w:pPr>
              <w:pStyle w:val="0"/>
            </w:pPr>
            <w:r>
              <w:rPr>
                <w:sz w:val="24"/>
              </w:rPr>
              <w:t xml:space="preserve">Идентификатор должника (принципала)</w:t>
            </w:r>
          </w:p>
        </w:tc>
        <w:tc>
          <w:tcPr>
            <w:tcW w:w="3402" w:type="dxa"/>
          </w:tcPr>
          <w:p>
            <w:pPr>
              <w:pStyle w:val="0"/>
            </w:pPr>
            <w:r>
              <w:rPr>
                <w:sz w:val="24"/>
              </w:rPr>
              <w:t xml:space="preserve">dim-int:IDDolzhnPrinczipTaxis</w:t>
            </w:r>
          </w:p>
        </w:tc>
      </w:tr>
      <w:tr>
        <w:tc>
          <w:tcPr>
            <w:tcW w:w="907" w:type="dxa"/>
          </w:tcPr>
          <w:bookmarkStart w:id="37111" w:name="P37111"/>
          <w:bookmarkEnd w:id="37111"/>
          <w:p>
            <w:pPr>
              <w:pStyle w:val="0"/>
            </w:pPr>
            <w:r>
              <w:rPr>
                <w:sz w:val="24"/>
              </w:rPr>
              <w:t xml:space="preserve">6</w:t>
            </w:r>
          </w:p>
        </w:tc>
        <w:tc>
          <w:tcPr>
            <w:tcW w:w="2721" w:type="dxa"/>
          </w:tcPr>
          <w:p>
            <w:pPr>
              <w:pStyle w:val="0"/>
            </w:pPr>
            <w:r>
              <w:rPr>
                <w:sz w:val="24"/>
              </w:rPr>
              <w:t xml:space="preserve">Сумма обеспечения по договору (соглашению), в единицах валюты</w:t>
            </w:r>
          </w:p>
        </w:tc>
        <w:tc>
          <w:tcPr>
            <w:tcW w:w="2041" w:type="dxa"/>
          </w:tcPr>
          <w:p>
            <w:pPr>
              <w:pStyle w:val="0"/>
            </w:pPr>
            <w:r>
              <w:rPr>
                <w:sz w:val="24"/>
              </w:rPr>
            </w:r>
          </w:p>
        </w:tc>
        <w:tc>
          <w:tcPr>
            <w:tcW w:w="3402" w:type="dxa"/>
          </w:tcPr>
          <w:p>
            <w:pPr>
              <w:pStyle w:val="0"/>
            </w:pPr>
            <w:r>
              <w:rPr>
                <w:sz w:val="24"/>
              </w:rPr>
              <w:t xml:space="preserve">ins-dic:Summa_Obespech_Dogovor</w:t>
            </w:r>
          </w:p>
        </w:tc>
      </w:tr>
      <w:tr>
        <w:tc>
          <w:tcPr>
            <w:tcW w:w="907" w:type="dxa"/>
          </w:tcPr>
          <w:p>
            <w:pPr>
              <w:pStyle w:val="0"/>
            </w:pPr>
            <w:r>
              <w:rPr>
                <w:sz w:val="24"/>
              </w:rPr>
              <w:t xml:space="preserve">6.1</w:t>
            </w:r>
          </w:p>
        </w:tc>
        <w:tc>
          <w:tcPr>
            <w:tcW w:w="2721" w:type="dxa"/>
          </w:tcPr>
          <w:p>
            <w:pPr>
              <w:pStyle w:val="0"/>
            </w:pPr>
            <w:r>
              <w:rPr>
                <w:sz w:val="24"/>
              </w:rPr>
            </w:r>
          </w:p>
        </w:tc>
        <w:tc>
          <w:tcPr>
            <w:tcW w:w="2041" w:type="dxa"/>
          </w:tcPr>
          <w:p>
            <w:pPr>
              <w:pStyle w:val="0"/>
            </w:pPr>
            <w:r>
              <w:rPr>
                <w:sz w:val="24"/>
              </w:rPr>
              <w:t xml:space="preserve">Идентификатор договора</w:t>
            </w:r>
          </w:p>
        </w:tc>
        <w:tc>
          <w:tcPr>
            <w:tcW w:w="3402" w:type="dxa"/>
          </w:tcPr>
          <w:p>
            <w:pPr>
              <w:pStyle w:val="0"/>
            </w:pPr>
            <w:r>
              <w:rPr>
                <w:sz w:val="24"/>
              </w:rPr>
              <w:t xml:space="preserve">dim-int:ID_Dogovora_Taxis</w:t>
            </w:r>
          </w:p>
        </w:tc>
      </w:tr>
      <w:tr>
        <w:tc>
          <w:tcPr>
            <w:tcW w:w="907" w:type="dxa"/>
          </w:tcPr>
          <w:p>
            <w:pPr>
              <w:pStyle w:val="0"/>
            </w:pPr>
            <w:r>
              <w:rPr>
                <w:sz w:val="24"/>
              </w:rPr>
              <w:t xml:space="preserve">6.2</w:t>
            </w:r>
          </w:p>
        </w:tc>
        <w:tc>
          <w:tcPr>
            <w:tcW w:w="2721" w:type="dxa"/>
          </w:tcPr>
          <w:p>
            <w:pPr>
              <w:pStyle w:val="0"/>
            </w:pPr>
            <w:r>
              <w:rPr>
                <w:sz w:val="24"/>
              </w:rPr>
            </w:r>
          </w:p>
        </w:tc>
        <w:tc>
          <w:tcPr>
            <w:tcW w:w="2041" w:type="dxa"/>
          </w:tcPr>
          <w:p>
            <w:pPr>
              <w:pStyle w:val="0"/>
            </w:pPr>
            <w:r>
              <w:rPr>
                <w:sz w:val="24"/>
              </w:rPr>
              <w:t xml:space="preserve">Идентификатор кредитора (бенефициара, залогодержателя)</w:t>
            </w:r>
          </w:p>
        </w:tc>
        <w:tc>
          <w:tcPr>
            <w:tcW w:w="3402" w:type="dxa"/>
          </w:tcPr>
          <w:p>
            <w:pPr>
              <w:pStyle w:val="0"/>
            </w:pPr>
            <w:r>
              <w:rPr>
                <w:sz w:val="24"/>
              </w:rPr>
              <w:t xml:space="preserve">dim-int:IDKredBenZalDerzhTaxis</w:t>
            </w:r>
          </w:p>
        </w:tc>
      </w:tr>
      <w:tr>
        <w:tc>
          <w:tcPr>
            <w:tcW w:w="907" w:type="dxa"/>
          </w:tcPr>
          <w:p>
            <w:pPr>
              <w:pStyle w:val="0"/>
            </w:pPr>
            <w:r>
              <w:rPr>
                <w:sz w:val="24"/>
              </w:rPr>
              <w:t xml:space="preserve">6.3</w:t>
            </w:r>
          </w:p>
        </w:tc>
        <w:tc>
          <w:tcPr>
            <w:tcW w:w="2721" w:type="dxa"/>
          </w:tcPr>
          <w:p>
            <w:pPr>
              <w:pStyle w:val="0"/>
            </w:pPr>
            <w:r>
              <w:rPr>
                <w:sz w:val="24"/>
              </w:rPr>
            </w:r>
          </w:p>
        </w:tc>
        <w:tc>
          <w:tcPr>
            <w:tcW w:w="2041" w:type="dxa"/>
          </w:tcPr>
          <w:p>
            <w:pPr>
              <w:pStyle w:val="0"/>
            </w:pPr>
            <w:r>
              <w:rPr>
                <w:sz w:val="24"/>
              </w:rPr>
              <w:t xml:space="preserve">Идентификатор должника (принципала)</w:t>
            </w:r>
          </w:p>
        </w:tc>
        <w:tc>
          <w:tcPr>
            <w:tcW w:w="3402" w:type="dxa"/>
          </w:tcPr>
          <w:p>
            <w:pPr>
              <w:pStyle w:val="0"/>
            </w:pPr>
            <w:r>
              <w:rPr>
                <w:sz w:val="24"/>
              </w:rPr>
              <w:t xml:space="preserve">dim-int:IDDolzhnPrinczipTaxis</w:t>
            </w:r>
          </w:p>
        </w:tc>
      </w:tr>
      <w:tr>
        <w:tc>
          <w:tcPr>
            <w:tcW w:w="907" w:type="dxa"/>
          </w:tcPr>
          <w:bookmarkStart w:id="37127" w:name="P37127"/>
          <w:bookmarkEnd w:id="37127"/>
          <w:p>
            <w:pPr>
              <w:pStyle w:val="0"/>
            </w:pPr>
            <w:r>
              <w:rPr>
                <w:sz w:val="24"/>
              </w:rPr>
              <w:t xml:space="preserve">7</w:t>
            </w:r>
          </w:p>
        </w:tc>
        <w:tc>
          <w:tcPr>
            <w:tcW w:w="2721" w:type="dxa"/>
          </w:tcPr>
          <w:p>
            <w:pPr>
              <w:pStyle w:val="0"/>
            </w:pPr>
            <w:r>
              <w:rPr>
                <w:sz w:val="24"/>
              </w:rPr>
              <w:t xml:space="preserve">Код валюты вознаграждения страховщика</w:t>
            </w:r>
          </w:p>
        </w:tc>
        <w:tc>
          <w:tcPr>
            <w:tcW w:w="2041" w:type="dxa"/>
          </w:tcPr>
          <w:p>
            <w:pPr>
              <w:pStyle w:val="0"/>
            </w:pPr>
            <w:r>
              <w:rPr>
                <w:sz w:val="24"/>
              </w:rPr>
            </w:r>
          </w:p>
        </w:tc>
        <w:tc>
          <w:tcPr>
            <w:tcW w:w="3402" w:type="dxa"/>
          </w:tcPr>
          <w:p>
            <w:pPr>
              <w:pStyle w:val="0"/>
            </w:pPr>
            <w:r>
              <w:rPr>
                <w:sz w:val="24"/>
              </w:rPr>
              <w:t xml:space="preserve">ins-dic:Kod_Valyuty_Voznagr_Enumerator</w:t>
            </w:r>
          </w:p>
        </w:tc>
      </w:tr>
      <w:tr>
        <w:tc>
          <w:tcPr>
            <w:tcW w:w="907" w:type="dxa"/>
          </w:tcPr>
          <w:p>
            <w:pPr>
              <w:pStyle w:val="0"/>
            </w:pPr>
            <w:r>
              <w:rPr>
                <w:sz w:val="24"/>
              </w:rPr>
              <w:t xml:space="preserve">7.1</w:t>
            </w:r>
          </w:p>
        </w:tc>
        <w:tc>
          <w:tcPr>
            <w:tcW w:w="2721" w:type="dxa"/>
          </w:tcPr>
          <w:p>
            <w:pPr>
              <w:pStyle w:val="0"/>
            </w:pPr>
            <w:r>
              <w:rPr>
                <w:sz w:val="24"/>
              </w:rPr>
            </w:r>
          </w:p>
        </w:tc>
        <w:tc>
          <w:tcPr>
            <w:tcW w:w="2041" w:type="dxa"/>
          </w:tcPr>
          <w:p>
            <w:pPr>
              <w:pStyle w:val="0"/>
            </w:pPr>
            <w:r>
              <w:rPr>
                <w:sz w:val="24"/>
              </w:rPr>
              <w:t xml:space="preserve">Идентификатор договора</w:t>
            </w:r>
          </w:p>
        </w:tc>
        <w:tc>
          <w:tcPr>
            <w:tcW w:w="3402" w:type="dxa"/>
          </w:tcPr>
          <w:p>
            <w:pPr>
              <w:pStyle w:val="0"/>
            </w:pPr>
            <w:r>
              <w:rPr>
                <w:sz w:val="24"/>
              </w:rPr>
              <w:t xml:space="preserve">dim-int:ID_Dogovora_Taxis</w:t>
            </w:r>
          </w:p>
        </w:tc>
      </w:tr>
      <w:tr>
        <w:tc>
          <w:tcPr>
            <w:tcW w:w="907" w:type="dxa"/>
          </w:tcPr>
          <w:p>
            <w:pPr>
              <w:pStyle w:val="0"/>
            </w:pPr>
            <w:r>
              <w:rPr>
                <w:sz w:val="24"/>
              </w:rPr>
              <w:t xml:space="preserve">7.2</w:t>
            </w:r>
          </w:p>
        </w:tc>
        <w:tc>
          <w:tcPr>
            <w:tcW w:w="2721" w:type="dxa"/>
          </w:tcPr>
          <w:p>
            <w:pPr>
              <w:pStyle w:val="0"/>
            </w:pPr>
            <w:r>
              <w:rPr>
                <w:sz w:val="24"/>
              </w:rPr>
            </w:r>
          </w:p>
        </w:tc>
        <w:tc>
          <w:tcPr>
            <w:tcW w:w="2041" w:type="dxa"/>
          </w:tcPr>
          <w:p>
            <w:pPr>
              <w:pStyle w:val="0"/>
            </w:pPr>
            <w:r>
              <w:rPr>
                <w:sz w:val="24"/>
              </w:rPr>
              <w:t xml:space="preserve">Идентификатор кредитора (бенефициара, залогодержателя)</w:t>
            </w:r>
          </w:p>
        </w:tc>
        <w:tc>
          <w:tcPr>
            <w:tcW w:w="3402" w:type="dxa"/>
          </w:tcPr>
          <w:p>
            <w:pPr>
              <w:pStyle w:val="0"/>
            </w:pPr>
            <w:r>
              <w:rPr>
                <w:sz w:val="24"/>
              </w:rPr>
              <w:t xml:space="preserve">dim-int:IDKredBenZalDerzhTaxis</w:t>
            </w:r>
          </w:p>
        </w:tc>
      </w:tr>
      <w:tr>
        <w:tc>
          <w:tcPr>
            <w:tcW w:w="907" w:type="dxa"/>
          </w:tcPr>
          <w:p>
            <w:pPr>
              <w:pStyle w:val="0"/>
            </w:pPr>
            <w:r>
              <w:rPr>
                <w:sz w:val="24"/>
              </w:rPr>
              <w:t xml:space="preserve">7.3</w:t>
            </w:r>
          </w:p>
        </w:tc>
        <w:tc>
          <w:tcPr>
            <w:tcW w:w="2721" w:type="dxa"/>
          </w:tcPr>
          <w:p>
            <w:pPr>
              <w:pStyle w:val="0"/>
            </w:pPr>
            <w:r>
              <w:rPr>
                <w:sz w:val="24"/>
              </w:rPr>
            </w:r>
          </w:p>
        </w:tc>
        <w:tc>
          <w:tcPr>
            <w:tcW w:w="2041" w:type="dxa"/>
          </w:tcPr>
          <w:p>
            <w:pPr>
              <w:pStyle w:val="0"/>
            </w:pPr>
            <w:r>
              <w:rPr>
                <w:sz w:val="24"/>
              </w:rPr>
              <w:t xml:space="preserve">Идентификатор должника (принципала)</w:t>
            </w:r>
          </w:p>
        </w:tc>
        <w:tc>
          <w:tcPr>
            <w:tcW w:w="3402" w:type="dxa"/>
          </w:tcPr>
          <w:p>
            <w:pPr>
              <w:pStyle w:val="0"/>
            </w:pPr>
            <w:r>
              <w:rPr>
                <w:sz w:val="24"/>
              </w:rPr>
              <w:t xml:space="preserve">dim-int:IDDolzhnPrinczipTaxis</w:t>
            </w:r>
          </w:p>
        </w:tc>
      </w:tr>
      <w:tr>
        <w:tc>
          <w:tcPr>
            <w:tcW w:w="907" w:type="dxa"/>
          </w:tcPr>
          <w:bookmarkStart w:id="37143" w:name="P37143"/>
          <w:bookmarkEnd w:id="37143"/>
          <w:p>
            <w:pPr>
              <w:pStyle w:val="0"/>
            </w:pPr>
            <w:r>
              <w:rPr>
                <w:sz w:val="24"/>
              </w:rPr>
              <w:t xml:space="preserve">8</w:t>
            </w:r>
          </w:p>
        </w:tc>
        <w:tc>
          <w:tcPr>
            <w:tcW w:w="2721" w:type="dxa"/>
          </w:tcPr>
          <w:p>
            <w:pPr>
              <w:pStyle w:val="0"/>
            </w:pPr>
            <w:r>
              <w:rPr>
                <w:sz w:val="24"/>
              </w:rPr>
              <w:t xml:space="preserve">Вознаграждение страховщика по договору (соглашению), в единицах валюты</w:t>
            </w:r>
          </w:p>
        </w:tc>
        <w:tc>
          <w:tcPr>
            <w:tcW w:w="2041" w:type="dxa"/>
          </w:tcPr>
          <w:p>
            <w:pPr>
              <w:pStyle w:val="0"/>
            </w:pPr>
            <w:r>
              <w:rPr>
                <w:sz w:val="24"/>
              </w:rPr>
            </w:r>
          </w:p>
        </w:tc>
        <w:tc>
          <w:tcPr>
            <w:tcW w:w="3402" w:type="dxa"/>
          </w:tcPr>
          <w:p>
            <w:pPr>
              <w:pStyle w:val="0"/>
            </w:pPr>
            <w:r>
              <w:rPr>
                <w:sz w:val="24"/>
              </w:rPr>
              <w:t xml:space="preserve">ins-dic:Voznagrazhdenie_So_Po_Dog_Obespech</w:t>
            </w:r>
          </w:p>
        </w:tc>
      </w:tr>
      <w:tr>
        <w:tc>
          <w:tcPr>
            <w:tcW w:w="907" w:type="dxa"/>
          </w:tcPr>
          <w:p>
            <w:pPr>
              <w:pStyle w:val="0"/>
            </w:pPr>
            <w:r>
              <w:rPr>
                <w:sz w:val="24"/>
              </w:rPr>
              <w:t xml:space="preserve">8.1</w:t>
            </w:r>
          </w:p>
        </w:tc>
        <w:tc>
          <w:tcPr>
            <w:tcW w:w="2721" w:type="dxa"/>
          </w:tcPr>
          <w:p>
            <w:pPr>
              <w:pStyle w:val="0"/>
            </w:pPr>
            <w:r>
              <w:rPr>
                <w:sz w:val="24"/>
              </w:rPr>
            </w:r>
          </w:p>
        </w:tc>
        <w:tc>
          <w:tcPr>
            <w:tcW w:w="2041" w:type="dxa"/>
          </w:tcPr>
          <w:p>
            <w:pPr>
              <w:pStyle w:val="0"/>
            </w:pPr>
            <w:r>
              <w:rPr>
                <w:sz w:val="24"/>
              </w:rPr>
              <w:t xml:space="preserve">Идентификатор договора</w:t>
            </w:r>
          </w:p>
        </w:tc>
        <w:tc>
          <w:tcPr>
            <w:tcW w:w="3402" w:type="dxa"/>
          </w:tcPr>
          <w:p>
            <w:pPr>
              <w:pStyle w:val="0"/>
            </w:pPr>
            <w:r>
              <w:rPr>
                <w:sz w:val="24"/>
              </w:rPr>
              <w:t xml:space="preserve">dim-int:ID_Dogovora_Taxis</w:t>
            </w:r>
          </w:p>
        </w:tc>
      </w:tr>
      <w:tr>
        <w:tc>
          <w:tcPr>
            <w:tcW w:w="907" w:type="dxa"/>
          </w:tcPr>
          <w:p>
            <w:pPr>
              <w:pStyle w:val="0"/>
            </w:pPr>
            <w:r>
              <w:rPr>
                <w:sz w:val="24"/>
              </w:rPr>
              <w:t xml:space="preserve">8.2</w:t>
            </w:r>
          </w:p>
        </w:tc>
        <w:tc>
          <w:tcPr>
            <w:tcW w:w="2721" w:type="dxa"/>
          </w:tcPr>
          <w:p>
            <w:pPr>
              <w:pStyle w:val="0"/>
            </w:pPr>
            <w:r>
              <w:rPr>
                <w:sz w:val="24"/>
              </w:rPr>
            </w:r>
          </w:p>
        </w:tc>
        <w:tc>
          <w:tcPr>
            <w:tcW w:w="2041" w:type="dxa"/>
          </w:tcPr>
          <w:p>
            <w:pPr>
              <w:pStyle w:val="0"/>
            </w:pPr>
            <w:r>
              <w:rPr>
                <w:sz w:val="24"/>
              </w:rPr>
              <w:t xml:space="preserve">Идентификатор кредитора (бенефициара, залогодержателя)</w:t>
            </w:r>
          </w:p>
        </w:tc>
        <w:tc>
          <w:tcPr>
            <w:tcW w:w="3402" w:type="dxa"/>
          </w:tcPr>
          <w:p>
            <w:pPr>
              <w:pStyle w:val="0"/>
            </w:pPr>
            <w:r>
              <w:rPr>
                <w:sz w:val="24"/>
              </w:rPr>
              <w:t xml:space="preserve">dim-int:IDKredBenZalDerzhTaxis</w:t>
            </w:r>
          </w:p>
        </w:tc>
      </w:tr>
      <w:tr>
        <w:tc>
          <w:tcPr>
            <w:tcW w:w="907" w:type="dxa"/>
          </w:tcPr>
          <w:p>
            <w:pPr>
              <w:pStyle w:val="0"/>
            </w:pPr>
            <w:r>
              <w:rPr>
                <w:sz w:val="24"/>
              </w:rPr>
              <w:t xml:space="preserve">8.3</w:t>
            </w:r>
          </w:p>
        </w:tc>
        <w:tc>
          <w:tcPr>
            <w:tcW w:w="2721" w:type="dxa"/>
          </w:tcPr>
          <w:p>
            <w:pPr>
              <w:pStyle w:val="0"/>
            </w:pPr>
            <w:r>
              <w:rPr>
                <w:sz w:val="24"/>
              </w:rPr>
            </w:r>
          </w:p>
        </w:tc>
        <w:tc>
          <w:tcPr>
            <w:tcW w:w="2041" w:type="dxa"/>
          </w:tcPr>
          <w:p>
            <w:pPr>
              <w:pStyle w:val="0"/>
            </w:pPr>
            <w:r>
              <w:rPr>
                <w:sz w:val="24"/>
              </w:rPr>
              <w:t xml:space="preserve">Идентификатор должника (принципала)</w:t>
            </w:r>
          </w:p>
        </w:tc>
        <w:tc>
          <w:tcPr>
            <w:tcW w:w="3402" w:type="dxa"/>
          </w:tcPr>
          <w:p>
            <w:pPr>
              <w:pStyle w:val="0"/>
            </w:pPr>
            <w:r>
              <w:rPr>
                <w:sz w:val="24"/>
              </w:rPr>
              <w:t xml:space="preserve">dim-int:IDDolzhnPrinczipTaxis</w:t>
            </w:r>
          </w:p>
        </w:tc>
      </w:tr>
      <w:tr>
        <w:tc>
          <w:tcPr>
            <w:tcW w:w="907" w:type="dxa"/>
          </w:tcPr>
          <w:bookmarkStart w:id="37159" w:name="P37159"/>
          <w:bookmarkEnd w:id="37159"/>
          <w:p>
            <w:pPr>
              <w:pStyle w:val="0"/>
            </w:pPr>
            <w:r>
              <w:rPr>
                <w:sz w:val="24"/>
              </w:rPr>
              <w:t xml:space="preserve">9</w:t>
            </w:r>
          </w:p>
        </w:tc>
        <w:tc>
          <w:tcPr>
            <w:tcW w:w="2721" w:type="dxa"/>
          </w:tcPr>
          <w:p>
            <w:pPr>
              <w:pStyle w:val="0"/>
            </w:pPr>
            <w:r>
              <w:rPr>
                <w:sz w:val="24"/>
              </w:rPr>
              <w:t xml:space="preserve">Сумма выданного обеспечения на конец отчетного периода</w:t>
            </w:r>
          </w:p>
        </w:tc>
        <w:tc>
          <w:tcPr>
            <w:tcW w:w="2041" w:type="dxa"/>
          </w:tcPr>
          <w:p>
            <w:pPr>
              <w:pStyle w:val="0"/>
            </w:pPr>
            <w:r>
              <w:rPr>
                <w:sz w:val="24"/>
              </w:rPr>
            </w:r>
          </w:p>
        </w:tc>
        <w:tc>
          <w:tcPr>
            <w:tcW w:w="3402" w:type="dxa"/>
          </w:tcPr>
          <w:p>
            <w:pPr>
              <w:pStyle w:val="0"/>
            </w:pPr>
            <w:r>
              <w:rPr>
                <w:sz w:val="24"/>
              </w:rPr>
              <w:t xml:space="preserve">ins-dic:Summa_Obespech_Vydan_Vsego</w:t>
            </w:r>
          </w:p>
        </w:tc>
      </w:tr>
      <w:tr>
        <w:tc>
          <w:tcPr>
            <w:tcW w:w="907" w:type="dxa"/>
          </w:tcPr>
          <w:p>
            <w:pPr>
              <w:pStyle w:val="0"/>
            </w:pPr>
            <w:r>
              <w:rPr>
                <w:sz w:val="24"/>
              </w:rPr>
              <w:t xml:space="preserve">9.1</w:t>
            </w:r>
          </w:p>
        </w:tc>
        <w:tc>
          <w:tcPr>
            <w:tcW w:w="2721" w:type="dxa"/>
          </w:tcPr>
          <w:p>
            <w:pPr>
              <w:pStyle w:val="0"/>
            </w:pPr>
            <w:r>
              <w:rPr>
                <w:sz w:val="24"/>
              </w:rPr>
            </w:r>
          </w:p>
        </w:tc>
        <w:tc>
          <w:tcPr>
            <w:tcW w:w="2041" w:type="dxa"/>
          </w:tcPr>
          <w:p>
            <w:pPr>
              <w:pStyle w:val="0"/>
            </w:pPr>
            <w:r>
              <w:rPr>
                <w:sz w:val="24"/>
              </w:rPr>
              <w:t xml:space="preserve">Идентификатор договора</w:t>
            </w:r>
          </w:p>
        </w:tc>
        <w:tc>
          <w:tcPr>
            <w:tcW w:w="3402" w:type="dxa"/>
          </w:tcPr>
          <w:p>
            <w:pPr>
              <w:pStyle w:val="0"/>
            </w:pPr>
            <w:r>
              <w:rPr>
                <w:sz w:val="24"/>
              </w:rPr>
              <w:t xml:space="preserve">dim-int:ID_Dogovora_Taxis</w:t>
            </w:r>
          </w:p>
        </w:tc>
      </w:tr>
      <w:tr>
        <w:tc>
          <w:tcPr>
            <w:tcW w:w="907" w:type="dxa"/>
          </w:tcPr>
          <w:p>
            <w:pPr>
              <w:pStyle w:val="0"/>
            </w:pPr>
            <w:r>
              <w:rPr>
                <w:sz w:val="24"/>
              </w:rPr>
              <w:t xml:space="preserve">9.2</w:t>
            </w:r>
          </w:p>
        </w:tc>
        <w:tc>
          <w:tcPr>
            <w:tcW w:w="2721" w:type="dxa"/>
          </w:tcPr>
          <w:p>
            <w:pPr>
              <w:pStyle w:val="0"/>
            </w:pPr>
            <w:r>
              <w:rPr>
                <w:sz w:val="24"/>
              </w:rPr>
            </w:r>
          </w:p>
        </w:tc>
        <w:tc>
          <w:tcPr>
            <w:tcW w:w="2041" w:type="dxa"/>
          </w:tcPr>
          <w:p>
            <w:pPr>
              <w:pStyle w:val="0"/>
            </w:pPr>
            <w:r>
              <w:rPr>
                <w:sz w:val="24"/>
              </w:rPr>
              <w:t xml:space="preserve">Идентификатор кредитора (бенефициара, залогодержателя)</w:t>
            </w:r>
          </w:p>
        </w:tc>
        <w:tc>
          <w:tcPr>
            <w:tcW w:w="3402" w:type="dxa"/>
          </w:tcPr>
          <w:p>
            <w:pPr>
              <w:pStyle w:val="0"/>
            </w:pPr>
            <w:r>
              <w:rPr>
                <w:sz w:val="24"/>
              </w:rPr>
              <w:t xml:space="preserve">dim-int:IDKredBenZalDerzhTaxis</w:t>
            </w:r>
          </w:p>
        </w:tc>
      </w:tr>
      <w:tr>
        <w:tc>
          <w:tcPr>
            <w:tcW w:w="907" w:type="dxa"/>
          </w:tcPr>
          <w:p>
            <w:pPr>
              <w:pStyle w:val="0"/>
            </w:pPr>
            <w:r>
              <w:rPr>
                <w:sz w:val="24"/>
              </w:rPr>
              <w:t xml:space="preserve">9.3</w:t>
            </w:r>
          </w:p>
        </w:tc>
        <w:tc>
          <w:tcPr>
            <w:tcW w:w="2721" w:type="dxa"/>
          </w:tcPr>
          <w:p>
            <w:pPr>
              <w:pStyle w:val="0"/>
            </w:pPr>
            <w:r>
              <w:rPr>
                <w:sz w:val="24"/>
              </w:rPr>
            </w:r>
          </w:p>
        </w:tc>
        <w:tc>
          <w:tcPr>
            <w:tcW w:w="2041" w:type="dxa"/>
          </w:tcPr>
          <w:p>
            <w:pPr>
              <w:pStyle w:val="0"/>
            </w:pPr>
            <w:r>
              <w:rPr>
                <w:sz w:val="24"/>
              </w:rPr>
              <w:t xml:space="preserve">Идентификатор должника (принципала)</w:t>
            </w:r>
          </w:p>
        </w:tc>
        <w:tc>
          <w:tcPr>
            <w:tcW w:w="3402" w:type="dxa"/>
          </w:tcPr>
          <w:p>
            <w:pPr>
              <w:pStyle w:val="0"/>
            </w:pPr>
            <w:r>
              <w:rPr>
                <w:sz w:val="24"/>
              </w:rPr>
              <w:t xml:space="preserve">dim-int:IDDolzhnPrinczipTaxis</w:t>
            </w:r>
          </w:p>
        </w:tc>
      </w:tr>
      <w:tr>
        <w:tc>
          <w:tcPr>
            <w:tcW w:w="907" w:type="dxa"/>
          </w:tcPr>
          <w:bookmarkStart w:id="37175" w:name="P37175"/>
          <w:bookmarkEnd w:id="37175"/>
          <w:p>
            <w:pPr>
              <w:pStyle w:val="0"/>
            </w:pPr>
            <w:r>
              <w:rPr>
                <w:sz w:val="24"/>
              </w:rPr>
              <w:t xml:space="preserve">10</w:t>
            </w:r>
          </w:p>
        </w:tc>
        <w:tc>
          <w:tcPr>
            <w:tcW w:w="2721" w:type="dxa"/>
          </w:tcPr>
          <w:p>
            <w:pPr>
              <w:pStyle w:val="0"/>
            </w:pPr>
            <w:r>
              <w:rPr>
                <w:sz w:val="24"/>
              </w:rPr>
              <w:t xml:space="preserve">Примечание</w:t>
            </w:r>
          </w:p>
        </w:tc>
        <w:tc>
          <w:tcPr>
            <w:tcW w:w="2041" w:type="dxa"/>
          </w:tcPr>
          <w:p>
            <w:pPr>
              <w:pStyle w:val="0"/>
            </w:pPr>
            <w:r>
              <w:rPr>
                <w:sz w:val="24"/>
              </w:rPr>
            </w:r>
          </w:p>
        </w:tc>
        <w:tc>
          <w:tcPr>
            <w:tcW w:w="3402" w:type="dxa"/>
          </w:tcPr>
          <w:p>
            <w:pPr>
              <w:pStyle w:val="0"/>
            </w:pPr>
            <w:r>
              <w:rPr>
                <w:sz w:val="24"/>
              </w:rPr>
              <w:t xml:space="preserve">ins-dic:Primechanie</w:t>
            </w:r>
          </w:p>
        </w:tc>
      </w:tr>
      <w:tr>
        <w:tc>
          <w:tcPr>
            <w:tcW w:w="907" w:type="dxa"/>
          </w:tcPr>
          <w:p>
            <w:pPr>
              <w:pStyle w:val="0"/>
            </w:pPr>
            <w:r>
              <w:rPr>
                <w:sz w:val="24"/>
              </w:rPr>
              <w:t xml:space="preserve">10.1</w:t>
            </w:r>
          </w:p>
        </w:tc>
        <w:tc>
          <w:tcPr>
            <w:tcW w:w="2721" w:type="dxa"/>
          </w:tcPr>
          <w:p>
            <w:pPr>
              <w:pStyle w:val="0"/>
            </w:pPr>
            <w:r>
              <w:rPr>
                <w:sz w:val="24"/>
              </w:rPr>
            </w:r>
          </w:p>
        </w:tc>
        <w:tc>
          <w:tcPr>
            <w:tcW w:w="2041" w:type="dxa"/>
          </w:tcPr>
          <w:p>
            <w:pPr>
              <w:pStyle w:val="0"/>
            </w:pPr>
            <w:r>
              <w:rPr>
                <w:sz w:val="24"/>
              </w:rPr>
              <w:t xml:space="preserve">Идентификатор договора</w:t>
            </w:r>
          </w:p>
        </w:tc>
        <w:tc>
          <w:tcPr>
            <w:tcW w:w="3402" w:type="dxa"/>
          </w:tcPr>
          <w:p>
            <w:pPr>
              <w:pStyle w:val="0"/>
            </w:pPr>
            <w:r>
              <w:rPr>
                <w:sz w:val="24"/>
              </w:rPr>
              <w:t xml:space="preserve">dim-int:ID_Dogovora_Taxis</w:t>
            </w:r>
          </w:p>
        </w:tc>
      </w:tr>
      <w:tr>
        <w:tc>
          <w:tcPr>
            <w:tcW w:w="907" w:type="dxa"/>
          </w:tcPr>
          <w:p>
            <w:pPr>
              <w:pStyle w:val="0"/>
            </w:pPr>
            <w:r>
              <w:rPr>
                <w:sz w:val="24"/>
              </w:rPr>
              <w:t xml:space="preserve">10.2</w:t>
            </w:r>
          </w:p>
        </w:tc>
        <w:tc>
          <w:tcPr>
            <w:tcW w:w="2721" w:type="dxa"/>
          </w:tcPr>
          <w:p>
            <w:pPr>
              <w:pStyle w:val="0"/>
            </w:pPr>
            <w:r>
              <w:rPr>
                <w:sz w:val="24"/>
              </w:rPr>
            </w:r>
          </w:p>
        </w:tc>
        <w:tc>
          <w:tcPr>
            <w:tcW w:w="2041" w:type="dxa"/>
          </w:tcPr>
          <w:p>
            <w:pPr>
              <w:pStyle w:val="0"/>
            </w:pPr>
            <w:r>
              <w:rPr>
                <w:sz w:val="24"/>
              </w:rPr>
              <w:t xml:space="preserve">Идентификатор кредитора (бенефициара, залогодержателя)</w:t>
            </w:r>
          </w:p>
        </w:tc>
        <w:tc>
          <w:tcPr>
            <w:tcW w:w="3402" w:type="dxa"/>
          </w:tcPr>
          <w:p>
            <w:pPr>
              <w:pStyle w:val="0"/>
            </w:pPr>
            <w:r>
              <w:rPr>
                <w:sz w:val="24"/>
              </w:rPr>
              <w:t xml:space="preserve">dim-int:IDKredBenZalDerzhTaxis</w:t>
            </w:r>
          </w:p>
        </w:tc>
      </w:tr>
      <w:tr>
        <w:tc>
          <w:tcPr>
            <w:tcW w:w="907" w:type="dxa"/>
          </w:tcPr>
          <w:p>
            <w:pPr>
              <w:pStyle w:val="0"/>
            </w:pPr>
            <w:r>
              <w:rPr>
                <w:sz w:val="24"/>
              </w:rPr>
              <w:t xml:space="preserve">10.3</w:t>
            </w:r>
          </w:p>
        </w:tc>
        <w:tc>
          <w:tcPr>
            <w:tcW w:w="2721" w:type="dxa"/>
          </w:tcPr>
          <w:p>
            <w:pPr>
              <w:pStyle w:val="0"/>
            </w:pPr>
            <w:r>
              <w:rPr>
                <w:sz w:val="24"/>
              </w:rPr>
            </w:r>
          </w:p>
        </w:tc>
        <w:tc>
          <w:tcPr>
            <w:tcW w:w="2041" w:type="dxa"/>
          </w:tcPr>
          <w:p>
            <w:pPr>
              <w:pStyle w:val="0"/>
            </w:pPr>
            <w:r>
              <w:rPr>
                <w:sz w:val="24"/>
              </w:rPr>
              <w:t xml:space="preserve">Идентификатор должника (принципала)</w:t>
            </w:r>
          </w:p>
        </w:tc>
        <w:tc>
          <w:tcPr>
            <w:tcW w:w="3402" w:type="dxa"/>
          </w:tcPr>
          <w:p>
            <w:pPr>
              <w:pStyle w:val="0"/>
            </w:pPr>
            <w:r>
              <w:rPr>
                <w:sz w:val="24"/>
              </w:rPr>
              <w:t xml:space="preserve">dim-int:IDDolzhnPrinczipTaxis</w:t>
            </w:r>
          </w:p>
        </w:tc>
      </w:tr>
    </w:tbl>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0420161 "Отчет о выданных</w:t>
      </w:r>
    </w:p>
    <w:p>
      <w:pPr>
        <w:pStyle w:val="0"/>
        <w:jc w:val="center"/>
      </w:pPr>
      <w:r>
        <w:rPr>
          <w:sz w:val="24"/>
        </w:rPr>
        <w:t xml:space="preserve">страховщиком поручительствах, независимых гарантиях и других</w:t>
      </w:r>
    </w:p>
    <w:p>
      <w:pPr>
        <w:pStyle w:val="0"/>
        <w:jc w:val="center"/>
      </w:pPr>
      <w:r>
        <w:rPr>
          <w:sz w:val="24"/>
        </w:rPr>
        <w:t xml:space="preserve">способах обеспечения исполнения обязательств"</w:t>
      </w:r>
    </w:p>
    <w:p>
      <w:pPr>
        <w:pStyle w:val="0"/>
        <w:ind w:firstLine="540"/>
        <w:jc w:val="both"/>
      </w:pPr>
      <w:r>
        <w:rPr>
          <w:sz w:val="24"/>
        </w:rPr>
      </w:r>
    </w:p>
    <w:p>
      <w:pPr>
        <w:pStyle w:val="0"/>
        <w:ind w:firstLine="540"/>
        <w:jc w:val="both"/>
      </w:pPr>
      <w:r>
        <w:rPr>
          <w:sz w:val="24"/>
        </w:rPr>
        <w:t xml:space="preserve">1. Отчетность по </w:t>
      </w:r>
      <w:hyperlink w:history="0" w:anchor="P37006" w:tooltip="Отчетность по форме 0420161">
        <w:r>
          <w:rPr>
            <w:sz w:val="24"/>
            <w:color w:val="0000ff"/>
          </w:rPr>
          <w:t xml:space="preserve">форме 0420161</w:t>
        </w:r>
      </w:hyperlink>
      <w:r>
        <w:rPr>
          <w:sz w:val="24"/>
        </w:rPr>
        <w:t xml:space="preserve"> "Отчет о выданных страховщиком поручительствах, независимых гарантиях и других способах обеспечения исполнения обязательств" (далее - отчетность по форме 0420161) составляется страховщиком (за исключением иностранной страховой организации) посредством формирования предусмотренных в ней показателей за I, II, III и IV кварталы (далее - отчетный период) по состоянию на последний календарный день отчетного периода включительно (далее - отчетная дата)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303" w:tooltip="9. Код валюты и основная валюта указываются в соответствии с Общероссийским классификатором валют - трехзначный цифровой код и трехбуквенный код (с использованием разделителя &quot;-&quot; (тире).">
        <w:r>
          <w:rPr>
            <w:sz w:val="24"/>
            <w:color w:val="0000ff"/>
          </w:rPr>
          <w:t xml:space="preserve">9</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2. По показателям отчетности по </w:t>
      </w:r>
      <w:hyperlink w:history="0" w:anchor="P37006" w:tooltip="Отчетность по форме 0420161">
        <w:r>
          <w:rPr>
            <w:sz w:val="24"/>
            <w:color w:val="0000ff"/>
          </w:rPr>
          <w:t xml:space="preserve">форме 0420161</w:t>
        </w:r>
      </w:hyperlink>
      <w:r>
        <w:rPr>
          <w:sz w:val="24"/>
        </w:rPr>
        <w:t xml:space="preserve"> отражаются сведения о выданных страховщиком поручительствах, независимых гарантиях и других способах обеспечения исполнения обязательств, предусмотренных законом или договором (соглашением) (кроме неустойки, удержания вещи должника, задатка), действующих на отчетную дату.</w:t>
      </w:r>
    </w:p>
    <w:p>
      <w:pPr>
        <w:pStyle w:val="0"/>
        <w:spacing w:before="240" w:lineRule="auto"/>
        <w:ind w:firstLine="540"/>
        <w:jc w:val="both"/>
      </w:pPr>
      <w:r>
        <w:rPr>
          <w:sz w:val="24"/>
        </w:rPr>
        <w:t xml:space="preserve">Значения показателей отчетности по </w:t>
      </w:r>
      <w:hyperlink w:history="0" w:anchor="P37006" w:tooltip="Отчетность по форме 0420161">
        <w:r>
          <w:rPr>
            <w:sz w:val="24"/>
            <w:color w:val="0000ff"/>
          </w:rPr>
          <w:t xml:space="preserve">форме 0420161</w:t>
        </w:r>
      </w:hyperlink>
      <w:r>
        <w:rPr>
          <w:sz w:val="24"/>
        </w:rPr>
        <w:t xml:space="preserve"> указываются в разрезе договоров (соглашений), в том числе договоров поручительства, договоров независимых гарантий, договоров залога (по группе аналитических признаков "Идентификатор договора"), с отражением сторон по договору (соглашению) (по группам аналитических признаков "Идентификатор кредитора (бенефициара, залогодержателя)" и "Идентификатор должника (принципала)").</w:t>
      </w:r>
    </w:p>
    <w:p>
      <w:pPr>
        <w:pStyle w:val="0"/>
        <w:spacing w:before="240" w:lineRule="auto"/>
        <w:ind w:firstLine="540"/>
        <w:jc w:val="both"/>
      </w:pPr>
      <w:r>
        <w:rPr>
          <w:sz w:val="24"/>
        </w:rPr>
        <w:t xml:space="preserve">Значение идентификатора кредитора (бенефициара, залогодержателя), указанное по группе аналитических признаков "Идентификатор кредитора (бенефициара, залогодержателя)", и значение идентификатора должника, указанное по группе аналитических признаков "Идентификатор должника (принципала)", должны соответствовать значениям, указанным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по этому кредитору (бенефициару, залогодержателю), должнику.</w:t>
      </w:r>
    </w:p>
    <w:p>
      <w:pPr>
        <w:pStyle w:val="0"/>
        <w:spacing w:before="240" w:lineRule="auto"/>
        <w:ind w:firstLine="540"/>
        <w:jc w:val="both"/>
      </w:pPr>
      <w:r>
        <w:rPr>
          <w:sz w:val="24"/>
        </w:rPr>
        <w:t xml:space="preserve">В отношении поручительств и независимых гарантий данные, указанные по группе аналитических признаков "Идентификатор договора", должны соответствовать данным, указанным по группе аналитических признаков "Идентификатор обязательства" </w:t>
      </w:r>
      <w:hyperlink w:history="0" w:anchor="P16800" w:tooltip="312">
        <w:r>
          <w:rPr>
            <w:sz w:val="24"/>
            <w:color w:val="0000ff"/>
          </w:rPr>
          <w:t xml:space="preserve">подраздела 3.12 раздела 3</w:t>
        </w:r>
      </w:hyperlink>
      <w:r>
        <w:rPr>
          <w:sz w:val="24"/>
        </w:rPr>
        <w:t xml:space="preserve"> отчетности по форме 0420154 "Отчет об активах и обязательствах страховщика".</w:t>
      </w:r>
    </w:p>
    <w:p>
      <w:pPr>
        <w:pStyle w:val="0"/>
        <w:spacing w:before="240" w:lineRule="auto"/>
        <w:ind w:firstLine="540"/>
        <w:jc w:val="both"/>
      </w:pPr>
      <w:r>
        <w:rPr>
          <w:sz w:val="24"/>
        </w:rPr>
        <w:t xml:space="preserve">3. По показателю "Код сделки" </w:t>
      </w:r>
      <w:hyperlink w:history="0" w:anchor="P37023" w:tooltip="1">
        <w:r>
          <w:rPr>
            <w:sz w:val="24"/>
            <w:color w:val="0000ff"/>
          </w:rPr>
          <w:t xml:space="preserve">(строка 1)</w:t>
        </w:r>
      </w:hyperlink>
      <w:r>
        <w:rPr>
          <w:sz w:val="24"/>
        </w:rPr>
        <w:t xml:space="preserve"> для каждого договора (соглашения) указывается код, состоящий из двух разрядов (X1 - X2), характеризующий выданные страховщиком поручительства, независимые гарантии и другие способы обеспечения исполнения обязательств, предусмотренные законом или договором (соглашением).</w:t>
      </w:r>
    </w:p>
    <w:p>
      <w:pPr>
        <w:pStyle w:val="0"/>
        <w:spacing w:before="240" w:lineRule="auto"/>
        <w:ind w:firstLine="540"/>
        <w:jc w:val="both"/>
      </w:pPr>
      <w:r>
        <w:rPr>
          <w:sz w:val="24"/>
        </w:rPr>
        <w:t xml:space="preserve">3.1. В первом разряде (X1) указывается способ обеспечения исполнения обязательств:</w:t>
      </w:r>
    </w:p>
    <w:bookmarkStart w:id="37204" w:name="P37204"/>
    <w:bookmarkEnd w:id="37204"/>
    <w:p>
      <w:pPr>
        <w:pStyle w:val="0"/>
        <w:spacing w:before="240" w:lineRule="auto"/>
        <w:ind w:firstLine="540"/>
        <w:jc w:val="both"/>
      </w:pPr>
      <w:r>
        <w:rPr>
          <w:sz w:val="24"/>
        </w:rPr>
        <w:t xml:space="preserve">1 - поручительство;</w:t>
      </w:r>
    </w:p>
    <w:p>
      <w:pPr>
        <w:pStyle w:val="0"/>
        <w:spacing w:before="240" w:lineRule="auto"/>
        <w:ind w:firstLine="540"/>
        <w:jc w:val="both"/>
      </w:pPr>
      <w:r>
        <w:rPr>
          <w:sz w:val="24"/>
        </w:rPr>
        <w:t xml:space="preserve">2 - независимая гарантия;</w:t>
      </w:r>
    </w:p>
    <w:p>
      <w:pPr>
        <w:pStyle w:val="0"/>
        <w:spacing w:before="240" w:lineRule="auto"/>
        <w:ind w:firstLine="540"/>
        <w:jc w:val="both"/>
      </w:pPr>
      <w:r>
        <w:rPr>
          <w:sz w:val="24"/>
        </w:rPr>
        <w:t xml:space="preserve">3 - залог;</w:t>
      </w:r>
    </w:p>
    <w:bookmarkStart w:id="37207" w:name="P37207"/>
    <w:bookmarkEnd w:id="37207"/>
    <w:p>
      <w:pPr>
        <w:pStyle w:val="0"/>
        <w:spacing w:before="240" w:lineRule="auto"/>
        <w:ind w:firstLine="540"/>
        <w:jc w:val="both"/>
      </w:pPr>
      <w:r>
        <w:rPr>
          <w:sz w:val="24"/>
        </w:rPr>
        <w:t xml:space="preserve">4 - обеспечительный платеж;</w:t>
      </w:r>
    </w:p>
    <w:p>
      <w:pPr>
        <w:pStyle w:val="0"/>
        <w:spacing w:before="240" w:lineRule="auto"/>
        <w:ind w:firstLine="540"/>
        <w:jc w:val="both"/>
      </w:pPr>
      <w:r>
        <w:rPr>
          <w:sz w:val="24"/>
        </w:rPr>
        <w:t xml:space="preserve">5 - другой способ обеспечения исполнения обязательств, предусмотренный законом или договором (соглашением), не указанный в </w:t>
      </w:r>
      <w:hyperlink w:history="0" w:anchor="P37204" w:tooltip="1 - поручительство;">
        <w:r>
          <w:rPr>
            <w:sz w:val="24"/>
            <w:color w:val="0000ff"/>
          </w:rPr>
          <w:t xml:space="preserve">абзацах втором</w:t>
        </w:r>
      </w:hyperlink>
      <w:r>
        <w:rPr>
          <w:sz w:val="24"/>
        </w:rPr>
        <w:t xml:space="preserve"> - </w:t>
      </w:r>
      <w:hyperlink w:history="0" w:anchor="P37207" w:tooltip="4 - обеспечительный платеж;">
        <w:r>
          <w:rPr>
            <w:sz w:val="24"/>
            <w:color w:val="0000ff"/>
          </w:rPr>
          <w:t xml:space="preserve">пятом</w:t>
        </w:r>
      </w:hyperlink>
      <w:r>
        <w:rPr>
          <w:sz w:val="24"/>
        </w:rPr>
        <w:t xml:space="preserve"> настоящего подпункта (кроме неустойки, удержания вещи должника, задатка).</w:t>
      </w:r>
    </w:p>
    <w:bookmarkStart w:id="37209" w:name="P37209"/>
    <w:bookmarkEnd w:id="37209"/>
    <w:p>
      <w:pPr>
        <w:pStyle w:val="0"/>
        <w:spacing w:before="240" w:lineRule="auto"/>
        <w:ind w:firstLine="540"/>
        <w:jc w:val="both"/>
      </w:pPr>
      <w:r>
        <w:rPr>
          <w:sz w:val="24"/>
        </w:rPr>
        <w:t xml:space="preserve">В случае если первый разряд (X1) кода принимает значение 5, по показателю "Примечание" </w:t>
      </w:r>
      <w:hyperlink w:history="0" w:anchor="P37175" w:tooltip="10">
        <w:r>
          <w:rPr>
            <w:sz w:val="24"/>
            <w:color w:val="0000ff"/>
          </w:rPr>
          <w:t xml:space="preserve">(строка 10)</w:t>
        </w:r>
      </w:hyperlink>
      <w:r>
        <w:rPr>
          <w:sz w:val="24"/>
        </w:rPr>
        <w:t xml:space="preserve"> указывается способ обеспечения исполнения обязательств.</w:t>
      </w:r>
    </w:p>
    <w:p>
      <w:pPr>
        <w:pStyle w:val="0"/>
        <w:spacing w:before="240" w:lineRule="auto"/>
        <w:ind w:firstLine="540"/>
        <w:jc w:val="both"/>
      </w:pPr>
      <w:r>
        <w:rPr>
          <w:sz w:val="24"/>
        </w:rPr>
        <w:t xml:space="preserve">3.2. Во втором разряде (X2) указывается основание возникновения основного обязательства:</w:t>
      </w:r>
    </w:p>
    <w:p>
      <w:pPr>
        <w:pStyle w:val="0"/>
        <w:spacing w:before="240" w:lineRule="auto"/>
        <w:ind w:firstLine="540"/>
        <w:jc w:val="both"/>
      </w:pPr>
      <w:r>
        <w:rPr>
          <w:sz w:val="24"/>
        </w:rPr>
        <w:t xml:space="preserve">1 - выданное страховщиком обеспечение исполнения обязательств связано с исполнением обязательств по договорам страхования, сострахования, перестрахования;</w:t>
      </w:r>
    </w:p>
    <w:p>
      <w:pPr>
        <w:pStyle w:val="0"/>
        <w:spacing w:before="240" w:lineRule="auto"/>
        <w:ind w:firstLine="540"/>
        <w:jc w:val="both"/>
      </w:pPr>
      <w:r>
        <w:rPr>
          <w:sz w:val="24"/>
        </w:rPr>
        <w:t xml:space="preserve">2 - выданное страховщиком обеспечение исполнения обязательств не связано с исполнением обязательств по договорам страхования, сострахования, перестрахования.</w:t>
      </w:r>
    </w:p>
    <w:p>
      <w:pPr>
        <w:pStyle w:val="0"/>
        <w:spacing w:before="240" w:lineRule="auto"/>
        <w:ind w:firstLine="540"/>
        <w:jc w:val="both"/>
      </w:pPr>
      <w:r>
        <w:rPr>
          <w:sz w:val="24"/>
        </w:rPr>
        <w:t xml:space="preserve">4. По показателю "Дата заключения договора (соглашения)" </w:t>
      </w:r>
      <w:hyperlink w:history="0" w:anchor="P37039" w:tooltip="2">
        <w:r>
          <w:rPr>
            <w:sz w:val="24"/>
            <w:color w:val="0000ff"/>
          </w:rPr>
          <w:t xml:space="preserve">(строка 2)</w:t>
        </w:r>
      </w:hyperlink>
      <w:r>
        <w:rPr>
          <w:sz w:val="24"/>
        </w:rPr>
        <w:t xml:space="preserve"> для каждого договора (соглашения) указывается дата его заключения.</w:t>
      </w:r>
    </w:p>
    <w:p>
      <w:pPr>
        <w:pStyle w:val="0"/>
        <w:spacing w:before="240" w:lineRule="auto"/>
        <w:ind w:firstLine="540"/>
        <w:jc w:val="both"/>
      </w:pPr>
      <w:r>
        <w:rPr>
          <w:sz w:val="24"/>
        </w:rPr>
        <w:t xml:space="preserve">5. По показателю "Номер договора (соглашения)" </w:t>
      </w:r>
      <w:hyperlink w:history="0" w:anchor="P37055" w:tooltip="3">
        <w:r>
          <w:rPr>
            <w:sz w:val="24"/>
            <w:color w:val="0000ff"/>
          </w:rPr>
          <w:t xml:space="preserve">(строка 3)</w:t>
        </w:r>
      </w:hyperlink>
      <w:r>
        <w:rPr>
          <w:sz w:val="24"/>
        </w:rPr>
        <w:t xml:space="preserve"> для каждого договора (соглашения) указывается его номер (при наличии).</w:t>
      </w:r>
    </w:p>
    <w:p>
      <w:pPr>
        <w:pStyle w:val="0"/>
        <w:spacing w:before="240" w:lineRule="auto"/>
        <w:ind w:firstLine="540"/>
        <w:jc w:val="both"/>
      </w:pPr>
      <w:r>
        <w:rPr>
          <w:sz w:val="24"/>
        </w:rPr>
        <w:t xml:space="preserve">6. По показателю "Срок, на который выдано обеспечение" </w:t>
      </w:r>
      <w:hyperlink w:history="0" w:anchor="P37071" w:tooltip="4">
        <w:r>
          <w:rPr>
            <w:sz w:val="24"/>
            <w:color w:val="0000ff"/>
          </w:rPr>
          <w:t xml:space="preserve">(строка 4)</w:t>
        </w:r>
      </w:hyperlink>
      <w:r>
        <w:rPr>
          <w:sz w:val="24"/>
        </w:rPr>
        <w:t xml:space="preserve"> для каждого договора (соглашения) указывается срок, на который страховщиком выдано обеспечение исполнения обязательств, в соответствии с договором (соглашением).</w:t>
      </w:r>
    </w:p>
    <w:p>
      <w:pPr>
        <w:pStyle w:val="0"/>
        <w:spacing w:before="240" w:lineRule="auto"/>
        <w:ind w:firstLine="540"/>
        <w:jc w:val="both"/>
      </w:pPr>
      <w:r>
        <w:rPr>
          <w:sz w:val="24"/>
        </w:rPr>
        <w:t xml:space="preserve">7. По показателю "Код валюты обеспечения" </w:t>
      </w:r>
      <w:hyperlink w:history="0" w:anchor="P37087" w:tooltip="5">
        <w:r>
          <w:rPr>
            <w:sz w:val="24"/>
            <w:color w:val="0000ff"/>
          </w:rPr>
          <w:t xml:space="preserve">(строка 5)</w:t>
        </w:r>
      </w:hyperlink>
      <w:r>
        <w:rPr>
          <w:sz w:val="24"/>
        </w:rPr>
        <w:t xml:space="preserve"> для каждого договора (соглашения) указывается код валюты, в которой страховщиком выдано обеспечение исполнения обязательств, в соответствии с договором (соглашением).</w:t>
      </w:r>
    </w:p>
    <w:p>
      <w:pPr>
        <w:pStyle w:val="0"/>
        <w:spacing w:before="240" w:lineRule="auto"/>
        <w:ind w:firstLine="540"/>
        <w:jc w:val="both"/>
      </w:pPr>
      <w:r>
        <w:rPr>
          <w:sz w:val="24"/>
        </w:rPr>
        <w:t xml:space="preserve">8. По показателю "Сумма обеспечения по договору (соглашению), в единицах валюты" </w:t>
      </w:r>
      <w:hyperlink w:history="0" w:anchor="P37111" w:tooltip="6">
        <w:r>
          <w:rPr>
            <w:sz w:val="24"/>
            <w:color w:val="0000ff"/>
          </w:rPr>
          <w:t xml:space="preserve">(строка 6)</w:t>
        </w:r>
      </w:hyperlink>
      <w:r>
        <w:rPr>
          <w:sz w:val="24"/>
        </w:rPr>
        <w:t xml:space="preserve"> для каждого договора (соглашения) в соответствии с его условиями указывается сумма обеспечения исполнения обязательств в валюте, указанной по показателю "Код валюты обеспечения" </w:t>
      </w:r>
      <w:hyperlink w:history="0" w:anchor="P37087" w:tooltip="5">
        <w:r>
          <w:rPr>
            <w:sz w:val="24"/>
            <w:color w:val="0000ff"/>
          </w:rPr>
          <w:t xml:space="preserve">(строка 5)</w:t>
        </w:r>
      </w:hyperlink>
      <w:r>
        <w:rPr>
          <w:sz w:val="24"/>
        </w:rPr>
        <w:t xml:space="preserve">.</w:t>
      </w:r>
    </w:p>
    <w:p>
      <w:pPr>
        <w:pStyle w:val="0"/>
        <w:spacing w:before="240" w:lineRule="auto"/>
        <w:ind w:firstLine="540"/>
        <w:jc w:val="both"/>
      </w:pPr>
      <w:r>
        <w:rPr>
          <w:sz w:val="24"/>
        </w:rPr>
        <w:t xml:space="preserve">9. По показателю "Код валюты вознаграждения страховщика" </w:t>
      </w:r>
      <w:hyperlink w:history="0" w:anchor="P37127" w:tooltip="7">
        <w:r>
          <w:rPr>
            <w:sz w:val="24"/>
            <w:color w:val="0000ff"/>
          </w:rPr>
          <w:t xml:space="preserve">(строка 7)</w:t>
        </w:r>
      </w:hyperlink>
      <w:r>
        <w:rPr>
          <w:sz w:val="24"/>
        </w:rPr>
        <w:t xml:space="preserve"> для каждого договора (соглашения) указывается код валюты, в которой определяется вознаграждение страховщика, в соответствии с договором (соглашением) (в случае указания значения показателя "Вознаграждение страховщика по договору (соглашению), в единицах валюты" </w:t>
      </w:r>
      <w:hyperlink w:history="0" w:anchor="P37143" w:tooltip="8">
        <w:r>
          <w:rPr>
            <w:sz w:val="24"/>
            <w:color w:val="0000ff"/>
          </w:rPr>
          <w:t xml:space="preserve">(строка 8)</w:t>
        </w:r>
      </w:hyperlink>
      <w:r>
        <w:rPr>
          <w:sz w:val="24"/>
        </w:rPr>
        <w:t xml:space="preserve">.</w:t>
      </w:r>
    </w:p>
    <w:p>
      <w:pPr>
        <w:pStyle w:val="0"/>
        <w:spacing w:before="240" w:lineRule="auto"/>
        <w:ind w:firstLine="540"/>
        <w:jc w:val="both"/>
      </w:pPr>
      <w:r>
        <w:rPr>
          <w:sz w:val="24"/>
        </w:rPr>
        <w:t xml:space="preserve">10. По показателю "Вознаграждение страховщика по договору (соглашению), в единицах валюты" </w:t>
      </w:r>
      <w:hyperlink w:history="0" w:anchor="P37143" w:tooltip="8">
        <w:r>
          <w:rPr>
            <w:sz w:val="24"/>
            <w:color w:val="0000ff"/>
          </w:rPr>
          <w:t xml:space="preserve">(строка 8)</w:t>
        </w:r>
      </w:hyperlink>
      <w:r>
        <w:rPr>
          <w:sz w:val="24"/>
        </w:rPr>
        <w:t xml:space="preserve"> для каждого договора (соглашения) указывается сумма предусмотренного в нем вознаграждения страховщика (при наличии) в валюте, указанной по показателю "Код валюты вознаграждения страховщика" </w:t>
      </w:r>
      <w:hyperlink w:history="0" w:anchor="P37127" w:tooltip="7">
        <w:r>
          <w:rPr>
            <w:sz w:val="24"/>
            <w:color w:val="0000ff"/>
          </w:rPr>
          <w:t xml:space="preserve">(строка 7)</w:t>
        </w:r>
      </w:hyperlink>
      <w:r>
        <w:rPr>
          <w:sz w:val="24"/>
        </w:rPr>
        <w:t xml:space="preserve">.</w:t>
      </w:r>
    </w:p>
    <w:p>
      <w:pPr>
        <w:pStyle w:val="0"/>
        <w:spacing w:before="240" w:lineRule="auto"/>
        <w:ind w:firstLine="540"/>
        <w:jc w:val="both"/>
      </w:pPr>
      <w:r>
        <w:rPr>
          <w:sz w:val="24"/>
        </w:rPr>
        <w:t xml:space="preserve">11. По показателю "Сумма выданного обеспечения на конец отчетного периода" </w:t>
      </w:r>
      <w:hyperlink w:history="0" w:anchor="P37159" w:tooltip="9">
        <w:r>
          <w:rPr>
            <w:sz w:val="24"/>
            <w:color w:val="0000ff"/>
          </w:rPr>
          <w:t xml:space="preserve">(строка 9)</w:t>
        </w:r>
      </w:hyperlink>
      <w:r>
        <w:rPr>
          <w:sz w:val="24"/>
        </w:rPr>
        <w:t xml:space="preserve"> для каждого договора (соглашения) указывается сумма выданного страховщиком обеспечения исполнения обязательств на отчетную дату.</w:t>
      </w:r>
    </w:p>
    <w:p>
      <w:pPr>
        <w:pStyle w:val="0"/>
        <w:spacing w:before="240" w:lineRule="auto"/>
        <w:ind w:firstLine="540"/>
        <w:jc w:val="both"/>
      </w:pPr>
      <w:r>
        <w:rPr>
          <w:sz w:val="24"/>
        </w:rPr>
        <w:t xml:space="preserve">Итоговое значение показателя "Сумма выданного обеспечения на конец отчетного периода" </w:t>
      </w:r>
      <w:hyperlink w:history="0" w:anchor="P37159" w:tooltip="9">
        <w:r>
          <w:rPr>
            <w:sz w:val="24"/>
            <w:color w:val="0000ff"/>
          </w:rPr>
          <w:t xml:space="preserve">(строка 9)</w:t>
        </w:r>
      </w:hyperlink>
      <w:r>
        <w:rPr>
          <w:sz w:val="24"/>
        </w:rPr>
        <w:t xml:space="preserve"> определяется страховщиком путем суммирования данных по всем договорам (соглашениям), отраженных по указанному показателю.</w:t>
      </w:r>
    </w:p>
    <w:p>
      <w:pPr>
        <w:pStyle w:val="0"/>
        <w:spacing w:before="240" w:lineRule="auto"/>
        <w:ind w:firstLine="540"/>
        <w:jc w:val="both"/>
      </w:pPr>
      <w:r>
        <w:rPr>
          <w:sz w:val="24"/>
        </w:rPr>
        <w:t xml:space="preserve">12. По показателю "Примечание" </w:t>
      </w:r>
      <w:hyperlink w:history="0" w:anchor="P37175" w:tooltip="10">
        <w:r>
          <w:rPr>
            <w:sz w:val="24"/>
            <w:color w:val="0000ff"/>
          </w:rPr>
          <w:t xml:space="preserve">(строка 10)</w:t>
        </w:r>
      </w:hyperlink>
      <w:r>
        <w:rPr>
          <w:sz w:val="24"/>
        </w:rPr>
        <w:t xml:space="preserve"> указывается информация, предусмотренная </w:t>
      </w:r>
      <w:hyperlink w:history="0" w:anchor="P37209" w:tooltip="В случае если первый разряд (X1) кода принимает значение 5, по показателю &quot;Примечание&quot; (строка 10) указывается способ обеспечения исполнения обязательств.">
        <w:r>
          <w:rPr>
            <w:sz w:val="24"/>
            <w:color w:val="0000ff"/>
          </w:rPr>
          <w:t xml:space="preserve">абзацем седьмым подпункта 3.1 пункта 3</w:t>
        </w:r>
      </w:hyperlink>
      <w:r>
        <w:rPr>
          <w:sz w:val="24"/>
        </w:rPr>
        <w:t xml:space="preserve"> настоящих Порядка и сроков, а также иная информация (при наличии), являющаяся по решению страховщика существенной.</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7230" w:name="P37230"/>
    <w:bookmarkEnd w:id="37230"/>
    <w:p>
      <w:pPr>
        <w:pStyle w:val="0"/>
        <w:jc w:val="center"/>
      </w:pPr>
      <w:r>
        <w:rPr>
          <w:sz w:val="24"/>
        </w:rPr>
        <w:t xml:space="preserve">Отчетность по форме 0420163</w:t>
      </w:r>
    </w:p>
    <w:p>
      <w:pPr>
        <w:pStyle w:val="0"/>
        <w:jc w:val="center"/>
      </w:pPr>
      <w:r>
        <w:rPr>
          <w:sz w:val="24"/>
        </w:rPr>
        <w:t xml:space="preserve">"Отчет об операциях со связанными сторонами страховщика"</w:t>
      </w:r>
    </w:p>
    <w:p>
      <w:pPr>
        <w:pStyle w:val="0"/>
        <w:ind w:firstLine="540"/>
        <w:jc w:val="both"/>
      </w:pPr>
      <w:r>
        <w:rPr>
          <w:sz w:val="24"/>
        </w:rPr>
      </w:r>
    </w:p>
    <w:p>
      <w:pPr>
        <w:pStyle w:val="0"/>
        <w:jc w:val="right"/>
      </w:pPr>
      <w:r>
        <w:rPr>
          <w:sz w:val="24"/>
        </w:rPr>
        <w:t xml:space="preserve">Код формы по </w:t>
      </w:r>
      <w:hyperlink w:history="0" r:id="rId60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293" w:tooltip="&lt;1&gt; Общероссийский классификатор управленческой документации.">
        <w:r>
          <w:rPr>
            <w:sz w:val="24"/>
            <w:color w:val="0000ff"/>
          </w:rPr>
          <w:t xml:space="preserve">&lt;1&gt;</w:t>
        </w:r>
      </w:hyperlink>
      <w:r>
        <w:rPr>
          <w:sz w:val="24"/>
        </w:rPr>
        <w:t xml:space="preserve"> 0420163</w:t>
      </w:r>
    </w:p>
    <w:p>
      <w:pPr>
        <w:pStyle w:val="0"/>
        <w:ind w:firstLine="540"/>
        <w:jc w:val="both"/>
      </w:pPr>
      <w:r>
        <w:rPr>
          <w:sz w:val="24"/>
        </w:rPr>
      </w:r>
    </w:p>
    <w:p>
      <w:pPr>
        <w:pStyle w:val="0"/>
        <w:jc w:val="right"/>
      </w:pPr>
      <w:r>
        <w:rPr>
          <w:sz w:val="24"/>
        </w:rPr>
        <w:t xml:space="preserve">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gridSpan w:val="4"/>
            <w:tcW w:w="9071" w:type="dxa"/>
          </w:tcPr>
          <w:p>
            <w:pPr>
              <w:pStyle w:val="0"/>
              <w:outlineLvl w:val="3"/>
            </w:pPr>
            <w:r>
              <w:rPr>
                <w:sz w:val="24"/>
              </w:rPr>
              <w:t xml:space="preserve">Раздел 1. Перечень связанных сторон</w:t>
            </w:r>
          </w:p>
        </w:tc>
      </w:tr>
      <w:tr>
        <w:tc>
          <w:tcPr>
            <w:tcW w:w="907" w:type="dxa"/>
          </w:tcPr>
          <w:bookmarkStart w:id="37246" w:name="P37246"/>
          <w:bookmarkEnd w:id="37246"/>
          <w:p>
            <w:pPr>
              <w:pStyle w:val="0"/>
            </w:pPr>
            <w:r>
              <w:rPr>
                <w:sz w:val="24"/>
              </w:rPr>
              <w:t xml:space="preserve">1</w:t>
            </w:r>
          </w:p>
        </w:tc>
        <w:tc>
          <w:tcPr>
            <w:tcW w:w="2608" w:type="dxa"/>
          </w:tcPr>
          <w:p>
            <w:pPr>
              <w:pStyle w:val="0"/>
            </w:pPr>
            <w:r>
              <w:rPr>
                <w:sz w:val="24"/>
              </w:rPr>
              <w:t xml:space="preserve">Основание (основания), в силу которого (которых) лицо признается связанной стороной</w:t>
            </w:r>
          </w:p>
        </w:tc>
        <w:tc>
          <w:tcPr>
            <w:tcW w:w="2608" w:type="dxa"/>
          </w:tcPr>
          <w:p>
            <w:pPr>
              <w:pStyle w:val="0"/>
            </w:pPr>
            <w:r>
              <w:rPr>
                <w:sz w:val="24"/>
              </w:rPr>
            </w:r>
          </w:p>
        </w:tc>
        <w:tc>
          <w:tcPr>
            <w:tcW w:w="2948" w:type="dxa"/>
          </w:tcPr>
          <w:p>
            <w:pPr>
              <w:pStyle w:val="0"/>
            </w:pPr>
            <w:r>
              <w:rPr>
                <w:sz w:val="24"/>
              </w:rPr>
              <w:t xml:space="preserve">ins-dic:Osn_Prizn_Svyazstorony</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Идентификатор связанной стороны</w:t>
            </w:r>
          </w:p>
        </w:tc>
        <w:tc>
          <w:tcPr>
            <w:tcW w:w="2948" w:type="dxa"/>
          </w:tcPr>
          <w:p>
            <w:pPr>
              <w:pStyle w:val="0"/>
            </w:pPr>
            <w:r>
              <w:rPr>
                <w:sz w:val="24"/>
              </w:rPr>
              <w:t xml:space="preserve">dim-int:ID_Svyazannaya_storonaTaxis</w:t>
            </w:r>
          </w:p>
        </w:tc>
      </w:tr>
      <w:tr>
        <w:tc>
          <w:tcPr>
            <w:tcW w:w="907" w:type="dxa"/>
          </w:tcPr>
          <w:bookmarkStart w:id="37254" w:name="P37254"/>
          <w:bookmarkEnd w:id="37254"/>
          <w:p>
            <w:pPr>
              <w:pStyle w:val="0"/>
            </w:pPr>
            <w:r>
              <w:rPr>
                <w:sz w:val="24"/>
              </w:rPr>
              <w:t xml:space="preserve">2</w:t>
            </w:r>
          </w:p>
        </w:tc>
        <w:tc>
          <w:tcPr>
            <w:tcW w:w="2608" w:type="dxa"/>
          </w:tcPr>
          <w:p>
            <w:pPr>
              <w:pStyle w:val="0"/>
            </w:pPr>
            <w:r>
              <w:rPr>
                <w:sz w:val="24"/>
              </w:rPr>
              <w:t xml:space="preserve">Дата начала признания лица связанной стороной</w:t>
            </w:r>
          </w:p>
        </w:tc>
        <w:tc>
          <w:tcPr>
            <w:tcW w:w="2608" w:type="dxa"/>
          </w:tcPr>
          <w:p>
            <w:pPr>
              <w:pStyle w:val="0"/>
            </w:pPr>
            <w:r>
              <w:rPr>
                <w:sz w:val="24"/>
              </w:rPr>
            </w:r>
          </w:p>
        </w:tc>
        <w:tc>
          <w:tcPr>
            <w:tcW w:w="2948" w:type="dxa"/>
          </w:tcPr>
          <w:p>
            <w:pPr>
              <w:pStyle w:val="0"/>
            </w:pPr>
            <w:r>
              <w:rPr>
                <w:sz w:val="24"/>
              </w:rPr>
              <w:t xml:space="preserve">ins-dic:DataNachalaPriznLiczaSvyazStoronoj</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Идентификатор связанной стороны</w:t>
            </w:r>
          </w:p>
        </w:tc>
        <w:tc>
          <w:tcPr>
            <w:tcW w:w="2948" w:type="dxa"/>
          </w:tcPr>
          <w:p>
            <w:pPr>
              <w:pStyle w:val="0"/>
            </w:pPr>
            <w:r>
              <w:rPr>
                <w:sz w:val="24"/>
              </w:rPr>
              <w:t xml:space="preserve">dim-int:ID_Svyazannaya_storonaTaxis</w:t>
            </w:r>
          </w:p>
        </w:tc>
      </w:tr>
      <w:tr>
        <w:tc>
          <w:tcPr>
            <w:tcW w:w="907" w:type="dxa"/>
          </w:tcPr>
          <w:bookmarkStart w:id="37262" w:name="P37262"/>
          <w:bookmarkEnd w:id="37262"/>
          <w:p>
            <w:pPr>
              <w:pStyle w:val="0"/>
            </w:pPr>
            <w:r>
              <w:rPr>
                <w:sz w:val="24"/>
              </w:rPr>
              <w:t xml:space="preserve">3</w:t>
            </w:r>
          </w:p>
        </w:tc>
        <w:tc>
          <w:tcPr>
            <w:tcW w:w="2608" w:type="dxa"/>
          </w:tcPr>
          <w:p>
            <w:pPr>
              <w:pStyle w:val="0"/>
            </w:pPr>
            <w:r>
              <w:rPr>
                <w:sz w:val="24"/>
              </w:rPr>
              <w:t xml:space="preserve">Дата окончания признания лица связанной стороной</w:t>
            </w:r>
          </w:p>
        </w:tc>
        <w:tc>
          <w:tcPr>
            <w:tcW w:w="2608" w:type="dxa"/>
          </w:tcPr>
          <w:p>
            <w:pPr>
              <w:pStyle w:val="0"/>
            </w:pPr>
            <w:r>
              <w:rPr>
                <w:sz w:val="24"/>
              </w:rPr>
            </w:r>
          </w:p>
        </w:tc>
        <w:tc>
          <w:tcPr>
            <w:tcW w:w="2948" w:type="dxa"/>
          </w:tcPr>
          <w:p>
            <w:pPr>
              <w:pStyle w:val="0"/>
            </w:pPr>
            <w:r>
              <w:rPr>
                <w:sz w:val="24"/>
              </w:rPr>
              <w:t xml:space="preserve">ins-dic:DataOkonchPriznLiczaSvyazStoronoj</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Идентификатор связанной стороны</w:t>
            </w:r>
          </w:p>
        </w:tc>
        <w:tc>
          <w:tcPr>
            <w:tcW w:w="2948" w:type="dxa"/>
          </w:tcPr>
          <w:p>
            <w:pPr>
              <w:pStyle w:val="0"/>
            </w:pPr>
            <w:r>
              <w:rPr>
                <w:sz w:val="24"/>
              </w:rPr>
              <w:t xml:space="preserve">dim-int:ID_Svyazannaya_storonaTaxis</w:t>
            </w:r>
          </w:p>
        </w:tc>
      </w:tr>
      <w:tr>
        <w:tc>
          <w:tcPr>
            <w:gridSpan w:val="4"/>
            <w:tcW w:w="9071" w:type="dxa"/>
          </w:tcPr>
          <w:bookmarkStart w:id="37270" w:name="P37270"/>
          <w:bookmarkEnd w:id="37270"/>
          <w:p>
            <w:pPr>
              <w:pStyle w:val="0"/>
              <w:outlineLvl w:val="3"/>
            </w:pPr>
            <w:r>
              <w:rPr>
                <w:sz w:val="24"/>
              </w:rPr>
              <w:t xml:space="preserve">Раздел 2. Остатки по операциям со связанными сторонами</w:t>
            </w:r>
          </w:p>
        </w:tc>
      </w:tr>
      <w:tr>
        <w:tc>
          <w:tcPr>
            <w:tcW w:w="907" w:type="dxa"/>
          </w:tcPr>
          <w:bookmarkStart w:id="37271" w:name="P37271"/>
          <w:bookmarkEnd w:id="37271"/>
          <w:p>
            <w:pPr>
              <w:pStyle w:val="0"/>
            </w:pPr>
            <w:r>
              <w:rPr>
                <w:sz w:val="24"/>
              </w:rPr>
              <w:t xml:space="preserve">4</w:t>
            </w:r>
          </w:p>
        </w:tc>
        <w:tc>
          <w:tcPr>
            <w:tcW w:w="2608" w:type="dxa"/>
          </w:tcPr>
          <w:p>
            <w:pPr>
              <w:pStyle w:val="0"/>
            </w:pPr>
            <w:r>
              <w:rPr>
                <w:sz w:val="24"/>
              </w:rPr>
              <w:t xml:space="preserve">Остаток на конец отчетного периода показателя бухгалтерского баланса по операциям со связанными сторонами</w:t>
            </w:r>
          </w:p>
        </w:tc>
        <w:tc>
          <w:tcPr>
            <w:tcW w:w="2608" w:type="dxa"/>
          </w:tcPr>
          <w:p>
            <w:pPr>
              <w:pStyle w:val="0"/>
            </w:pPr>
            <w:r>
              <w:rPr>
                <w:sz w:val="24"/>
              </w:rPr>
            </w:r>
          </w:p>
        </w:tc>
        <w:tc>
          <w:tcPr>
            <w:tcW w:w="2948" w:type="dxa"/>
          </w:tcPr>
          <w:p>
            <w:pPr>
              <w:pStyle w:val="0"/>
            </w:pPr>
            <w:r>
              <w:rPr>
                <w:sz w:val="24"/>
              </w:rPr>
              <w:t xml:space="preserve">ins-dic:Ostatok_Ss_Bb</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Идентификатор связанной стороны</w:t>
            </w:r>
          </w:p>
        </w:tc>
        <w:tc>
          <w:tcPr>
            <w:tcW w:w="2948" w:type="dxa"/>
          </w:tcPr>
          <w:p>
            <w:pPr>
              <w:pStyle w:val="0"/>
            </w:pPr>
            <w:r>
              <w:rPr>
                <w:sz w:val="24"/>
              </w:rPr>
              <w:t xml:space="preserve">dim-int:ID_Svyazannaya_storonaTaxis</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Наименование показателя бухгалтерского баланса</w:t>
            </w:r>
          </w:p>
        </w:tc>
        <w:tc>
          <w:tcPr>
            <w:tcW w:w="2948" w:type="dxa"/>
          </w:tcPr>
          <w:p>
            <w:pPr>
              <w:pStyle w:val="0"/>
            </w:pPr>
            <w:r>
              <w:rPr>
                <w:sz w:val="24"/>
              </w:rPr>
              <w:t xml:space="preserve">dim-int:NaimPokazatelyaBuxBalansaAxis</w:t>
            </w:r>
          </w:p>
        </w:tc>
      </w:tr>
      <w:tr>
        <w:tc>
          <w:tcPr>
            <w:tcW w:w="907" w:type="dxa"/>
          </w:tcPr>
          <w:bookmarkStart w:id="37283" w:name="P37283"/>
          <w:bookmarkEnd w:id="37283"/>
          <w:p>
            <w:pPr>
              <w:pStyle w:val="0"/>
            </w:pPr>
            <w:r>
              <w:rPr>
                <w:sz w:val="24"/>
              </w:rPr>
              <w:t xml:space="preserve">5</w:t>
            </w:r>
          </w:p>
        </w:tc>
        <w:tc>
          <w:tcPr>
            <w:tcW w:w="2608" w:type="dxa"/>
          </w:tcPr>
          <w:p>
            <w:pPr>
              <w:pStyle w:val="0"/>
            </w:pPr>
            <w:r>
              <w:rPr>
                <w:sz w:val="24"/>
              </w:rPr>
              <w:t xml:space="preserve">Совокупный остаток показателя бухгалтерского баланса</w:t>
            </w:r>
          </w:p>
        </w:tc>
        <w:tc>
          <w:tcPr>
            <w:tcW w:w="2608" w:type="dxa"/>
          </w:tcPr>
          <w:p>
            <w:pPr>
              <w:pStyle w:val="0"/>
            </w:pPr>
            <w:r>
              <w:rPr>
                <w:sz w:val="24"/>
              </w:rPr>
            </w:r>
          </w:p>
        </w:tc>
        <w:tc>
          <w:tcPr>
            <w:tcW w:w="2948" w:type="dxa"/>
          </w:tcPr>
          <w:p>
            <w:pPr>
              <w:pStyle w:val="0"/>
            </w:pPr>
            <w:r>
              <w:rPr>
                <w:sz w:val="24"/>
              </w:rPr>
              <w:t xml:space="preserve">ins-dic:Ostatok_Ss_Bb_Sovokupnyj</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Категория связанной стороны</w:t>
            </w:r>
          </w:p>
        </w:tc>
        <w:tc>
          <w:tcPr>
            <w:tcW w:w="2948" w:type="dxa"/>
          </w:tcPr>
          <w:p>
            <w:pPr>
              <w:pStyle w:val="0"/>
            </w:pPr>
            <w:r>
              <w:rPr>
                <w:sz w:val="24"/>
              </w:rPr>
              <w:t xml:space="preserve">dim-int:Kat_SvyazStoronyAxis</w:t>
            </w:r>
          </w:p>
        </w:tc>
      </w:tr>
    </w:tbl>
    <w:p>
      <w:pPr>
        <w:pStyle w:val="0"/>
        <w:ind w:firstLine="540"/>
        <w:jc w:val="both"/>
      </w:pPr>
      <w:r>
        <w:rPr>
          <w:sz w:val="24"/>
        </w:rPr>
      </w:r>
    </w:p>
    <w:p>
      <w:pPr>
        <w:pStyle w:val="0"/>
        <w:ind w:firstLine="540"/>
        <w:jc w:val="both"/>
      </w:pPr>
      <w:r>
        <w:rPr>
          <w:sz w:val="24"/>
        </w:rPr>
        <w:t xml:space="preserve">--------------------------------</w:t>
      </w:r>
    </w:p>
    <w:bookmarkStart w:id="37293" w:name="P37293"/>
    <w:bookmarkEnd w:id="37293"/>
    <w:p>
      <w:pPr>
        <w:pStyle w:val="0"/>
        <w:spacing w:before="240" w:lineRule="auto"/>
        <w:ind w:firstLine="540"/>
        <w:jc w:val="both"/>
      </w:pPr>
      <w:r>
        <w:rPr>
          <w:sz w:val="24"/>
        </w:rPr>
        <w:t xml:space="preserve">&lt;1&gt; Общероссийский </w:t>
      </w:r>
      <w:hyperlink w:history="0" r:id="rId607"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721"/>
        <w:gridCol w:w="2608"/>
        <w:gridCol w:w="2835"/>
      </w:tblGrid>
      <w:tr>
        <w:tc>
          <w:tcPr>
            <w:tcW w:w="907" w:type="dxa"/>
          </w:tcPr>
          <w:p>
            <w:pPr>
              <w:pStyle w:val="0"/>
              <w:jc w:val="center"/>
            </w:pPr>
            <w:r>
              <w:rPr>
                <w:sz w:val="24"/>
              </w:rPr>
              <w:t xml:space="preserve">1</w:t>
            </w:r>
          </w:p>
        </w:tc>
        <w:tc>
          <w:tcPr>
            <w:tcW w:w="2721" w:type="dxa"/>
          </w:tcPr>
          <w:p>
            <w:pPr>
              <w:pStyle w:val="0"/>
              <w:jc w:val="center"/>
            </w:pPr>
            <w:r>
              <w:rPr>
                <w:sz w:val="24"/>
              </w:rPr>
              <w:t xml:space="preserve">2</w:t>
            </w:r>
          </w:p>
        </w:tc>
        <w:tc>
          <w:tcPr>
            <w:tcW w:w="2608" w:type="dxa"/>
          </w:tcPr>
          <w:p>
            <w:pPr>
              <w:pStyle w:val="0"/>
              <w:jc w:val="center"/>
            </w:pPr>
            <w:r>
              <w:rPr>
                <w:sz w:val="24"/>
              </w:rPr>
              <w:t xml:space="preserve">3</w:t>
            </w:r>
          </w:p>
        </w:tc>
        <w:tc>
          <w:tcPr>
            <w:tcW w:w="2835" w:type="dxa"/>
          </w:tcPr>
          <w:p>
            <w:pPr>
              <w:pStyle w:val="0"/>
              <w:jc w:val="center"/>
            </w:pPr>
            <w:r>
              <w:rPr>
                <w:sz w:val="24"/>
              </w:rPr>
              <w:t xml:space="preserve">4</w:t>
            </w:r>
          </w:p>
        </w:tc>
      </w:tr>
      <w:tr>
        <w:tc>
          <w:tcPr>
            <w:tcW w:w="907" w:type="dxa"/>
          </w:tcPr>
          <w:p>
            <w:pPr>
              <w:pStyle w:val="0"/>
            </w:pPr>
            <w:r>
              <w:rPr>
                <w:sz w:val="24"/>
              </w:rPr>
              <w:t xml:space="preserve">5.2</w:t>
            </w:r>
          </w:p>
        </w:tc>
        <w:tc>
          <w:tcPr>
            <w:tcW w:w="2721" w:type="dxa"/>
          </w:tcPr>
          <w:p>
            <w:pPr>
              <w:pStyle w:val="0"/>
            </w:pPr>
            <w:r>
              <w:rPr>
                <w:sz w:val="24"/>
              </w:rPr>
            </w:r>
          </w:p>
        </w:tc>
        <w:tc>
          <w:tcPr>
            <w:tcW w:w="2608" w:type="dxa"/>
          </w:tcPr>
          <w:p>
            <w:pPr>
              <w:pStyle w:val="0"/>
            </w:pPr>
            <w:r>
              <w:rPr>
                <w:sz w:val="24"/>
              </w:rPr>
              <w:t xml:space="preserve">Наименование показателя бухгалтерского баланса</w:t>
            </w:r>
          </w:p>
        </w:tc>
        <w:tc>
          <w:tcPr>
            <w:tcW w:w="2835" w:type="dxa"/>
          </w:tcPr>
          <w:p>
            <w:pPr>
              <w:pStyle w:val="0"/>
            </w:pPr>
            <w:r>
              <w:rPr>
                <w:sz w:val="24"/>
              </w:rPr>
              <w:t xml:space="preserve">dim-int:NaimPokazatelyaBuxBalansaAxis</w:t>
            </w:r>
          </w:p>
        </w:tc>
      </w:tr>
      <w:tr>
        <w:tc>
          <w:tcPr>
            <w:gridSpan w:val="4"/>
            <w:tcW w:w="9071" w:type="dxa"/>
          </w:tcPr>
          <w:bookmarkStart w:id="37303" w:name="P37303"/>
          <w:bookmarkEnd w:id="37303"/>
          <w:p>
            <w:pPr>
              <w:pStyle w:val="0"/>
              <w:outlineLvl w:val="3"/>
            </w:pPr>
            <w:r>
              <w:rPr>
                <w:sz w:val="24"/>
              </w:rPr>
              <w:t xml:space="preserve">Раздел 3. Доходы и расходы по операциям со связанными сторонами</w:t>
            </w:r>
          </w:p>
        </w:tc>
      </w:tr>
      <w:tr>
        <w:tc>
          <w:tcPr>
            <w:tcW w:w="907" w:type="dxa"/>
          </w:tcPr>
          <w:bookmarkStart w:id="37304" w:name="P37304"/>
          <w:bookmarkEnd w:id="37304"/>
          <w:p>
            <w:pPr>
              <w:pStyle w:val="0"/>
            </w:pPr>
            <w:r>
              <w:rPr>
                <w:sz w:val="24"/>
              </w:rPr>
              <w:t xml:space="preserve">6</w:t>
            </w:r>
          </w:p>
        </w:tc>
        <w:tc>
          <w:tcPr>
            <w:tcW w:w="2721" w:type="dxa"/>
          </w:tcPr>
          <w:p>
            <w:pPr>
              <w:pStyle w:val="0"/>
            </w:pPr>
            <w:r>
              <w:rPr>
                <w:sz w:val="24"/>
              </w:rPr>
              <w:t xml:space="preserve">Сумма за отчетный период показателя отчета о финансовых результатах по операциям со связанными сторонами</w:t>
            </w:r>
          </w:p>
        </w:tc>
        <w:tc>
          <w:tcPr>
            <w:tcW w:w="2608" w:type="dxa"/>
          </w:tcPr>
          <w:p>
            <w:pPr>
              <w:pStyle w:val="0"/>
            </w:pPr>
            <w:r>
              <w:rPr>
                <w:sz w:val="24"/>
              </w:rPr>
            </w:r>
          </w:p>
        </w:tc>
        <w:tc>
          <w:tcPr>
            <w:tcW w:w="2835" w:type="dxa"/>
          </w:tcPr>
          <w:p>
            <w:pPr>
              <w:pStyle w:val="0"/>
            </w:pPr>
            <w:r>
              <w:rPr>
                <w:sz w:val="24"/>
              </w:rPr>
              <w:t xml:space="preserve">ins-dic:Dox_Ili_Rasx_Ss_Ofr</w:t>
            </w:r>
          </w:p>
        </w:tc>
      </w:tr>
      <w:tr>
        <w:tc>
          <w:tcPr>
            <w:tcW w:w="907" w:type="dxa"/>
          </w:tcPr>
          <w:p>
            <w:pPr>
              <w:pStyle w:val="0"/>
            </w:pPr>
            <w:r>
              <w:rPr>
                <w:sz w:val="24"/>
              </w:rPr>
              <w:t xml:space="preserve">6.1</w:t>
            </w:r>
          </w:p>
        </w:tc>
        <w:tc>
          <w:tcPr>
            <w:tcW w:w="2721" w:type="dxa"/>
          </w:tcPr>
          <w:p>
            <w:pPr>
              <w:pStyle w:val="0"/>
            </w:pPr>
            <w:r>
              <w:rPr>
                <w:sz w:val="24"/>
              </w:rPr>
            </w:r>
          </w:p>
        </w:tc>
        <w:tc>
          <w:tcPr>
            <w:tcW w:w="2608" w:type="dxa"/>
          </w:tcPr>
          <w:p>
            <w:pPr>
              <w:pStyle w:val="0"/>
            </w:pPr>
            <w:r>
              <w:rPr>
                <w:sz w:val="24"/>
              </w:rPr>
              <w:t xml:space="preserve">Идентификатор связанной стороны</w:t>
            </w:r>
          </w:p>
        </w:tc>
        <w:tc>
          <w:tcPr>
            <w:tcW w:w="2835" w:type="dxa"/>
          </w:tcPr>
          <w:p>
            <w:pPr>
              <w:pStyle w:val="0"/>
            </w:pPr>
            <w:r>
              <w:rPr>
                <w:sz w:val="24"/>
              </w:rPr>
              <w:t xml:space="preserve">dim-int:ID_Svyazannaya_storonaTaxis</w:t>
            </w:r>
          </w:p>
        </w:tc>
      </w:tr>
      <w:tr>
        <w:tc>
          <w:tcPr>
            <w:tcW w:w="907" w:type="dxa"/>
          </w:tcPr>
          <w:p>
            <w:pPr>
              <w:pStyle w:val="0"/>
            </w:pPr>
            <w:r>
              <w:rPr>
                <w:sz w:val="24"/>
              </w:rPr>
              <w:t xml:space="preserve">6.2</w:t>
            </w:r>
          </w:p>
        </w:tc>
        <w:tc>
          <w:tcPr>
            <w:tcW w:w="2721" w:type="dxa"/>
          </w:tcPr>
          <w:p>
            <w:pPr>
              <w:pStyle w:val="0"/>
            </w:pPr>
            <w:r>
              <w:rPr>
                <w:sz w:val="24"/>
              </w:rPr>
            </w:r>
          </w:p>
        </w:tc>
        <w:tc>
          <w:tcPr>
            <w:tcW w:w="2608" w:type="dxa"/>
          </w:tcPr>
          <w:p>
            <w:pPr>
              <w:pStyle w:val="0"/>
            </w:pPr>
            <w:r>
              <w:rPr>
                <w:sz w:val="24"/>
              </w:rPr>
              <w:t xml:space="preserve">Наименование показателя отчета о финансовых результатах</w:t>
            </w:r>
          </w:p>
        </w:tc>
        <w:tc>
          <w:tcPr>
            <w:tcW w:w="2835" w:type="dxa"/>
          </w:tcPr>
          <w:p>
            <w:pPr>
              <w:pStyle w:val="0"/>
            </w:pPr>
            <w:r>
              <w:rPr>
                <w:sz w:val="24"/>
              </w:rPr>
              <w:t xml:space="preserve">dim-int:NaimPokazatelyaOtchetaOFinRezAxis</w:t>
            </w:r>
          </w:p>
        </w:tc>
      </w:tr>
      <w:tr>
        <w:tc>
          <w:tcPr>
            <w:tcW w:w="907" w:type="dxa"/>
          </w:tcPr>
          <w:bookmarkStart w:id="37316" w:name="P37316"/>
          <w:bookmarkEnd w:id="37316"/>
          <w:p>
            <w:pPr>
              <w:pStyle w:val="0"/>
            </w:pPr>
            <w:r>
              <w:rPr>
                <w:sz w:val="24"/>
              </w:rPr>
              <w:t xml:space="preserve">7</w:t>
            </w:r>
          </w:p>
        </w:tc>
        <w:tc>
          <w:tcPr>
            <w:tcW w:w="2721" w:type="dxa"/>
          </w:tcPr>
          <w:p>
            <w:pPr>
              <w:pStyle w:val="0"/>
            </w:pPr>
            <w:r>
              <w:rPr>
                <w:sz w:val="24"/>
              </w:rPr>
              <w:t xml:space="preserve">Совокупная величина показателя отчета о финансовых результатах</w:t>
            </w:r>
          </w:p>
        </w:tc>
        <w:tc>
          <w:tcPr>
            <w:tcW w:w="2608" w:type="dxa"/>
          </w:tcPr>
          <w:p>
            <w:pPr>
              <w:pStyle w:val="0"/>
            </w:pPr>
            <w:r>
              <w:rPr>
                <w:sz w:val="24"/>
              </w:rPr>
            </w:r>
          </w:p>
        </w:tc>
        <w:tc>
          <w:tcPr>
            <w:tcW w:w="2835" w:type="dxa"/>
          </w:tcPr>
          <w:p>
            <w:pPr>
              <w:pStyle w:val="0"/>
            </w:pPr>
            <w:r>
              <w:rPr>
                <w:sz w:val="24"/>
              </w:rPr>
              <w:t xml:space="preserve">ins-dic:Dox_Ili_Rasx_Ss_Ofr_Sovokupnyj</w:t>
            </w:r>
          </w:p>
        </w:tc>
      </w:tr>
      <w:tr>
        <w:tc>
          <w:tcPr>
            <w:tcW w:w="907" w:type="dxa"/>
          </w:tcPr>
          <w:p>
            <w:pPr>
              <w:pStyle w:val="0"/>
            </w:pPr>
            <w:r>
              <w:rPr>
                <w:sz w:val="24"/>
              </w:rPr>
              <w:t xml:space="preserve">7.1</w:t>
            </w:r>
          </w:p>
        </w:tc>
        <w:tc>
          <w:tcPr>
            <w:tcW w:w="2721" w:type="dxa"/>
          </w:tcPr>
          <w:p>
            <w:pPr>
              <w:pStyle w:val="0"/>
            </w:pPr>
            <w:r>
              <w:rPr>
                <w:sz w:val="24"/>
              </w:rPr>
            </w:r>
          </w:p>
        </w:tc>
        <w:tc>
          <w:tcPr>
            <w:tcW w:w="2608" w:type="dxa"/>
          </w:tcPr>
          <w:p>
            <w:pPr>
              <w:pStyle w:val="0"/>
            </w:pPr>
            <w:r>
              <w:rPr>
                <w:sz w:val="24"/>
              </w:rPr>
              <w:t xml:space="preserve">Категория связанной стороны</w:t>
            </w:r>
          </w:p>
        </w:tc>
        <w:tc>
          <w:tcPr>
            <w:tcW w:w="2835" w:type="dxa"/>
          </w:tcPr>
          <w:p>
            <w:pPr>
              <w:pStyle w:val="0"/>
            </w:pPr>
            <w:r>
              <w:rPr>
                <w:sz w:val="24"/>
              </w:rPr>
              <w:t xml:space="preserve">dim-int:Kat_SvyazStoronyAxis</w:t>
            </w:r>
          </w:p>
        </w:tc>
      </w:tr>
      <w:tr>
        <w:tc>
          <w:tcPr>
            <w:tcW w:w="907" w:type="dxa"/>
          </w:tcPr>
          <w:p>
            <w:pPr>
              <w:pStyle w:val="0"/>
            </w:pPr>
            <w:r>
              <w:rPr>
                <w:sz w:val="24"/>
              </w:rPr>
              <w:t xml:space="preserve">7.2</w:t>
            </w:r>
          </w:p>
        </w:tc>
        <w:tc>
          <w:tcPr>
            <w:tcW w:w="2721" w:type="dxa"/>
          </w:tcPr>
          <w:p>
            <w:pPr>
              <w:pStyle w:val="0"/>
            </w:pPr>
            <w:r>
              <w:rPr>
                <w:sz w:val="24"/>
              </w:rPr>
            </w:r>
          </w:p>
        </w:tc>
        <w:tc>
          <w:tcPr>
            <w:tcW w:w="2608" w:type="dxa"/>
          </w:tcPr>
          <w:p>
            <w:pPr>
              <w:pStyle w:val="0"/>
            </w:pPr>
            <w:r>
              <w:rPr>
                <w:sz w:val="24"/>
              </w:rPr>
              <w:t xml:space="preserve">Наименование показателя отчета о финансовых результатах</w:t>
            </w:r>
          </w:p>
        </w:tc>
        <w:tc>
          <w:tcPr>
            <w:tcW w:w="2835" w:type="dxa"/>
          </w:tcPr>
          <w:p>
            <w:pPr>
              <w:pStyle w:val="0"/>
            </w:pPr>
            <w:r>
              <w:rPr>
                <w:sz w:val="24"/>
              </w:rPr>
              <w:t xml:space="preserve">dim-int:NaimPokazatelyaOtchetaOFinRezAxis</w:t>
            </w:r>
          </w:p>
        </w:tc>
      </w:tr>
      <w:tr>
        <w:tc>
          <w:tcPr>
            <w:gridSpan w:val="4"/>
            <w:tcW w:w="9071" w:type="dxa"/>
          </w:tcPr>
          <w:bookmarkStart w:id="37328" w:name="P37328"/>
          <w:bookmarkEnd w:id="37328"/>
          <w:p>
            <w:pPr>
              <w:pStyle w:val="0"/>
              <w:outlineLvl w:val="3"/>
            </w:pPr>
            <w:r>
              <w:rPr>
                <w:sz w:val="24"/>
              </w:rPr>
              <w:t xml:space="preserve">Раздел 4. Движение денежных средств по операциям со связанными сторонами</w:t>
            </w:r>
          </w:p>
        </w:tc>
      </w:tr>
      <w:tr>
        <w:tc>
          <w:tcPr>
            <w:tcW w:w="907" w:type="dxa"/>
          </w:tcPr>
          <w:bookmarkStart w:id="37329" w:name="P37329"/>
          <w:bookmarkEnd w:id="37329"/>
          <w:p>
            <w:pPr>
              <w:pStyle w:val="0"/>
            </w:pPr>
            <w:r>
              <w:rPr>
                <w:sz w:val="24"/>
              </w:rPr>
              <w:t xml:space="preserve">8</w:t>
            </w:r>
          </w:p>
        </w:tc>
        <w:tc>
          <w:tcPr>
            <w:tcW w:w="2721" w:type="dxa"/>
          </w:tcPr>
          <w:p>
            <w:pPr>
              <w:pStyle w:val="0"/>
            </w:pPr>
            <w:r>
              <w:rPr>
                <w:sz w:val="24"/>
              </w:rPr>
              <w:t xml:space="preserve">Сумма за отчетный период показателя отчета о движении денежных средств по операциям со связанными сторонами</w:t>
            </w:r>
          </w:p>
        </w:tc>
        <w:tc>
          <w:tcPr>
            <w:tcW w:w="2608" w:type="dxa"/>
          </w:tcPr>
          <w:p>
            <w:pPr>
              <w:pStyle w:val="0"/>
            </w:pPr>
            <w:r>
              <w:rPr>
                <w:sz w:val="24"/>
              </w:rPr>
            </w:r>
          </w:p>
        </w:tc>
        <w:tc>
          <w:tcPr>
            <w:tcW w:w="2835" w:type="dxa"/>
          </w:tcPr>
          <w:p>
            <w:pPr>
              <w:pStyle w:val="0"/>
            </w:pPr>
            <w:r>
              <w:rPr>
                <w:sz w:val="24"/>
              </w:rPr>
              <w:t xml:space="preserve">ins-dic:Den_Potok_Ss_Opds</w:t>
            </w:r>
          </w:p>
        </w:tc>
      </w:tr>
      <w:tr>
        <w:tc>
          <w:tcPr>
            <w:tcW w:w="907" w:type="dxa"/>
          </w:tcPr>
          <w:p>
            <w:pPr>
              <w:pStyle w:val="0"/>
            </w:pPr>
            <w:r>
              <w:rPr>
                <w:sz w:val="24"/>
              </w:rPr>
              <w:t xml:space="preserve">8.1</w:t>
            </w:r>
          </w:p>
        </w:tc>
        <w:tc>
          <w:tcPr>
            <w:tcW w:w="2721" w:type="dxa"/>
          </w:tcPr>
          <w:p>
            <w:pPr>
              <w:pStyle w:val="0"/>
            </w:pPr>
            <w:r>
              <w:rPr>
                <w:sz w:val="24"/>
              </w:rPr>
            </w:r>
          </w:p>
        </w:tc>
        <w:tc>
          <w:tcPr>
            <w:tcW w:w="2608" w:type="dxa"/>
          </w:tcPr>
          <w:p>
            <w:pPr>
              <w:pStyle w:val="0"/>
            </w:pPr>
            <w:r>
              <w:rPr>
                <w:sz w:val="24"/>
              </w:rPr>
              <w:t xml:space="preserve">Идентификатор связанной стороны</w:t>
            </w:r>
          </w:p>
        </w:tc>
        <w:tc>
          <w:tcPr>
            <w:tcW w:w="2835" w:type="dxa"/>
          </w:tcPr>
          <w:p>
            <w:pPr>
              <w:pStyle w:val="0"/>
            </w:pPr>
            <w:r>
              <w:rPr>
                <w:sz w:val="24"/>
              </w:rPr>
              <w:t xml:space="preserve">dim-int:ID_Svyazannaya_storonaTaxis</w:t>
            </w:r>
          </w:p>
        </w:tc>
      </w:tr>
      <w:tr>
        <w:tc>
          <w:tcPr>
            <w:tcW w:w="907" w:type="dxa"/>
          </w:tcPr>
          <w:p>
            <w:pPr>
              <w:pStyle w:val="0"/>
            </w:pPr>
            <w:r>
              <w:rPr>
                <w:sz w:val="24"/>
              </w:rPr>
              <w:t xml:space="preserve">8.2</w:t>
            </w:r>
          </w:p>
        </w:tc>
        <w:tc>
          <w:tcPr>
            <w:tcW w:w="2721" w:type="dxa"/>
          </w:tcPr>
          <w:p>
            <w:pPr>
              <w:pStyle w:val="0"/>
            </w:pPr>
            <w:r>
              <w:rPr>
                <w:sz w:val="24"/>
              </w:rPr>
            </w:r>
          </w:p>
        </w:tc>
        <w:tc>
          <w:tcPr>
            <w:tcW w:w="2608" w:type="dxa"/>
          </w:tcPr>
          <w:p>
            <w:pPr>
              <w:pStyle w:val="0"/>
            </w:pPr>
            <w:r>
              <w:rPr>
                <w:sz w:val="24"/>
              </w:rPr>
              <w:t xml:space="preserve">Наименование показателя отчета о движении денежных средств</w:t>
            </w:r>
          </w:p>
        </w:tc>
        <w:tc>
          <w:tcPr>
            <w:tcW w:w="2835" w:type="dxa"/>
          </w:tcPr>
          <w:p>
            <w:pPr>
              <w:pStyle w:val="0"/>
            </w:pPr>
            <w:r>
              <w:rPr>
                <w:sz w:val="24"/>
              </w:rPr>
              <w:t xml:space="preserve">dim-int:NaimPokazatelyaOtchetaODDSAxis</w:t>
            </w:r>
          </w:p>
        </w:tc>
      </w:tr>
      <w:tr>
        <w:tc>
          <w:tcPr>
            <w:tcW w:w="907" w:type="dxa"/>
          </w:tcPr>
          <w:bookmarkStart w:id="37341" w:name="P37341"/>
          <w:bookmarkEnd w:id="37341"/>
          <w:p>
            <w:pPr>
              <w:pStyle w:val="0"/>
            </w:pPr>
            <w:r>
              <w:rPr>
                <w:sz w:val="24"/>
              </w:rPr>
              <w:t xml:space="preserve">9</w:t>
            </w:r>
          </w:p>
        </w:tc>
        <w:tc>
          <w:tcPr>
            <w:tcW w:w="2721" w:type="dxa"/>
          </w:tcPr>
          <w:p>
            <w:pPr>
              <w:pStyle w:val="0"/>
            </w:pPr>
            <w:r>
              <w:rPr>
                <w:sz w:val="24"/>
              </w:rPr>
              <w:t xml:space="preserve">Совокупная величина показателя отчета о движении денежных средств</w:t>
            </w:r>
          </w:p>
        </w:tc>
        <w:tc>
          <w:tcPr>
            <w:tcW w:w="2608" w:type="dxa"/>
          </w:tcPr>
          <w:p>
            <w:pPr>
              <w:pStyle w:val="0"/>
            </w:pPr>
            <w:r>
              <w:rPr>
                <w:sz w:val="24"/>
              </w:rPr>
            </w:r>
          </w:p>
        </w:tc>
        <w:tc>
          <w:tcPr>
            <w:tcW w:w="2835" w:type="dxa"/>
          </w:tcPr>
          <w:p>
            <w:pPr>
              <w:pStyle w:val="0"/>
            </w:pPr>
            <w:r>
              <w:rPr>
                <w:sz w:val="24"/>
              </w:rPr>
              <w:t xml:space="preserve">ins-dic:Den_Potok_Ss_Opds_Sovokupnyj</w:t>
            </w:r>
          </w:p>
        </w:tc>
      </w:tr>
      <w:tr>
        <w:tc>
          <w:tcPr>
            <w:tcW w:w="907" w:type="dxa"/>
          </w:tcPr>
          <w:p>
            <w:pPr>
              <w:pStyle w:val="0"/>
            </w:pPr>
            <w:r>
              <w:rPr>
                <w:sz w:val="24"/>
              </w:rPr>
              <w:t xml:space="preserve">9.1</w:t>
            </w:r>
          </w:p>
        </w:tc>
        <w:tc>
          <w:tcPr>
            <w:tcW w:w="2721" w:type="dxa"/>
          </w:tcPr>
          <w:p>
            <w:pPr>
              <w:pStyle w:val="0"/>
            </w:pPr>
            <w:r>
              <w:rPr>
                <w:sz w:val="24"/>
              </w:rPr>
            </w:r>
          </w:p>
        </w:tc>
        <w:tc>
          <w:tcPr>
            <w:tcW w:w="2608" w:type="dxa"/>
          </w:tcPr>
          <w:p>
            <w:pPr>
              <w:pStyle w:val="0"/>
            </w:pPr>
            <w:r>
              <w:rPr>
                <w:sz w:val="24"/>
              </w:rPr>
              <w:t xml:space="preserve">Категория связанной стороны</w:t>
            </w:r>
          </w:p>
        </w:tc>
        <w:tc>
          <w:tcPr>
            <w:tcW w:w="2835" w:type="dxa"/>
          </w:tcPr>
          <w:p>
            <w:pPr>
              <w:pStyle w:val="0"/>
            </w:pPr>
            <w:r>
              <w:rPr>
                <w:sz w:val="24"/>
              </w:rPr>
              <w:t xml:space="preserve">dim-int:Kat_SvyazStoronyAxis</w:t>
            </w:r>
          </w:p>
        </w:tc>
      </w:tr>
      <w:tr>
        <w:tc>
          <w:tcPr>
            <w:tcW w:w="907" w:type="dxa"/>
          </w:tcPr>
          <w:p>
            <w:pPr>
              <w:pStyle w:val="0"/>
            </w:pPr>
            <w:r>
              <w:rPr>
                <w:sz w:val="24"/>
              </w:rPr>
              <w:t xml:space="preserve">9.2</w:t>
            </w:r>
          </w:p>
        </w:tc>
        <w:tc>
          <w:tcPr>
            <w:tcW w:w="2721" w:type="dxa"/>
          </w:tcPr>
          <w:p>
            <w:pPr>
              <w:pStyle w:val="0"/>
            </w:pPr>
            <w:r>
              <w:rPr>
                <w:sz w:val="24"/>
              </w:rPr>
            </w:r>
          </w:p>
        </w:tc>
        <w:tc>
          <w:tcPr>
            <w:tcW w:w="2608" w:type="dxa"/>
          </w:tcPr>
          <w:p>
            <w:pPr>
              <w:pStyle w:val="0"/>
            </w:pPr>
            <w:r>
              <w:rPr>
                <w:sz w:val="24"/>
              </w:rPr>
              <w:t xml:space="preserve">Наименование показателя отчета о движении денежных средств</w:t>
            </w:r>
          </w:p>
        </w:tc>
        <w:tc>
          <w:tcPr>
            <w:tcW w:w="2835" w:type="dxa"/>
          </w:tcPr>
          <w:p>
            <w:pPr>
              <w:pStyle w:val="0"/>
            </w:pPr>
            <w:r>
              <w:rPr>
                <w:sz w:val="24"/>
              </w:rPr>
              <w:t xml:space="preserve">dim-int:NaimPokazatelyaOtchetaODDSAxis</w:t>
            </w:r>
          </w:p>
        </w:tc>
      </w:tr>
    </w:tbl>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0420163 "Отчет об операциях</w:t>
      </w:r>
    </w:p>
    <w:p>
      <w:pPr>
        <w:pStyle w:val="0"/>
        <w:jc w:val="center"/>
      </w:pPr>
      <w:r>
        <w:rPr>
          <w:sz w:val="24"/>
        </w:rPr>
        <w:t xml:space="preserve">со связанными сторонами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7230" w:tooltip="Отчетность по форме 0420163">
        <w:r>
          <w:rPr>
            <w:sz w:val="24"/>
            <w:color w:val="0000ff"/>
          </w:rPr>
          <w:t xml:space="preserve">форме 0420163</w:t>
        </w:r>
      </w:hyperlink>
      <w:r>
        <w:rPr>
          <w:sz w:val="24"/>
        </w:rPr>
        <w:t xml:space="preserve"> "Отчет об операциях со связанными сторонами страховщика" (далее - отчетность по форме 0420163) составляется страховщиком (за исключением иностранной страховой организации) посредством формирования предусмотренных в ней показателей за I квартал, первое полугодие, 9 месяцев, год (далее - отчетный период) по состоянию на последний календарный день отчетного периода включительно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2. Основания признания страховщиком лица связанной стороной, в том числе основания для включения лица в состав ключевого управленческого персонала, определяются страховщиком самостоятельно в соответствии с Международным </w:t>
      </w:r>
      <w:hyperlink w:history="0" r:id="rId608" w:tooltip="&quot;Международный стандарт финансовой отчетности (IAS) 24 &quot;Раскрытие информации о связанных сторонах&quot; (введен в действие на территории Российской Федерации Приказом Минфина России от 28.12.2015 N 217н) {КонсультантПлюс}">
        <w:r>
          <w:rPr>
            <w:sz w:val="24"/>
            <w:color w:val="0000ff"/>
          </w:rPr>
          <w:t xml:space="preserve">стандартом</w:t>
        </w:r>
      </w:hyperlink>
      <w:r>
        <w:rPr>
          <w:sz w:val="24"/>
        </w:rPr>
        <w:t xml:space="preserve"> финансовой отчетности (IAS) 24 "Раскрытие информации о связанных сторонах" &lt;1&gt;.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Введен в действие на территории Российской Федерации </w:t>
      </w:r>
      <w:hyperlink w:history="0" r:id="rId609" w:tooltip="Приказ Минфина России от 28.12.2015 N 217н (ред. от 17.09.2024) &quot;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утратившими силу некоторых приказов (отдельных положений приказов) Министерства финансов Российской Федерации&quot; (Зарегистрировано в Минюсте России 02.02.2016 N 40940) {КонсультантПлюс}">
        <w:r>
          <w:rPr>
            <w:sz w:val="24"/>
            <w:color w:val="0000ff"/>
          </w:rPr>
          <w:t xml:space="preserve">приказом</w:t>
        </w:r>
      </w:hyperlink>
      <w:r>
        <w:rPr>
          <w:sz w:val="24"/>
        </w:rPr>
        <w:t xml:space="preserve"> Минфина России от 28 декабря 2015 года N 217н "О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утратившими силу некоторых приказов (отдельных положений приказов) Министерства финансов Российской Федерации" (зарегистрирован Минюстом России 2 февраля 2016 года, регистрационный N 40940) с изменениями, внесенными приказами Минфина России от 11 июля 2016 года N 111н (зарегистрирован Минюстом России 1 августа 2016 года, регистрационный N 43044), от 17 сентября 2024 года N 127н (зарегистрирован Минюстом России 2 декабря 2024 года, регистрационный N 80431).</w:t>
      </w:r>
    </w:p>
    <w:p>
      <w:pPr>
        <w:pStyle w:val="0"/>
        <w:ind w:firstLine="540"/>
        <w:jc w:val="both"/>
      </w:pPr>
      <w:r>
        <w:rPr>
          <w:sz w:val="24"/>
        </w:rPr>
      </w:r>
    </w:p>
    <w:p>
      <w:pPr>
        <w:pStyle w:val="0"/>
        <w:ind w:firstLine="540"/>
        <w:jc w:val="both"/>
      </w:pPr>
      <w:r>
        <w:rPr>
          <w:sz w:val="24"/>
        </w:rPr>
        <w:t xml:space="preserve">По группе аналитических признаков "Идентификатор связанной стороны" указывается сформированный страховщиком идентификатор связанной стороны страховщика.</w:t>
      </w:r>
    </w:p>
    <w:p>
      <w:pPr>
        <w:pStyle w:val="0"/>
        <w:spacing w:before="240" w:lineRule="auto"/>
        <w:ind w:firstLine="540"/>
        <w:jc w:val="both"/>
      </w:pPr>
      <w:r>
        <w:rPr>
          <w:sz w:val="24"/>
        </w:rPr>
        <w:t xml:space="preserve">Значение идентификатора связанной стороны страховщика, указанное по группе аналитических признаков "Идентификатор связанной стороны", должно соответствовать значению, указанному по группе аналитических признаков "Идентификатор контрагента" показателя "Категория связанной стороны" </w:t>
      </w:r>
      <w:hyperlink w:history="0" w:anchor="P629" w:tooltip="86">
        <w:r>
          <w:rPr>
            <w:sz w:val="24"/>
            <w:color w:val="0000ff"/>
          </w:rPr>
          <w:t xml:space="preserve">(строка 86)</w:t>
        </w:r>
      </w:hyperlink>
      <w:r>
        <w:rPr>
          <w:sz w:val="24"/>
        </w:rPr>
        <w:t xml:space="preserve"> (за исключением категории "Не является связанной стороной") раздела 7 отчетности по форме 0420150 "Общие сведения о страховщике" (далее - отчетность по форме 0420150), по которому отражаются сведения об этой связанной стороне страховщика.</w:t>
      </w:r>
    </w:p>
    <w:p>
      <w:pPr>
        <w:pStyle w:val="0"/>
        <w:spacing w:before="240" w:lineRule="auto"/>
        <w:ind w:firstLine="540"/>
        <w:jc w:val="both"/>
      </w:pPr>
      <w:r>
        <w:rPr>
          <w:sz w:val="24"/>
        </w:rPr>
        <w:t xml:space="preserve">В случае если в течение отчетного периода страховщик прекратил признание лица своей связанной стороной, сведения об указанном лице и об операциях страховщика с ним с даты начала по дату окончания периода, в течение которого указанное лицо признавалось страховщиком его связанной стороной, отражаются по показателям отчетности по </w:t>
      </w:r>
      <w:hyperlink w:history="0" w:anchor="P37230" w:tooltip="Отчетность по форме 0420163">
        <w:r>
          <w:rPr>
            <w:sz w:val="24"/>
            <w:color w:val="0000ff"/>
          </w:rPr>
          <w:t xml:space="preserve">форме 0420163</w:t>
        </w:r>
      </w:hyperlink>
      <w:r>
        <w:rPr>
          <w:sz w:val="24"/>
        </w:rPr>
        <w:t xml:space="preserve">. При этом значение идентификатора связанной стороны страховщика, указанное по группе аналитических признаков "Идентификатор связанной стороны", должно соответствовать значению, указанному по группе аналитических признаков "Идентификатор контрагента" показателя "Категория связанной стороны" </w:t>
      </w:r>
      <w:hyperlink w:history="0" w:anchor="P629" w:tooltip="86">
        <w:r>
          <w:rPr>
            <w:sz w:val="24"/>
            <w:color w:val="0000ff"/>
          </w:rPr>
          <w:t xml:space="preserve">(строка 86)</w:t>
        </w:r>
      </w:hyperlink>
      <w:r>
        <w:rPr>
          <w:sz w:val="24"/>
        </w:rPr>
        <w:t xml:space="preserve"> раздела 7 отчетности по форме 0420150, по которому указано значение "Не является связанной стороной" в отношении этой связанной стороны страховщика.</w:t>
      </w:r>
    </w:p>
    <w:p>
      <w:pPr>
        <w:pStyle w:val="0"/>
        <w:spacing w:before="240" w:lineRule="auto"/>
        <w:ind w:firstLine="540"/>
        <w:jc w:val="both"/>
      </w:pPr>
      <w:r>
        <w:rPr>
          <w:sz w:val="24"/>
        </w:rPr>
        <w:t xml:space="preserve">По аналитическим признакам группы аналитических признаков "Категория связанной стороны" указывается категория связанной стороны страховщика: "Материнское предприятие", "Дочернее предприятие", "Совместно контролируемое предприятие", "Ассоциированное предприятие", "Ключевой управленческий персонал", "Компания под общим контролем", "Прочее".</w:t>
      </w:r>
    </w:p>
    <w:p>
      <w:pPr>
        <w:pStyle w:val="0"/>
        <w:spacing w:before="240" w:lineRule="auto"/>
        <w:ind w:firstLine="540"/>
        <w:jc w:val="both"/>
      </w:pPr>
      <w:r>
        <w:rPr>
          <w:sz w:val="24"/>
        </w:rPr>
        <w:t xml:space="preserve">3. По показателю "Основание (основания), в силу которого (которых) лицо признается связанной стороной" </w:t>
      </w:r>
      <w:hyperlink w:history="0" w:anchor="P37246" w:tooltip="1">
        <w:r>
          <w:rPr>
            <w:sz w:val="24"/>
            <w:color w:val="0000ff"/>
          </w:rPr>
          <w:t xml:space="preserve">(строка 1)</w:t>
        </w:r>
      </w:hyperlink>
      <w:r>
        <w:rPr>
          <w:sz w:val="24"/>
        </w:rPr>
        <w:t xml:space="preserve"> для каждой связанной стороны страховщика указывается основание (основания), в силу которого (которых) лицо признается страховщиком его связанной стороной.</w:t>
      </w:r>
    </w:p>
    <w:p>
      <w:pPr>
        <w:pStyle w:val="0"/>
        <w:spacing w:before="240" w:lineRule="auto"/>
        <w:ind w:firstLine="540"/>
        <w:jc w:val="both"/>
      </w:pPr>
      <w:r>
        <w:rPr>
          <w:sz w:val="24"/>
        </w:rPr>
        <w:t xml:space="preserve">В случае наличия нескольких оснований признания лица связанной стороной страховщика основания указываются через символ ";" (точка с запятой) с отступом (пробелом).</w:t>
      </w:r>
    </w:p>
    <w:p>
      <w:pPr>
        <w:pStyle w:val="0"/>
        <w:spacing w:before="240" w:lineRule="auto"/>
        <w:ind w:firstLine="540"/>
        <w:jc w:val="both"/>
      </w:pPr>
      <w:r>
        <w:rPr>
          <w:sz w:val="24"/>
        </w:rPr>
        <w:t xml:space="preserve">4. По показателю "Дата начала признания лица связанной стороной" </w:t>
      </w:r>
      <w:hyperlink w:history="0" w:anchor="P37254" w:tooltip="2">
        <w:r>
          <w:rPr>
            <w:sz w:val="24"/>
            <w:color w:val="0000ff"/>
          </w:rPr>
          <w:t xml:space="preserve">(строка 2)</w:t>
        </w:r>
      </w:hyperlink>
      <w:r>
        <w:rPr>
          <w:sz w:val="24"/>
        </w:rPr>
        <w:t xml:space="preserve"> для каждой связанной стороны страховщика указывается дата, начиная с которой лицо признается страховщиком его связанной стороной.</w:t>
      </w:r>
    </w:p>
    <w:p>
      <w:pPr>
        <w:pStyle w:val="0"/>
        <w:spacing w:before="240" w:lineRule="auto"/>
        <w:ind w:firstLine="540"/>
        <w:jc w:val="both"/>
      </w:pPr>
      <w:r>
        <w:rPr>
          <w:sz w:val="24"/>
        </w:rPr>
        <w:t xml:space="preserve">По показателю "Дата окончания признания лица связанной стороной" </w:t>
      </w:r>
      <w:hyperlink w:history="0" w:anchor="P37262" w:tooltip="3">
        <w:r>
          <w:rPr>
            <w:sz w:val="24"/>
            <w:color w:val="0000ff"/>
          </w:rPr>
          <w:t xml:space="preserve">(строка 3)</w:t>
        </w:r>
      </w:hyperlink>
      <w:r>
        <w:rPr>
          <w:sz w:val="24"/>
        </w:rPr>
        <w:t xml:space="preserve"> для каждой связанной стороны страховщика указывается дата, по которую лицо признавалось страховщиком его связанной стороной.</w:t>
      </w:r>
    </w:p>
    <w:p>
      <w:pPr>
        <w:pStyle w:val="0"/>
        <w:spacing w:before="240" w:lineRule="auto"/>
        <w:ind w:firstLine="540"/>
        <w:jc w:val="both"/>
      </w:pPr>
      <w:r>
        <w:rPr>
          <w:sz w:val="24"/>
        </w:rPr>
        <w:t xml:space="preserve">Даты начала и окончания признания лица связанной стороной страховщика должны находиться в пределах отчетного периода. В случае если лицо признавалось страховщиком его связанной стороной до наступления отчетного периода, по показателю "Дата начала признания лица связанной стороной" </w:t>
      </w:r>
      <w:hyperlink w:history="0" w:anchor="P37254" w:tooltip="2">
        <w:r>
          <w:rPr>
            <w:sz w:val="24"/>
            <w:color w:val="0000ff"/>
          </w:rPr>
          <w:t xml:space="preserve">(строка 2)</w:t>
        </w:r>
      </w:hyperlink>
      <w:r>
        <w:rPr>
          <w:sz w:val="24"/>
        </w:rPr>
        <w:t xml:space="preserve"> указывается дата начала отчетного периода. В случае если лицо признается страховщиком его связанной стороной после окончания отчетного периода, по показателю "Дата окончания признания лица связанной стороной" </w:t>
      </w:r>
      <w:hyperlink w:history="0" w:anchor="P37262" w:tooltip="3">
        <w:r>
          <w:rPr>
            <w:sz w:val="24"/>
            <w:color w:val="0000ff"/>
          </w:rPr>
          <w:t xml:space="preserve">(строка 3)</w:t>
        </w:r>
      </w:hyperlink>
      <w:r>
        <w:rPr>
          <w:sz w:val="24"/>
        </w:rPr>
        <w:t xml:space="preserve"> указывается дата окончания отчетного периода.</w:t>
      </w:r>
    </w:p>
    <w:p>
      <w:pPr>
        <w:pStyle w:val="0"/>
        <w:spacing w:before="240" w:lineRule="auto"/>
        <w:ind w:firstLine="540"/>
        <w:jc w:val="both"/>
      </w:pPr>
      <w:r>
        <w:rPr>
          <w:sz w:val="24"/>
        </w:rPr>
        <w:t xml:space="preserve">5. По показателю "Остаток на конец отчетного периода показателя бухгалтерского баланса по операциям со связанными сторонами" </w:t>
      </w:r>
      <w:hyperlink w:history="0" w:anchor="P37271" w:tooltip="4">
        <w:r>
          <w:rPr>
            <w:sz w:val="24"/>
            <w:color w:val="0000ff"/>
          </w:rPr>
          <w:t xml:space="preserve">(строка 4)</w:t>
        </w:r>
      </w:hyperlink>
      <w:r>
        <w:rPr>
          <w:sz w:val="24"/>
        </w:rPr>
        <w:t xml:space="preserve"> для каждой связанной стороны страховщика указывается сумма остатка на конец отчетного периода по операциям со связанной стороной страховщика, указанным по аналитическим признакам группы аналитических признаков "Наименование показателя бухгалтерского баланса".</w:t>
      </w:r>
    </w:p>
    <w:p>
      <w:pPr>
        <w:pStyle w:val="0"/>
        <w:spacing w:before="240" w:lineRule="auto"/>
        <w:ind w:firstLine="540"/>
        <w:jc w:val="both"/>
      </w:pPr>
      <w:r>
        <w:rPr>
          <w:sz w:val="24"/>
        </w:rPr>
        <w:t xml:space="preserve">По аналитическим признакам группы аналитических признаков "Наименование показателя бухгалтерского баланса" указываются наименования показателей, отражающие остатки по операциям со связанной стороной страховщика, предусмотренные </w:t>
      </w:r>
      <w:hyperlink w:history="0" r:id="rId610"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формой 0420125</w:t>
        </w:r>
      </w:hyperlink>
      <w:r>
        <w:rPr>
          <w:sz w:val="24"/>
        </w:rPr>
        <w:t xml:space="preserve"> "Бухгалтерский баланс страховой организации" (для страховой организации) и </w:t>
      </w:r>
      <w:hyperlink w:history="0" r:id="rId611"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формой 0420140</w:t>
        </w:r>
      </w:hyperlink>
      <w:r>
        <w:rPr>
          <w:sz w:val="24"/>
        </w:rPr>
        <w:t xml:space="preserve"> "Бухгалтерский баланс общества взаимного страхования" (для общества взаимного страхования), установленными Положением Банка России от 6 июля 2020 года N 728-П "О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 &lt;2&gt; (далее соответственно - Положение Банка России N 728-П, бухгалтерский баланс) (за исключением наименований показателей "финансовые активы, классифицируемые как оцениваемые по справедливой стоимости через прибыль или убыток по усмотрению страховой организации" и "финансовые активы, классифицируемые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"Финансовые активы, классифицируемые как оцениваемые по справедливой стоимости через прибыль или убыток по усмотрению страховщика"; наименований показателей "финансовые обязательства, классифицируемые как оцениваемые по справедливой стоимости через прибыль или убыток по усмотрению страховой организации" и "финансовые обязательства, классифицируемые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"Финансовые обязательства, классифицируемые как оцениваемые по справедливой стоимости через прибыль или убыток по усмотрению страховщика").</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Зарегистрировано Минюстом России 5 августа 2020 года, регистрационный N 59191, с изменениями, внесенными Указаниями Банка России от 4 октября 2021 года N 5961-У (зарегистрировано Минюстом России 1 декабря 2021 года, регистрационный N 66179), от 16 августа 2022 года N 6219-У (зарегистрировано Минюстом России 20 сентября 2022 года, регистрационный N 70157), от 16 августа 2023 года N 6508-У (зарегистрировано Минюстом России 20 сентября 2023 года, регистрационный N 75277), от 10 сентября 2024 года N 6846-У (зарегистрировано Минюстом России 17 октября 2024 года, регистрационный N 79804).</w:t>
      </w:r>
    </w:p>
    <w:p>
      <w:pPr>
        <w:pStyle w:val="0"/>
        <w:ind w:firstLine="540"/>
        <w:jc w:val="both"/>
      </w:pPr>
      <w:r>
        <w:rPr>
          <w:sz w:val="24"/>
        </w:rPr>
      </w:r>
    </w:p>
    <w:p>
      <w:pPr>
        <w:pStyle w:val="0"/>
        <w:ind w:firstLine="540"/>
        <w:jc w:val="both"/>
      </w:pPr>
      <w:r>
        <w:rPr>
          <w:sz w:val="24"/>
        </w:rPr>
        <w:t xml:space="preserve">По группе аналитических признаков "Наименование показателя бухгалтерского баланса":</w:t>
      </w:r>
    </w:p>
    <w:p>
      <w:pPr>
        <w:pStyle w:val="0"/>
        <w:spacing w:before="240" w:lineRule="auto"/>
        <w:ind w:firstLine="540"/>
        <w:jc w:val="both"/>
      </w:pPr>
      <w:r>
        <w:rPr>
          <w:sz w:val="24"/>
        </w:rPr>
        <w:t xml:space="preserve">страховые организации не указывают значения по аналитическим признакам "Активы по портфелям договоров страхования, учитываемых на счетах бухгалтерского учета в соответствии с требованиями </w:t>
      </w:r>
      <w:hyperlink w:history="0" r:id="rId612"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и "Обязательства по портфелям договоров страхования, учитываемых на счетах бухгалтерского учета в соответствии с требованиями </w:t>
      </w:r>
      <w:hyperlink w:history="0" r:id="rId613"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w:t>
      </w:r>
    </w:p>
    <w:p>
      <w:pPr>
        <w:pStyle w:val="0"/>
        <w:spacing w:before="240" w:lineRule="auto"/>
        <w:ind w:firstLine="540"/>
        <w:jc w:val="both"/>
      </w:pPr>
      <w:r>
        <w:rPr>
          <w:sz w:val="24"/>
        </w:rPr>
        <w:t xml:space="preserve">общества взаимного страхования не указывают значения по аналитическим признакам "Активы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614"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 и "Обязательства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615"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r>
        <w:rPr>
          <w:sz w:val="24"/>
        </w:rPr>
        <w:t xml:space="preserve">".</w:t>
      </w:r>
    </w:p>
    <w:p>
      <w:pPr>
        <w:pStyle w:val="0"/>
        <w:spacing w:before="240" w:lineRule="auto"/>
        <w:ind w:firstLine="540"/>
        <w:jc w:val="both"/>
      </w:pPr>
      <w:r>
        <w:rPr>
          <w:sz w:val="24"/>
        </w:rPr>
        <w:t xml:space="preserve">6. По показателю "Сумма за отчетный период показателя отчета о финансовых результатах по операциям со связанными сторонами" </w:t>
      </w:r>
      <w:hyperlink w:history="0" w:anchor="P37304" w:tooltip="6">
        <w:r>
          <w:rPr>
            <w:sz w:val="24"/>
            <w:color w:val="0000ff"/>
          </w:rPr>
          <w:t xml:space="preserve">(строка 6)</w:t>
        </w:r>
      </w:hyperlink>
      <w:r>
        <w:rPr>
          <w:sz w:val="24"/>
        </w:rPr>
        <w:t xml:space="preserve"> для каждой связанной стороны страховщика указывается сумма доходов и расходов по операциям со связанной стороной страховщика, указанным по аналитическим признакам группы аналитических признаков "Наименование показателя отчета о финансовых результатах".</w:t>
      </w:r>
    </w:p>
    <w:p>
      <w:pPr>
        <w:pStyle w:val="0"/>
        <w:spacing w:before="240" w:lineRule="auto"/>
        <w:ind w:firstLine="540"/>
        <w:jc w:val="both"/>
      </w:pPr>
      <w:r>
        <w:rPr>
          <w:sz w:val="24"/>
        </w:rPr>
        <w:t xml:space="preserve">По аналитическим признакам группы аналитических признаков "Наименование показателя отчета о финансовых результатах" указываются наименования показателей, отражающие доходы и (или) расходы по операциям со связанной стороной страховщика, предусмотренные </w:t>
      </w:r>
      <w:hyperlink w:history="0" r:id="rId616"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формой 0420126</w:t>
        </w:r>
      </w:hyperlink>
      <w:r>
        <w:rPr>
          <w:sz w:val="24"/>
        </w:rPr>
        <w:t xml:space="preserve"> "Отчет о финансовых результатах страховой организации" (для страховой организации) и </w:t>
      </w:r>
      <w:hyperlink w:history="0" r:id="rId617"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формой 0420142</w:t>
        </w:r>
      </w:hyperlink>
      <w:r>
        <w:rPr>
          <w:sz w:val="24"/>
        </w:rPr>
        <w:t xml:space="preserve"> "Отчет о финансовых результатах общества взаимного страхования" (для общества взаимного страхования), установленными Положением Банка России N 728-П (далее - отчет о финансовых результатах) (за исключением наименований показателей "доходы за вычетом расходов (расходы за вычетом доходов) от операций с финансовыми активами, классифицируемыми как оцениваемые по справедливой стоимости через прибыль или убыток по усмотрению страховой организации" и "доходы за вычетом расходов (расходы за вычетом доходов) от операций с финансовыми активами, классифицируемыми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"Доходы за вычетом расходов (расходы за вычетом доходов) от операций с финансовыми активами, классифицируемыми как оцениваемые по справедливой стоимости через прибыль или убыток по усмотрению страховщика"; наименований показателей "Доходы за вычетом расходов (расходы за вычетом доходов) от операций с финансовыми обязательствами, классифицируемыми как оцениваемые по справедливой стоимости через прибыль или убыток по усмотрению страховой организации" и "Доходы за вычетом расходов (расходы за вычетом доходов) от операций с финансовыми обязательствами, классифицируемыми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"Доходы за вычетом расходов (расходы за вычетом доходов) от операций с финансовыми обязательствами, классифицируемыми как оцениваемые по справедливой стоимости через прибыль или убыток по усмотрению страховщика"; наименования показателя "Прочие доходы", вместо которого указывается наименование аналитического признака "Прочие операционные доходы"; наименования показателя "Прочие расходы", вместо которого указывается наименование аналитического признака "Прочие операционные расходы").</w:t>
      </w:r>
    </w:p>
    <w:p>
      <w:pPr>
        <w:pStyle w:val="0"/>
        <w:spacing w:before="240" w:lineRule="auto"/>
        <w:ind w:firstLine="540"/>
        <w:jc w:val="both"/>
      </w:pPr>
      <w:r>
        <w:rPr>
          <w:sz w:val="24"/>
        </w:rPr>
        <w:t xml:space="preserve">По группе аналитических признаков "Наименование показателя отчета о финансовых результатах":</w:t>
      </w:r>
    </w:p>
    <w:p>
      <w:pPr>
        <w:pStyle w:val="0"/>
        <w:spacing w:before="240" w:lineRule="auto"/>
        <w:ind w:firstLine="540"/>
        <w:jc w:val="both"/>
      </w:pPr>
      <w:r>
        <w:rPr>
          <w:sz w:val="24"/>
        </w:rPr>
        <w:t xml:space="preserve">страховые организации не указывают значение по аналитическому признаку "Финансовые доходы (расходы) по страхованию по группам договоров страхования";</w:t>
      </w:r>
    </w:p>
    <w:p>
      <w:pPr>
        <w:pStyle w:val="0"/>
        <w:spacing w:before="240" w:lineRule="auto"/>
        <w:ind w:firstLine="540"/>
        <w:jc w:val="both"/>
      </w:pPr>
      <w:r>
        <w:rPr>
          <w:sz w:val="24"/>
        </w:rPr>
        <w:t xml:space="preserve">общества взаимного страхования не указывают значения по аналитическим признакам "Финансовые доходы (расходы) по страхованию по группам договоров страхования и выпущенных (принятых) договоров перестрахования", "Доходы по договорам обязательного медицинского страхования" и "Расходы по договорам обязательного медицинского страхования".</w:t>
      </w:r>
    </w:p>
    <w:p>
      <w:pPr>
        <w:pStyle w:val="0"/>
        <w:spacing w:before="240" w:lineRule="auto"/>
        <w:ind w:firstLine="540"/>
        <w:jc w:val="both"/>
      </w:pPr>
      <w:r>
        <w:rPr>
          <w:sz w:val="24"/>
        </w:rPr>
        <w:t xml:space="preserve">7. По показателю "Сумма за отчетный период показателя отчета о движении денежных средств по операциям со связанными сторонами" </w:t>
      </w:r>
      <w:hyperlink w:history="0" w:anchor="P37329" w:tooltip="8">
        <w:r>
          <w:rPr>
            <w:sz w:val="24"/>
            <w:color w:val="0000ff"/>
          </w:rPr>
          <w:t xml:space="preserve">(строка 8)</w:t>
        </w:r>
      </w:hyperlink>
      <w:r>
        <w:rPr>
          <w:sz w:val="24"/>
        </w:rPr>
        <w:t xml:space="preserve"> для каждой связанной стороны страховщика указывается сумма денежных средств по операциям со связанной стороной страховщика, указанным по аналитическим признакам группы аналитических признаков "Наименование показателя отчета о движении денежных средств".</w:t>
      </w:r>
    </w:p>
    <w:p>
      <w:pPr>
        <w:pStyle w:val="0"/>
        <w:spacing w:before="240" w:lineRule="auto"/>
        <w:ind w:firstLine="540"/>
        <w:jc w:val="both"/>
      </w:pPr>
      <w:r>
        <w:rPr>
          <w:sz w:val="24"/>
        </w:rPr>
        <w:t xml:space="preserve">По аналитическим признакам группы аналитических признаков "Наименование показателя отчета о движении денежных средств" указываются наименования показателей, отражающих движение денежных средств по операциям со связанной стороной страховщика, предусмотренные </w:t>
      </w:r>
      <w:hyperlink w:history="0" r:id="rId618"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формой 0420128</w:t>
        </w:r>
      </w:hyperlink>
      <w:r>
        <w:rPr>
          <w:sz w:val="24"/>
        </w:rPr>
        <w:t xml:space="preserve"> "Отчет о движении денежных средств страховой организации" (для страховой организации) и </w:t>
      </w:r>
      <w:hyperlink w:history="0" r:id="rId619" w:tooltip="Положение Банка России от 06.07.2020 N 728-П (ред. от 10.09.2024) &quot;О формах раскрытия информации в бухгалтерской (финансовой) отчетности страховых организаций и обществ взаимного страхования и порядке группировки счетов бухгалтерского учета в соответствии с показателями бухгалтерской (финансовой) отчетности&quot; (Зарегистрировано в Минюсте России 05.08.2020 N 59191) {КонсультантПлюс}">
        <w:r>
          <w:rPr>
            <w:sz w:val="24"/>
            <w:color w:val="0000ff"/>
          </w:rPr>
          <w:t xml:space="preserve">формой 0420144</w:t>
        </w:r>
      </w:hyperlink>
      <w:r>
        <w:rPr>
          <w:sz w:val="24"/>
        </w:rPr>
        <w:t xml:space="preserve"> "Отчет о движении денежных средств общества взаимного страхования" (для общества взаимного страхования), установленными Положением Банка России N 728-П (далее - отчет о движении денежных средств) (за исключением наименований показателей "Поступления от продажи и погашения финансовых активов, классифицируемых как оцениваемые по справедливой стоимости через прибыль или убыток по усмотрению страховой организации" и "Поступления от продажи и погашения финансовых активов, классифицируемых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"Поступления от продажи и погашения финансовых активов, классифицируемых как оцениваемые по справедливой стоимости через прибыль или убыток по усмотрению страховщика"; наименований показателей "Платежи в связи с приобретением финансовых активов, классифицируемых как оцениваемые по справедливой стоимости через прибыль или убыток по усмотрению страховой организации" и "Платежи в связи с приобретением финансовых активов, классифицируемых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"Платежи в связи с приобретением финансовых активов, классифицируемых как оцениваемые по справедливой стоимости через прибыль или убыток по усмотрению страховщика"; наименований показателей "Поступления от размещения финансовых обязательств, классифицируемых как оцениваемые по справедливой стоимости через прибыль или убыток по усмотрению страховой организации" и "Поступления от размещения финансовых обязательств, классифицируемых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"Поступления от размещения финансовых обязательств, классифицируемых как оцениваемые по справедливой стоимости через прибыль или убыток по усмотрению страховщика"; наименований показателей "Платежи в связи с погашением финансовых обязательств, классифицируемых как оцениваемые по справедливой стоимости через прибыль или убыток по усмотрению страховой организации" и "Платежи в связи с погашением финансовых обязательств, классифицируемых как оцениваемые по справедливой стоимости через прибыль или убыток по усмотрению общества взаимного страхования", вместо которых указывается наименование аналитического признака "Платежи в связи с погашением финансовых обязательств, классифицируемых как оцениваемые по справедливой стоимости через прибыль или убыток по усмотрению страховщика").</w:t>
      </w:r>
    </w:p>
    <w:p>
      <w:pPr>
        <w:pStyle w:val="0"/>
        <w:spacing w:before="240" w:lineRule="auto"/>
        <w:ind w:firstLine="540"/>
        <w:jc w:val="both"/>
      </w:pPr>
      <w:r>
        <w:rPr>
          <w:sz w:val="24"/>
        </w:rPr>
        <w:t xml:space="preserve">По группе аналитических признаков "Наименование показателя отчета о движении денежных средств":</w:t>
      </w:r>
    </w:p>
    <w:p>
      <w:pPr>
        <w:pStyle w:val="0"/>
        <w:spacing w:before="240" w:lineRule="auto"/>
        <w:ind w:firstLine="540"/>
        <w:jc w:val="both"/>
      </w:pPr>
      <w:r>
        <w:rPr>
          <w:sz w:val="24"/>
        </w:rPr>
        <w:t xml:space="preserve">страховые организации не указывают значения по аналитическим признакам "Страховые премии, полученные по договорам страхования иного, чем страхование жизни", "Выплаты, уплаченные по договорам страхования иного, чем страхование жизни", "Прочие денежные потоки по договорам страхования" и "Поступления от взносов членов общества";</w:t>
      </w:r>
    </w:p>
    <w:p>
      <w:pPr>
        <w:pStyle w:val="0"/>
        <w:spacing w:before="240" w:lineRule="auto"/>
        <w:ind w:firstLine="540"/>
        <w:jc w:val="both"/>
      </w:pPr>
      <w:r>
        <w:rPr>
          <w:sz w:val="24"/>
        </w:rPr>
        <w:t xml:space="preserve">общества взаимного страхования не указывают значения по аналитическим признакам "Страховые премии, полученные по договорам страхования жизни и выпущенным (принятым) договорам перестрахования жизни", "Страховые премии, полученные по договорам страхования иного, чем страхование жизни, и выпущенным (принятым) договорам перестрахования иного, чем страхование жизни", "Выплаты, уплаченные по договорам страхования жизни и выпущенным (принятым) договорам перестрахования жизни", "Выплаты, уплаченные по договорам страхования иного, чем страхование жизни, и выпущенным (принятым) договорам перестрахования иного, чем страхование жизни", "Поступления, полученные по договорам страхования жизни, классифицируемым как оцениваемые по справедливой стоимости через прибыль или убыток по усмотрению страховой организации", "Выплаты, уплаченные по договорам страхования жизни, классифицируемым как оцениваемые по справедливой стоимости через прибыль или убыток по усмотрению страховой организации", "Поступления, полученные по договорам страхования жизни, оцениваемым по амортизированной стоимости", "Выплаты, уплаченные по договорам страхования жизни, оцениваемым по амортизированной стоимости", "Поступления в оплату возмещенного вреда по прямому возмещению убытков от страховщика причинителя вреда", "Платежи по оплате возмещенного вреда по прямому возмещению убытков", "Платежи потерпевшим по прямому возмещению убытков", "Платежи профессиональным объединениям страховщиков, предусмотренные законодательством Российской Федерации", "Прочие денежные потоки по договорам страхования и выпущенным (принятым) договорам перестрахования", "Поступления по договорам обязательного медицинского страхования", "Платежи по договорам обязательного медицинского страхования", "Поступления от выпуска акций, увеличения долей участия и внесения вкладов собственниками (участниками)", "Поступления от продажи собственных акций (долей участия), принадлежащих обществу", "Платежи акционерам (участникам) в связи с выкупом у них собственных акций (долей участия) или их выходом из состава участников", "Выплаченные дивиденды", "Поступления от выпуска облигаций, векселей и других долговых ценных бумаг, оцениваемых по амортизированной стоимости" и "Платежи в связи с погашением (выкупом) облигаций, векселей и других долговых ценных бумаг, оцениваемых по амортизированной стоимости".</w:t>
      </w:r>
    </w:p>
    <w:p>
      <w:pPr>
        <w:pStyle w:val="0"/>
        <w:spacing w:before="240" w:lineRule="auto"/>
        <w:ind w:firstLine="540"/>
        <w:jc w:val="both"/>
      </w:pPr>
      <w:r>
        <w:rPr>
          <w:sz w:val="24"/>
        </w:rPr>
        <w:t xml:space="preserve">По значению аналитического признака "Погашение кредитов, займов и прочих привлеченных средств, оцениваемых по амортизированной стоимости" группы аналитических признаков "Наименование показателя отчета о движении денежных средств" отражается также значение аналитического признака "Платежи в погашение обязательств по договорам аренды" указанной группы аналитических признаков.</w:t>
      </w:r>
    </w:p>
    <w:p>
      <w:pPr>
        <w:pStyle w:val="0"/>
        <w:spacing w:before="240" w:lineRule="auto"/>
        <w:ind w:firstLine="540"/>
        <w:jc w:val="both"/>
      </w:pPr>
      <w:r>
        <w:rPr>
          <w:sz w:val="24"/>
        </w:rPr>
        <w:t xml:space="preserve">8. Сведения об операциях со связанными сторонами страховщика указываются в </w:t>
      </w:r>
      <w:hyperlink w:history="0" w:anchor="P37270" w:tooltip="Раздел 2. Остатки по операциям со связанными сторонами">
        <w:r>
          <w:rPr>
            <w:sz w:val="24"/>
            <w:color w:val="0000ff"/>
          </w:rPr>
          <w:t xml:space="preserve">разделах 2</w:t>
        </w:r>
      </w:hyperlink>
      <w:r>
        <w:rPr>
          <w:sz w:val="24"/>
        </w:rPr>
        <w:t xml:space="preserve"> - </w:t>
      </w:r>
      <w:hyperlink w:history="0" w:anchor="P37328" w:tooltip="Раздел 4. Движение денежных средств по операциям со связанными сторонами">
        <w:r>
          <w:rPr>
            <w:sz w:val="24"/>
            <w:color w:val="0000ff"/>
          </w:rPr>
          <w:t xml:space="preserve">4</w:t>
        </w:r>
      </w:hyperlink>
      <w:r>
        <w:rPr>
          <w:sz w:val="24"/>
        </w:rPr>
        <w:t xml:space="preserve"> отчетности по форме 0420163 только по тем показателям бухгалтерского баланса, отчета о финансовых результатах или отчета о движении денежных средств, по которым страховщик может определить влияние конкретной связанной стороны страховщика.</w:t>
      </w:r>
    </w:p>
    <w:p>
      <w:pPr>
        <w:pStyle w:val="0"/>
        <w:spacing w:before="240" w:lineRule="auto"/>
        <w:ind w:firstLine="540"/>
        <w:jc w:val="both"/>
      </w:pPr>
      <w:r>
        <w:rPr>
          <w:sz w:val="24"/>
        </w:rPr>
        <w:t xml:space="preserve">В случае если сумма операций со связанной стороной страховщика составляет менее 0,5 процента от общей суммы по показателю бухгалтерского баланса, отчета о финансовых результатах или отчета о движении денежных средств, по показателям "Совокупный остаток показателя бухгалтерского баланса" </w:t>
      </w:r>
      <w:hyperlink w:history="0" w:anchor="P37283" w:tooltip="5">
        <w:r>
          <w:rPr>
            <w:sz w:val="24"/>
            <w:color w:val="0000ff"/>
          </w:rPr>
          <w:t xml:space="preserve">(строка 5)</w:t>
        </w:r>
      </w:hyperlink>
      <w:r>
        <w:rPr>
          <w:sz w:val="24"/>
        </w:rPr>
        <w:t xml:space="preserve">, "Совокупная величина показателя отчета о финансовых результатах" </w:t>
      </w:r>
      <w:hyperlink w:history="0" w:anchor="P37316" w:tooltip="7">
        <w:r>
          <w:rPr>
            <w:sz w:val="24"/>
            <w:color w:val="0000ff"/>
          </w:rPr>
          <w:t xml:space="preserve">(строка 7)</w:t>
        </w:r>
      </w:hyperlink>
      <w:r>
        <w:rPr>
          <w:sz w:val="24"/>
        </w:rPr>
        <w:t xml:space="preserve">, "Совокупная величина показателя отчета о движении денежных средств" </w:t>
      </w:r>
      <w:hyperlink w:history="0" w:anchor="P37341" w:tooltip="9">
        <w:r>
          <w:rPr>
            <w:sz w:val="24"/>
            <w:color w:val="0000ff"/>
          </w:rPr>
          <w:t xml:space="preserve">(строка 9)</w:t>
        </w:r>
      </w:hyperlink>
      <w:r>
        <w:rPr>
          <w:sz w:val="24"/>
        </w:rPr>
        <w:t xml:space="preserve"> указываются соответственно общая сумма по показателю бухгалтерского баланса, отчета о финансовых результатах или отчета о движении денежных средств. По показателям "Совокупный остаток показателя бухгалтерского баланса" </w:t>
      </w:r>
      <w:hyperlink w:history="0" w:anchor="P37283" w:tooltip="5">
        <w:r>
          <w:rPr>
            <w:sz w:val="24"/>
            <w:color w:val="0000ff"/>
          </w:rPr>
          <w:t xml:space="preserve">(строка 5)</w:t>
        </w:r>
      </w:hyperlink>
      <w:r>
        <w:rPr>
          <w:sz w:val="24"/>
        </w:rPr>
        <w:t xml:space="preserve">, "Совокупная величина показателя отчета о финансовых результатах" </w:t>
      </w:r>
      <w:hyperlink w:history="0" w:anchor="P37316" w:tooltip="7">
        <w:r>
          <w:rPr>
            <w:sz w:val="24"/>
            <w:color w:val="0000ff"/>
          </w:rPr>
          <w:t xml:space="preserve">(строка 7)</w:t>
        </w:r>
      </w:hyperlink>
      <w:r>
        <w:rPr>
          <w:sz w:val="24"/>
        </w:rPr>
        <w:t xml:space="preserve">, "Совокупная величина показателя отчета о движении денежных средств" </w:t>
      </w:r>
      <w:hyperlink w:history="0" w:anchor="P37341" w:tooltip="9">
        <w:r>
          <w:rPr>
            <w:sz w:val="24"/>
            <w:color w:val="0000ff"/>
          </w:rPr>
          <w:t xml:space="preserve">(строка 9)</w:t>
        </w:r>
      </w:hyperlink>
      <w:r>
        <w:rPr>
          <w:sz w:val="24"/>
        </w:rPr>
        <w:t xml:space="preserve"> сведения указываются в разрезе категорий связанных сторон страховщика (по аналитическим признакам группы аналитических признаков "Категория связанной стороны") с отражением информации о показателе бухгалтерского баланса, отчета о финансовых результатах, отчета о движении денежных средств (по аналитическим признакам группы аналитических признаков "Наименование показателя бухгалтерского баланса", "Наименование показателя отчета о финансовых результатах", "Наименование показателя отчета о движении денежных средств" соответственно).</w:t>
      </w:r>
    </w:p>
    <w:p>
      <w:pPr>
        <w:pStyle w:val="0"/>
        <w:spacing w:before="240" w:lineRule="auto"/>
        <w:ind w:firstLine="540"/>
        <w:jc w:val="both"/>
      </w:pPr>
      <w:r>
        <w:rPr>
          <w:sz w:val="24"/>
        </w:rPr>
        <w:t xml:space="preserve">В случае отсутствия у страховщика возможности определить влияние конкретной связанной стороны страховщика по показателям бухгалтерского баланса, отчета о финансовых результатах или отчета о движении денежных средств сведения об операциях со связанной стороной страховщика в </w:t>
      </w:r>
      <w:hyperlink w:history="0" w:anchor="P37270" w:tooltip="Раздел 2. Остатки по операциям со связанными сторонами">
        <w:r>
          <w:rPr>
            <w:sz w:val="24"/>
            <w:color w:val="0000ff"/>
          </w:rPr>
          <w:t xml:space="preserve">раздел 2</w:t>
        </w:r>
      </w:hyperlink>
      <w:r>
        <w:rPr>
          <w:sz w:val="24"/>
        </w:rPr>
        <w:t xml:space="preserve">, </w:t>
      </w:r>
      <w:hyperlink w:history="0" w:anchor="P37303" w:tooltip="Раздел 3. Доходы и расходы по операциям со связанными сторонами">
        <w:r>
          <w:rPr>
            <w:sz w:val="24"/>
            <w:color w:val="0000ff"/>
          </w:rPr>
          <w:t xml:space="preserve">3</w:t>
        </w:r>
      </w:hyperlink>
      <w:r>
        <w:rPr>
          <w:sz w:val="24"/>
        </w:rPr>
        <w:t xml:space="preserve"> или </w:t>
      </w:r>
      <w:hyperlink w:history="0" w:anchor="P37328" w:tooltip="Раздел 4. Движение денежных средств по операциям со связанными сторонами">
        <w:r>
          <w:rPr>
            <w:sz w:val="24"/>
            <w:color w:val="0000ff"/>
          </w:rPr>
          <w:t xml:space="preserve">4</w:t>
        </w:r>
      </w:hyperlink>
      <w:r>
        <w:rPr>
          <w:sz w:val="24"/>
        </w:rPr>
        <w:t xml:space="preserve"> отчетности по форме 0420163 не включаются.</w:t>
      </w:r>
    </w:p>
    <w:p>
      <w:pPr>
        <w:pStyle w:val="0"/>
        <w:spacing w:before="240" w:lineRule="auto"/>
        <w:ind w:firstLine="540"/>
        <w:jc w:val="both"/>
      </w:pPr>
      <w:r>
        <w:rPr>
          <w:sz w:val="24"/>
        </w:rPr>
        <w:t xml:space="preserve">9. Информация о размере вознаграждения ключевому управленческому персоналу отражается по показателям "Совокупный остаток показателя бухгалтерского баланса" </w:t>
      </w:r>
      <w:hyperlink w:history="0" w:anchor="P37283" w:tooltip="5">
        <w:r>
          <w:rPr>
            <w:sz w:val="24"/>
            <w:color w:val="0000ff"/>
          </w:rPr>
          <w:t xml:space="preserve">(строка 5)</w:t>
        </w:r>
      </w:hyperlink>
      <w:r>
        <w:rPr>
          <w:sz w:val="24"/>
        </w:rPr>
        <w:t xml:space="preserve">, "Совокупная величина показателя отчета о финансовых результатах" </w:t>
      </w:r>
      <w:hyperlink w:history="0" w:anchor="P37316" w:tooltip="7">
        <w:r>
          <w:rPr>
            <w:sz w:val="24"/>
            <w:color w:val="0000ff"/>
          </w:rPr>
          <w:t xml:space="preserve">(строка 7)</w:t>
        </w:r>
      </w:hyperlink>
      <w:r>
        <w:rPr>
          <w:sz w:val="24"/>
        </w:rPr>
        <w:t xml:space="preserve">, "Совокупная величина показателя отчета о движении денежных средств" </w:t>
      </w:r>
      <w:hyperlink w:history="0" w:anchor="P37341" w:tooltip="9">
        <w:r>
          <w:rPr>
            <w:sz w:val="24"/>
            <w:color w:val="0000ff"/>
          </w:rPr>
          <w:t xml:space="preserve">(строка 9)</w:t>
        </w:r>
      </w:hyperlink>
      <w:r>
        <w:rPr>
          <w:sz w:val="24"/>
        </w:rPr>
        <w:t xml:space="preserve"> общей суммой (по аналитическому признаку "Ключевой управленческий персонал" группы аналитических признаков "Категория связанной стороны") с отражением наименования показателя бухгалтерского баланса, отчета о финансовых результатах, отчета о движении денежных средств (по аналитическим признакам группы аналитических признаков "Наименование показателя бухгалтерского баланса", "Наименование показателя отчета о финансовых результатах", "Наименование показателя отчета о движении денежных средств" соответственно).</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7402" w:name="P37402"/>
    <w:bookmarkEnd w:id="37402"/>
    <w:p>
      <w:pPr>
        <w:pStyle w:val="0"/>
        <w:jc w:val="center"/>
      </w:pPr>
      <w:r>
        <w:rPr>
          <w:sz w:val="24"/>
        </w:rPr>
        <w:t xml:space="preserve">Отчетность по форме 0420164</w:t>
      </w:r>
    </w:p>
    <w:p>
      <w:pPr>
        <w:pStyle w:val="0"/>
        <w:jc w:val="center"/>
      </w:pPr>
      <w:r>
        <w:rPr>
          <w:sz w:val="24"/>
        </w:rPr>
        <w:t xml:space="preserve">"Оборотная ведомость по счетам бухгалтерского</w:t>
      </w:r>
    </w:p>
    <w:p>
      <w:pPr>
        <w:pStyle w:val="0"/>
        <w:jc w:val="center"/>
      </w:pPr>
      <w:r>
        <w:rPr>
          <w:sz w:val="24"/>
        </w:rPr>
        <w:t xml:space="preserve">учета страховщика"</w:t>
      </w:r>
    </w:p>
    <w:p>
      <w:pPr>
        <w:pStyle w:val="0"/>
        <w:ind w:firstLine="540"/>
        <w:jc w:val="both"/>
      </w:pPr>
      <w:r>
        <w:rPr>
          <w:sz w:val="24"/>
        </w:rPr>
      </w:r>
    </w:p>
    <w:p>
      <w:pPr>
        <w:pStyle w:val="0"/>
        <w:jc w:val="right"/>
      </w:pPr>
      <w:r>
        <w:rPr>
          <w:sz w:val="24"/>
        </w:rPr>
        <w:t xml:space="preserve">Код формы по </w:t>
      </w:r>
      <w:hyperlink w:history="0" r:id="rId62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456" w:tooltip="&lt;1&gt; Общероссийский классификатор управленческой документации.">
        <w:r>
          <w:rPr>
            <w:sz w:val="24"/>
            <w:color w:val="0000ff"/>
          </w:rPr>
          <w:t xml:space="preserve">&lt;1&gt;</w:t>
        </w:r>
      </w:hyperlink>
      <w:r>
        <w:rPr>
          <w:sz w:val="24"/>
        </w:rPr>
        <w:t xml:space="preserve"> 0420164</w:t>
      </w:r>
    </w:p>
    <w:p>
      <w:pPr>
        <w:pStyle w:val="0"/>
        <w:ind w:firstLine="540"/>
        <w:jc w:val="both"/>
      </w:pPr>
      <w:r>
        <w:rPr>
          <w:sz w:val="24"/>
        </w:rPr>
      </w:r>
    </w:p>
    <w:p>
      <w:pPr>
        <w:pStyle w:val="0"/>
        <w:jc w:val="right"/>
      </w:pPr>
      <w:r>
        <w:rPr>
          <w:sz w:val="24"/>
        </w:rPr>
        <w:t xml:space="preserve">Месячная, квартальная, годовая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7418" w:name="P37418"/>
          <w:bookmarkEnd w:id="37418"/>
          <w:p>
            <w:pPr>
              <w:pStyle w:val="0"/>
            </w:pPr>
            <w:r>
              <w:rPr>
                <w:sz w:val="24"/>
              </w:rPr>
              <w:t xml:space="preserve">1</w:t>
            </w:r>
          </w:p>
        </w:tc>
        <w:tc>
          <w:tcPr>
            <w:tcW w:w="2608" w:type="dxa"/>
          </w:tcPr>
          <w:p>
            <w:pPr>
              <w:pStyle w:val="0"/>
            </w:pPr>
            <w:r>
              <w:rPr>
                <w:sz w:val="24"/>
              </w:rPr>
              <w:t xml:space="preserve">Оборот по дебету счета второго порядка</w:t>
            </w:r>
          </w:p>
        </w:tc>
        <w:tc>
          <w:tcPr>
            <w:tcW w:w="2608" w:type="dxa"/>
          </w:tcPr>
          <w:p>
            <w:pPr>
              <w:pStyle w:val="0"/>
            </w:pPr>
            <w:r>
              <w:rPr>
                <w:sz w:val="24"/>
              </w:rPr>
            </w:r>
          </w:p>
        </w:tc>
        <w:tc>
          <w:tcPr>
            <w:tcW w:w="2948" w:type="dxa"/>
          </w:tcPr>
          <w:p>
            <w:pPr>
              <w:pStyle w:val="0"/>
            </w:pPr>
            <w:r>
              <w:rPr>
                <w:sz w:val="24"/>
              </w:rPr>
              <w:t xml:space="preserve">cbr-coa-dic:OborotPoDebetuSchetaVtorogoPoryadka</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Номер счета второго порядка</w:t>
            </w:r>
          </w:p>
        </w:tc>
        <w:tc>
          <w:tcPr>
            <w:tcW w:w="2948" w:type="dxa"/>
          </w:tcPr>
          <w:p>
            <w:pPr>
              <w:pStyle w:val="0"/>
            </w:pPr>
            <w:r>
              <w:rPr>
                <w:sz w:val="24"/>
              </w:rPr>
              <w:t xml:space="preserve">dim-int:NomSchetVtorogoPoryadkaTaxis</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Валюта Российской Федерации или рублевый эквивалент</w:t>
            </w:r>
          </w:p>
        </w:tc>
        <w:tc>
          <w:tcPr>
            <w:tcW w:w="2948" w:type="dxa"/>
          </w:tcPr>
          <w:p>
            <w:pPr>
              <w:pStyle w:val="0"/>
            </w:pPr>
            <w:r>
              <w:rPr>
                <w:sz w:val="24"/>
              </w:rPr>
              <w:t xml:space="preserve">dim-int:NaczVal_RubEkvAxis</w:t>
            </w:r>
          </w:p>
        </w:tc>
      </w:tr>
      <w:tr>
        <w:tc>
          <w:tcPr>
            <w:tcW w:w="907" w:type="dxa"/>
          </w:tcPr>
          <w:bookmarkStart w:id="37430" w:name="P37430"/>
          <w:bookmarkEnd w:id="37430"/>
          <w:p>
            <w:pPr>
              <w:pStyle w:val="0"/>
            </w:pPr>
            <w:r>
              <w:rPr>
                <w:sz w:val="24"/>
              </w:rPr>
              <w:t xml:space="preserve">2</w:t>
            </w:r>
          </w:p>
        </w:tc>
        <w:tc>
          <w:tcPr>
            <w:tcW w:w="2608" w:type="dxa"/>
          </w:tcPr>
          <w:p>
            <w:pPr>
              <w:pStyle w:val="0"/>
            </w:pPr>
            <w:r>
              <w:rPr>
                <w:sz w:val="24"/>
              </w:rPr>
              <w:t xml:space="preserve">Оборот по кредиту счета второго порядка</w:t>
            </w:r>
          </w:p>
        </w:tc>
        <w:tc>
          <w:tcPr>
            <w:tcW w:w="2608" w:type="dxa"/>
          </w:tcPr>
          <w:p>
            <w:pPr>
              <w:pStyle w:val="0"/>
            </w:pPr>
            <w:r>
              <w:rPr>
                <w:sz w:val="24"/>
              </w:rPr>
            </w:r>
          </w:p>
        </w:tc>
        <w:tc>
          <w:tcPr>
            <w:tcW w:w="2948" w:type="dxa"/>
          </w:tcPr>
          <w:p>
            <w:pPr>
              <w:pStyle w:val="0"/>
            </w:pPr>
            <w:r>
              <w:rPr>
                <w:sz w:val="24"/>
              </w:rPr>
              <w:t xml:space="preserve">cbr-coa-dic:OborotPoKredituSchetaVtorogoPoryadka</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Номер счета второго порядка</w:t>
            </w:r>
          </w:p>
        </w:tc>
        <w:tc>
          <w:tcPr>
            <w:tcW w:w="2948" w:type="dxa"/>
          </w:tcPr>
          <w:p>
            <w:pPr>
              <w:pStyle w:val="0"/>
            </w:pPr>
            <w:r>
              <w:rPr>
                <w:sz w:val="24"/>
              </w:rPr>
              <w:t xml:space="preserve">dim-int:NomSchetVtorogoPoryadkaTaxis</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Валюта Российской Федерации или рублевый эквивалент</w:t>
            </w:r>
          </w:p>
        </w:tc>
        <w:tc>
          <w:tcPr>
            <w:tcW w:w="2948" w:type="dxa"/>
          </w:tcPr>
          <w:p>
            <w:pPr>
              <w:pStyle w:val="0"/>
            </w:pPr>
            <w:r>
              <w:rPr>
                <w:sz w:val="24"/>
              </w:rPr>
              <w:t xml:space="preserve">dim-int:NaczVal_RubEkvAxis</w:t>
            </w:r>
          </w:p>
        </w:tc>
      </w:tr>
      <w:tr>
        <w:tc>
          <w:tcPr>
            <w:tcW w:w="907" w:type="dxa"/>
          </w:tcPr>
          <w:bookmarkStart w:id="37442" w:name="P37442"/>
          <w:bookmarkEnd w:id="37442"/>
          <w:p>
            <w:pPr>
              <w:pStyle w:val="0"/>
            </w:pPr>
            <w:r>
              <w:rPr>
                <w:sz w:val="24"/>
              </w:rPr>
              <w:t xml:space="preserve">3</w:t>
            </w:r>
          </w:p>
        </w:tc>
        <w:tc>
          <w:tcPr>
            <w:tcW w:w="2608" w:type="dxa"/>
          </w:tcPr>
          <w:p>
            <w:pPr>
              <w:pStyle w:val="0"/>
            </w:pPr>
            <w:r>
              <w:rPr>
                <w:sz w:val="24"/>
              </w:rPr>
              <w:t xml:space="preserve">Остаток по счету второго порядка</w:t>
            </w:r>
          </w:p>
        </w:tc>
        <w:tc>
          <w:tcPr>
            <w:tcW w:w="2608" w:type="dxa"/>
          </w:tcPr>
          <w:p>
            <w:pPr>
              <w:pStyle w:val="0"/>
            </w:pPr>
            <w:r>
              <w:rPr>
                <w:sz w:val="24"/>
              </w:rPr>
            </w:r>
          </w:p>
        </w:tc>
        <w:tc>
          <w:tcPr>
            <w:tcW w:w="2948" w:type="dxa"/>
          </w:tcPr>
          <w:p>
            <w:pPr>
              <w:pStyle w:val="0"/>
            </w:pPr>
            <w:r>
              <w:rPr>
                <w:sz w:val="24"/>
              </w:rPr>
              <w:t xml:space="preserve">cbr-coa-dic:OstatokPoSchetuVtorogoPoryadka</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Номер счета второго порядка</w:t>
            </w:r>
          </w:p>
        </w:tc>
        <w:tc>
          <w:tcPr>
            <w:tcW w:w="2948" w:type="dxa"/>
          </w:tcPr>
          <w:p>
            <w:pPr>
              <w:pStyle w:val="0"/>
            </w:pPr>
            <w:r>
              <w:rPr>
                <w:sz w:val="24"/>
              </w:rPr>
              <w:t xml:space="preserve">dim-int:NomSchetVtorogoPoryadkaTaxis</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Валюта Российской Федерации или рублевый эквивалент</w:t>
            </w:r>
          </w:p>
        </w:tc>
        <w:tc>
          <w:tcPr>
            <w:tcW w:w="2948" w:type="dxa"/>
          </w:tcPr>
          <w:p>
            <w:pPr>
              <w:pStyle w:val="0"/>
            </w:pPr>
            <w:r>
              <w:rPr>
                <w:sz w:val="24"/>
              </w:rPr>
              <w:t xml:space="preserve">dim-int:NaczVal_RubEkvAxis</w:t>
            </w:r>
          </w:p>
        </w:tc>
      </w:tr>
    </w:tbl>
    <w:p>
      <w:pPr>
        <w:pStyle w:val="0"/>
        <w:ind w:firstLine="540"/>
        <w:jc w:val="both"/>
      </w:pPr>
      <w:r>
        <w:rPr>
          <w:sz w:val="24"/>
        </w:rPr>
      </w:r>
    </w:p>
    <w:p>
      <w:pPr>
        <w:pStyle w:val="0"/>
        <w:ind w:firstLine="540"/>
        <w:jc w:val="both"/>
      </w:pPr>
      <w:r>
        <w:rPr>
          <w:sz w:val="24"/>
        </w:rPr>
        <w:t xml:space="preserve">--------------------------------</w:t>
      </w:r>
    </w:p>
    <w:bookmarkStart w:id="37456" w:name="P37456"/>
    <w:bookmarkEnd w:id="37456"/>
    <w:p>
      <w:pPr>
        <w:pStyle w:val="0"/>
        <w:spacing w:before="240" w:lineRule="auto"/>
        <w:ind w:firstLine="540"/>
        <w:jc w:val="both"/>
      </w:pPr>
      <w:r>
        <w:rPr>
          <w:sz w:val="24"/>
        </w:rPr>
        <w:t xml:space="preserve">&lt;1&gt; Общероссийский </w:t>
      </w:r>
      <w:hyperlink w:history="0" r:id="rId62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0420164 "Оборотная ведомость</w:t>
      </w:r>
    </w:p>
    <w:p>
      <w:pPr>
        <w:pStyle w:val="0"/>
        <w:jc w:val="center"/>
      </w:pPr>
      <w:r>
        <w:rPr>
          <w:sz w:val="24"/>
        </w:rPr>
        <w:t xml:space="preserve">по счетам бухгалтерского учета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7402" w:tooltip="Отчетность по форме 0420164">
        <w:r>
          <w:rPr>
            <w:sz w:val="24"/>
            <w:color w:val="0000ff"/>
          </w:rPr>
          <w:t xml:space="preserve">форме 0420164</w:t>
        </w:r>
      </w:hyperlink>
      <w:r>
        <w:rPr>
          <w:sz w:val="24"/>
        </w:rPr>
        <w:t xml:space="preserve"> "Оборотная ведомость по счетам бухгалтерского учета страховщика" (далее - отчетность по форме 0420164) составляется страховщиком (за исключением иностранной страховой организации)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на ежемесячной основе по состоянию на последний календарный день месяца включительно (за исключением страховой медицинской организации, осуществляющей деятельность исключительно в сфере обязательного медицинского страхования, и страховой организации,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приложения 3 к настоящему Указанию);</w:t>
      </w:r>
    </w:p>
    <w:p>
      <w:pPr>
        <w:pStyle w:val="0"/>
        <w:spacing w:before="240" w:lineRule="auto"/>
        <w:ind w:firstLine="540"/>
        <w:jc w:val="both"/>
      </w:pPr>
      <w:r>
        <w:rPr>
          <w:sz w:val="24"/>
        </w:rPr>
        <w:t xml:space="preserve">на ежеквартальной основе по состоянию на последний календарный день квартала включительно (в случае составления отчетности по </w:t>
      </w:r>
      <w:hyperlink w:history="0" w:anchor="P37402" w:tooltip="Отчетность по форме 0420164">
        <w:r>
          <w:rPr>
            <w:sz w:val="24"/>
            <w:color w:val="0000ff"/>
          </w:rPr>
          <w:t xml:space="preserve">форме 0420164</w:t>
        </w:r>
      </w:hyperlink>
      <w:r>
        <w:rPr>
          <w:sz w:val="24"/>
        </w:rPr>
        <w:t xml:space="preserve"> страховой медицинской организацией, осуществляющей деятельность исключительно в сфере обязательного медицинского страхования, и страховой организацией,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приложения 3 к настоящему Указанию).</w:t>
      </w:r>
    </w:p>
    <w:bookmarkStart w:id="37465" w:name="P37465"/>
    <w:bookmarkEnd w:id="37465"/>
    <w:p>
      <w:pPr>
        <w:pStyle w:val="0"/>
        <w:spacing w:before="240" w:lineRule="auto"/>
        <w:ind w:firstLine="540"/>
        <w:jc w:val="both"/>
      </w:pPr>
      <w:r>
        <w:rPr>
          <w:sz w:val="24"/>
        </w:rPr>
        <w:t xml:space="preserve">2. В отчетности по </w:t>
      </w:r>
      <w:hyperlink w:history="0" w:anchor="P37402" w:tooltip="Отчетность по форме 0420164">
        <w:r>
          <w:rPr>
            <w:sz w:val="24"/>
            <w:color w:val="0000ff"/>
          </w:rPr>
          <w:t xml:space="preserve">форме 0420164</w:t>
        </w:r>
      </w:hyperlink>
      <w:r>
        <w:rPr>
          <w:sz w:val="24"/>
        </w:rPr>
        <w:t xml:space="preserve"> указываются все балансовые и внебалансовые счета второго порядка, определенные рабочим планом счетов бухгалтерского учета страховщика в соответствии с </w:t>
      </w:r>
      <w:hyperlink w:history="0" r:id="rId622"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Положением</w:t>
        </w:r>
      </w:hyperlink>
      <w:r>
        <w:rPr>
          <w:sz w:val="24"/>
        </w:rPr>
        <w:t xml:space="preserve"> Банка России от 1 августа 2022 года N 803-П "О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 &lt;1&gt;, за исключением тех счетов, по которым операции в течение месяца (квартала) (далее - отчетный период) не осуществлялись (входящие и исходящие остатки, а также дебетовые и кредитовые обороты по балансовым и внебалансовым счетам второго порядка равны нулю).</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20 сентября 2022 года, регистрационный N 70158, с изменениями, внесенными Указаниями Банка России от 10 января 2024 года N 6665-У (зарегистрировано Минюстом России 12 февраля 2024 года, регистрационный N 77223), от 21 мая 2024 года N 6729-У (зарегистрировано Минюстом России 20 июня 2024 года, регистрационный N 78625).</w:t>
      </w:r>
    </w:p>
    <w:p>
      <w:pPr>
        <w:pStyle w:val="0"/>
        <w:ind w:firstLine="540"/>
        <w:jc w:val="both"/>
      </w:pPr>
      <w:r>
        <w:rPr>
          <w:sz w:val="24"/>
        </w:rPr>
      </w:r>
    </w:p>
    <w:bookmarkStart w:id="37469" w:name="P37469"/>
    <w:bookmarkEnd w:id="37469"/>
    <w:p>
      <w:pPr>
        <w:pStyle w:val="0"/>
        <w:ind w:firstLine="540"/>
        <w:jc w:val="both"/>
      </w:pPr>
      <w:r>
        <w:rPr>
          <w:sz w:val="24"/>
        </w:rPr>
        <w:t xml:space="preserve">Страховщик должен составлять отдельную отчетность по форме 0420164, содержащую показатели "Оборот по дебету счета второго порядка" </w:t>
      </w:r>
      <w:hyperlink w:history="0" w:anchor="P37418" w:tooltip="1">
        <w:r>
          <w:rPr>
            <w:sz w:val="24"/>
            <w:color w:val="0000ff"/>
          </w:rPr>
          <w:t xml:space="preserve">(строка 1)</w:t>
        </w:r>
      </w:hyperlink>
      <w:r>
        <w:rPr>
          <w:sz w:val="24"/>
        </w:rPr>
        <w:t xml:space="preserve"> и "Оборот по кредиту счета второго порядка" </w:t>
      </w:r>
      <w:hyperlink w:history="0" w:anchor="P37430" w:tooltip="2">
        <w:r>
          <w:rPr>
            <w:sz w:val="24"/>
            <w:color w:val="0000ff"/>
          </w:rPr>
          <w:t xml:space="preserve">(строка 2)</w:t>
        </w:r>
      </w:hyperlink>
      <w:r>
        <w:rPr>
          <w:sz w:val="24"/>
        </w:rPr>
        <w:t xml:space="preserve"> только по событиям, подтверждающим условия, существовавшие на 31 декабря календарного года, отраженным в бухгалтерском учете страховщика после окончания года, за который составляется годовая бухгалтерская (финансовая) отчетность страховщика, в период до даты составления годовой бухгалтерской (финансовой) отчетности страховщика.</w:t>
      </w:r>
    </w:p>
    <w:p>
      <w:pPr>
        <w:pStyle w:val="0"/>
        <w:spacing w:before="240" w:lineRule="auto"/>
        <w:ind w:firstLine="540"/>
        <w:jc w:val="both"/>
      </w:pPr>
      <w:r>
        <w:rPr>
          <w:sz w:val="24"/>
        </w:rPr>
        <w:t xml:space="preserve">3. По группе аналитических признаков "Номер счета второго порядка" указывается номер счета второго порядка, определенный в соответствии с </w:t>
      </w:r>
      <w:hyperlink w:history="0" w:anchor="P37465" w:tooltip="2. В отчетности по форме 0420164 указываются все балансовые и внебалансовые счета второго порядка, определенные рабочим планом счетов бухгалтерского учета страховщика в соответствии с Положением Банка России от 1 августа 2022 года N 803-П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lt;1&gt;, за исключением тех счетов, по которым операции в течение месяца (квартала) (далее - отчетный период) не осу...">
        <w:r>
          <w:rPr>
            <w:sz w:val="24"/>
            <w:color w:val="0000ff"/>
          </w:rPr>
          <w:t xml:space="preserve">пунктом 2</w:t>
        </w:r>
      </w:hyperlink>
      <w:r>
        <w:rPr>
          <w:sz w:val="24"/>
        </w:rPr>
        <w:t xml:space="preserve"> настоящих Порядка и сроков, состоящий из пяти цифр.</w:t>
      </w:r>
    </w:p>
    <w:p>
      <w:pPr>
        <w:pStyle w:val="0"/>
        <w:spacing w:before="240" w:lineRule="auto"/>
        <w:ind w:firstLine="540"/>
        <w:jc w:val="both"/>
      </w:pPr>
      <w:r>
        <w:rPr>
          <w:sz w:val="24"/>
        </w:rPr>
        <w:t xml:space="preserve">4. По показателям "Оборот по дебету счета второго порядка" </w:t>
      </w:r>
      <w:hyperlink w:history="0" w:anchor="P37418" w:tooltip="1">
        <w:r>
          <w:rPr>
            <w:sz w:val="24"/>
            <w:color w:val="0000ff"/>
          </w:rPr>
          <w:t xml:space="preserve">(строка 1)</w:t>
        </w:r>
      </w:hyperlink>
      <w:r>
        <w:rPr>
          <w:sz w:val="24"/>
        </w:rPr>
        <w:t xml:space="preserve"> и "Оборот по кредиту счета второго порядка" </w:t>
      </w:r>
      <w:hyperlink w:history="0" w:anchor="P37430" w:tooltip="2">
        <w:r>
          <w:rPr>
            <w:sz w:val="24"/>
            <w:color w:val="0000ff"/>
          </w:rPr>
          <w:t xml:space="preserve">(строка 2)</w:t>
        </w:r>
      </w:hyperlink>
      <w:r>
        <w:rPr>
          <w:sz w:val="24"/>
        </w:rPr>
        <w:t xml:space="preserve"> данные о сумме оборотов по дебету и кредиту счета второго порядка указываются за отчетный период.</w:t>
      </w:r>
    </w:p>
    <w:p>
      <w:pPr>
        <w:pStyle w:val="0"/>
        <w:spacing w:before="240" w:lineRule="auto"/>
        <w:ind w:firstLine="540"/>
        <w:jc w:val="both"/>
      </w:pPr>
      <w:r>
        <w:rPr>
          <w:sz w:val="24"/>
        </w:rPr>
        <w:t xml:space="preserve">По показателю "Остаток по счету второго порядка" </w:t>
      </w:r>
      <w:hyperlink w:history="0" w:anchor="P37442" w:tooltip="3">
        <w:r>
          <w:rPr>
            <w:sz w:val="24"/>
            <w:color w:val="0000ff"/>
          </w:rPr>
          <w:t xml:space="preserve">(строка 3)</w:t>
        </w:r>
      </w:hyperlink>
      <w:r>
        <w:rPr>
          <w:sz w:val="24"/>
        </w:rPr>
        <w:t xml:space="preserve"> данные о сумме остатка по счету второго порядка указываются на начало отчетного периода (входящие остатки) и конец отчетного периода (исходящие остатки).</w:t>
      </w:r>
    </w:p>
    <w:p>
      <w:pPr>
        <w:pStyle w:val="0"/>
        <w:spacing w:before="240" w:lineRule="auto"/>
        <w:ind w:firstLine="540"/>
        <w:jc w:val="both"/>
      </w:pPr>
      <w:r>
        <w:rPr>
          <w:sz w:val="24"/>
        </w:rPr>
        <w:t xml:space="preserve">По каждому активному счету второго порядка данные о сумме остатка на конец отчетного периода определяются страховщиком путем суммирования данных о сумме остатка на начало отчетного периода и данных о сумме оборотов по дебету за отчетный период за вычетом данных о сумме оборотов по кредиту за отчетный период.</w:t>
      </w:r>
    </w:p>
    <w:p>
      <w:pPr>
        <w:pStyle w:val="0"/>
        <w:spacing w:before="240" w:lineRule="auto"/>
        <w:ind w:firstLine="540"/>
        <w:jc w:val="both"/>
      </w:pPr>
      <w:r>
        <w:rPr>
          <w:sz w:val="24"/>
        </w:rPr>
        <w:t xml:space="preserve">По каждому пассивному счету второго порядка данные о сумме остатка на конец отчетного периода определяются страховщиком путем суммирования данных о сумме остатка на начало отчетного периода и данных о сумме оборотов по кредиту за отчетный период за вычетом данных о сумме оборотов по дебету за отчетный период.</w:t>
      </w:r>
    </w:p>
    <w:p>
      <w:pPr>
        <w:pStyle w:val="0"/>
        <w:spacing w:before="240" w:lineRule="auto"/>
        <w:ind w:firstLine="540"/>
        <w:jc w:val="both"/>
      </w:pPr>
      <w:r>
        <w:rPr>
          <w:sz w:val="24"/>
        </w:rPr>
        <w:t xml:space="preserve">5. Входящие и исходящие остатки, а также обороты за отчетный период указываются:</w:t>
      </w:r>
    </w:p>
    <w:p>
      <w:pPr>
        <w:pStyle w:val="0"/>
        <w:spacing w:before="240" w:lineRule="auto"/>
        <w:ind w:firstLine="540"/>
        <w:jc w:val="both"/>
      </w:pPr>
      <w:r>
        <w:rPr>
          <w:sz w:val="24"/>
        </w:rPr>
        <w:t xml:space="preserve">в рублях (по аналитическому признаку "В валюте Российской Федерации" группы аналитических признаков "Валюта Российской Федерации или рублевый эквивалент");</w:t>
      </w:r>
    </w:p>
    <w:p>
      <w:pPr>
        <w:pStyle w:val="0"/>
        <w:spacing w:before="240" w:lineRule="auto"/>
        <w:ind w:firstLine="540"/>
        <w:jc w:val="both"/>
      </w:pPr>
      <w:r>
        <w:rPr>
          <w:sz w:val="24"/>
        </w:rPr>
        <w:t xml:space="preserve">в иностранной валюте в рублевом эквиваленте, определяемом по официальному курсу иностранной валюты по отношению к рублю, установленному Банком России в соответствии с </w:t>
      </w:r>
      <w:hyperlink w:history="0" r:id="rId623"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пунктом 15 статьи 4</w:t>
        </w:r>
      </w:hyperlink>
      <w:r>
        <w:rPr>
          <w:sz w:val="24"/>
        </w:rPr>
        <w:t xml:space="preserve"> Федерального закона от 10 июля 2002 года N 86-ФЗ "О Центральном банке Российской Федерации (Банке России)", и драгоценных металлах в рублевом эквиваленте, определяемом по учетным ценам на драгоценные металлы, установленным Банком России в соответствии с </w:t>
      </w:r>
      <w:hyperlink w:history="0" r:id="rId624" w:tooltip="Федеральный закон от 26.03.1998 N 41-ФЗ (ред. от 07.04.2025) &quot;О драгоценных металлах и драгоценных камнях&quot; {КонсультантПлюс}">
        <w:r>
          <w:rPr>
            <w:sz w:val="24"/>
            <w:color w:val="0000ff"/>
          </w:rPr>
          <w:t xml:space="preserve">абзацем вторым пункта 5 статьи 10</w:t>
        </w:r>
      </w:hyperlink>
      <w:r>
        <w:rPr>
          <w:sz w:val="24"/>
        </w:rPr>
        <w:t xml:space="preserve"> Федерального закона от 26 марта 1998 года N 41-ФЗ "О драгоценных металлах и драгоценных камнях" (по аналитическому признаку "В иностранной валюте и драгоценных металлах в рублевом эквиваленте" группы аналитических признаков "Валюта Российской Федерации или рублевый эквивалент").</w:t>
      </w:r>
    </w:p>
    <w:p>
      <w:pPr>
        <w:pStyle w:val="0"/>
        <w:spacing w:before="240" w:lineRule="auto"/>
        <w:ind w:firstLine="540"/>
        <w:jc w:val="both"/>
      </w:pPr>
      <w:r>
        <w:rPr>
          <w:sz w:val="24"/>
        </w:rPr>
        <w:t xml:space="preserve">По каждому показателю отчетности по </w:t>
      </w:r>
      <w:hyperlink w:history="0" w:anchor="P37402" w:tooltip="Отчетность по форме 0420164">
        <w:r>
          <w:rPr>
            <w:sz w:val="24"/>
            <w:color w:val="0000ff"/>
          </w:rPr>
          <w:t xml:space="preserve">форме 0420164</w:t>
        </w:r>
      </w:hyperlink>
      <w:r>
        <w:rPr>
          <w:sz w:val="24"/>
        </w:rPr>
        <w:t xml:space="preserve"> его значение определяется страховщиком путем суммирования значений, указанных по аналитическим признакам "В валюте Российской Федерации" и "В иностранной валюте и драгоценных металлах в рублевом эквиваленте" группы аналитических признаков "Валюта Российской Федерации или рублевый эквивалент".</w:t>
      </w:r>
    </w:p>
    <w:p>
      <w:pPr>
        <w:pStyle w:val="0"/>
        <w:spacing w:before="240" w:lineRule="auto"/>
        <w:ind w:firstLine="540"/>
        <w:jc w:val="both"/>
      </w:pPr>
      <w:r>
        <w:rPr>
          <w:sz w:val="24"/>
        </w:rPr>
        <w:t xml:space="preserve">6. Обороты по балансовому счету второго порядка, не имеющему признака счета, остаток по которому на конец каждого рабочего дня должен быть равен нулю, указываются по показателям "Оборот по дебету счета второго порядка" </w:t>
      </w:r>
      <w:hyperlink w:history="0" w:anchor="P37418" w:tooltip="1">
        <w:r>
          <w:rPr>
            <w:sz w:val="24"/>
            <w:color w:val="0000ff"/>
          </w:rPr>
          <w:t xml:space="preserve">(строка 1)</w:t>
        </w:r>
      </w:hyperlink>
      <w:r>
        <w:rPr>
          <w:sz w:val="24"/>
        </w:rPr>
        <w:t xml:space="preserve"> и "Оборот по кредиту счета второго порядка" </w:t>
      </w:r>
      <w:hyperlink w:history="0" w:anchor="P37430" w:tooltip="2">
        <w:r>
          <w:rPr>
            <w:sz w:val="24"/>
            <w:color w:val="0000ff"/>
          </w:rPr>
          <w:t xml:space="preserve">(строка 2)</w:t>
        </w:r>
      </w:hyperlink>
      <w:r>
        <w:rPr>
          <w:sz w:val="24"/>
        </w:rPr>
        <w:t xml:space="preserve"> в равных суммах (с указанием по группе аналитических признаков "Номер счета второго порядка" номера балансового счета второго порядка, не имеющего признака счета).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7485" w:name="P37485"/>
    <w:bookmarkEnd w:id="37485"/>
    <w:p>
      <w:pPr>
        <w:pStyle w:val="0"/>
        <w:jc w:val="center"/>
      </w:pPr>
      <w:r>
        <w:rPr>
          <w:sz w:val="24"/>
        </w:rPr>
        <w:t xml:space="preserve">Отчетность по форме 0420165</w:t>
      </w:r>
    </w:p>
    <w:p>
      <w:pPr>
        <w:pStyle w:val="0"/>
        <w:jc w:val="center"/>
      </w:pPr>
      <w:r>
        <w:rPr>
          <w:sz w:val="24"/>
        </w:rPr>
        <w:t xml:space="preserve">"Отчет о финансовых результатах страховщика</w:t>
      </w:r>
    </w:p>
    <w:p>
      <w:pPr>
        <w:pStyle w:val="0"/>
        <w:jc w:val="center"/>
      </w:pPr>
      <w:r>
        <w:rPr>
          <w:sz w:val="24"/>
        </w:rPr>
        <w:t xml:space="preserve">(по символам доходов и расходов)"</w:t>
      </w:r>
    </w:p>
    <w:p>
      <w:pPr>
        <w:pStyle w:val="0"/>
        <w:ind w:firstLine="540"/>
        <w:jc w:val="both"/>
      </w:pPr>
      <w:r>
        <w:rPr>
          <w:sz w:val="24"/>
        </w:rPr>
      </w:r>
    </w:p>
    <w:p>
      <w:pPr>
        <w:pStyle w:val="0"/>
        <w:jc w:val="right"/>
      </w:pPr>
      <w:r>
        <w:rPr>
          <w:sz w:val="24"/>
        </w:rPr>
        <w:t xml:space="preserve">Код формы по </w:t>
      </w:r>
      <w:hyperlink w:history="0" r:id="rId62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515" w:tooltip="&lt;1&gt; Общероссийский классификатор управленческой документации.">
        <w:r>
          <w:rPr>
            <w:sz w:val="24"/>
            <w:color w:val="0000ff"/>
          </w:rPr>
          <w:t xml:space="preserve">&lt;1&gt;</w:t>
        </w:r>
      </w:hyperlink>
      <w:r>
        <w:rPr>
          <w:sz w:val="24"/>
        </w:rPr>
        <w:t xml:space="preserve"> 0420165</w:t>
      </w:r>
    </w:p>
    <w:p>
      <w:pPr>
        <w:pStyle w:val="0"/>
        <w:ind w:firstLine="540"/>
        <w:jc w:val="both"/>
      </w:pPr>
      <w:r>
        <w:rPr>
          <w:sz w:val="24"/>
        </w:rPr>
      </w:r>
    </w:p>
    <w:p>
      <w:pPr>
        <w:pStyle w:val="0"/>
        <w:jc w:val="right"/>
      </w:pPr>
      <w:r>
        <w:rPr>
          <w:sz w:val="24"/>
        </w:rPr>
        <w:t xml:space="preserve">Месячная, квартальная, годовая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Значение по символу отчета о финансовых результатах</w:t>
            </w:r>
          </w:p>
        </w:tc>
        <w:tc>
          <w:tcPr>
            <w:tcW w:w="2608" w:type="dxa"/>
          </w:tcPr>
          <w:p>
            <w:pPr>
              <w:pStyle w:val="0"/>
            </w:pPr>
            <w:r>
              <w:rPr>
                <w:sz w:val="24"/>
              </w:rPr>
            </w:r>
          </w:p>
        </w:tc>
        <w:tc>
          <w:tcPr>
            <w:tcW w:w="2948" w:type="dxa"/>
          </w:tcPr>
          <w:p>
            <w:pPr>
              <w:pStyle w:val="0"/>
            </w:pPr>
            <w:r>
              <w:rPr>
                <w:sz w:val="24"/>
              </w:rPr>
              <w:t xml:space="preserve">cbr-coa-dic:SimvolOFR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Номер счета второго порядка и номер символа отчета о финансовых результатах</w:t>
            </w:r>
          </w:p>
        </w:tc>
        <w:tc>
          <w:tcPr>
            <w:tcW w:w="2948" w:type="dxa"/>
          </w:tcPr>
          <w:p>
            <w:pPr>
              <w:pStyle w:val="0"/>
            </w:pPr>
            <w:r>
              <w:rPr>
                <w:sz w:val="24"/>
              </w:rPr>
              <w:t xml:space="preserve">dim-int:NomSchetVtorogoPoryadkaISimvOFRTaxis</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Валюта Российской Федерации или рублевый эквивалент</w:t>
            </w:r>
          </w:p>
        </w:tc>
        <w:tc>
          <w:tcPr>
            <w:tcW w:w="2948" w:type="dxa"/>
          </w:tcPr>
          <w:p>
            <w:pPr>
              <w:pStyle w:val="0"/>
            </w:pPr>
            <w:r>
              <w:rPr>
                <w:sz w:val="24"/>
              </w:rPr>
              <w:t xml:space="preserve">dim-int:NaczVal_RubEkvAxis</w:t>
            </w:r>
          </w:p>
        </w:tc>
      </w:tr>
    </w:tbl>
    <w:p>
      <w:pPr>
        <w:pStyle w:val="0"/>
        <w:ind w:firstLine="540"/>
        <w:jc w:val="both"/>
      </w:pPr>
      <w:r>
        <w:rPr>
          <w:sz w:val="24"/>
        </w:rPr>
      </w:r>
    </w:p>
    <w:p>
      <w:pPr>
        <w:pStyle w:val="0"/>
        <w:ind w:firstLine="540"/>
        <w:jc w:val="both"/>
      </w:pPr>
      <w:r>
        <w:rPr>
          <w:sz w:val="24"/>
        </w:rPr>
        <w:t xml:space="preserve">--------------------------------</w:t>
      </w:r>
    </w:p>
    <w:bookmarkStart w:id="37515" w:name="P37515"/>
    <w:bookmarkEnd w:id="37515"/>
    <w:p>
      <w:pPr>
        <w:pStyle w:val="0"/>
        <w:spacing w:before="240" w:lineRule="auto"/>
        <w:ind w:firstLine="540"/>
        <w:jc w:val="both"/>
      </w:pPr>
      <w:r>
        <w:rPr>
          <w:sz w:val="24"/>
        </w:rPr>
        <w:t xml:space="preserve">&lt;1&gt; Общероссийский </w:t>
      </w:r>
      <w:hyperlink w:history="0" r:id="rId62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0420165 "Отчет о финансовых</w:t>
      </w:r>
    </w:p>
    <w:p>
      <w:pPr>
        <w:pStyle w:val="0"/>
        <w:jc w:val="center"/>
      </w:pPr>
      <w:r>
        <w:rPr>
          <w:sz w:val="24"/>
        </w:rPr>
        <w:t xml:space="preserve">результатах страховщика (по символам доходов и расходов)"</w:t>
      </w:r>
    </w:p>
    <w:p>
      <w:pPr>
        <w:pStyle w:val="0"/>
        <w:ind w:firstLine="540"/>
        <w:jc w:val="both"/>
      </w:pPr>
      <w:r>
        <w:rPr>
          <w:sz w:val="24"/>
        </w:rPr>
      </w:r>
    </w:p>
    <w:p>
      <w:pPr>
        <w:pStyle w:val="0"/>
        <w:ind w:firstLine="540"/>
        <w:jc w:val="both"/>
      </w:pPr>
      <w:r>
        <w:rPr>
          <w:sz w:val="24"/>
        </w:rPr>
        <w:t xml:space="preserve">1. Отчетность по </w:t>
      </w:r>
      <w:hyperlink w:history="0" w:anchor="P37485" w:tooltip="Отчетность по форме 0420165">
        <w:r>
          <w:rPr>
            <w:sz w:val="24"/>
            <w:color w:val="0000ff"/>
          </w:rPr>
          <w:t xml:space="preserve">форме 0420165</w:t>
        </w:r>
      </w:hyperlink>
      <w:r>
        <w:rPr>
          <w:sz w:val="24"/>
        </w:rPr>
        <w:t xml:space="preserve"> "Отчет о финансовых результатах страховщика (по символам доходов и расходов)" (далее - отчетность по форме 0420165) составляется страховщиком (за исключением иностранной страховой организации)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на ежемесячной основе по состоянию на последний календарный день месяца включительно (за исключением страховой медицинской организации, осуществляющей деятельность исключительно в сфере обязательного медицинского страхования, и страховой организации,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приложения 3 к настоящему Указанию);</w:t>
      </w:r>
    </w:p>
    <w:p>
      <w:pPr>
        <w:pStyle w:val="0"/>
        <w:spacing w:before="240" w:lineRule="auto"/>
        <w:ind w:firstLine="540"/>
        <w:jc w:val="both"/>
      </w:pPr>
      <w:r>
        <w:rPr>
          <w:sz w:val="24"/>
        </w:rPr>
        <w:t xml:space="preserve">на ежеквартальной основе по состоянию на последний календарный день квартала включительно (в случае составления отчетности по </w:t>
      </w:r>
      <w:hyperlink w:history="0" w:anchor="P37485" w:tooltip="Отчетность по форме 0420165">
        <w:r>
          <w:rPr>
            <w:sz w:val="24"/>
            <w:color w:val="0000ff"/>
          </w:rPr>
          <w:t xml:space="preserve">форме 0420165</w:t>
        </w:r>
      </w:hyperlink>
      <w:r>
        <w:rPr>
          <w:sz w:val="24"/>
        </w:rPr>
        <w:t xml:space="preserve"> страховой медицинской организацией, осуществляющей деятельность исключительно в сфере обязательного медицинского страхования, и страховой организацией,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приложения 3 к настоящему Указанию).</w:t>
      </w:r>
    </w:p>
    <w:p>
      <w:pPr>
        <w:pStyle w:val="0"/>
        <w:spacing w:before="240" w:lineRule="auto"/>
        <w:ind w:firstLine="540"/>
        <w:jc w:val="both"/>
      </w:pPr>
      <w:r>
        <w:rPr>
          <w:sz w:val="24"/>
        </w:rPr>
        <w:t xml:space="preserve">2. В отчетности по </w:t>
      </w:r>
      <w:hyperlink w:history="0" w:anchor="P37485" w:tooltip="Отчетность по форме 0420165">
        <w:r>
          <w:rPr>
            <w:sz w:val="24"/>
            <w:color w:val="0000ff"/>
          </w:rPr>
          <w:t xml:space="preserve">форме 0420165</w:t>
        </w:r>
      </w:hyperlink>
      <w:r>
        <w:rPr>
          <w:sz w:val="24"/>
        </w:rPr>
        <w:t xml:space="preserve"> указываются сведения о доходах, расходах, финансовых результатах (прибыль или убыток), об изменении статей прочего совокупного дохода и о совокупном финансовом результате (прибыль или убыток после налогообложения с учетом изменений прочего совокупного дохода) страховщика за месяц (квартал) (далее - отчетный период) с начала года нарастающим итогом.</w:t>
      </w:r>
    </w:p>
    <w:bookmarkStart w:id="37525" w:name="P37525"/>
    <w:bookmarkEnd w:id="37525"/>
    <w:p>
      <w:pPr>
        <w:pStyle w:val="0"/>
        <w:spacing w:before="240" w:lineRule="auto"/>
        <w:ind w:firstLine="540"/>
        <w:jc w:val="both"/>
      </w:pPr>
      <w:r>
        <w:rPr>
          <w:sz w:val="24"/>
        </w:rPr>
        <w:t xml:space="preserve">Страховщик должен составлять отдельную отчетность по </w:t>
      </w:r>
      <w:hyperlink w:history="0" w:anchor="P37485" w:tooltip="Отчетность по форме 0420165">
        <w:r>
          <w:rPr>
            <w:sz w:val="24"/>
            <w:color w:val="0000ff"/>
          </w:rPr>
          <w:t xml:space="preserve">форме 0420165</w:t>
        </w:r>
      </w:hyperlink>
      <w:r>
        <w:rPr>
          <w:sz w:val="24"/>
        </w:rPr>
        <w:t xml:space="preserve">, содержащую показатели только по событиям, подтверждающим условия, существовавшие на 31 декабря календарного года, отраженным в бухгалтерском учете страховщика после окончания года, за который составляется годовая бухгалтерская (финансовая) отчетность страховщика, в период до даты составления годовой бухгалтерской (финансовой) отчетности страховщика.</w:t>
      </w:r>
    </w:p>
    <w:p>
      <w:pPr>
        <w:pStyle w:val="0"/>
        <w:spacing w:before="240" w:lineRule="auto"/>
        <w:ind w:firstLine="540"/>
        <w:jc w:val="both"/>
      </w:pPr>
      <w:r>
        <w:rPr>
          <w:sz w:val="24"/>
        </w:rPr>
        <w:t xml:space="preserve">3. Показатели отчетности по </w:t>
      </w:r>
      <w:hyperlink w:history="0" w:anchor="P37485" w:tooltip="Отчетность по форме 0420165">
        <w:r>
          <w:rPr>
            <w:sz w:val="24"/>
            <w:color w:val="0000ff"/>
          </w:rPr>
          <w:t xml:space="preserve">форме 0420165</w:t>
        </w:r>
      </w:hyperlink>
      <w:r>
        <w:rPr>
          <w:sz w:val="24"/>
        </w:rPr>
        <w:t xml:space="preserve"> формируются в разрезе символов доходов и расходов отчета о финансовых результатах в соответствии с </w:t>
      </w:r>
      <w:hyperlink w:history="0" r:id="rId627"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частью VI</w:t>
        </w:r>
      </w:hyperlink>
      <w:r>
        <w:rPr>
          <w:sz w:val="24"/>
        </w:rPr>
        <w:t xml:space="preserve"> приложения 2 к Положению Банка России от 1 августа 2022 года N 803-П "О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 &lt;1&gt; (далее - Положение Банка России N 803-П), за исключением тех символов, по которым в отчетном периоде отсутствуют значения показателей.</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20 сентября 2022 года, регистрационный N 70158, с изменениями, внесенными Указаниями Банка России от 10 января 2024 года N 6665-У (зарегистрировано Минюстом России 12 февраля 2024 года, регистрационный N 77223), от 21 мая 2024 года N 6729-У (зарегистрировано Минюстом России 20 июня 2024 года, регистрационный N 78625).</w:t>
      </w:r>
    </w:p>
    <w:p>
      <w:pPr>
        <w:pStyle w:val="0"/>
        <w:ind w:firstLine="540"/>
        <w:jc w:val="both"/>
      </w:pPr>
      <w:r>
        <w:rPr>
          <w:sz w:val="24"/>
        </w:rPr>
      </w:r>
    </w:p>
    <w:p>
      <w:pPr>
        <w:pStyle w:val="0"/>
        <w:ind w:firstLine="540"/>
        <w:jc w:val="both"/>
      </w:pPr>
      <w:r>
        <w:rPr>
          <w:sz w:val="24"/>
        </w:rPr>
        <w:t xml:space="preserve">По группе аналитических признаков "Номер счета второго порядка и номер символа отчета о финансовых результатах" указываются номер символа отчета о финансовых результатах и соответствующий ему номер счета бухгалтерского учета в соответствии с </w:t>
      </w:r>
      <w:hyperlink w:history="0" r:id="rId628"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частью VI</w:t>
        </w:r>
      </w:hyperlink>
      <w:r>
        <w:rPr>
          <w:sz w:val="24"/>
        </w:rPr>
        <w:t xml:space="preserve"> приложения 2 к Положению Банка России N 803-П в следующей последовательности:</w:t>
      </w:r>
    </w:p>
    <w:p>
      <w:pPr>
        <w:pStyle w:val="0"/>
        <w:spacing w:before="240" w:lineRule="auto"/>
        <w:ind w:firstLine="540"/>
        <w:jc w:val="both"/>
      </w:pPr>
      <w:r>
        <w:rPr>
          <w:sz w:val="24"/>
        </w:rPr>
        <w:t xml:space="preserve">номер счета бухгалтерского учета, состоящий из пяти цифр (в случае если для символа отчета о финансовых результатах номер счета бухгалтерского учета не предусмотрен, указываются пять нулей);</w:t>
      </w:r>
    </w:p>
    <w:p>
      <w:pPr>
        <w:pStyle w:val="0"/>
        <w:spacing w:before="240" w:lineRule="auto"/>
        <w:ind w:firstLine="540"/>
        <w:jc w:val="both"/>
      </w:pPr>
      <w:r>
        <w:rPr>
          <w:sz w:val="24"/>
        </w:rPr>
        <w:t xml:space="preserve">разделитель в виде символа "." (точка);</w:t>
      </w:r>
    </w:p>
    <w:p>
      <w:pPr>
        <w:pStyle w:val="0"/>
        <w:spacing w:before="240" w:lineRule="auto"/>
        <w:ind w:firstLine="540"/>
        <w:jc w:val="both"/>
      </w:pPr>
      <w:r>
        <w:rPr>
          <w:sz w:val="24"/>
        </w:rPr>
        <w:t xml:space="preserve">номер символа отчета о финансовых результатах, состоящий из пяти цифр.</w:t>
      </w:r>
    </w:p>
    <w:p>
      <w:pPr>
        <w:pStyle w:val="0"/>
        <w:spacing w:before="240" w:lineRule="auto"/>
        <w:ind w:firstLine="540"/>
        <w:jc w:val="both"/>
      </w:pPr>
      <w:r>
        <w:rPr>
          <w:sz w:val="24"/>
        </w:rPr>
        <w:t xml:space="preserve">4. По каждому символу отчета о финансовых результатах (за исключением символов отчета о финансовых результатах, </w:t>
      </w:r>
      <w:hyperlink w:history="0" r:id="rId629"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частью 7</w:t>
        </w:r>
      </w:hyperlink>
      <w:r>
        <w:rPr>
          <w:sz w:val="24"/>
        </w:rPr>
        <w:t xml:space="preserve"> "Финансовый результат" и </w:t>
      </w:r>
      <w:hyperlink w:history="0" r:id="rId630"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частью 9</w:t>
        </w:r>
      </w:hyperlink>
      <w:r>
        <w:rPr>
          <w:sz w:val="24"/>
        </w:rPr>
        <w:t xml:space="preserve"> "Совокупный финансовый результат" части VI приложения 2 к Положению Банка России N 803-П) доходы (расходы) указываются общими суммами, а также с выделением:</w:t>
      </w:r>
    </w:p>
    <w:p>
      <w:pPr>
        <w:pStyle w:val="0"/>
        <w:spacing w:before="240" w:lineRule="auto"/>
        <w:ind w:firstLine="540"/>
        <w:jc w:val="both"/>
      </w:pPr>
      <w:r>
        <w:rPr>
          <w:sz w:val="24"/>
        </w:rPr>
        <w:t xml:space="preserve">сумм доходов (расходов), полученных (осуществленных) в рублях (по аналитическому признаку "В валюте Российской Федерации" группы аналитических признаков "Валюта Российской Федерации или рублевый эквивалент");</w:t>
      </w:r>
    </w:p>
    <w:p>
      <w:pPr>
        <w:pStyle w:val="0"/>
        <w:spacing w:before="240" w:lineRule="auto"/>
        <w:ind w:firstLine="540"/>
        <w:jc w:val="both"/>
      </w:pPr>
      <w:r>
        <w:rPr>
          <w:sz w:val="24"/>
        </w:rPr>
        <w:t xml:space="preserve">сумм доходов (расходов) на дату их получения (осуществления), полученных (осуществленных) в иностранной валюте в рублевом эквиваленте, определяемом по официальному курсу иностранной валюты по отношению к рублю, установленному Банком России в соответствии с </w:t>
      </w:r>
      <w:hyperlink w:history="0" r:id="rId631"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пунктом 15 статьи 4</w:t>
        </w:r>
      </w:hyperlink>
      <w:r>
        <w:rPr>
          <w:sz w:val="24"/>
        </w:rPr>
        <w:t xml:space="preserve"> Федерального закона от 10 июля 2002 года N 86-ФЗ "О Центральном банке Российской Федерации (Банке России)", и драгоценных металлах в рублевом эквиваленте, определяемом по учетным ценам на драгоценные металлы, установленным Банком России в соответствии с </w:t>
      </w:r>
      <w:hyperlink w:history="0" r:id="rId632" w:tooltip="Федеральный закон от 26.03.1998 N 41-ФЗ (ред. от 07.04.2025) &quot;О драгоценных металлах и драгоценных камнях&quot; {КонсультантПлюс}">
        <w:r>
          <w:rPr>
            <w:sz w:val="24"/>
            <w:color w:val="0000ff"/>
          </w:rPr>
          <w:t xml:space="preserve">абзацем вторым пункта 5 статьи 10</w:t>
        </w:r>
      </w:hyperlink>
      <w:r>
        <w:rPr>
          <w:sz w:val="24"/>
        </w:rPr>
        <w:t xml:space="preserve"> Федерального закона от 26 марта 1998 года N 41-ФЗ "О драгоценных металлах и драгоценных камнях" (по аналитическому признаку "В иностранной валюте и драгоценных металлах в рублевом эквиваленте" группы аналитических признаков "Валюта Российской Федерации или рублевый эквивалент").</w:t>
      </w:r>
    </w:p>
    <w:p>
      <w:pPr>
        <w:pStyle w:val="0"/>
        <w:spacing w:before="240" w:lineRule="auto"/>
        <w:ind w:firstLine="540"/>
        <w:jc w:val="both"/>
      </w:pPr>
      <w:r>
        <w:rPr>
          <w:sz w:val="24"/>
        </w:rPr>
        <w:t xml:space="preserve">По символам отчета о финансовых результатах, предусмотренным </w:t>
      </w:r>
      <w:hyperlink w:history="0" r:id="rId633"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частью 7</w:t>
        </w:r>
      </w:hyperlink>
      <w:r>
        <w:rPr>
          <w:sz w:val="24"/>
        </w:rPr>
        <w:t xml:space="preserve"> "Финансовый результат" и </w:t>
      </w:r>
      <w:hyperlink w:history="0" r:id="rId634"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частью 9</w:t>
        </w:r>
      </w:hyperlink>
      <w:r>
        <w:rPr>
          <w:sz w:val="24"/>
        </w:rPr>
        <w:t xml:space="preserve"> "Совокупный финансовый результат" части VI приложения 2 к Положению Банка России N 803-П, доходы (расходы) указываются общими суммами.</w:t>
      </w:r>
    </w:p>
    <w:p>
      <w:pPr>
        <w:pStyle w:val="0"/>
        <w:spacing w:before="240" w:lineRule="auto"/>
        <w:ind w:firstLine="540"/>
        <w:jc w:val="both"/>
      </w:pPr>
      <w:r>
        <w:rPr>
          <w:sz w:val="24"/>
        </w:rPr>
        <w:t xml:space="preserve">Значения показателей отчетности по </w:t>
      </w:r>
      <w:hyperlink w:history="0" w:anchor="P37485" w:tooltip="Отчетность по форме 0420165">
        <w:r>
          <w:rPr>
            <w:sz w:val="24"/>
            <w:color w:val="0000ff"/>
          </w:rPr>
          <w:t xml:space="preserve">форме 0420165</w:t>
        </w:r>
      </w:hyperlink>
      <w:r>
        <w:rPr>
          <w:sz w:val="24"/>
        </w:rPr>
        <w:t xml:space="preserve"> указываются как положительные (без знака "-" (минус), за исключением случаев, когда показатели принимают отрицательное значение в результате исправления страховщиком в бухгалтерском учете выявленных ошибок.</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7546" w:name="P37546"/>
    <w:bookmarkEnd w:id="37546"/>
    <w:p>
      <w:pPr>
        <w:pStyle w:val="0"/>
        <w:jc w:val="center"/>
      </w:pPr>
      <w:r>
        <w:rPr>
          <w:sz w:val="24"/>
        </w:rPr>
        <w:t xml:space="preserve">Отчетность по форме 0420166</w:t>
      </w:r>
    </w:p>
    <w:p>
      <w:pPr>
        <w:pStyle w:val="0"/>
        <w:jc w:val="center"/>
      </w:pPr>
      <w:r>
        <w:rPr>
          <w:sz w:val="24"/>
        </w:rPr>
        <w:t xml:space="preserve">"Сведения об утверждении уполномоченным органом страховщика</w:t>
      </w:r>
    </w:p>
    <w:p>
      <w:pPr>
        <w:pStyle w:val="0"/>
        <w:jc w:val="center"/>
      </w:pPr>
      <w:r>
        <w:rPr>
          <w:sz w:val="24"/>
        </w:rPr>
        <w:t xml:space="preserve">повестки дня, содержащей вопрос о назначении</w:t>
      </w:r>
    </w:p>
    <w:p>
      <w:pPr>
        <w:pStyle w:val="0"/>
        <w:jc w:val="center"/>
      </w:pPr>
      <w:r>
        <w:rPr>
          <w:sz w:val="24"/>
        </w:rPr>
        <w:t xml:space="preserve">аудиторской организации"</w:t>
      </w:r>
    </w:p>
    <w:p>
      <w:pPr>
        <w:pStyle w:val="0"/>
        <w:ind w:firstLine="540"/>
        <w:jc w:val="both"/>
      </w:pPr>
      <w:r>
        <w:rPr>
          <w:sz w:val="24"/>
        </w:rPr>
      </w:r>
    </w:p>
    <w:p>
      <w:pPr>
        <w:pStyle w:val="0"/>
        <w:jc w:val="right"/>
      </w:pPr>
      <w:r>
        <w:rPr>
          <w:sz w:val="24"/>
        </w:rPr>
        <w:t xml:space="preserve">Код формы по </w:t>
      </w:r>
      <w:hyperlink w:history="0" r:id="rId63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617" w:tooltip="&lt;1&gt; Общероссийский классификатор управленческой документации.">
        <w:r>
          <w:rPr>
            <w:sz w:val="24"/>
            <w:color w:val="0000ff"/>
          </w:rPr>
          <w:t xml:space="preserve">&lt;1&gt;</w:t>
        </w:r>
      </w:hyperlink>
      <w:r>
        <w:rPr>
          <w:sz w:val="24"/>
        </w:rPr>
        <w:t xml:space="preserve"> 0420166</w:t>
      </w:r>
    </w:p>
    <w:p>
      <w:pPr>
        <w:pStyle w:val="0"/>
        <w:ind w:firstLine="540"/>
        <w:jc w:val="both"/>
      </w:pPr>
      <w:r>
        <w:rPr>
          <w:sz w:val="24"/>
        </w:rPr>
      </w:r>
    </w:p>
    <w:p>
      <w:pPr>
        <w:pStyle w:val="0"/>
        <w:jc w:val="right"/>
      </w:pPr>
      <w:r>
        <w:rPr>
          <w:sz w:val="24"/>
        </w:rPr>
        <w:t xml:space="preserve">На нерегулярной основе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7563" w:name="P37563"/>
          <w:bookmarkEnd w:id="37563"/>
          <w:p>
            <w:pPr>
              <w:pStyle w:val="0"/>
            </w:pPr>
            <w:r>
              <w:rPr>
                <w:sz w:val="24"/>
              </w:rPr>
              <w:t xml:space="preserve">1</w:t>
            </w:r>
          </w:p>
        </w:tc>
        <w:tc>
          <w:tcPr>
            <w:tcW w:w="2608" w:type="dxa"/>
          </w:tcPr>
          <w:p>
            <w:pPr>
              <w:pStyle w:val="0"/>
            </w:pPr>
            <w:r>
              <w:rPr>
                <w:sz w:val="24"/>
              </w:rPr>
              <w:t xml:space="preserve">Наименование органа, утвердившего повестку дня</w:t>
            </w:r>
          </w:p>
        </w:tc>
        <w:tc>
          <w:tcPr>
            <w:tcW w:w="2608" w:type="dxa"/>
          </w:tcPr>
          <w:p>
            <w:pPr>
              <w:pStyle w:val="0"/>
            </w:pPr>
            <w:r>
              <w:rPr>
                <w:sz w:val="24"/>
              </w:rPr>
            </w:r>
          </w:p>
        </w:tc>
        <w:tc>
          <w:tcPr>
            <w:tcW w:w="2948" w:type="dxa"/>
          </w:tcPr>
          <w:p>
            <w:pPr>
              <w:pStyle w:val="0"/>
            </w:pPr>
            <w:r>
              <w:rPr>
                <w:sz w:val="24"/>
              </w:rPr>
              <w:t xml:space="preserve">nfo-dic:NaimOrganaUtverdivPovestkuDnya</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575" w:name="P37575"/>
          <w:bookmarkEnd w:id="37575"/>
          <w:p>
            <w:pPr>
              <w:pStyle w:val="0"/>
            </w:pPr>
            <w:r>
              <w:rPr>
                <w:sz w:val="24"/>
              </w:rPr>
              <w:t xml:space="preserve">2</w:t>
            </w:r>
          </w:p>
        </w:tc>
        <w:tc>
          <w:tcPr>
            <w:tcW w:w="2608" w:type="dxa"/>
          </w:tcPr>
          <w:p>
            <w:pPr>
              <w:pStyle w:val="0"/>
            </w:pPr>
            <w:r>
              <w:rPr>
                <w:sz w:val="24"/>
              </w:rPr>
              <w:t xml:space="preserve">Дата утверждения повестки дня</w:t>
            </w:r>
          </w:p>
        </w:tc>
        <w:tc>
          <w:tcPr>
            <w:tcW w:w="2608" w:type="dxa"/>
          </w:tcPr>
          <w:p>
            <w:pPr>
              <w:pStyle w:val="0"/>
            </w:pPr>
            <w:r>
              <w:rPr>
                <w:sz w:val="24"/>
              </w:rPr>
            </w:r>
          </w:p>
        </w:tc>
        <w:tc>
          <w:tcPr>
            <w:tcW w:w="2948" w:type="dxa"/>
          </w:tcPr>
          <w:p>
            <w:pPr>
              <w:pStyle w:val="0"/>
            </w:pPr>
            <w:r>
              <w:rPr>
                <w:sz w:val="24"/>
              </w:rPr>
              <w:t xml:space="preserve">nfo-dic:DataUtverzhdPovestkiDnya</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587" w:name="P37587"/>
          <w:bookmarkEnd w:id="37587"/>
          <w:p>
            <w:pPr>
              <w:pStyle w:val="0"/>
            </w:pPr>
            <w:r>
              <w:rPr>
                <w:sz w:val="24"/>
              </w:rPr>
              <w:t xml:space="preserve">3</w:t>
            </w:r>
          </w:p>
        </w:tc>
        <w:tc>
          <w:tcPr>
            <w:tcW w:w="2608" w:type="dxa"/>
          </w:tcPr>
          <w:p>
            <w:pPr>
              <w:pStyle w:val="0"/>
            </w:pPr>
            <w:r>
              <w:rPr>
                <w:sz w:val="24"/>
              </w:rPr>
              <w:t xml:space="preserve">Дата проведения общего собрания, заседания, дата принятия решения</w:t>
            </w:r>
          </w:p>
        </w:tc>
        <w:tc>
          <w:tcPr>
            <w:tcW w:w="2608" w:type="dxa"/>
          </w:tcPr>
          <w:p>
            <w:pPr>
              <w:pStyle w:val="0"/>
            </w:pPr>
            <w:r>
              <w:rPr>
                <w:sz w:val="24"/>
              </w:rPr>
            </w:r>
          </w:p>
        </w:tc>
        <w:tc>
          <w:tcPr>
            <w:tcW w:w="2948" w:type="dxa"/>
          </w:tcPr>
          <w:p>
            <w:pPr>
              <w:pStyle w:val="0"/>
            </w:pPr>
            <w:r>
              <w:rPr>
                <w:sz w:val="24"/>
              </w:rPr>
              <w:t xml:space="preserve">nfo-dic:DataProvSobrZased_DataPrinResh</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599" w:name="P37599"/>
          <w:bookmarkEnd w:id="37599"/>
          <w:p>
            <w:pPr>
              <w:pStyle w:val="0"/>
            </w:pPr>
            <w:r>
              <w:rPr>
                <w:sz w:val="24"/>
              </w:rPr>
              <w:t xml:space="preserve">4</w:t>
            </w:r>
          </w:p>
        </w:tc>
        <w:tc>
          <w:tcPr>
            <w:tcW w:w="2608" w:type="dxa"/>
          </w:tcPr>
          <w:p>
            <w:pPr>
              <w:pStyle w:val="0"/>
            </w:pPr>
            <w:r>
              <w:rPr>
                <w:sz w:val="24"/>
              </w:rPr>
              <w:t xml:space="preserve">Полное фирменное наименование аудиторской организации</w:t>
            </w:r>
          </w:p>
        </w:tc>
        <w:tc>
          <w:tcPr>
            <w:tcW w:w="2608" w:type="dxa"/>
          </w:tcPr>
          <w:p>
            <w:pPr>
              <w:pStyle w:val="0"/>
            </w:pPr>
            <w:r>
              <w:rPr>
                <w:sz w:val="24"/>
              </w:rPr>
            </w:r>
          </w:p>
        </w:tc>
        <w:tc>
          <w:tcPr>
            <w:tcW w:w="2948" w:type="dxa"/>
          </w:tcPr>
          <w:p>
            <w:pPr>
              <w:pStyle w:val="0"/>
            </w:pPr>
            <w:r>
              <w:rPr>
                <w:sz w:val="24"/>
              </w:rPr>
              <w:t xml:space="preserve">nfo-dic:PolnNaim_Aud_Org</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611" w:name="P37611"/>
          <w:bookmarkEnd w:id="37611"/>
          <w:p>
            <w:pPr>
              <w:pStyle w:val="0"/>
            </w:pPr>
            <w:r>
              <w:rPr>
                <w:sz w:val="24"/>
              </w:rPr>
              <w:t xml:space="preserve">5</w:t>
            </w:r>
          </w:p>
        </w:tc>
        <w:tc>
          <w:tcPr>
            <w:tcW w:w="2608" w:type="dxa"/>
          </w:tcPr>
          <w:p>
            <w:pPr>
              <w:pStyle w:val="0"/>
            </w:pPr>
            <w:r>
              <w:rPr>
                <w:sz w:val="24"/>
              </w:rPr>
              <w:t xml:space="preserve">Основной государственный регистрационный номер (ОГРН) аудиторской организации</w:t>
            </w:r>
          </w:p>
        </w:tc>
        <w:tc>
          <w:tcPr>
            <w:tcW w:w="2608" w:type="dxa"/>
          </w:tcPr>
          <w:p>
            <w:pPr>
              <w:pStyle w:val="0"/>
            </w:pPr>
            <w:r>
              <w:rPr>
                <w:sz w:val="24"/>
              </w:rPr>
            </w:r>
          </w:p>
        </w:tc>
        <w:tc>
          <w:tcPr>
            <w:tcW w:w="2948" w:type="dxa"/>
          </w:tcPr>
          <w:p>
            <w:pPr>
              <w:pStyle w:val="0"/>
            </w:pPr>
            <w:r>
              <w:rPr>
                <w:sz w:val="24"/>
              </w:rPr>
              <w:t xml:space="preserve">nfo-dic:OGRN_AudOrg</w:t>
            </w:r>
          </w:p>
        </w:tc>
      </w:tr>
    </w:tbl>
    <w:p>
      <w:pPr>
        <w:pStyle w:val="0"/>
        <w:ind w:firstLine="540"/>
        <w:jc w:val="both"/>
      </w:pPr>
      <w:r>
        <w:rPr>
          <w:sz w:val="24"/>
        </w:rPr>
      </w:r>
    </w:p>
    <w:p>
      <w:pPr>
        <w:pStyle w:val="0"/>
        <w:ind w:firstLine="540"/>
        <w:jc w:val="both"/>
      </w:pPr>
      <w:r>
        <w:rPr>
          <w:sz w:val="24"/>
        </w:rPr>
        <w:t xml:space="preserve">--------------------------------</w:t>
      </w:r>
    </w:p>
    <w:bookmarkStart w:id="37617" w:name="P37617"/>
    <w:bookmarkEnd w:id="37617"/>
    <w:p>
      <w:pPr>
        <w:pStyle w:val="0"/>
        <w:spacing w:before="240" w:lineRule="auto"/>
        <w:ind w:firstLine="540"/>
        <w:jc w:val="both"/>
      </w:pPr>
      <w:r>
        <w:rPr>
          <w:sz w:val="24"/>
        </w:rPr>
        <w:t xml:space="preserve">&lt;1&gt; Общероссийский </w:t>
      </w:r>
      <w:hyperlink w:history="0" r:id="rId63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598"/>
        <w:gridCol w:w="2608"/>
        <w:gridCol w:w="2958"/>
      </w:tblGrid>
      <w:tr>
        <w:tc>
          <w:tcPr>
            <w:tcW w:w="907" w:type="dxa"/>
          </w:tcPr>
          <w:p>
            <w:pPr>
              <w:pStyle w:val="0"/>
              <w:jc w:val="center"/>
            </w:pPr>
            <w:r>
              <w:rPr>
                <w:sz w:val="24"/>
              </w:rPr>
              <w:t xml:space="preserve">1</w:t>
            </w:r>
          </w:p>
        </w:tc>
        <w:tc>
          <w:tcPr>
            <w:tcW w:w="2598" w:type="dxa"/>
          </w:tcPr>
          <w:p>
            <w:pPr>
              <w:pStyle w:val="0"/>
              <w:jc w:val="center"/>
            </w:pPr>
            <w:r>
              <w:rPr>
                <w:sz w:val="24"/>
              </w:rPr>
              <w:t xml:space="preserve">2</w:t>
            </w:r>
          </w:p>
        </w:tc>
        <w:tc>
          <w:tcPr>
            <w:tcW w:w="2608" w:type="dxa"/>
          </w:tcPr>
          <w:p>
            <w:pPr>
              <w:pStyle w:val="0"/>
              <w:jc w:val="center"/>
            </w:pPr>
            <w:r>
              <w:rPr>
                <w:sz w:val="24"/>
              </w:rPr>
              <w:t xml:space="preserve">3</w:t>
            </w:r>
          </w:p>
        </w:tc>
        <w:tc>
          <w:tcPr>
            <w:tcW w:w="2958" w:type="dxa"/>
          </w:tcPr>
          <w:p>
            <w:pPr>
              <w:pStyle w:val="0"/>
              <w:jc w:val="center"/>
            </w:pPr>
            <w:r>
              <w:rPr>
                <w:sz w:val="24"/>
              </w:rPr>
              <w:t xml:space="preserve">4</w:t>
            </w:r>
          </w:p>
        </w:tc>
      </w:tr>
      <w:tr>
        <w:tc>
          <w:tcPr>
            <w:tcW w:w="907" w:type="dxa"/>
          </w:tcPr>
          <w:p>
            <w:pPr>
              <w:pStyle w:val="0"/>
            </w:pPr>
            <w:r>
              <w:rPr>
                <w:sz w:val="24"/>
              </w:rPr>
              <w:t xml:space="preserve">5.1</w:t>
            </w:r>
          </w:p>
        </w:tc>
        <w:tc>
          <w:tcPr>
            <w:tcW w:w="259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58" w:type="dxa"/>
          </w:tcPr>
          <w:p>
            <w:pPr>
              <w:pStyle w:val="0"/>
            </w:pPr>
            <w:r>
              <w:rPr>
                <w:sz w:val="24"/>
              </w:rPr>
              <w:t xml:space="preserve">dim-int:IDAuditOrgTaxis</w:t>
            </w:r>
          </w:p>
        </w:tc>
      </w:tr>
      <w:tr>
        <w:tc>
          <w:tcPr>
            <w:tcW w:w="907" w:type="dxa"/>
          </w:tcPr>
          <w:p>
            <w:pPr>
              <w:pStyle w:val="0"/>
            </w:pPr>
            <w:r>
              <w:rPr>
                <w:sz w:val="24"/>
              </w:rPr>
              <w:t xml:space="preserve">5.2</w:t>
            </w:r>
          </w:p>
        </w:tc>
        <w:tc>
          <w:tcPr>
            <w:tcW w:w="2598" w:type="dxa"/>
          </w:tcPr>
          <w:p>
            <w:pPr>
              <w:pStyle w:val="0"/>
            </w:pPr>
            <w:r>
              <w:rPr>
                <w:sz w:val="24"/>
              </w:rPr>
            </w:r>
          </w:p>
        </w:tc>
        <w:tc>
          <w:tcPr>
            <w:tcW w:w="2608" w:type="dxa"/>
          </w:tcPr>
          <w:p>
            <w:pPr>
              <w:pStyle w:val="0"/>
            </w:pPr>
            <w:r>
              <w:rPr>
                <w:sz w:val="24"/>
              </w:rPr>
              <w:t xml:space="preserve">Идентификатор строки</w:t>
            </w:r>
          </w:p>
        </w:tc>
        <w:tc>
          <w:tcPr>
            <w:tcW w:w="2958" w:type="dxa"/>
          </w:tcPr>
          <w:p>
            <w:pPr>
              <w:pStyle w:val="0"/>
            </w:pPr>
            <w:r>
              <w:rPr>
                <w:sz w:val="24"/>
              </w:rPr>
              <w:t xml:space="preserve">dim-int:ID_strokiTaxis</w:t>
            </w:r>
          </w:p>
        </w:tc>
      </w:tr>
      <w:tr>
        <w:tc>
          <w:tcPr>
            <w:tcW w:w="907" w:type="dxa"/>
          </w:tcPr>
          <w:bookmarkStart w:id="37631" w:name="P37631"/>
          <w:bookmarkEnd w:id="37631"/>
          <w:p>
            <w:pPr>
              <w:pStyle w:val="0"/>
            </w:pPr>
            <w:r>
              <w:rPr>
                <w:sz w:val="24"/>
              </w:rPr>
              <w:t xml:space="preserve">6</w:t>
            </w:r>
          </w:p>
        </w:tc>
        <w:tc>
          <w:tcPr>
            <w:tcW w:w="2598" w:type="dxa"/>
          </w:tcPr>
          <w:p>
            <w:pPr>
              <w:pStyle w:val="0"/>
            </w:pPr>
            <w:r>
              <w:rPr>
                <w:sz w:val="24"/>
              </w:rPr>
              <w:t xml:space="preserve">Адрес аудиторской организации в пределах места нахождения аудиторской организации</w:t>
            </w:r>
          </w:p>
        </w:tc>
        <w:tc>
          <w:tcPr>
            <w:tcW w:w="2608" w:type="dxa"/>
          </w:tcPr>
          <w:p>
            <w:pPr>
              <w:pStyle w:val="0"/>
            </w:pPr>
            <w:r>
              <w:rPr>
                <w:sz w:val="24"/>
              </w:rPr>
            </w:r>
          </w:p>
        </w:tc>
        <w:tc>
          <w:tcPr>
            <w:tcW w:w="2958" w:type="dxa"/>
          </w:tcPr>
          <w:p>
            <w:pPr>
              <w:pStyle w:val="0"/>
            </w:pPr>
            <w:r>
              <w:rPr>
                <w:sz w:val="24"/>
              </w:rPr>
              <w:t xml:space="preserve">nfo-dic:MestoNaxozhd_AudOrg</w:t>
            </w:r>
          </w:p>
        </w:tc>
      </w:tr>
      <w:tr>
        <w:tc>
          <w:tcPr>
            <w:tcW w:w="907" w:type="dxa"/>
          </w:tcPr>
          <w:p>
            <w:pPr>
              <w:pStyle w:val="0"/>
            </w:pPr>
            <w:r>
              <w:rPr>
                <w:sz w:val="24"/>
              </w:rPr>
              <w:t xml:space="preserve">6.1</w:t>
            </w:r>
          </w:p>
        </w:tc>
        <w:tc>
          <w:tcPr>
            <w:tcW w:w="259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58" w:type="dxa"/>
          </w:tcPr>
          <w:p>
            <w:pPr>
              <w:pStyle w:val="0"/>
            </w:pPr>
            <w:r>
              <w:rPr>
                <w:sz w:val="24"/>
              </w:rPr>
              <w:t xml:space="preserve">dim-int:IDAuditOrgTaxis</w:t>
            </w:r>
          </w:p>
        </w:tc>
      </w:tr>
      <w:tr>
        <w:tc>
          <w:tcPr>
            <w:tcW w:w="907" w:type="dxa"/>
          </w:tcPr>
          <w:p>
            <w:pPr>
              <w:pStyle w:val="0"/>
            </w:pPr>
            <w:r>
              <w:rPr>
                <w:sz w:val="24"/>
              </w:rPr>
              <w:t xml:space="preserve">6.2</w:t>
            </w:r>
          </w:p>
        </w:tc>
        <w:tc>
          <w:tcPr>
            <w:tcW w:w="2598" w:type="dxa"/>
          </w:tcPr>
          <w:p>
            <w:pPr>
              <w:pStyle w:val="0"/>
            </w:pPr>
            <w:r>
              <w:rPr>
                <w:sz w:val="24"/>
              </w:rPr>
            </w:r>
          </w:p>
        </w:tc>
        <w:tc>
          <w:tcPr>
            <w:tcW w:w="2608" w:type="dxa"/>
          </w:tcPr>
          <w:p>
            <w:pPr>
              <w:pStyle w:val="0"/>
            </w:pPr>
            <w:r>
              <w:rPr>
                <w:sz w:val="24"/>
              </w:rPr>
              <w:t xml:space="preserve">Идентификатор строки</w:t>
            </w:r>
          </w:p>
        </w:tc>
        <w:tc>
          <w:tcPr>
            <w:tcW w:w="2958" w:type="dxa"/>
          </w:tcPr>
          <w:p>
            <w:pPr>
              <w:pStyle w:val="0"/>
            </w:pPr>
            <w:r>
              <w:rPr>
                <w:sz w:val="24"/>
              </w:rPr>
              <w:t xml:space="preserve">dim-int:ID_strokiTaxis</w:t>
            </w:r>
          </w:p>
        </w:tc>
      </w:tr>
      <w:tr>
        <w:tc>
          <w:tcPr>
            <w:tcW w:w="907" w:type="dxa"/>
          </w:tcPr>
          <w:bookmarkStart w:id="37643" w:name="P37643"/>
          <w:bookmarkEnd w:id="37643"/>
          <w:p>
            <w:pPr>
              <w:pStyle w:val="0"/>
            </w:pPr>
            <w:r>
              <w:rPr>
                <w:sz w:val="24"/>
              </w:rPr>
              <w:t xml:space="preserve">7</w:t>
            </w:r>
          </w:p>
        </w:tc>
        <w:tc>
          <w:tcPr>
            <w:tcW w:w="2598" w:type="dxa"/>
          </w:tcPr>
          <w:p>
            <w:pPr>
              <w:pStyle w:val="0"/>
            </w:pPr>
            <w:r>
              <w:rPr>
                <w:sz w:val="24"/>
              </w:rPr>
              <w:t xml:space="preserve">Основной регистрационный номер записи (ОРНЗ) аудиторской организации</w:t>
            </w:r>
          </w:p>
        </w:tc>
        <w:tc>
          <w:tcPr>
            <w:tcW w:w="2608" w:type="dxa"/>
          </w:tcPr>
          <w:p>
            <w:pPr>
              <w:pStyle w:val="0"/>
            </w:pPr>
            <w:r>
              <w:rPr>
                <w:sz w:val="24"/>
              </w:rPr>
            </w:r>
          </w:p>
        </w:tc>
        <w:tc>
          <w:tcPr>
            <w:tcW w:w="2958" w:type="dxa"/>
          </w:tcPr>
          <w:p>
            <w:pPr>
              <w:pStyle w:val="0"/>
            </w:pPr>
            <w:r>
              <w:rPr>
                <w:sz w:val="24"/>
              </w:rPr>
              <w:t xml:space="preserve">nfo-dic:OsnRegNom_AudOrg</w:t>
            </w:r>
          </w:p>
        </w:tc>
      </w:tr>
      <w:tr>
        <w:tc>
          <w:tcPr>
            <w:tcW w:w="907" w:type="dxa"/>
          </w:tcPr>
          <w:p>
            <w:pPr>
              <w:pStyle w:val="0"/>
            </w:pPr>
            <w:r>
              <w:rPr>
                <w:sz w:val="24"/>
              </w:rPr>
              <w:t xml:space="preserve">7.1</w:t>
            </w:r>
          </w:p>
        </w:tc>
        <w:tc>
          <w:tcPr>
            <w:tcW w:w="259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58" w:type="dxa"/>
          </w:tcPr>
          <w:p>
            <w:pPr>
              <w:pStyle w:val="0"/>
            </w:pPr>
            <w:r>
              <w:rPr>
                <w:sz w:val="24"/>
              </w:rPr>
              <w:t xml:space="preserve">dim-int:IDAuditOrgTaxis</w:t>
            </w:r>
          </w:p>
        </w:tc>
      </w:tr>
      <w:tr>
        <w:tc>
          <w:tcPr>
            <w:tcW w:w="907" w:type="dxa"/>
          </w:tcPr>
          <w:p>
            <w:pPr>
              <w:pStyle w:val="0"/>
            </w:pPr>
            <w:r>
              <w:rPr>
                <w:sz w:val="24"/>
              </w:rPr>
              <w:t xml:space="preserve">7.2</w:t>
            </w:r>
          </w:p>
        </w:tc>
        <w:tc>
          <w:tcPr>
            <w:tcW w:w="2598" w:type="dxa"/>
          </w:tcPr>
          <w:p>
            <w:pPr>
              <w:pStyle w:val="0"/>
            </w:pPr>
            <w:r>
              <w:rPr>
                <w:sz w:val="24"/>
              </w:rPr>
            </w:r>
          </w:p>
        </w:tc>
        <w:tc>
          <w:tcPr>
            <w:tcW w:w="2608" w:type="dxa"/>
          </w:tcPr>
          <w:p>
            <w:pPr>
              <w:pStyle w:val="0"/>
            </w:pPr>
            <w:r>
              <w:rPr>
                <w:sz w:val="24"/>
              </w:rPr>
              <w:t xml:space="preserve">Идентификатор строки</w:t>
            </w:r>
          </w:p>
        </w:tc>
        <w:tc>
          <w:tcPr>
            <w:tcW w:w="2958" w:type="dxa"/>
          </w:tcPr>
          <w:p>
            <w:pPr>
              <w:pStyle w:val="0"/>
            </w:pPr>
            <w:r>
              <w:rPr>
                <w:sz w:val="24"/>
              </w:rPr>
              <w:t xml:space="preserve">dim-int:ID_strokiTaxis</w:t>
            </w:r>
          </w:p>
        </w:tc>
      </w:tr>
      <w:tr>
        <w:tc>
          <w:tcPr>
            <w:tcW w:w="907" w:type="dxa"/>
          </w:tcPr>
          <w:bookmarkStart w:id="37655" w:name="P37655"/>
          <w:bookmarkEnd w:id="37655"/>
          <w:p>
            <w:pPr>
              <w:pStyle w:val="0"/>
            </w:pPr>
            <w:r>
              <w:rPr>
                <w:sz w:val="24"/>
              </w:rPr>
              <w:t xml:space="preserve">8</w:t>
            </w:r>
          </w:p>
        </w:tc>
        <w:tc>
          <w:tcPr>
            <w:tcW w:w="2598" w:type="dxa"/>
          </w:tcPr>
          <w:p>
            <w:pPr>
              <w:pStyle w:val="0"/>
            </w:pPr>
            <w:r>
              <w:rPr>
                <w:sz w:val="24"/>
              </w:rPr>
              <w:t xml:space="preserve">Вид отчетности, подлежащей аудиторской проверке</w:t>
            </w:r>
          </w:p>
        </w:tc>
        <w:tc>
          <w:tcPr>
            <w:tcW w:w="2608" w:type="dxa"/>
          </w:tcPr>
          <w:p>
            <w:pPr>
              <w:pStyle w:val="0"/>
            </w:pPr>
            <w:r>
              <w:rPr>
                <w:sz w:val="24"/>
              </w:rPr>
            </w:r>
          </w:p>
        </w:tc>
        <w:tc>
          <w:tcPr>
            <w:tcW w:w="2958" w:type="dxa"/>
          </w:tcPr>
          <w:p>
            <w:pPr>
              <w:pStyle w:val="0"/>
            </w:pPr>
            <w:r>
              <w:rPr>
                <w:sz w:val="24"/>
              </w:rPr>
              <w:t xml:space="preserve">nfo-dic:Vidotchetnosti_audit_proverke_Enumerator</w:t>
            </w:r>
          </w:p>
        </w:tc>
      </w:tr>
      <w:tr>
        <w:tc>
          <w:tcPr>
            <w:tcW w:w="907" w:type="dxa"/>
          </w:tcPr>
          <w:p>
            <w:pPr>
              <w:pStyle w:val="0"/>
            </w:pPr>
            <w:r>
              <w:rPr>
                <w:sz w:val="24"/>
              </w:rPr>
              <w:t xml:space="preserve">8.1</w:t>
            </w:r>
          </w:p>
        </w:tc>
        <w:tc>
          <w:tcPr>
            <w:tcW w:w="259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58" w:type="dxa"/>
          </w:tcPr>
          <w:p>
            <w:pPr>
              <w:pStyle w:val="0"/>
            </w:pPr>
            <w:r>
              <w:rPr>
                <w:sz w:val="24"/>
              </w:rPr>
              <w:t xml:space="preserve">dim-int:IDAuditOrgTaxis</w:t>
            </w:r>
          </w:p>
        </w:tc>
      </w:tr>
      <w:tr>
        <w:tc>
          <w:tcPr>
            <w:tcW w:w="907" w:type="dxa"/>
          </w:tcPr>
          <w:p>
            <w:pPr>
              <w:pStyle w:val="0"/>
            </w:pPr>
            <w:r>
              <w:rPr>
                <w:sz w:val="24"/>
              </w:rPr>
              <w:t xml:space="preserve">8.2</w:t>
            </w:r>
          </w:p>
        </w:tc>
        <w:tc>
          <w:tcPr>
            <w:tcW w:w="2598" w:type="dxa"/>
          </w:tcPr>
          <w:p>
            <w:pPr>
              <w:pStyle w:val="0"/>
            </w:pPr>
            <w:r>
              <w:rPr>
                <w:sz w:val="24"/>
              </w:rPr>
            </w:r>
          </w:p>
        </w:tc>
        <w:tc>
          <w:tcPr>
            <w:tcW w:w="2608" w:type="dxa"/>
          </w:tcPr>
          <w:p>
            <w:pPr>
              <w:pStyle w:val="0"/>
            </w:pPr>
            <w:r>
              <w:rPr>
                <w:sz w:val="24"/>
              </w:rPr>
              <w:t xml:space="preserve">Идентификатор строки</w:t>
            </w:r>
          </w:p>
        </w:tc>
        <w:tc>
          <w:tcPr>
            <w:tcW w:w="2958" w:type="dxa"/>
          </w:tcPr>
          <w:p>
            <w:pPr>
              <w:pStyle w:val="0"/>
            </w:pPr>
            <w:r>
              <w:rPr>
                <w:sz w:val="24"/>
              </w:rPr>
              <w:t xml:space="preserve">dim-int:ID_strokiTaxis</w:t>
            </w:r>
          </w:p>
        </w:tc>
      </w:tr>
    </w:tbl>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0420166 "Сведения</w:t>
      </w:r>
    </w:p>
    <w:p>
      <w:pPr>
        <w:pStyle w:val="0"/>
        <w:jc w:val="center"/>
      </w:pPr>
      <w:r>
        <w:rPr>
          <w:sz w:val="24"/>
        </w:rPr>
        <w:t xml:space="preserve">об утверждении уполномоченным органом страховщика повестки</w:t>
      </w:r>
    </w:p>
    <w:p>
      <w:pPr>
        <w:pStyle w:val="0"/>
        <w:jc w:val="center"/>
      </w:pPr>
      <w:r>
        <w:rPr>
          <w:sz w:val="24"/>
        </w:rPr>
        <w:t xml:space="preserve">дня, содержащей вопрос о назначении аудиторской организации"</w:t>
      </w:r>
    </w:p>
    <w:p>
      <w:pPr>
        <w:pStyle w:val="0"/>
        <w:ind w:firstLine="540"/>
        <w:jc w:val="both"/>
      </w:pPr>
      <w:r>
        <w:rPr>
          <w:sz w:val="24"/>
        </w:rPr>
      </w:r>
    </w:p>
    <w:p>
      <w:pPr>
        <w:pStyle w:val="0"/>
        <w:ind w:firstLine="540"/>
        <w:jc w:val="both"/>
      </w:pPr>
      <w:r>
        <w:rPr>
          <w:sz w:val="24"/>
        </w:rPr>
        <w:t xml:space="preserve">1. Отчетность по </w:t>
      </w:r>
      <w:hyperlink w:history="0" w:anchor="P37546" w:tooltip="Отчетность по форме 0420166">
        <w:r>
          <w:rPr>
            <w:sz w:val="24"/>
            <w:color w:val="0000ff"/>
          </w:rPr>
          <w:t xml:space="preserve">форме 0420166</w:t>
        </w:r>
      </w:hyperlink>
      <w:r>
        <w:rPr>
          <w:sz w:val="24"/>
        </w:rPr>
        <w:t xml:space="preserve"> "Сведения об утверждении уполномоченным органом страховщика повестки дня, содержащей вопрос о назначении аудиторской организации" (далее - отчетность по форме 0420166) составляется страховщиком (за исключением иностранной страховой организации)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w:t>
      </w: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 в следующих случаях:</w:t>
      </w:r>
    </w:p>
    <w:p>
      <w:pPr>
        <w:pStyle w:val="0"/>
        <w:spacing w:before="240" w:lineRule="auto"/>
        <w:ind w:firstLine="540"/>
        <w:jc w:val="both"/>
      </w:pPr>
      <w:r>
        <w:rPr>
          <w:sz w:val="24"/>
        </w:rPr>
        <w:t xml:space="preserve">утверждения уполномоченным органом страховой организации, общества взаимного страхования повестки дня общего собрания акционеров (участников) страховой организации, членов общества взаимного страхования, содержащей вопрос о назначении аудиторской организации;</w:t>
      </w:r>
    </w:p>
    <w:p>
      <w:pPr>
        <w:pStyle w:val="0"/>
        <w:spacing w:before="240" w:lineRule="auto"/>
        <w:ind w:firstLine="540"/>
        <w:jc w:val="both"/>
      </w:pPr>
      <w:r>
        <w:rPr>
          <w:sz w:val="24"/>
        </w:rPr>
        <w:t xml:space="preserve">принятия решения о заседании совета директоров (наблюдательного совета) страховой организации, на котором должен быть рассмотрен вопрос о назначении аудиторской организации;</w:t>
      </w:r>
    </w:p>
    <w:p>
      <w:pPr>
        <w:pStyle w:val="0"/>
        <w:spacing w:before="240" w:lineRule="auto"/>
        <w:ind w:firstLine="540"/>
        <w:jc w:val="both"/>
      </w:pPr>
      <w:r>
        <w:rPr>
          <w:sz w:val="24"/>
        </w:rPr>
        <w:t xml:space="preserve">принятия решения о заседании правления общества взаимного страхования, на котором должен быть рассмотрен вопрос о назначении аудиторской организации;</w:t>
      </w:r>
    </w:p>
    <w:p>
      <w:pPr>
        <w:pStyle w:val="0"/>
        <w:spacing w:before="240" w:lineRule="auto"/>
        <w:ind w:firstLine="540"/>
        <w:jc w:val="both"/>
      </w:pPr>
      <w:r>
        <w:rPr>
          <w:sz w:val="24"/>
        </w:rPr>
        <w:t xml:space="preserve">принятия решения единственным акционером (участником) страховой организации о назначении аудиторской организации;</w:t>
      </w:r>
    </w:p>
    <w:p>
      <w:pPr>
        <w:pStyle w:val="0"/>
        <w:spacing w:before="240" w:lineRule="auto"/>
        <w:ind w:firstLine="540"/>
        <w:jc w:val="both"/>
      </w:pPr>
      <w:r>
        <w:rPr>
          <w:sz w:val="24"/>
        </w:rPr>
        <w:t xml:space="preserve">принятия решения собственником имущества страховой организации, созданной в форме унитарного предприятия, о назначении аудиторской организации.</w:t>
      </w:r>
    </w:p>
    <w:p>
      <w:pPr>
        <w:pStyle w:val="0"/>
        <w:spacing w:before="240" w:lineRule="auto"/>
        <w:ind w:firstLine="540"/>
        <w:jc w:val="both"/>
      </w:pPr>
      <w:r>
        <w:rPr>
          <w:sz w:val="24"/>
        </w:rPr>
        <w:t xml:space="preserve">2. Показатели отчетности по </w:t>
      </w:r>
      <w:hyperlink w:history="0" w:anchor="P37546" w:tooltip="Отчетность по форме 0420166">
        <w:r>
          <w:rPr>
            <w:sz w:val="24"/>
            <w:color w:val="0000ff"/>
          </w:rPr>
          <w:t xml:space="preserve">форме 0420166</w:t>
        </w:r>
      </w:hyperlink>
      <w:r>
        <w:rPr>
          <w:sz w:val="24"/>
        </w:rPr>
        <w:t xml:space="preserve"> формируются в разрезе аудиторских организаций (по группе аналитических признаков "Идентификатор аудиторской организации").</w:t>
      </w:r>
    </w:p>
    <w:p>
      <w:pPr>
        <w:pStyle w:val="0"/>
        <w:spacing w:before="240" w:lineRule="auto"/>
        <w:ind w:firstLine="540"/>
        <w:jc w:val="both"/>
      </w:pPr>
      <w:r>
        <w:rPr>
          <w:sz w:val="24"/>
        </w:rPr>
        <w:t xml:space="preserve">По группе аналитических признаков "Идентификатор аудиторской организации" указывается сформированный страховщиком самостоятельно в соответствии с </w:t>
      </w:r>
      <w:hyperlink w:history="0" w:anchor="P969" w:tooltip="8.27.1. Для контрагента-резидента, являющегося юридическим лицом, указываются следующие характеристики:">
        <w:r>
          <w:rPr>
            <w:sz w:val="24"/>
            <w:color w:val="0000ff"/>
          </w:rPr>
          <w:t xml:space="preserve">подпунктом 8.27.1 пункта 8</w:t>
        </w:r>
      </w:hyperlink>
      <w:r>
        <w:rPr>
          <w:sz w:val="24"/>
        </w:rPr>
        <w:t xml:space="preserve"> Порядка и сроков составления отчетности по форме 0420150 "Общие сведения о страховщике" идентификатор аудиторской организации.</w:t>
      </w:r>
    </w:p>
    <w:p>
      <w:pPr>
        <w:pStyle w:val="0"/>
        <w:spacing w:before="240" w:lineRule="auto"/>
        <w:ind w:firstLine="540"/>
        <w:jc w:val="both"/>
      </w:pPr>
      <w:r>
        <w:rPr>
          <w:sz w:val="24"/>
        </w:rPr>
        <w:t xml:space="preserve">3. По показателю "Наименование органа, утвердившего повестку дня" </w:t>
      </w:r>
      <w:hyperlink w:history="0" w:anchor="P37563" w:tooltip="1">
        <w:r>
          <w:rPr>
            <w:sz w:val="24"/>
            <w:color w:val="0000ff"/>
          </w:rPr>
          <w:t xml:space="preserve">(строка 1)</w:t>
        </w:r>
      </w:hyperlink>
      <w:r>
        <w:rPr>
          <w:sz w:val="24"/>
        </w:rPr>
        <w:t xml:space="preserve"> страховой организацией указывается полное наименование органа управления страховой организации, утвердившего повестку дня общего собрания акционеров (участников), заседания совета директоров (наблюдательного совета), содержащую вопрос о назначении аудиторской организации, либо полное наименование или фамилия, имя и отчество (при наличии) единственного акционера (участника) страховой организации, принявшего решение о назначении аудиторской организации.</w:t>
      </w:r>
    </w:p>
    <w:p>
      <w:pPr>
        <w:pStyle w:val="0"/>
        <w:spacing w:before="240" w:lineRule="auto"/>
        <w:ind w:firstLine="540"/>
        <w:jc w:val="both"/>
      </w:pPr>
      <w:r>
        <w:rPr>
          <w:sz w:val="24"/>
        </w:rPr>
        <w:t xml:space="preserve">По показателю "Наименование органа, утвердившего повестку дня" </w:t>
      </w:r>
      <w:hyperlink w:history="0" w:anchor="P37563" w:tooltip="1">
        <w:r>
          <w:rPr>
            <w:sz w:val="24"/>
            <w:color w:val="0000ff"/>
          </w:rPr>
          <w:t xml:space="preserve">(строка 1)</w:t>
        </w:r>
      </w:hyperlink>
      <w:r>
        <w:rPr>
          <w:sz w:val="24"/>
        </w:rPr>
        <w:t xml:space="preserve"> обществом взаимного страхования указывается полное наименование органа управления общества взаимного страхования, утвердившего повестку дня общего собрания членов общества взаимного страхования, содержащую вопрос о назначении аудиторской организации. В случае если вопрос о назначении аудиторской организации в соответствии с уставом общества взаимного страхования относится к компетенции правления общества взаимного страхования, по показателю "Наименование органа, утвердившего повестку дня" </w:t>
      </w:r>
      <w:hyperlink w:history="0" w:anchor="P37563" w:tooltip="1">
        <w:r>
          <w:rPr>
            <w:sz w:val="24"/>
            <w:color w:val="0000ff"/>
          </w:rPr>
          <w:t xml:space="preserve">(строка 1)</w:t>
        </w:r>
      </w:hyperlink>
      <w:r>
        <w:rPr>
          <w:sz w:val="24"/>
        </w:rPr>
        <w:t xml:space="preserve"> указывается полное наименование правления общества взаимного страхования.</w:t>
      </w:r>
    </w:p>
    <w:p>
      <w:pPr>
        <w:pStyle w:val="0"/>
        <w:spacing w:before="240" w:lineRule="auto"/>
        <w:ind w:firstLine="540"/>
        <w:jc w:val="both"/>
      </w:pPr>
      <w:r>
        <w:rPr>
          <w:sz w:val="24"/>
        </w:rPr>
        <w:t xml:space="preserve">По показателю "Наименование органа, утвердившего повестку дня" </w:t>
      </w:r>
      <w:hyperlink w:history="0" w:anchor="P37563" w:tooltip="1">
        <w:r>
          <w:rPr>
            <w:sz w:val="24"/>
            <w:color w:val="0000ff"/>
          </w:rPr>
          <w:t xml:space="preserve">(строка 1)</w:t>
        </w:r>
      </w:hyperlink>
      <w:r>
        <w:rPr>
          <w:sz w:val="24"/>
        </w:rPr>
        <w:t xml:space="preserve"> страховой организацией, созданной в форме унитарного предприятия, указывает полное наименование лица, осуществляющего правомочия собственника имущества унитарного предприятия.</w:t>
      </w:r>
    </w:p>
    <w:p>
      <w:pPr>
        <w:pStyle w:val="0"/>
        <w:spacing w:before="240" w:lineRule="auto"/>
        <w:ind w:firstLine="540"/>
        <w:jc w:val="both"/>
      </w:pPr>
      <w:r>
        <w:rPr>
          <w:sz w:val="24"/>
        </w:rPr>
        <w:t xml:space="preserve">4. По показателю "Дата утверждения повестки дня" </w:t>
      </w:r>
      <w:hyperlink w:history="0" w:anchor="P37575" w:tooltip="2">
        <w:r>
          <w:rPr>
            <w:sz w:val="24"/>
            <w:color w:val="0000ff"/>
          </w:rPr>
          <w:t xml:space="preserve">(строка 2)</w:t>
        </w:r>
      </w:hyperlink>
      <w:r>
        <w:rPr>
          <w:sz w:val="24"/>
        </w:rPr>
        <w:t xml:space="preserve"> указывается дата принятия решения об утверждении повестки дня общего собрания акционеров (участников) или заседания совета директоров (наблюдательного совета) страховой организации, общего собрания членов общества взаимного страхования, содержащей вопрос о назначении аудиторской организации.</w:t>
      </w:r>
    </w:p>
    <w:p>
      <w:pPr>
        <w:pStyle w:val="0"/>
        <w:spacing w:before="240" w:lineRule="auto"/>
        <w:ind w:firstLine="540"/>
        <w:jc w:val="both"/>
      </w:pPr>
      <w:r>
        <w:rPr>
          <w:sz w:val="24"/>
        </w:rPr>
        <w:t xml:space="preserve">В случае если решение о назначении аудиторской организации принимается единственным акционером (участником) страховой организации, собственником имущества страховой организации, созданной в форме унитарного предприятия, или правлением общества взаимного страхования в соответствии с уставом общества взаимного страхования, показатель "Дата утверждения повестки дня" </w:t>
      </w:r>
      <w:hyperlink w:history="0" w:anchor="P37575" w:tooltip="2">
        <w:r>
          <w:rPr>
            <w:sz w:val="24"/>
            <w:color w:val="0000ff"/>
          </w:rPr>
          <w:t xml:space="preserve">(строка 2)</w:t>
        </w:r>
      </w:hyperlink>
      <w:r>
        <w:rPr>
          <w:sz w:val="24"/>
        </w:rPr>
        <w:t xml:space="preserve"> не формируется.</w:t>
      </w:r>
    </w:p>
    <w:p>
      <w:pPr>
        <w:pStyle w:val="0"/>
        <w:spacing w:before="240" w:lineRule="auto"/>
        <w:ind w:firstLine="540"/>
        <w:jc w:val="both"/>
      </w:pPr>
      <w:r>
        <w:rPr>
          <w:sz w:val="24"/>
        </w:rPr>
        <w:t xml:space="preserve">5. По показателю "Дата проведения общего собрания, заседания, дата принятия решения" </w:t>
      </w:r>
      <w:hyperlink w:history="0" w:anchor="P37587" w:tooltip="3">
        <w:r>
          <w:rPr>
            <w:sz w:val="24"/>
            <w:color w:val="0000ff"/>
          </w:rPr>
          <w:t xml:space="preserve">(строка 3)</w:t>
        </w:r>
      </w:hyperlink>
      <w:r>
        <w:rPr>
          <w:sz w:val="24"/>
        </w:rPr>
        <w:t xml:space="preserve"> страховой организацией указывается дата проведения общего собрания акционеров (участников) или заседания совета директоров (наблюдательного совета) страховой организации, на котором должен быть рассмотрен вопрос о назначении аудиторской организации, либо дата принятия единственным акционером (участником) страховой организации решения о назначении аудиторской организации.</w:t>
      </w:r>
    </w:p>
    <w:p>
      <w:pPr>
        <w:pStyle w:val="0"/>
        <w:spacing w:before="240" w:lineRule="auto"/>
        <w:ind w:firstLine="540"/>
        <w:jc w:val="both"/>
      </w:pPr>
      <w:r>
        <w:rPr>
          <w:sz w:val="24"/>
        </w:rPr>
        <w:t xml:space="preserve">По показателю "Дата проведения общего собрания, заседания, дата принятия решения" </w:t>
      </w:r>
      <w:hyperlink w:history="0" w:anchor="P37587" w:tooltip="3">
        <w:r>
          <w:rPr>
            <w:sz w:val="24"/>
            <w:color w:val="0000ff"/>
          </w:rPr>
          <w:t xml:space="preserve">(строка 3)</w:t>
        </w:r>
      </w:hyperlink>
      <w:r>
        <w:rPr>
          <w:sz w:val="24"/>
        </w:rPr>
        <w:t xml:space="preserve"> обществом взаимного страхования указывается дата проведения общего собрания членов общества взаимного страхования, на котором должен быть рассмотрен вопрос о назначении аудиторской организации. В случае если вопрос о назначении аудиторской организации в соответствии с уставом общества взаимного страхования относится к компетенции правления общества взаимного страхования, по показателю "Дата проведения общего собрания, заседания, дата принятия решения" </w:t>
      </w:r>
      <w:hyperlink w:history="0" w:anchor="P37587" w:tooltip="3">
        <w:r>
          <w:rPr>
            <w:sz w:val="24"/>
            <w:color w:val="0000ff"/>
          </w:rPr>
          <w:t xml:space="preserve">(строка 3)</w:t>
        </w:r>
      </w:hyperlink>
      <w:r>
        <w:rPr>
          <w:sz w:val="24"/>
        </w:rPr>
        <w:t xml:space="preserve"> указывается дата проведения заседания правления общества взаимного страхования, на котором должен быть рассмотрен вопрос о назначении аудиторской организации.</w:t>
      </w:r>
    </w:p>
    <w:p>
      <w:pPr>
        <w:pStyle w:val="0"/>
        <w:spacing w:before="240" w:lineRule="auto"/>
        <w:ind w:firstLine="540"/>
        <w:jc w:val="both"/>
      </w:pPr>
      <w:r>
        <w:rPr>
          <w:sz w:val="24"/>
        </w:rPr>
        <w:t xml:space="preserve">В случае если общее собрание акционеров (участников) страховой организации, общее собрание членов общества взаимного страхования или заседание иного органа страховой организации, общества взаимного страхования планируется проводить в форме заочного голосования, по показателю "Дата проведения общего собрания, заседания, дата принятия решения" </w:t>
      </w:r>
      <w:hyperlink w:history="0" w:anchor="P37587" w:tooltip="3">
        <w:r>
          <w:rPr>
            <w:sz w:val="24"/>
            <w:color w:val="0000ff"/>
          </w:rPr>
          <w:t xml:space="preserve">(строк 3)</w:t>
        </w:r>
      </w:hyperlink>
      <w:r>
        <w:rPr>
          <w:sz w:val="24"/>
        </w:rPr>
        <w:t xml:space="preserve"> указывается дата окончания приема бюллетеней для голосования.</w:t>
      </w:r>
    </w:p>
    <w:p>
      <w:pPr>
        <w:pStyle w:val="0"/>
        <w:spacing w:before="240" w:lineRule="auto"/>
        <w:ind w:firstLine="540"/>
        <w:jc w:val="both"/>
      </w:pPr>
      <w:r>
        <w:rPr>
          <w:sz w:val="24"/>
        </w:rPr>
        <w:t xml:space="preserve">По показателю "Дата проведения общего собрания, заседания, дата принятия решения" </w:t>
      </w:r>
      <w:hyperlink w:history="0" w:anchor="P37587" w:tooltip="3">
        <w:r>
          <w:rPr>
            <w:sz w:val="24"/>
            <w:color w:val="0000ff"/>
          </w:rPr>
          <w:t xml:space="preserve">(строка 3)</w:t>
        </w:r>
      </w:hyperlink>
      <w:r>
        <w:rPr>
          <w:sz w:val="24"/>
        </w:rPr>
        <w:t xml:space="preserve"> страховой организацией, созданной в форме унитарного предприятия, указывается дата принятия собственником имущества решения о назначении аудиторской организации.</w:t>
      </w:r>
    </w:p>
    <w:p>
      <w:pPr>
        <w:pStyle w:val="0"/>
        <w:spacing w:before="240" w:lineRule="auto"/>
        <w:ind w:firstLine="540"/>
        <w:jc w:val="both"/>
      </w:pPr>
      <w:r>
        <w:rPr>
          <w:sz w:val="24"/>
        </w:rPr>
        <w:t xml:space="preserve">6. По показателю "Полное фирменное наименование аудиторской организации" </w:t>
      </w:r>
      <w:hyperlink w:history="0" w:anchor="P37599" w:tooltip="4">
        <w:r>
          <w:rPr>
            <w:sz w:val="24"/>
            <w:color w:val="0000ff"/>
          </w:rPr>
          <w:t xml:space="preserve">(строка 4)</w:t>
        </w:r>
      </w:hyperlink>
      <w:r>
        <w:rPr>
          <w:sz w:val="24"/>
        </w:rPr>
        <w:t xml:space="preserve"> указывается полное фирменное наименование аудиторской организации в соответствии с единым государственным реестром юридических лиц (далее - ЕГРЮЛ).</w:t>
      </w:r>
    </w:p>
    <w:p>
      <w:pPr>
        <w:pStyle w:val="0"/>
        <w:spacing w:before="240" w:lineRule="auto"/>
        <w:ind w:firstLine="540"/>
        <w:jc w:val="both"/>
      </w:pPr>
      <w:r>
        <w:rPr>
          <w:sz w:val="24"/>
        </w:rPr>
        <w:t xml:space="preserve">7. По показателю "Основной государственный регистрационный номер (ОГРН) аудиторской организации" </w:t>
      </w:r>
      <w:hyperlink w:history="0" w:anchor="P37611" w:tooltip="5">
        <w:r>
          <w:rPr>
            <w:sz w:val="24"/>
            <w:color w:val="0000ff"/>
          </w:rPr>
          <w:t xml:space="preserve">(строка 5)</w:t>
        </w:r>
      </w:hyperlink>
      <w:r>
        <w:rPr>
          <w:sz w:val="24"/>
        </w:rPr>
        <w:t xml:space="preserve"> указывается основной государственный регистрационный номер аудиторской организации.</w:t>
      </w:r>
    </w:p>
    <w:p>
      <w:pPr>
        <w:pStyle w:val="0"/>
        <w:spacing w:before="240" w:lineRule="auto"/>
        <w:ind w:firstLine="540"/>
        <w:jc w:val="both"/>
      </w:pPr>
      <w:r>
        <w:rPr>
          <w:sz w:val="24"/>
        </w:rPr>
        <w:t xml:space="preserve">8. По показателю "Адрес аудиторской организации в пределах места нахождения аудиторской организации" </w:t>
      </w:r>
      <w:hyperlink w:history="0" w:anchor="P37631" w:tooltip="6">
        <w:r>
          <w:rPr>
            <w:sz w:val="24"/>
            <w:color w:val="0000ff"/>
          </w:rPr>
          <w:t xml:space="preserve">(строка 6)</w:t>
        </w:r>
      </w:hyperlink>
      <w:r>
        <w:rPr>
          <w:sz w:val="24"/>
        </w:rPr>
        <w:t xml:space="preserve"> указывается адрес аудиторской организации в пределах места нахождения аудиторской организации, указанный в ЕГРЮЛ.</w:t>
      </w:r>
    </w:p>
    <w:p>
      <w:pPr>
        <w:pStyle w:val="0"/>
        <w:spacing w:before="240" w:lineRule="auto"/>
        <w:ind w:firstLine="540"/>
        <w:jc w:val="both"/>
      </w:pPr>
      <w:r>
        <w:rPr>
          <w:sz w:val="24"/>
        </w:rPr>
        <w:t xml:space="preserve">9. По показателю "Основной регистрационный номер записи (ОРНЗ) аудиторской организации" </w:t>
      </w:r>
      <w:hyperlink w:history="0" w:anchor="P37643" w:tooltip="7">
        <w:r>
          <w:rPr>
            <w:sz w:val="24"/>
            <w:color w:val="0000ff"/>
          </w:rPr>
          <w:t xml:space="preserve">(строка 7)</w:t>
        </w:r>
      </w:hyperlink>
      <w:r>
        <w:rPr>
          <w:sz w:val="24"/>
        </w:rPr>
        <w:t xml:space="preserve"> указывается основной регистрационный номер записи аудиторской организации в реестре аудиторов и аудиторских организаций саморегулируемой организации аудиторов, который в соответствии с </w:t>
      </w:r>
      <w:hyperlink w:history="0" r:id="rId637" w:tooltip="Федеральный закон от 30.12.2008 N 307-ФЗ (ред. от 26.12.2024) &quot;Об аудиторской деятельности&quot; {КонсультантПлюс}">
        <w:r>
          <w:rPr>
            <w:sz w:val="24"/>
            <w:color w:val="0000ff"/>
          </w:rPr>
          <w:t xml:space="preserve">частью 2 статьи 19</w:t>
        </w:r>
      </w:hyperlink>
      <w:r>
        <w:rPr>
          <w:sz w:val="24"/>
        </w:rPr>
        <w:t xml:space="preserve"> Федерального закона от 30 декабря 2008 года N 307-ФЗ "Об аудиторской деятельности" ведет саморегулируемая организация аудиторов.</w:t>
      </w:r>
    </w:p>
    <w:p>
      <w:pPr>
        <w:pStyle w:val="0"/>
        <w:spacing w:before="240" w:lineRule="auto"/>
        <w:ind w:firstLine="540"/>
        <w:jc w:val="both"/>
      </w:pPr>
      <w:r>
        <w:rPr>
          <w:sz w:val="24"/>
        </w:rPr>
        <w:t xml:space="preserve">10. По показателю "Вид отчетности, подлежащей аудиторской проверке" </w:t>
      </w:r>
      <w:hyperlink w:history="0" w:anchor="P37655" w:tooltip="8">
        <w:r>
          <w:rPr>
            <w:sz w:val="24"/>
            <w:color w:val="0000ff"/>
          </w:rPr>
          <w:t xml:space="preserve">(строка 8)</w:t>
        </w:r>
      </w:hyperlink>
      <w:r>
        <w:rPr>
          <w:sz w:val="24"/>
        </w:rPr>
        <w:t xml:space="preserve"> указывается следующий вид отчетности, подлежащей аудиту либо иной проверке в соответствии со стандартами аудиторской деятельности, предусмотренными </w:t>
      </w:r>
      <w:hyperlink w:history="0" r:id="rId638" w:tooltip="Федеральный закон от 27.07.2010 N 208-ФЗ (ред. от 22.07.2024) &quot;О консолидированной финансовой отчетности&quot; {КонсультантПлюс}">
        <w:r>
          <w:rPr>
            <w:sz w:val="24"/>
            <w:color w:val="0000ff"/>
          </w:rPr>
          <w:t xml:space="preserve">частью 2 статьи 5</w:t>
        </w:r>
      </w:hyperlink>
      <w:r>
        <w:rPr>
          <w:sz w:val="24"/>
        </w:rPr>
        <w:t xml:space="preserve"> Федерального закона от 27 июля 2010 года N 208-ФЗ "О консолидированной финансовой отчетности" (далее - аудиторская проверка):</w:t>
      </w:r>
    </w:p>
    <w:p>
      <w:pPr>
        <w:pStyle w:val="0"/>
        <w:spacing w:before="240" w:lineRule="auto"/>
        <w:ind w:firstLine="540"/>
        <w:jc w:val="both"/>
      </w:pPr>
      <w:r>
        <w:rPr>
          <w:sz w:val="24"/>
        </w:rPr>
        <w:t xml:space="preserve">годовая бухгалтерская (финансовая) отчетность;</w:t>
      </w:r>
    </w:p>
    <w:p>
      <w:pPr>
        <w:pStyle w:val="0"/>
        <w:spacing w:before="240" w:lineRule="auto"/>
        <w:ind w:firstLine="540"/>
        <w:jc w:val="both"/>
      </w:pPr>
      <w:r>
        <w:rPr>
          <w:sz w:val="24"/>
        </w:rPr>
        <w:t xml:space="preserve">промежуточная бухгалтерская (финансовая) отчетность;</w:t>
      </w:r>
    </w:p>
    <w:p>
      <w:pPr>
        <w:pStyle w:val="0"/>
        <w:spacing w:before="240" w:lineRule="auto"/>
        <w:ind w:firstLine="540"/>
        <w:jc w:val="both"/>
      </w:pPr>
      <w:r>
        <w:rPr>
          <w:sz w:val="24"/>
        </w:rPr>
        <w:t xml:space="preserve">годовая консолидированная финансовая отчетность;</w:t>
      </w:r>
    </w:p>
    <w:p>
      <w:pPr>
        <w:pStyle w:val="0"/>
        <w:spacing w:before="240" w:lineRule="auto"/>
        <w:ind w:firstLine="540"/>
        <w:jc w:val="both"/>
      </w:pPr>
      <w:r>
        <w:rPr>
          <w:sz w:val="24"/>
        </w:rPr>
        <w:t xml:space="preserve">промежуточная консолидированная финансовая отчетность;</w:t>
      </w:r>
    </w:p>
    <w:p>
      <w:pPr>
        <w:pStyle w:val="0"/>
        <w:spacing w:before="240" w:lineRule="auto"/>
        <w:ind w:firstLine="540"/>
        <w:jc w:val="both"/>
      </w:pPr>
      <w:r>
        <w:rPr>
          <w:sz w:val="24"/>
        </w:rPr>
        <w:t xml:space="preserve">годовая финансовая отчетность;</w:t>
      </w:r>
    </w:p>
    <w:p>
      <w:pPr>
        <w:pStyle w:val="0"/>
        <w:spacing w:before="240" w:lineRule="auto"/>
        <w:ind w:firstLine="540"/>
        <w:jc w:val="both"/>
      </w:pPr>
      <w:r>
        <w:rPr>
          <w:sz w:val="24"/>
        </w:rPr>
        <w:t xml:space="preserve">промежуточная финансовая отчетность;</w:t>
      </w:r>
    </w:p>
    <w:p>
      <w:pPr>
        <w:pStyle w:val="0"/>
        <w:spacing w:before="240" w:lineRule="auto"/>
        <w:ind w:firstLine="540"/>
        <w:jc w:val="both"/>
      </w:pPr>
      <w:r>
        <w:rPr>
          <w:sz w:val="24"/>
        </w:rPr>
        <w:t xml:space="preserve">проведение аудиторской организацией проверок, предусмотренных правилами доверительного управления паевым инвестиционным фондом.</w:t>
      </w:r>
    </w:p>
    <w:p>
      <w:pPr>
        <w:pStyle w:val="0"/>
        <w:spacing w:before="240" w:lineRule="auto"/>
        <w:ind w:firstLine="540"/>
        <w:jc w:val="both"/>
      </w:pPr>
      <w:r>
        <w:rPr>
          <w:sz w:val="24"/>
        </w:rPr>
        <w:t xml:space="preserve">В случае если аудиторской проверке подлежит проверка выполнения страховщиком требований финансовой устойчивости и платежеспособности, а также эффективности организации системы внутреннего контроля страховщика, по показателю "Вид отчетности, подлежащей аудиторской проверке" </w:t>
      </w:r>
      <w:hyperlink w:history="0" w:anchor="P37655" w:tooltip="8">
        <w:r>
          <w:rPr>
            <w:sz w:val="24"/>
            <w:color w:val="0000ff"/>
          </w:rPr>
          <w:t xml:space="preserve">(строка 8)</w:t>
        </w:r>
      </w:hyperlink>
      <w:r>
        <w:rPr>
          <w:sz w:val="24"/>
        </w:rPr>
        <w:t xml:space="preserve"> указывается значение "Годовая бухгалтерская (финансовая) отчетность".</w:t>
      </w:r>
    </w:p>
    <w:p>
      <w:pPr>
        <w:pStyle w:val="0"/>
        <w:spacing w:before="240" w:lineRule="auto"/>
        <w:ind w:firstLine="540"/>
        <w:jc w:val="both"/>
      </w:pPr>
      <w:r>
        <w:rPr>
          <w:sz w:val="24"/>
        </w:rPr>
        <w:t xml:space="preserve">По показателю "Вид отчетности, подлежащей аудиторской проверке" </w:t>
      </w:r>
      <w:hyperlink w:history="0" w:anchor="P37655" w:tooltip="8">
        <w:r>
          <w:rPr>
            <w:sz w:val="24"/>
            <w:color w:val="0000ff"/>
          </w:rPr>
          <w:t xml:space="preserve">(строка 8)</w:t>
        </w:r>
      </w:hyperlink>
      <w:r>
        <w:rPr>
          <w:sz w:val="24"/>
        </w:rPr>
        <w:t xml:space="preserve"> страховая организация, имеющая лицензию на осуществление добровольного страхования жизни и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указывает значение "Проведение аудиторской организацией проверок, предусмотренных правилами доверительного управления паевым инвестиционным фондом" в случае, если правилами доверительного управления паевым инвестиционным фондом предусмотрено ежегодное проведение аудиторской организацией проверки выполнения требований, предусмотренных </w:t>
      </w:r>
      <w:hyperlink w:history="0" r:id="rId639"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пунктом 3 статьи 50</w:t>
        </w:r>
      </w:hyperlink>
      <w:r>
        <w:rPr>
          <w:sz w:val="24"/>
        </w:rPr>
        <w:t xml:space="preserve"> Федерального закона от 29 ноября 2001 года N 156-ФЗ "Об инвестиционных фондах".</w:t>
      </w:r>
    </w:p>
    <w:p>
      <w:pPr>
        <w:pStyle w:val="0"/>
        <w:spacing w:before="240" w:lineRule="auto"/>
        <w:ind w:firstLine="540"/>
        <w:jc w:val="both"/>
      </w:pPr>
      <w:r>
        <w:rPr>
          <w:sz w:val="24"/>
        </w:rPr>
        <w:t xml:space="preserve">В случае если аудиторской проверке подлежит более одного вида отчетности, по показателю "Вид отчетности, подлежащей аудиторской проверке" </w:t>
      </w:r>
      <w:hyperlink w:history="0" w:anchor="P37655" w:tooltip="8">
        <w:r>
          <w:rPr>
            <w:sz w:val="24"/>
            <w:color w:val="0000ff"/>
          </w:rPr>
          <w:t xml:space="preserve">(строка 8)</w:t>
        </w:r>
      </w:hyperlink>
      <w:r>
        <w:rPr>
          <w:sz w:val="24"/>
        </w:rPr>
        <w:t xml:space="preserve"> указывается информация по каждому виду отчетности, подлежащей аудиторской проверке, отдельно (с отражением данных по группе аналитических признаков "Идентификатор строки").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7712" w:name="P37712"/>
    <w:bookmarkEnd w:id="37712"/>
    <w:p>
      <w:pPr>
        <w:pStyle w:val="0"/>
        <w:jc w:val="center"/>
      </w:pPr>
      <w:r>
        <w:rPr>
          <w:sz w:val="24"/>
        </w:rPr>
        <w:t xml:space="preserve">Отчетность по форме 0420167</w:t>
      </w:r>
    </w:p>
    <w:p>
      <w:pPr>
        <w:pStyle w:val="0"/>
        <w:jc w:val="center"/>
      </w:pPr>
      <w:r>
        <w:rPr>
          <w:sz w:val="24"/>
        </w:rPr>
        <w:t xml:space="preserve">"Сведения об аудиторской проверке отчетности страховщика"</w:t>
      </w:r>
    </w:p>
    <w:p>
      <w:pPr>
        <w:pStyle w:val="0"/>
        <w:ind w:firstLine="540"/>
        <w:jc w:val="both"/>
      </w:pPr>
      <w:r>
        <w:rPr>
          <w:sz w:val="24"/>
        </w:rPr>
      </w:r>
    </w:p>
    <w:p>
      <w:pPr>
        <w:pStyle w:val="0"/>
        <w:jc w:val="right"/>
      </w:pPr>
      <w:r>
        <w:rPr>
          <w:sz w:val="24"/>
        </w:rPr>
        <w:t xml:space="preserve">Код формы по </w:t>
      </w:r>
      <w:hyperlink w:history="0" r:id="rId64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401" w:tooltip="&lt;1&gt; Общероссийский классификатор управленческой документации.">
        <w:r>
          <w:rPr>
            <w:sz w:val="24"/>
            <w:color w:val="0000ff"/>
          </w:rPr>
          <w:t xml:space="preserve">&lt;1&gt;</w:t>
        </w:r>
      </w:hyperlink>
      <w:r>
        <w:rPr>
          <w:sz w:val="24"/>
        </w:rPr>
        <w:t xml:space="preserve"> 0420167</w:t>
      </w:r>
    </w:p>
    <w:p>
      <w:pPr>
        <w:pStyle w:val="0"/>
        <w:ind w:firstLine="540"/>
        <w:jc w:val="both"/>
      </w:pPr>
      <w:r>
        <w:rPr>
          <w:sz w:val="24"/>
        </w:rPr>
      </w:r>
    </w:p>
    <w:p>
      <w:pPr>
        <w:pStyle w:val="0"/>
        <w:jc w:val="right"/>
      </w:pPr>
      <w:r>
        <w:rPr>
          <w:sz w:val="24"/>
        </w:rPr>
        <w:t xml:space="preserve">На нерегулярной основе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7727" w:name="P37727"/>
          <w:bookmarkEnd w:id="37727"/>
          <w:p>
            <w:pPr>
              <w:pStyle w:val="0"/>
            </w:pPr>
            <w:r>
              <w:rPr>
                <w:sz w:val="24"/>
              </w:rPr>
              <w:t xml:space="preserve">1</w:t>
            </w:r>
          </w:p>
        </w:tc>
        <w:tc>
          <w:tcPr>
            <w:tcW w:w="2608" w:type="dxa"/>
          </w:tcPr>
          <w:p>
            <w:pPr>
              <w:pStyle w:val="0"/>
            </w:pPr>
            <w:r>
              <w:rPr>
                <w:sz w:val="24"/>
              </w:rPr>
              <w:t xml:space="preserve">Полное фирменное наименование аудиторской организации</w:t>
            </w:r>
          </w:p>
        </w:tc>
        <w:tc>
          <w:tcPr>
            <w:tcW w:w="2608" w:type="dxa"/>
          </w:tcPr>
          <w:p>
            <w:pPr>
              <w:pStyle w:val="0"/>
            </w:pPr>
            <w:r>
              <w:rPr>
                <w:sz w:val="24"/>
              </w:rPr>
            </w:r>
          </w:p>
        </w:tc>
        <w:tc>
          <w:tcPr>
            <w:tcW w:w="2948" w:type="dxa"/>
          </w:tcPr>
          <w:p>
            <w:pPr>
              <w:pStyle w:val="0"/>
            </w:pPr>
            <w:r>
              <w:rPr>
                <w:sz w:val="24"/>
              </w:rPr>
              <w:t xml:space="preserve">nfo-dic:PolnNaim_Aud_Org</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751" w:name="P37751"/>
          <w:bookmarkEnd w:id="37751"/>
          <w:p>
            <w:pPr>
              <w:pStyle w:val="0"/>
            </w:pPr>
            <w:r>
              <w:rPr>
                <w:sz w:val="24"/>
              </w:rPr>
              <w:t xml:space="preserve">2</w:t>
            </w:r>
          </w:p>
        </w:tc>
        <w:tc>
          <w:tcPr>
            <w:tcW w:w="2608" w:type="dxa"/>
          </w:tcPr>
          <w:p>
            <w:pPr>
              <w:pStyle w:val="0"/>
            </w:pPr>
            <w:r>
              <w:rPr>
                <w:sz w:val="24"/>
              </w:rPr>
              <w:t xml:space="preserve">Основной государственный регистрационный номер (ОГРН) аудиторской организации</w:t>
            </w:r>
          </w:p>
        </w:tc>
        <w:tc>
          <w:tcPr>
            <w:tcW w:w="2608" w:type="dxa"/>
          </w:tcPr>
          <w:p>
            <w:pPr>
              <w:pStyle w:val="0"/>
            </w:pPr>
            <w:r>
              <w:rPr>
                <w:sz w:val="24"/>
              </w:rPr>
            </w:r>
          </w:p>
        </w:tc>
        <w:tc>
          <w:tcPr>
            <w:tcW w:w="2948" w:type="dxa"/>
          </w:tcPr>
          <w:p>
            <w:pPr>
              <w:pStyle w:val="0"/>
            </w:pPr>
            <w:r>
              <w:rPr>
                <w:sz w:val="24"/>
              </w:rPr>
              <w:t xml:space="preserve">nfo-dic:OGRN_AudOrg</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775" w:name="P37775"/>
          <w:bookmarkEnd w:id="37775"/>
          <w:p>
            <w:pPr>
              <w:pStyle w:val="0"/>
            </w:pPr>
            <w:r>
              <w:rPr>
                <w:sz w:val="24"/>
              </w:rPr>
              <w:t xml:space="preserve">3</w:t>
            </w:r>
          </w:p>
        </w:tc>
        <w:tc>
          <w:tcPr>
            <w:tcW w:w="2608" w:type="dxa"/>
          </w:tcPr>
          <w:p>
            <w:pPr>
              <w:pStyle w:val="0"/>
            </w:pPr>
            <w:r>
              <w:rPr>
                <w:sz w:val="24"/>
              </w:rPr>
              <w:t xml:space="preserve">Адрес аудиторской организации в пределах места нахождения аудиторской организации</w:t>
            </w:r>
          </w:p>
        </w:tc>
        <w:tc>
          <w:tcPr>
            <w:tcW w:w="2608" w:type="dxa"/>
          </w:tcPr>
          <w:p>
            <w:pPr>
              <w:pStyle w:val="0"/>
            </w:pPr>
            <w:r>
              <w:rPr>
                <w:sz w:val="24"/>
              </w:rPr>
            </w:r>
          </w:p>
        </w:tc>
        <w:tc>
          <w:tcPr>
            <w:tcW w:w="2948" w:type="dxa"/>
          </w:tcPr>
          <w:p>
            <w:pPr>
              <w:pStyle w:val="0"/>
            </w:pPr>
            <w:r>
              <w:rPr>
                <w:sz w:val="24"/>
              </w:rPr>
              <w:t xml:space="preserve">nfo-dic:MestoNaxozhd_AudOrg</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3.5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799" w:name="P37799"/>
          <w:bookmarkEnd w:id="37799"/>
          <w:p>
            <w:pPr>
              <w:pStyle w:val="0"/>
            </w:pPr>
            <w:r>
              <w:rPr>
                <w:sz w:val="24"/>
              </w:rPr>
              <w:t xml:space="preserve">4</w:t>
            </w:r>
          </w:p>
        </w:tc>
        <w:tc>
          <w:tcPr>
            <w:tcW w:w="2608" w:type="dxa"/>
          </w:tcPr>
          <w:p>
            <w:pPr>
              <w:pStyle w:val="0"/>
            </w:pPr>
            <w:r>
              <w:rPr>
                <w:sz w:val="24"/>
              </w:rPr>
              <w:t xml:space="preserve">Основной регистрационный номер записи (ОРНЗ) аудиторской организации</w:t>
            </w:r>
          </w:p>
        </w:tc>
        <w:tc>
          <w:tcPr>
            <w:tcW w:w="2608" w:type="dxa"/>
          </w:tcPr>
          <w:p>
            <w:pPr>
              <w:pStyle w:val="0"/>
            </w:pPr>
            <w:r>
              <w:rPr>
                <w:sz w:val="24"/>
              </w:rPr>
            </w:r>
          </w:p>
        </w:tc>
        <w:tc>
          <w:tcPr>
            <w:tcW w:w="2948" w:type="dxa"/>
          </w:tcPr>
          <w:p>
            <w:pPr>
              <w:pStyle w:val="0"/>
            </w:pPr>
            <w:r>
              <w:rPr>
                <w:sz w:val="24"/>
              </w:rPr>
              <w:t xml:space="preserve">nfo-dic:OsnRegNom_AudOrg</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4.4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4.5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823" w:name="P37823"/>
          <w:bookmarkEnd w:id="37823"/>
          <w:p>
            <w:pPr>
              <w:pStyle w:val="0"/>
            </w:pPr>
            <w:r>
              <w:rPr>
                <w:sz w:val="24"/>
              </w:rPr>
              <w:t xml:space="preserve">5</w:t>
            </w:r>
          </w:p>
        </w:tc>
        <w:tc>
          <w:tcPr>
            <w:tcW w:w="2608" w:type="dxa"/>
          </w:tcPr>
          <w:p>
            <w:pPr>
              <w:pStyle w:val="0"/>
            </w:pPr>
            <w:r>
              <w:rPr>
                <w:sz w:val="24"/>
              </w:rPr>
              <w:t xml:space="preserve">Вид отчетности, подлежащей аудиторской проверке</w:t>
            </w:r>
          </w:p>
        </w:tc>
        <w:tc>
          <w:tcPr>
            <w:tcW w:w="2608" w:type="dxa"/>
          </w:tcPr>
          <w:p>
            <w:pPr>
              <w:pStyle w:val="0"/>
            </w:pPr>
            <w:r>
              <w:rPr>
                <w:sz w:val="24"/>
              </w:rPr>
            </w:r>
          </w:p>
        </w:tc>
        <w:tc>
          <w:tcPr>
            <w:tcW w:w="2948" w:type="dxa"/>
          </w:tcPr>
          <w:p>
            <w:pPr>
              <w:pStyle w:val="0"/>
            </w:pPr>
            <w:r>
              <w:rPr>
                <w:sz w:val="24"/>
              </w:rPr>
              <w:t xml:space="preserve">nfo-dic:Vidotchetnosti_audit_proverke_Enumerator</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5.4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5.5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847" w:name="P37847"/>
          <w:bookmarkEnd w:id="37847"/>
          <w:p>
            <w:pPr>
              <w:pStyle w:val="0"/>
            </w:pPr>
            <w:r>
              <w:rPr>
                <w:sz w:val="24"/>
              </w:rPr>
              <w:t xml:space="preserve">6</w:t>
            </w:r>
          </w:p>
        </w:tc>
        <w:tc>
          <w:tcPr>
            <w:tcW w:w="2608" w:type="dxa"/>
          </w:tcPr>
          <w:p>
            <w:pPr>
              <w:pStyle w:val="0"/>
            </w:pPr>
            <w:r>
              <w:rPr>
                <w:sz w:val="24"/>
              </w:rPr>
              <w:t xml:space="preserve">Дата заключения договора</w:t>
            </w:r>
          </w:p>
        </w:tc>
        <w:tc>
          <w:tcPr>
            <w:tcW w:w="2608" w:type="dxa"/>
          </w:tcPr>
          <w:p>
            <w:pPr>
              <w:pStyle w:val="0"/>
            </w:pPr>
            <w:r>
              <w:rPr>
                <w:sz w:val="24"/>
              </w:rPr>
            </w:r>
          </w:p>
        </w:tc>
        <w:tc>
          <w:tcPr>
            <w:tcW w:w="2948" w:type="dxa"/>
          </w:tcPr>
          <w:p>
            <w:pPr>
              <w:pStyle w:val="0"/>
            </w:pPr>
            <w:r>
              <w:rPr>
                <w:sz w:val="24"/>
              </w:rPr>
              <w:t xml:space="preserve">nfo-dic:DataZaklDogNaProvAudProverki</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6.5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871" w:name="P37871"/>
          <w:bookmarkEnd w:id="37871"/>
          <w:p>
            <w:pPr>
              <w:pStyle w:val="0"/>
            </w:pPr>
            <w:r>
              <w:rPr>
                <w:sz w:val="24"/>
              </w:rPr>
              <w:t xml:space="preserve">7</w:t>
            </w:r>
          </w:p>
        </w:tc>
        <w:tc>
          <w:tcPr>
            <w:tcW w:w="2608" w:type="dxa"/>
          </w:tcPr>
          <w:p>
            <w:pPr>
              <w:pStyle w:val="0"/>
            </w:pPr>
            <w:r>
              <w:rPr>
                <w:sz w:val="24"/>
              </w:rPr>
              <w:t xml:space="preserve">Номер договора</w:t>
            </w:r>
          </w:p>
        </w:tc>
        <w:tc>
          <w:tcPr>
            <w:tcW w:w="2608" w:type="dxa"/>
          </w:tcPr>
          <w:p>
            <w:pPr>
              <w:pStyle w:val="0"/>
            </w:pPr>
            <w:r>
              <w:rPr>
                <w:sz w:val="24"/>
              </w:rPr>
            </w:r>
          </w:p>
        </w:tc>
        <w:tc>
          <w:tcPr>
            <w:tcW w:w="2948" w:type="dxa"/>
          </w:tcPr>
          <w:p>
            <w:pPr>
              <w:pStyle w:val="0"/>
            </w:pPr>
            <w:r>
              <w:rPr>
                <w:sz w:val="24"/>
              </w:rPr>
              <w:t xml:space="preserve">nfo-dic:NomDog</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7.4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7.5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895" w:name="P37895"/>
          <w:bookmarkEnd w:id="37895"/>
          <w:p>
            <w:pPr>
              <w:pStyle w:val="0"/>
            </w:pPr>
            <w:r>
              <w:rPr>
                <w:sz w:val="24"/>
              </w:rPr>
              <w:t xml:space="preserve">8</w:t>
            </w:r>
          </w:p>
        </w:tc>
        <w:tc>
          <w:tcPr>
            <w:tcW w:w="2608" w:type="dxa"/>
          </w:tcPr>
          <w:p>
            <w:pPr>
              <w:pStyle w:val="0"/>
            </w:pPr>
            <w:r>
              <w:rPr>
                <w:sz w:val="24"/>
              </w:rPr>
              <w:t xml:space="preserve">Дата окончания действия договора</w:t>
            </w:r>
          </w:p>
        </w:tc>
        <w:tc>
          <w:tcPr>
            <w:tcW w:w="2608" w:type="dxa"/>
          </w:tcPr>
          <w:p>
            <w:pPr>
              <w:pStyle w:val="0"/>
            </w:pPr>
            <w:r>
              <w:rPr>
                <w:sz w:val="24"/>
              </w:rPr>
            </w:r>
          </w:p>
        </w:tc>
        <w:tc>
          <w:tcPr>
            <w:tcW w:w="2948" w:type="dxa"/>
          </w:tcPr>
          <w:p>
            <w:pPr>
              <w:pStyle w:val="0"/>
            </w:pPr>
            <w:r>
              <w:rPr>
                <w:sz w:val="24"/>
              </w:rPr>
              <w:t xml:space="preserve">nfo-dic:DataOkonchDejDogNaProvAudProverki</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8.3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8.4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8.5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919" w:name="P37919"/>
          <w:bookmarkEnd w:id="37919"/>
          <w:p>
            <w:pPr>
              <w:pStyle w:val="0"/>
            </w:pPr>
            <w:r>
              <w:rPr>
                <w:sz w:val="24"/>
              </w:rPr>
              <w:t xml:space="preserve">9</w:t>
            </w:r>
          </w:p>
        </w:tc>
        <w:tc>
          <w:tcPr>
            <w:tcW w:w="2608" w:type="dxa"/>
          </w:tcPr>
          <w:p>
            <w:pPr>
              <w:pStyle w:val="0"/>
            </w:pPr>
            <w:r>
              <w:rPr>
                <w:sz w:val="24"/>
              </w:rPr>
              <w:t xml:space="preserve">Стоимость аудиторских услуг, указанная в договоре</w:t>
            </w:r>
          </w:p>
        </w:tc>
        <w:tc>
          <w:tcPr>
            <w:tcW w:w="2608" w:type="dxa"/>
          </w:tcPr>
          <w:p>
            <w:pPr>
              <w:pStyle w:val="0"/>
            </w:pPr>
            <w:r>
              <w:rPr>
                <w:sz w:val="24"/>
              </w:rPr>
            </w:r>
          </w:p>
        </w:tc>
        <w:tc>
          <w:tcPr>
            <w:tcW w:w="2948" w:type="dxa"/>
          </w:tcPr>
          <w:p>
            <w:pPr>
              <w:pStyle w:val="0"/>
            </w:pPr>
            <w:r>
              <w:rPr>
                <w:sz w:val="24"/>
              </w:rPr>
              <w:t xml:space="preserve">nfo-dic:StoimostAudita_UkazVDog</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9.3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9.4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9.5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943" w:name="P37943"/>
          <w:bookmarkEnd w:id="37943"/>
          <w:p>
            <w:pPr>
              <w:pStyle w:val="0"/>
            </w:pPr>
            <w:r>
              <w:rPr>
                <w:sz w:val="24"/>
              </w:rPr>
              <w:t xml:space="preserve">10</w:t>
            </w:r>
          </w:p>
        </w:tc>
        <w:tc>
          <w:tcPr>
            <w:tcW w:w="2608" w:type="dxa"/>
          </w:tcPr>
          <w:p>
            <w:pPr>
              <w:pStyle w:val="0"/>
            </w:pPr>
            <w:r>
              <w:rPr>
                <w:sz w:val="24"/>
              </w:rPr>
              <w:t xml:space="preserve">Дата заключения дополнительного соглашения к договору</w:t>
            </w:r>
          </w:p>
        </w:tc>
        <w:tc>
          <w:tcPr>
            <w:tcW w:w="2608" w:type="dxa"/>
          </w:tcPr>
          <w:p>
            <w:pPr>
              <w:pStyle w:val="0"/>
            </w:pPr>
            <w:r>
              <w:rPr>
                <w:sz w:val="24"/>
              </w:rPr>
            </w:r>
          </w:p>
        </w:tc>
        <w:tc>
          <w:tcPr>
            <w:tcW w:w="2948" w:type="dxa"/>
          </w:tcPr>
          <w:p>
            <w:pPr>
              <w:pStyle w:val="0"/>
            </w:pPr>
            <w:r>
              <w:rPr>
                <w:sz w:val="24"/>
              </w:rPr>
              <w:t xml:space="preserve">nfo-dic:DataZaklDopSoglKDogNaProvAudProverki</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10.3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10.4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10.5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967" w:name="P37967"/>
          <w:bookmarkEnd w:id="37967"/>
          <w:p>
            <w:pPr>
              <w:pStyle w:val="0"/>
            </w:pPr>
            <w:r>
              <w:rPr>
                <w:sz w:val="24"/>
              </w:rPr>
              <w:t xml:space="preserve">11</w:t>
            </w:r>
          </w:p>
        </w:tc>
        <w:tc>
          <w:tcPr>
            <w:tcW w:w="2608" w:type="dxa"/>
          </w:tcPr>
          <w:p>
            <w:pPr>
              <w:pStyle w:val="0"/>
            </w:pPr>
            <w:r>
              <w:rPr>
                <w:sz w:val="24"/>
              </w:rPr>
              <w:t xml:space="preserve">Номер дополнительного соглашения к договору</w:t>
            </w:r>
          </w:p>
        </w:tc>
        <w:tc>
          <w:tcPr>
            <w:tcW w:w="2608" w:type="dxa"/>
          </w:tcPr>
          <w:p>
            <w:pPr>
              <w:pStyle w:val="0"/>
            </w:pPr>
            <w:r>
              <w:rPr>
                <w:sz w:val="24"/>
              </w:rPr>
            </w:r>
          </w:p>
        </w:tc>
        <w:tc>
          <w:tcPr>
            <w:tcW w:w="2948" w:type="dxa"/>
          </w:tcPr>
          <w:p>
            <w:pPr>
              <w:pStyle w:val="0"/>
            </w:pPr>
            <w:r>
              <w:rPr>
                <w:sz w:val="24"/>
              </w:rPr>
              <w:t xml:space="preserve">nfo-dic:NomDS</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7991" w:name="P37991"/>
          <w:bookmarkEnd w:id="37991"/>
          <w:p>
            <w:pPr>
              <w:pStyle w:val="0"/>
            </w:pPr>
            <w:r>
              <w:rPr>
                <w:sz w:val="24"/>
              </w:rPr>
              <w:t xml:space="preserve">12</w:t>
            </w:r>
          </w:p>
        </w:tc>
        <w:tc>
          <w:tcPr>
            <w:tcW w:w="2608" w:type="dxa"/>
          </w:tcPr>
          <w:p>
            <w:pPr>
              <w:pStyle w:val="0"/>
            </w:pPr>
            <w:r>
              <w:rPr>
                <w:sz w:val="24"/>
              </w:rPr>
              <w:t xml:space="preserve">Дата окончания действия дополнительного соглашения к договору</w:t>
            </w:r>
          </w:p>
        </w:tc>
        <w:tc>
          <w:tcPr>
            <w:tcW w:w="2608" w:type="dxa"/>
          </w:tcPr>
          <w:p>
            <w:pPr>
              <w:pStyle w:val="0"/>
            </w:pPr>
            <w:r>
              <w:rPr>
                <w:sz w:val="24"/>
              </w:rPr>
            </w:r>
          </w:p>
        </w:tc>
        <w:tc>
          <w:tcPr>
            <w:tcW w:w="2948" w:type="dxa"/>
          </w:tcPr>
          <w:p>
            <w:pPr>
              <w:pStyle w:val="0"/>
            </w:pPr>
            <w:r>
              <w:rPr>
                <w:sz w:val="24"/>
              </w:rPr>
              <w:t xml:space="preserve">nfo-dic:DataOkonchDejDopSoglNaProvAudProverki</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12.3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12.4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12.5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015" w:name="P38015"/>
          <w:bookmarkEnd w:id="38015"/>
          <w:p>
            <w:pPr>
              <w:pStyle w:val="0"/>
            </w:pPr>
            <w:r>
              <w:rPr>
                <w:sz w:val="24"/>
              </w:rPr>
              <w:t xml:space="preserve">13</w:t>
            </w:r>
          </w:p>
        </w:tc>
        <w:tc>
          <w:tcPr>
            <w:tcW w:w="2608" w:type="dxa"/>
          </w:tcPr>
          <w:p>
            <w:pPr>
              <w:pStyle w:val="0"/>
            </w:pPr>
            <w:r>
              <w:rPr>
                <w:sz w:val="24"/>
              </w:rPr>
              <w:t xml:space="preserve">Стоимость аудиторских услуг, указанная в дополнительном соглашении к договору</w:t>
            </w:r>
          </w:p>
        </w:tc>
        <w:tc>
          <w:tcPr>
            <w:tcW w:w="2608" w:type="dxa"/>
          </w:tcPr>
          <w:p>
            <w:pPr>
              <w:pStyle w:val="0"/>
            </w:pPr>
            <w:r>
              <w:rPr>
                <w:sz w:val="24"/>
              </w:rPr>
            </w:r>
          </w:p>
        </w:tc>
        <w:tc>
          <w:tcPr>
            <w:tcW w:w="2948" w:type="dxa"/>
          </w:tcPr>
          <w:p>
            <w:pPr>
              <w:pStyle w:val="0"/>
            </w:pPr>
            <w:r>
              <w:rPr>
                <w:sz w:val="24"/>
              </w:rPr>
              <w:t xml:space="preserve">nfo-dic:StoimostAudita_UkazVDS</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13.2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13.3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13.4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13.5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039" w:name="P38039"/>
          <w:bookmarkEnd w:id="38039"/>
          <w:p>
            <w:pPr>
              <w:pStyle w:val="0"/>
            </w:pPr>
            <w:r>
              <w:rPr>
                <w:sz w:val="24"/>
              </w:rPr>
              <w:t xml:space="preserve">14</w:t>
            </w:r>
          </w:p>
        </w:tc>
        <w:tc>
          <w:tcPr>
            <w:tcW w:w="2608" w:type="dxa"/>
          </w:tcPr>
          <w:p>
            <w:pPr>
              <w:pStyle w:val="0"/>
            </w:pPr>
            <w:r>
              <w:rPr>
                <w:sz w:val="24"/>
              </w:rPr>
              <w:t xml:space="preserve">Дата составления аудиторского заключения</w:t>
            </w:r>
          </w:p>
        </w:tc>
        <w:tc>
          <w:tcPr>
            <w:tcW w:w="2608" w:type="dxa"/>
          </w:tcPr>
          <w:p>
            <w:pPr>
              <w:pStyle w:val="0"/>
            </w:pPr>
            <w:r>
              <w:rPr>
                <w:sz w:val="24"/>
              </w:rPr>
            </w:r>
          </w:p>
        </w:tc>
        <w:tc>
          <w:tcPr>
            <w:tcW w:w="2948" w:type="dxa"/>
          </w:tcPr>
          <w:p>
            <w:pPr>
              <w:pStyle w:val="0"/>
            </w:pPr>
            <w:r>
              <w:rPr>
                <w:sz w:val="24"/>
              </w:rPr>
              <w:t xml:space="preserve">nfo-dic:DataSostPosledAZ</w:t>
            </w:r>
          </w:p>
        </w:tc>
      </w:tr>
      <w:tr>
        <w:tc>
          <w:tcPr>
            <w:tcW w:w="907" w:type="dxa"/>
          </w:tcPr>
          <w:p>
            <w:pPr>
              <w:pStyle w:val="0"/>
            </w:pPr>
            <w:r>
              <w:rPr>
                <w:sz w:val="24"/>
              </w:rPr>
              <w:t xml:space="preserve">14.1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14.2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14.3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14.4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14.5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063" w:name="P38063"/>
          <w:bookmarkEnd w:id="38063"/>
          <w:p>
            <w:pPr>
              <w:pStyle w:val="0"/>
            </w:pPr>
            <w:r>
              <w:rPr>
                <w:sz w:val="24"/>
              </w:rPr>
              <w:t xml:space="preserve">15</w:t>
            </w:r>
          </w:p>
        </w:tc>
        <w:tc>
          <w:tcPr>
            <w:tcW w:w="2608" w:type="dxa"/>
          </w:tcPr>
          <w:p>
            <w:pPr>
              <w:pStyle w:val="0"/>
            </w:pPr>
            <w:r>
              <w:rPr>
                <w:sz w:val="24"/>
              </w:rPr>
              <w:t xml:space="preserve">Дата составления нового аудиторского заключения</w:t>
            </w:r>
          </w:p>
        </w:tc>
        <w:tc>
          <w:tcPr>
            <w:tcW w:w="2608" w:type="dxa"/>
          </w:tcPr>
          <w:p>
            <w:pPr>
              <w:pStyle w:val="0"/>
            </w:pPr>
            <w:r>
              <w:rPr>
                <w:sz w:val="24"/>
              </w:rPr>
            </w:r>
          </w:p>
        </w:tc>
        <w:tc>
          <w:tcPr>
            <w:tcW w:w="2948" w:type="dxa"/>
          </w:tcPr>
          <w:p>
            <w:pPr>
              <w:pStyle w:val="0"/>
            </w:pPr>
            <w:r>
              <w:rPr>
                <w:sz w:val="24"/>
              </w:rPr>
              <w:t xml:space="preserve">nfo-dic:DataSostNovogoAZ</w:t>
            </w:r>
          </w:p>
        </w:tc>
      </w:tr>
      <w:tr>
        <w:tc>
          <w:tcPr>
            <w:tcW w:w="907" w:type="dxa"/>
          </w:tcPr>
          <w:p>
            <w:pPr>
              <w:pStyle w:val="0"/>
            </w:pPr>
            <w:r>
              <w:rPr>
                <w:sz w:val="24"/>
              </w:rPr>
              <w:t xml:space="preserve">15.1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15.2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15.3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15.4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15.5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087" w:name="P38087"/>
          <w:bookmarkEnd w:id="38087"/>
          <w:p>
            <w:pPr>
              <w:pStyle w:val="0"/>
            </w:pPr>
            <w:r>
              <w:rPr>
                <w:sz w:val="24"/>
              </w:rPr>
              <w:t xml:space="preserve">16</w:t>
            </w:r>
          </w:p>
        </w:tc>
        <w:tc>
          <w:tcPr>
            <w:tcW w:w="2608" w:type="dxa"/>
          </w:tcPr>
          <w:p>
            <w:pPr>
              <w:pStyle w:val="0"/>
            </w:pPr>
            <w:r>
              <w:rPr>
                <w:sz w:val="24"/>
              </w:rPr>
              <w:t xml:space="preserve">Отчетный период, за который составлена отчетность, в отношении которой аудиторской организацией составлено аудиторское заключение</w:t>
            </w:r>
          </w:p>
        </w:tc>
        <w:tc>
          <w:tcPr>
            <w:tcW w:w="2608" w:type="dxa"/>
          </w:tcPr>
          <w:p>
            <w:pPr>
              <w:pStyle w:val="0"/>
            </w:pPr>
            <w:r>
              <w:rPr>
                <w:sz w:val="24"/>
              </w:rPr>
            </w:r>
          </w:p>
        </w:tc>
        <w:tc>
          <w:tcPr>
            <w:tcW w:w="2948" w:type="dxa"/>
          </w:tcPr>
          <w:p>
            <w:pPr>
              <w:pStyle w:val="0"/>
            </w:pPr>
            <w:r>
              <w:rPr>
                <w:sz w:val="24"/>
              </w:rPr>
              <w:t xml:space="preserve">nfo-dic:OtchetnyjPeriodVOtnKotAudVyskazalMnenieEnumerator</w:t>
            </w:r>
          </w:p>
        </w:tc>
      </w:tr>
      <w:tr>
        <w:tc>
          <w:tcPr>
            <w:tcW w:w="907" w:type="dxa"/>
          </w:tcPr>
          <w:p>
            <w:pPr>
              <w:pStyle w:val="0"/>
            </w:pPr>
            <w:r>
              <w:rPr>
                <w:sz w:val="24"/>
              </w:rPr>
              <w:t xml:space="preserve">16.1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16.2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16.3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16.4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16.5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dim-int:lD_strokiTaxis</w:t>
            </w:r>
          </w:p>
        </w:tc>
      </w:tr>
      <w:tr>
        <w:tc>
          <w:tcPr>
            <w:tcW w:w="907" w:type="dxa"/>
          </w:tcPr>
          <w:bookmarkStart w:id="38111" w:name="P38111"/>
          <w:bookmarkEnd w:id="38111"/>
          <w:p>
            <w:pPr>
              <w:pStyle w:val="0"/>
            </w:pPr>
            <w:r>
              <w:rPr>
                <w:sz w:val="24"/>
              </w:rPr>
              <w:t xml:space="preserve">17</w:t>
            </w:r>
          </w:p>
        </w:tc>
        <w:tc>
          <w:tcPr>
            <w:tcW w:w="2608" w:type="dxa"/>
          </w:tcPr>
          <w:p>
            <w:pPr>
              <w:pStyle w:val="0"/>
            </w:pPr>
            <w:r>
              <w:rPr>
                <w:sz w:val="24"/>
              </w:rPr>
              <w:t xml:space="preserve">Информация о событии, в связи с которым отчетность составлена за иной период</w:t>
            </w:r>
          </w:p>
        </w:tc>
        <w:tc>
          <w:tcPr>
            <w:tcW w:w="2608" w:type="dxa"/>
          </w:tcPr>
          <w:p>
            <w:pPr>
              <w:pStyle w:val="0"/>
            </w:pPr>
            <w:r>
              <w:rPr>
                <w:sz w:val="24"/>
              </w:rPr>
            </w:r>
          </w:p>
        </w:tc>
        <w:tc>
          <w:tcPr>
            <w:tcW w:w="2948" w:type="dxa"/>
          </w:tcPr>
          <w:p>
            <w:pPr>
              <w:pStyle w:val="0"/>
            </w:pPr>
            <w:r>
              <w:rPr>
                <w:sz w:val="24"/>
              </w:rPr>
              <w:t xml:space="preserve">nfo-dic:InfOSobytii_OtchetSostavZaInojPeriod</w:t>
            </w:r>
          </w:p>
        </w:tc>
      </w:tr>
      <w:tr>
        <w:tc>
          <w:tcPr>
            <w:tcW w:w="907" w:type="dxa"/>
          </w:tcPr>
          <w:p>
            <w:pPr>
              <w:pStyle w:val="0"/>
            </w:pPr>
            <w:r>
              <w:rPr>
                <w:sz w:val="24"/>
              </w:rPr>
              <w:t xml:space="preserve">17.1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17.2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17.3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17.4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17.5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135" w:name="P38135"/>
          <w:bookmarkEnd w:id="38135"/>
          <w:p>
            <w:pPr>
              <w:pStyle w:val="0"/>
            </w:pPr>
            <w:r>
              <w:rPr>
                <w:sz w:val="24"/>
              </w:rPr>
              <w:t xml:space="preserve">18</w:t>
            </w:r>
          </w:p>
        </w:tc>
        <w:tc>
          <w:tcPr>
            <w:tcW w:w="2608" w:type="dxa"/>
          </w:tcPr>
          <w:p>
            <w:pPr>
              <w:pStyle w:val="0"/>
            </w:pPr>
            <w:r>
              <w:rPr>
                <w:sz w:val="24"/>
              </w:rPr>
              <w:t xml:space="preserve">Мнение, выраженное в аудиторском заключении</w:t>
            </w:r>
          </w:p>
        </w:tc>
        <w:tc>
          <w:tcPr>
            <w:tcW w:w="2608" w:type="dxa"/>
          </w:tcPr>
          <w:p>
            <w:pPr>
              <w:pStyle w:val="0"/>
            </w:pPr>
            <w:r>
              <w:rPr>
                <w:sz w:val="24"/>
              </w:rPr>
            </w:r>
          </w:p>
        </w:tc>
        <w:tc>
          <w:tcPr>
            <w:tcW w:w="2948" w:type="dxa"/>
          </w:tcPr>
          <w:p>
            <w:pPr>
              <w:pStyle w:val="0"/>
            </w:pPr>
            <w:r>
              <w:rPr>
                <w:sz w:val="24"/>
              </w:rPr>
              <w:t xml:space="preserve">nfo-dic:Mnenie_AudZaklEnumerator</w:t>
            </w:r>
          </w:p>
        </w:tc>
      </w:tr>
      <w:tr>
        <w:tc>
          <w:tcPr>
            <w:tcW w:w="907" w:type="dxa"/>
          </w:tcPr>
          <w:p>
            <w:pPr>
              <w:pStyle w:val="0"/>
            </w:pPr>
            <w:r>
              <w:rPr>
                <w:sz w:val="24"/>
              </w:rPr>
              <w:t xml:space="preserve">18.1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18.2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18.3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18.4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18.5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159" w:name="P38159"/>
          <w:bookmarkEnd w:id="38159"/>
          <w:p>
            <w:pPr>
              <w:pStyle w:val="0"/>
            </w:pPr>
            <w:r>
              <w:rPr>
                <w:sz w:val="24"/>
              </w:rPr>
              <w:t xml:space="preserve">19</w:t>
            </w:r>
          </w:p>
        </w:tc>
        <w:tc>
          <w:tcPr>
            <w:tcW w:w="2608" w:type="dxa"/>
          </w:tcPr>
          <w:p>
            <w:pPr>
              <w:pStyle w:val="0"/>
            </w:pPr>
            <w:r>
              <w:rPr>
                <w:sz w:val="24"/>
              </w:rPr>
              <w:t xml:space="preserve">Фамилия, имя, отчество (при наличии) руководителя аудита,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nfo-dic:FamIniczLiczaPodpisAZ</w:t>
            </w:r>
          </w:p>
        </w:tc>
      </w:tr>
      <w:tr>
        <w:tc>
          <w:tcPr>
            <w:tcW w:w="907" w:type="dxa"/>
          </w:tcPr>
          <w:p>
            <w:pPr>
              <w:pStyle w:val="0"/>
            </w:pPr>
            <w:r>
              <w:rPr>
                <w:sz w:val="24"/>
              </w:rPr>
              <w:t xml:space="preserve">19.1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19.2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19.3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19.4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dim-int:ID_audzakITaxis</w:t>
            </w:r>
          </w:p>
        </w:tc>
      </w:tr>
      <w:tr>
        <w:tc>
          <w:tcPr>
            <w:tcW w:w="907" w:type="dxa"/>
          </w:tcPr>
          <w:p>
            <w:pPr>
              <w:pStyle w:val="0"/>
            </w:pPr>
            <w:r>
              <w:rPr>
                <w:sz w:val="24"/>
              </w:rPr>
              <w:t xml:space="preserve">19.5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183" w:name="P38183"/>
          <w:bookmarkEnd w:id="38183"/>
          <w:p>
            <w:pPr>
              <w:pStyle w:val="0"/>
            </w:pPr>
            <w:r>
              <w:rPr>
                <w:sz w:val="24"/>
              </w:rPr>
              <w:t xml:space="preserve">20</w:t>
            </w:r>
          </w:p>
        </w:tc>
        <w:tc>
          <w:tcPr>
            <w:tcW w:w="2608" w:type="dxa"/>
          </w:tcPr>
          <w:p>
            <w:pPr>
              <w:pStyle w:val="0"/>
            </w:pPr>
            <w:r>
              <w:rPr>
                <w:sz w:val="24"/>
              </w:rPr>
              <w:t xml:space="preserve">Основной регистрационный номер записи (ОРНЗ) руководителя аудита,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nfo-dic:OsnRegNom_RukAud_PodpisAZ</w:t>
            </w:r>
          </w:p>
        </w:tc>
      </w:tr>
      <w:tr>
        <w:tc>
          <w:tcPr>
            <w:tcW w:w="907" w:type="dxa"/>
          </w:tcPr>
          <w:p>
            <w:pPr>
              <w:pStyle w:val="0"/>
            </w:pPr>
            <w:r>
              <w:rPr>
                <w:sz w:val="24"/>
              </w:rPr>
              <w:t xml:space="preserve">20.1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20.2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20.3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20.4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20.5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207" w:name="P38207"/>
          <w:bookmarkEnd w:id="38207"/>
          <w:p>
            <w:pPr>
              <w:pStyle w:val="0"/>
            </w:pPr>
            <w:r>
              <w:rPr>
                <w:sz w:val="24"/>
              </w:rPr>
              <w:t xml:space="preserve">21</w:t>
            </w:r>
          </w:p>
        </w:tc>
        <w:tc>
          <w:tcPr>
            <w:tcW w:w="2608" w:type="dxa"/>
          </w:tcPr>
          <w:p>
            <w:pPr>
              <w:pStyle w:val="0"/>
            </w:pPr>
            <w:r>
              <w:rPr>
                <w:sz w:val="24"/>
              </w:rPr>
              <w:t xml:space="preserve">Номер квалификационного аттестата аудитора, выданного руководителю аудита, подписавшему аудиторское заключение</w:t>
            </w:r>
          </w:p>
        </w:tc>
        <w:tc>
          <w:tcPr>
            <w:tcW w:w="2608" w:type="dxa"/>
          </w:tcPr>
          <w:p>
            <w:pPr>
              <w:pStyle w:val="0"/>
            </w:pPr>
            <w:r>
              <w:rPr>
                <w:sz w:val="24"/>
              </w:rPr>
            </w:r>
          </w:p>
        </w:tc>
        <w:tc>
          <w:tcPr>
            <w:tcW w:w="2948" w:type="dxa"/>
          </w:tcPr>
          <w:p>
            <w:pPr>
              <w:pStyle w:val="0"/>
            </w:pPr>
            <w:r>
              <w:rPr>
                <w:sz w:val="24"/>
              </w:rPr>
              <w:t xml:space="preserve">nfo-dic:Nomer_KvalAttestat_Aud</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21.4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21.5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231" w:name="P38231"/>
          <w:bookmarkEnd w:id="38231"/>
          <w:p>
            <w:pPr>
              <w:pStyle w:val="0"/>
            </w:pPr>
            <w:r>
              <w:rPr>
                <w:sz w:val="24"/>
              </w:rPr>
              <w:t xml:space="preserve">22</w:t>
            </w:r>
          </w:p>
        </w:tc>
        <w:tc>
          <w:tcPr>
            <w:tcW w:w="2608" w:type="dxa"/>
          </w:tcPr>
          <w:p>
            <w:pPr>
              <w:pStyle w:val="0"/>
            </w:pPr>
            <w:r>
              <w:rPr>
                <w:sz w:val="24"/>
              </w:rPr>
              <w:t xml:space="preserve">Фамилия, имя, отчество (при наличии) руководителя аудиторской организации или уполномоченного им лица,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nfo-dic:FamiliyaIORukAudOrg_UpolnImLicza_PodpisAZ</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22.3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22.4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22.5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255" w:name="P38255"/>
          <w:bookmarkEnd w:id="38255"/>
          <w:p>
            <w:pPr>
              <w:pStyle w:val="0"/>
            </w:pPr>
            <w:r>
              <w:rPr>
                <w:sz w:val="24"/>
              </w:rPr>
              <w:t xml:space="preserve">23</w:t>
            </w:r>
          </w:p>
        </w:tc>
        <w:tc>
          <w:tcPr>
            <w:tcW w:w="2608" w:type="dxa"/>
          </w:tcPr>
          <w:p>
            <w:pPr>
              <w:pStyle w:val="0"/>
            </w:pPr>
            <w:r>
              <w:rPr>
                <w:sz w:val="24"/>
              </w:rPr>
              <w:t xml:space="preserve">Основной регистрационный номер записи (ОРНЗ) руководителя аудиторской организации или уполномоченного им лица, подписавшего аудиторское заключение</w:t>
            </w:r>
          </w:p>
        </w:tc>
        <w:tc>
          <w:tcPr>
            <w:tcW w:w="2608" w:type="dxa"/>
          </w:tcPr>
          <w:p>
            <w:pPr>
              <w:pStyle w:val="0"/>
            </w:pPr>
            <w:r>
              <w:rPr>
                <w:sz w:val="24"/>
              </w:rPr>
            </w:r>
          </w:p>
        </w:tc>
        <w:tc>
          <w:tcPr>
            <w:tcW w:w="2948" w:type="dxa"/>
          </w:tcPr>
          <w:p>
            <w:pPr>
              <w:pStyle w:val="0"/>
            </w:pPr>
            <w:r>
              <w:rPr>
                <w:sz w:val="24"/>
              </w:rPr>
              <w:t xml:space="preserve">nfo-dic:OsnRegNom_RukAudOrg_UpolnImLicza_PodpisAZ</w:t>
            </w:r>
          </w:p>
        </w:tc>
      </w:tr>
      <w:tr>
        <w:tc>
          <w:tcPr>
            <w:tcW w:w="907" w:type="dxa"/>
          </w:tcPr>
          <w:p>
            <w:pPr>
              <w:pStyle w:val="0"/>
            </w:pPr>
            <w:r>
              <w:rPr>
                <w:sz w:val="24"/>
              </w:rPr>
              <w:t xml:space="preserve">23.1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23.2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23.3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23.4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23.5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279" w:name="P38279"/>
          <w:bookmarkEnd w:id="38279"/>
          <w:p>
            <w:pPr>
              <w:pStyle w:val="0"/>
            </w:pPr>
            <w:r>
              <w:rPr>
                <w:sz w:val="24"/>
              </w:rPr>
              <w:t xml:space="preserve">24</w:t>
            </w:r>
          </w:p>
        </w:tc>
        <w:tc>
          <w:tcPr>
            <w:tcW w:w="2608" w:type="dxa"/>
          </w:tcPr>
          <w:p>
            <w:pPr>
              <w:pStyle w:val="0"/>
            </w:pPr>
            <w:r>
              <w:rPr>
                <w:sz w:val="24"/>
              </w:rPr>
              <w:t xml:space="preserve">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w:t>
            </w:r>
          </w:p>
        </w:tc>
        <w:tc>
          <w:tcPr>
            <w:tcW w:w="2608" w:type="dxa"/>
          </w:tcPr>
          <w:p>
            <w:pPr>
              <w:pStyle w:val="0"/>
            </w:pPr>
            <w:r>
              <w:rPr>
                <w:sz w:val="24"/>
              </w:rPr>
            </w:r>
          </w:p>
        </w:tc>
        <w:tc>
          <w:tcPr>
            <w:tcW w:w="2948" w:type="dxa"/>
          </w:tcPr>
          <w:p>
            <w:pPr>
              <w:pStyle w:val="0"/>
            </w:pPr>
            <w:r>
              <w:rPr>
                <w:sz w:val="24"/>
              </w:rPr>
              <w:t xml:space="preserve">nfo-dic:Nomer_KvalAttestAud_VydRukAudOrg_UpolnImLiczu_PodpisAZ</w:t>
            </w:r>
          </w:p>
        </w:tc>
      </w:tr>
      <w:tr>
        <w:tc>
          <w:tcPr>
            <w:tcW w:w="907" w:type="dxa"/>
          </w:tcPr>
          <w:p>
            <w:pPr>
              <w:pStyle w:val="0"/>
            </w:pPr>
            <w:r>
              <w:rPr>
                <w:sz w:val="24"/>
              </w:rPr>
              <w:t xml:space="preserve">24.1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24.2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24.3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24.4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24.5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303" w:name="P38303"/>
          <w:bookmarkEnd w:id="38303"/>
          <w:p>
            <w:pPr>
              <w:pStyle w:val="0"/>
            </w:pPr>
            <w:r>
              <w:rPr>
                <w:sz w:val="24"/>
              </w:rPr>
              <w:t xml:space="preserve">25</w:t>
            </w:r>
          </w:p>
        </w:tc>
        <w:tc>
          <w:tcPr>
            <w:tcW w:w="2608" w:type="dxa"/>
          </w:tcPr>
          <w:p>
            <w:pPr>
              <w:pStyle w:val="0"/>
            </w:pPr>
            <w:r>
              <w:rPr>
                <w:sz w:val="24"/>
              </w:rPr>
              <w:t xml:space="preserve">Дата документа, в соответствии с которым лицо, подписавшее аудиторское заключение, уполномочено на его подписание</w:t>
            </w:r>
          </w:p>
        </w:tc>
        <w:tc>
          <w:tcPr>
            <w:tcW w:w="2608" w:type="dxa"/>
          </w:tcPr>
          <w:p>
            <w:pPr>
              <w:pStyle w:val="0"/>
            </w:pPr>
            <w:r>
              <w:rPr>
                <w:sz w:val="24"/>
              </w:rPr>
            </w:r>
          </w:p>
        </w:tc>
        <w:tc>
          <w:tcPr>
            <w:tcW w:w="2948" w:type="dxa"/>
          </w:tcPr>
          <w:p>
            <w:pPr>
              <w:pStyle w:val="0"/>
            </w:pPr>
            <w:r>
              <w:rPr>
                <w:sz w:val="24"/>
              </w:rPr>
              <w:t xml:space="preserve">nfo-dic:DataVydachDokVSootvSKotLiczoUpolnNaPodpisanieAZ</w:t>
            </w:r>
          </w:p>
        </w:tc>
      </w:tr>
      <w:tr>
        <w:tc>
          <w:tcPr>
            <w:tcW w:w="907" w:type="dxa"/>
          </w:tcPr>
          <w:p>
            <w:pPr>
              <w:pStyle w:val="0"/>
            </w:pPr>
            <w:r>
              <w:rPr>
                <w:sz w:val="24"/>
              </w:rPr>
              <w:t xml:space="preserve">25.1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25.2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25.3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25.4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25.5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327" w:name="P38327"/>
          <w:bookmarkEnd w:id="38327"/>
          <w:p>
            <w:pPr>
              <w:pStyle w:val="0"/>
            </w:pPr>
            <w:r>
              <w:rPr>
                <w:sz w:val="24"/>
              </w:rPr>
              <w:t xml:space="preserve">26</w:t>
            </w:r>
          </w:p>
        </w:tc>
        <w:tc>
          <w:tcPr>
            <w:tcW w:w="2608" w:type="dxa"/>
          </w:tcPr>
          <w:p>
            <w:pPr>
              <w:pStyle w:val="0"/>
            </w:pPr>
            <w:r>
              <w:rPr>
                <w:sz w:val="24"/>
              </w:rPr>
              <w:t xml:space="preserve">Номер документа, в соответствии с которым лицо, подписавшее аудиторское заключение, уполномочено на его подписание</w:t>
            </w:r>
          </w:p>
        </w:tc>
        <w:tc>
          <w:tcPr>
            <w:tcW w:w="2608" w:type="dxa"/>
          </w:tcPr>
          <w:p>
            <w:pPr>
              <w:pStyle w:val="0"/>
            </w:pPr>
            <w:r>
              <w:rPr>
                <w:sz w:val="24"/>
              </w:rPr>
            </w:r>
          </w:p>
        </w:tc>
        <w:tc>
          <w:tcPr>
            <w:tcW w:w="2948" w:type="dxa"/>
          </w:tcPr>
          <w:p>
            <w:pPr>
              <w:pStyle w:val="0"/>
            </w:pPr>
            <w:r>
              <w:rPr>
                <w:sz w:val="24"/>
              </w:rPr>
              <w:t xml:space="preserve">nfo-dic:NomerDokVSootvSKotLiczoUpolnNaPodpisanieAZ</w:t>
            </w:r>
          </w:p>
        </w:tc>
      </w:tr>
      <w:tr>
        <w:tc>
          <w:tcPr>
            <w:tcW w:w="907" w:type="dxa"/>
          </w:tcPr>
          <w:p>
            <w:pPr>
              <w:pStyle w:val="0"/>
            </w:pPr>
            <w:r>
              <w:rPr>
                <w:sz w:val="24"/>
              </w:rPr>
              <w:t xml:space="preserve">26.1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26.2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26.3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26.4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26.5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351" w:name="P38351"/>
          <w:bookmarkEnd w:id="38351"/>
          <w:p>
            <w:pPr>
              <w:pStyle w:val="0"/>
            </w:pPr>
            <w:r>
              <w:rPr>
                <w:sz w:val="24"/>
              </w:rPr>
              <w:t xml:space="preserve">27</w:t>
            </w:r>
          </w:p>
        </w:tc>
        <w:tc>
          <w:tcPr>
            <w:tcW w:w="2608" w:type="dxa"/>
          </w:tcPr>
          <w:p>
            <w:pPr>
              <w:pStyle w:val="0"/>
            </w:pPr>
            <w:r>
              <w:rPr>
                <w:sz w:val="24"/>
              </w:rPr>
              <w:t xml:space="preserve">Срок действия полномочий (доверенности) на подписание аудиторского заключения</w:t>
            </w:r>
          </w:p>
        </w:tc>
        <w:tc>
          <w:tcPr>
            <w:tcW w:w="2608" w:type="dxa"/>
          </w:tcPr>
          <w:p>
            <w:pPr>
              <w:pStyle w:val="0"/>
            </w:pPr>
            <w:r>
              <w:rPr>
                <w:sz w:val="24"/>
              </w:rPr>
            </w:r>
          </w:p>
        </w:tc>
        <w:tc>
          <w:tcPr>
            <w:tcW w:w="2948" w:type="dxa"/>
          </w:tcPr>
          <w:p>
            <w:pPr>
              <w:pStyle w:val="0"/>
            </w:pPr>
            <w:r>
              <w:rPr>
                <w:sz w:val="24"/>
              </w:rPr>
              <w:t xml:space="preserve">nfo-dic:SrokDejstviyaDokVSootvSKotLiczoUpolnNaPodpisanieAZ</w:t>
            </w:r>
          </w:p>
        </w:tc>
      </w:tr>
      <w:tr>
        <w:tc>
          <w:tcPr>
            <w:tcW w:w="907" w:type="dxa"/>
          </w:tcPr>
          <w:p>
            <w:pPr>
              <w:pStyle w:val="0"/>
            </w:pPr>
            <w:r>
              <w:rPr>
                <w:sz w:val="24"/>
              </w:rPr>
              <w:t xml:space="preserve">27.1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27.2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27.3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27.4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dim-int:ID_audzaklTaxis</w:t>
            </w:r>
          </w:p>
        </w:tc>
      </w:tr>
      <w:tr>
        <w:tc>
          <w:tcPr>
            <w:tcW w:w="907" w:type="dxa"/>
          </w:tcPr>
          <w:p>
            <w:pPr>
              <w:pStyle w:val="0"/>
            </w:pPr>
            <w:r>
              <w:rPr>
                <w:sz w:val="24"/>
              </w:rPr>
              <w:t xml:space="preserve">27.5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r>
        <w:tc>
          <w:tcPr>
            <w:tcW w:w="907" w:type="dxa"/>
          </w:tcPr>
          <w:bookmarkStart w:id="38375" w:name="P38375"/>
          <w:bookmarkEnd w:id="38375"/>
          <w:p>
            <w:pPr>
              <w:pStyle w:val="0"/>
            </w:pPr>
            <w:r>
              <w:rPr>
                <w:sz w:val="24"/>
              </w:rPr>
              <w:t xml:space="preserve">28</w:t>
            </w:r>
          </w:p>
        </w:tc>
        <w:tc>
          <w:tcPr>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nfo-dic:Primechanie</w:t>
            </w:r>
          </w:p>
        </w:tc>
      </w:tr>
      <w:tr>
        <w:tc>
          <w:tcPr>
            <w:tcW w:w="907" w:type="dxa"/>
          </w:tcPr>
          <w:p>
            <w:pPr>
              <w:pStyle w:val="0"/>
            </w:pPr>
            <w:r>
              <w:rPr>
                <w:sz w:val="24"/>
              </w:rPr>
              <w:t xml:space="preserve">28.1</w:t>
            </w:r>
          </w:p>
        </w:tc>
        <w:tc>
          <w:tcPr>
            <w:tcW w:w="2608" w:type="dxa"/>
          </w:tcPr>
          <w:p>
            <w:pPr>
              <w:pStyle w:val="0"/>
            </w:pPr>
            <w:r>
              <w:rPr>
                <w:sz w:val="24"/>
              </w:rPr>
            </w:r>
          </w:p>
        </w:tc>
        <w:tc>
          <w:tcPr>
            <w:tcW w:w="2608" w:type="dxa"/>
          </w:tcPr>
          <w:p>
            <w:pPr>
              <w:pStyle w:val="0"/>
            </w:pPr>
            <w:r>
              <w:rPr>
                <w:sz w:val="24"/>
              </w:rPr>
              <w:t xml:space="preserve">Идентификатор аудиторской организации</w:t>
            </w:r>
          </w:p>
        </w:tc>
        <w:tc>
          <w:tcPr>
            <w:tcW w:w="2948" w:type="dxa"/>
          </w:tcPr>
          <w:p>
            <w:pPr>
              <w:pStyle w:val="0"/>
            </w:pPr>
            <w:r>
              <w:rPr>
                <w:sz w:val="24"/>
              </w:rPr>
              <w:t xml:space="preserve">dim-int:IDAuditOrgTaxis</w:t>
            </w:r>
          </w:p>
        </w:tc>
      </w:tr>
      <w:tr>
        <w:tc>
          <w:tcPr>
            <w:tcW w:w="907" w:type="dxa"/>
          </w:tcPr>
          <w:p>
            <w:pPr>
              <w:pStyle w:val="0"/>
            </w:pPr>
            <w:r>
              <w:rPr>
                <w:sz w:val="24"/>
              </w:rPr>
              <w:t xml:space="preserve">28.2</w:t>
            </w:r>
          </w:p>
        </w:tc>
        <w:tc>
          <w:tcPr>
            <w:tcW w:w="2608" w:type="dxa"/>
          </w:tcPr>
          <w:p>
            <w:pPr>
              <w:pStyle w:val="0"/>
            </w:pPr>
            <w:r>
              <w:rPr>
                <w:sz w:val="24"/>
              </w:rPr>
            </w:r>
          </w:p>
        </w:tc>
        <w:tc>
          <w:tcPr>
            <w:tcW w:w="2608" w:type="dxa"/>
          </w:tcPr>
          <w:p>
            <w:pPr>
              <w:pStyle w:val="0"/>
            </w:pPr>
            <w:r>
              <w:rPr>
                <w:sz w:val="24"/>
              </w:rPr>
              <w:t xml:space="preserve">Идентификатор договора с аудиторской организацией</w:t>
            </w:r>
          </w:p>
        </w:tc>
        <w:tc>
          <w:tcPr>
            <w:tcW w:w="2948" w:type="dxa"/>
          </w:tcPr>
          <w:p>
            <w:pPr>
              <w:pStyle w:val="0"/>
            </w:pPr>
            <w:r>
              <w:rPr>
                <w:sz w:val="24"/>
              </w:rPr>
              <w:t xml:space="preserve">dim-int:IDDogovoraSAuditOrgTaxis</w:t>
            </w:r>
          </w:p>
        </w:tc>
      </w:tr>
      <w:tr>
        <w:tc>
          <w:tcPr>
            <w:tcW w:w="907" w:type="dxa"/>
          </w:tcPr>
          <w:p>
            <w:pPr>
              <w:pStyle w:val="0"/>
            </w:pPr>
            <w:r>
              <w:rPr>
                <w:sz w:val="24"/>
              </w:rPr>
              <w:t xml:space="preserve">28.3</w:t>
            </w:r>
          </w:p>
        </w:tc>
        <w:tc>
          <w:tcPr>
            <w:tcW w:w="2608" w:type="dxa"/>
          </w:tcPr>
          <w:p>
            <w:pPr>
              <w:pStyle w:val="0"/>
            </w:pPr>
            <w:r>
              <w:rPr>
                <w:sz w:val="24"/>
              </w:rPr>
            </w:r>
          </w:p>
        </w:tc>
        <w:tc>
          <w:tcPr>
            <w:tcW w:w="2608" w:type="dxa"/>
          </w:tcPr>
          <w:p>
            <w:pPr>
              <w:pStyle w:val="0"/>
            </w:pPr>
            <w:r>
              <w:rPr>
                <w:sz w:val="24"/>
              </w:rPr>
              <w:t xml:space="preserve">Идентификатор дополнительного соглашения к договору с аудиторской организацией</w:t>
            </w:r>
          </w:p>
        </w:tc>
        <w:tc>
          <w:tcPr>
            <w:tcW w:w="2948" w:type="dxa"/>
          </w:tcPr>
          <w:p>
            <w:pPr>
              <w:pStyle w:val="0"/>
            </w:pPr>
            <w:r>
              <w:rPr>
                <w:sz w:val="24"/>
              </w:rPr>
              <w:t xml:space="preserve">dim-int:IDDopSoglKDogovoruSAuditOrgTaxis</w:t>
            </w:r>
          </w:p>
        </w:tc>
      </w:tr>
      <w:tr>
        <w:tc>
          <w:tcPr>
            <w:tcW w:w="907" w:type="dxa"/>
          </w:tcPr>
          <w:p>
            <w:pPr>
              <w:pStyle w:val="0"/>
            </w:pPr>
            <w:r>
              <w:rPr>
                <w:sz w:val="24"/>
              </w:rPr>
              <w:t xml:space="preserve">28.4</w:t>
            </w:r>
          </w:p>
        </w:tc>
        <w:tc>
          <w:tcPr>
            <w:tcW w:w="2608" w:type="dxa"/>
          </w:tcPr>
          <w:p>
            <w:pPr>
              <w:pStyle w:val="0"/>
            </w:pPr>
            <w:r>
              <w:rPr>
                <w:sz w:val="24"/>
              </w:rPr>
            </w:r>
          </w:p>
        </w:tc>
        <w:tc>
          <w:tcPr>
            <w:tcW w:w="2608" w:type="dxa"/>
          </w:tcPr>
          <w:p>
            <w:pPr>
              <w:pStyle w:val="0"/>
            </w:pPr>
            <w:r>
              <w:rPr>
                <w:sz w:val="24"/>
              </w:rPr>
              <w:t xml:space="preserve">Идентификатор аудиторского заключения</w:t>
            </w:r>
          </w:p>
        </w:tc>
        <w:tc>
          <w:tcPr>
            <w:tcW w:w="2948" w:type="dxa"/>
          </w:tcPr>
          <w:p>
            <w:pPr>
              <w:pStyle w:val="0"/>
            </w:pPr>
            <w:r>
              <w:rPr>
                <w:sz w:val="24"/>
              </w:rPr>
              <w:t xml:space="preserve">dim-int:ID_audzakITaxis</w:t>
            </w:r>
          </w:p>
        </w:tc>
      </w:tr>
      <w:tr>
        <w:tc>
          <w:tcPr>
            <w:tcW w:w="907" w:type="dxa"/>
          </w:tcPr>
          <w:p>
            <w:pPr>
              <w:pStyle w:val="0"/>
            </w:pPr>
            <w:r>
              <w:rPr>
                <w:sz w:val="24"/>
              </w:rPr>
              <w:t xml:space="preserve">28.5</w:t>
            </w:r>
          </w:p>
        </w:tc>
        <w:tc>
          <w:tcPr>
            <w:tcW w:w="2608" w:type="dxa"/>
          </w:tcPr>
          <w:p>
            <w:pPr>
              <w:pStyle w:val="0"/>
            </w:pPr>
            <w:r>
              <w:rPr>
                <w:sz w:val="24"/>
              </w:rPr>
            </w:r>
          </w:p>
        </w:tc>
        <w:tc>
          <w:tcPr>
            <w:tcW w:w="2608" w:type="dxa"/>
          </w:tcPr>
          <w:p>
            <w:pPr>
              <w:pStyle w:val="0"/>
            </w:pPr>
            <w:r>
              <w:rPr>
                <w:sz w:val="24"/>
              </w:rPr>
              <w:t xml:space="preserve">Идентификатор строки</w:t>
            </w:r>
          </w:p>
        </w:tc>
        <w:tc>
          <w:tcPr>
            <w:tcW w:w="2948" w:type="dxa"/>
          </w:tcPr>
          <w:p>
            <w:pPr>
              <w:pStyle w:val="0"/>
            </w:pPr>
            <w:r>
              <w:rPr>
                <w:sz w:val="24"/>
              </w:rPr>
              <w:t xml:space="preserve">dim-int:ID_strokiTaxis</w:t>
            </w:r>
          </w:p>
        </w:tc>
      </w:tr>
    </w:tbl>
    <w:p>
      <w:pPr>
        <w:pStyle w:val="0"/>
        <w:ind w:firstLine="540"/>
        <w:jc w:val="both"/>
      </w:pPr>
      <w:r>
        <w:rPr>
          <w:sz w:val="24"/>
        </w:rPr>
      </w:r>
    </w:p>
    <w:p>
      <w:pPr>
        <w:pStyle w:val="0"/>
        <w:ind w:firstLine="540"/>
        <w:jc w:val="both"/>
      </w:pPr>
      <w:r>
        <w:rPr>
          <w:sz w:val="24"/>
        </w:rPr>
        <w:t xml:space="preserve">--------------------------------</w:t>
      </w:r>
    </w:p>
    <w:bookmarkStart w:id="38401" w:name="P38401"/>
    <w:bookmarkEnd w:id="38401"/>
    <w:p>
      <w:pPr>
        <w:pStyle w:val="0"/>
        <w:spacing w:before="240" w:lineRule="auto"/>
        <w:ind w:firstLine="540"/>
        <w:jc w:val="both"/>
      </w:pPr>
      <w:r>
        <w:rPr>
          <w:sz w:val="24"/>
        </w:rPr>
        <w:t xml:space="preserve">&lt;1&gt; Общероссийский </w:t>
      </w:r>
      <w:hyperlink w:history="0" r:id="rId64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0420167 "Сведения</w:t>
      </w:r>
    </w:p>
    <w:p>
      <w:pPr>
        <w:pStyle w:val="0"/>
        <w:jc w:val="center"/>
      </w:pPr>
      <w:r>
        <w:rPr>
          <w:sz w:val="24"/>
        </w:rPr>
        <w:t xml:space="preserve">об аудиторской проверке отчетности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7712" w:tooltip="Отчетность по форме 0420167">
        <w:r>
          <w:rPr>
            <w:sz w:val="24"/>
            <w:color w:val="0000ff"/>
          </w:rPr>
          <w:t xml:space="preserve">форме 0420167</w:t>
        </w:r>
      </w:hyperlink>
      <w:r>
        <w:rPr>
          <w:sz w:val="24"/>
        </w:rPr>
        <w:t xml:space="preserve"> "Сведения об аудиторской проверке отчетности страховщика" (далее - отчетность по форме 0420167) составляется страховщиком (за исключением иностранной страховой организации)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w:t>
      </w: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 в следующих случаях:</w:t>
      </w:r>
    </w:p>
    <w:p>
      <w:pPr>
        <w:pStyle w:val="0"/>
        <w:spacing w:before="240" w:lineRule="auto"/>
        <w:ind w:firstLine="540"/>
        <w:jc w:val="both"/>
      </w:pPr>
      <w:r>
        <w:rPr>
          <w:sz w:val="24"/>
        </w:rPr>
        <w:t xml:space="preserve">заключения страховщиком договора с аудиторской организацией на проведение аудита либо иной проверки в соответствии со стандартами аудиторской деятельности, предусмотренными </w:t>
      </w:r>
      <w:hyperlink w:history="0" r:id="rId642" w:tooltip="Федеральный закон от 27.07.2010 N 208-ФЗ (ред. от 22.07.2024) &quot;О консолидированной финансовой отчетности&quot; {КонсультантПлюс}">
        <w:r>
          <w:rPr>
            <w:sz w:val="24"/>
            <w:color w:val="0000ff"/>
          </w:rPr>
          <w:t xml:space="preserve">частью 2 статьи 5</w:t>
        </w:r>
      </w:hyperlink>
      <w:r>
        <w:rPr>
          <w:sz w:val="24"/>
        </w:rPr>
        <w:t xml:space="preserve"> Федерального закона от 27 июля 2010 года N 208-ФЗ "О консолидированной финансовой отчетности" (далее соответственно - стандарты аудиторской деятельности, аудиторская проверка, договор на проведение аудиторской проверки);</w:t>
      </w:r>
    </w:p>
    <w:p>
      <w:pPr>
        <w:pStyle w:val="0"/>
        <w:spacing w:before="240" w:lineRule="auto"/>
        <w:ind w:firstLine="540"/>
        <w:jc w:val="both"/>
      </w:pPr>
      <w:r>
        <w:rPr>
          <w:sz w:val="24"/>
        </w:rPr>
        <w:t xml:space="preserve">заключения страховщиком дополнительного соглашения к договору на проведение аудиторской проверки;</w:t>
      </w:r>
    </w:p>
    <w:p>
      <w:pPr>
        <w:pStyle w:val="0"/>
        <w:spacing w:before="240" w:lineRule="auto"/>
        <w:ind w:firstLine="540"/>
        <w:jc w:val="both"/>
      </w:pPr>
      <w:r>
        <w:rPr>
          <w:sz w:val="24"/>
        </w:rPr>
        <w:t xml:space="preserve">получения страховщиком аудиторского заключения либо иного документа в соответствии со стандартами аудиторской деятельности (далее при совместном упоминании - аудиторское заключение);</w:t>
      </w:r>
    </w:p>
    <w:p>
      <w:pPr>
        <w:pStyle w:val="0"/>
        <w:spacing w:before="240" w:lineRule="auto"/>
        <w:ind w:firstLine="540"/>
        <w:jc w:val="both"/>
      </w:pPr>
      <w:r>
        <w:rPr>
          <w:sz w:val="24"/>
        </w:rPr>
        <w:t xml:space="preserve">изменения содержащихся в отчетности по </w:t>
      </w:r>
      <w:hyperlink w:history="0" w:anchor="P37712" w:tooltip="Отчетность по форме 0420167">
        <w:r>
          <w:rPr>
            <w:sz w:val="24"/>
            <w:color w:val="0000ff"/>
          </w:rPr>
          <w:t xml:space="preserve">форме 0420167</w:t>
        </w:r>
      </w:hyperlink>
      <w:r>
        <w:rPr>
          <w:sz w:val="24"/>
        </w:rPr>
        <w:t xml:space="preserve"> сведений, которые не потребовали заключения дополнительного соглашения к договору на проведение аудиторской проверки.</w:t>
      </w:r>
    </w:p>
    <w:p>
      <w:pPr>
        <w:pStyle w:val="0"/>
        <w:spacing w:before="240" w:lineRule="auto"/>
        <w:ind w:firstLine="540"/>
        <w:jc w:val="both"/>
      </w:pPr>
      <w:r>
        <w:rPr>
          <w:sz w:val="24"/>
        </w:rPr>
        <w:t xml:space="preserve">2. Показатели отчетности по </w:t>
      </w:r>
      <w:hyperlink w:history="0" w:anchor="P37712" w:tooltip="Отчетность по форме 0420167">
        <w:r>
          <w:rPr>
            <w:sz w:val="24"/>
            <w:color w:val="0000ff"/>
          </w:rPr>
          <w:t xml:space="preserve">форме 0420167</w:t>
        </w:r>
      </w:hyperlink>
      <w:r>
        <w:rPr>
          <w:sz w:val="24"/>
        </w:rPr>
        <w:t xml:space="preserve"> формируются в разрезе аудиторских организаций (по группе аналитических признаков "Идентификатор аудиторской организации") с указанием заключенных страховщиком договоров на проведение аудиторской проверки с ними (по группе аналитических признаков "Идентификатор договора с аудиторской организацией").</w:t>
      </w:r>
    </w:p>
    <w:p>
      <w:pPr>
        <w:pStyle w:val="0"/>
        <w:spacing w:before="240" w:lineRule="auto"/>
        <w:ind w:firstLine="540"/>
        <w:jc w:val="both"/>
      </w:pPr>
      <w:r>
        <w:rPr>
          <w:sz w:val="24"/>
        </w:rPr>
        <w:t xml:space="preserve">По группе аналитических признаков "Идентификатор аудиторской организации" указывается сформированный страховщиком самостоятельно в соответствии с </w:t>
      </w:r>
      <w:hyperlink w:history="0" w:anchor="P969" w:tooltip="8.27.1. Для контрагента-резидента, являющегося юридическим лицом, указываются следующие характеристики:">
        <w:r>
          <w:rPr>
            <w:sz w:val="24"/>
            <w:color w:val="0000ff"/>
          </w:rPr>
          <w:t xml:space="preserve">подпунктом 8.27.1 пункта 8</w:t>
        </w:r>
      </w:hyperlink>
      <w:r>
        <w:rPr>
          <w:sz w:val="24"/>
        </w:rPr>
        <w:t xml:space="preserve"> Порядка и сроков составления отчетности по форме 0420150 "Общие сведения о страховщике" идентификатор аудиторской организации.</w:t>
      </w:r>
    </w:p>
    <w:p>
      <w:pPr>
        <w:pStyle w:val="0"/>
        <w:spacing w:before="240" w:lineRule="auto"/>
        <w:ind w:firstLine="540"/>
        <w:jc w:val="both"/>
      </w:pPr>
      <w:r>
        <w:rPr>
          <w:sz w:val="24"/>
        </w:rPr>
        <w:t xml:space="preserve">По группе аналитических признаков "Идентификатор договора с аудиторской организацией" указывается сформированный страховщиком самостоятельно идентификатор договора на проведение аудиторской проверки, позволяющий выделить один договор на проведение аудиторской проверки из других договоров на проведение аудиторской проверки.</w:t>
      </w:r>
    </w:p>
    <w:p>
      <w:pPr>
        <w:pStyle w:val="0"/>
        <w:spacing w:before="240" w:lineRule="auto"/>
        <w:ind w:firstLine="540"/>
        <w:jc w:val="both"/>
      </w:pPr>
      <w:r>
        <w:rPr>
          <w:sz w:val="24"/>
        </w:rPr>
        <w:t xml:space="preserve">По группе аналитических признаков "Идентификатор дополнительного соглашения к договору с аудиторской организацией" указывается сформированный страховщиком самостоятельно идентификатор дополнительного соглашения к договору на проведение аудиторской проверки, позволяющий выделить одно дополнительное соглашение к договору на проведение аудиторской проверки из других дополнительных соглашений к договору на проведение аудиторской проверки, указанному по группе аналитических признаков "Идентификатор договора с аудиторской организацией".</w:t>
      </w:r>
    </w:p>
    <w:p>
      <w:pPr>
        <w:pStyle w:val="0"/>
        <w:spacing w:before="240" w:lineRule="auto"/>
        <w:ind w:firstLine="540"/>
        <w:jc w:val="both"/>
      </w:pPr>
      <w:r>
        <w:rPr>
          <w:sz w:val="24"/>
        </w:rPr>
        <w:t xml:space="preserve">По группе аналитических признаков "Идентификатор аудиторского заключения" указывается сформированный страховщиком самостоятельно идентификатор выданного аудиторского заключения, позволяющий выделить одно аудиторское заключение из других аудиторских заключений.</w:t>
      </w:r>
    </w:p>
    <w:p>
      <w:pPr>
        <w:pStyle w:val="0"/>
        <w:spacing w:before="240" w:lineRule="auto"/>
        <w:ind w:firstLine="540"/>
        <w:jc w:val="both"/>
      </w:pPr>
      <w:r>
        <w:rPr>
          <w:sz w:val="24"/>
        </w:rPr>
        <w:t xml:space="preserve">3. По показателю "Полное фирменное наименование аудиторской организации" </w:t>
      </w:r>
      <w:hyperlink w:history="0" w:anchor="P37727" w:tooltip="1">
        <w:r>
          <w:rPr>
            <w:sz w:val="24"/>
            <w:color w:val="0000ff"/>
          </w:rPr>
          <w:t xml:space="preserve">(строка 1)</w:t>
        </w:r>
      </w:hyperlink>
      <w:r>
        <w:rPr>
          <w:sz w:val="24"/>
        </w:rPr>
        <w:t xml:space="preserve"> указывается полное фирменное наименование аудиторской организации в соответствии с единым государственным реестром юридических лиц (далее - ЕГРЮЛ).</w:t>
      </w:r>
    </w:p>
    <w:p>
      <w:pPr>
        <w:pStyle w:val="0"/>
        <w:spacing w:before="240" w:lineRule="auto"/>
        <w:ind w:firstLine="540"/>
        <w:jc w:val="both"/>
      </w:pPr>
      <w:r>
        <w:rPr>
          <w:sz w:val="24"/>
        </w:rPr>
        <w:t xml:space="preserve">В случае изменения полного фирменного наименования аудиторской организации, произошедшего в период действия договора на проведение аудиторской проверки (дополнительного соглашения к нему), сведения о котором приведены в отчетности по </w:t>
      </w:r>
      <w:hyperlink w:history="0" w:anchor="P37712" w:tooltip="Отчетность по форме 0420167">
        <w:r>
          <w:rPr>
            <w:sz w:val="24"/>
            <w:color w:val="0000ff"/>
          </w:rPr>
          <w:t xml:space="preserve">форме 0420167</w:t>
        </w:r>
      </w:hyperlink>
      <w:r>
        <w:rPr>
          <w:sz w:val="24"/>
        </w:rPr>
        <w:t xml:space="preserve">, указывается новое полное фирменное наименование аудиторской организации, в скобках - ранее зарегистрированное.</w:t>
      </w:r>
    </w:p>
    <w:p>
      <w:pPr>
        <w:pStyle w:val="0"/>
        <w:spacing w:before="240" w:lineRule="auto"/>
        <w:ind w:firstLine="540"/>
        <w:jc w:val="both"/>
      </w:pPr>
      <w:r>
        <w:rPr>
          <w:sz w:val="24"/>
        </w:rPr>
        <w:t xml:space="preserve">4. По показателю "Основной государственный регистрационный номер (ОГРН) аудиторской организации" </w:t>
      </w:r>
      <w:hyperlink w:history="0" w:anchor="P37751" w:tooltip="2">
        <w:r>
          <w:rPr>
            <w:sz w:val="24"/>
            <w:color w:val="0000ff"/>
          </w:rPr>
          <w:t xml:space="preserve">(строка 2)</w:t>
        </w:r>
      </w:hyperlink>
      <w:r>
        <w:rPr>
          <w:sz w:val="24"/>
        </w:rPr>
        <w:t xml:space="preserve"> указывается основной государственный регистрационный номер аудиторской организации.</w:t>
      </w:r>
    </w:p>
    <w:p>
      <w:pPr>
        <w:pStyle w:val="0"/>
        <w:spacing w:before="240" w:lineRule="auto"/>
        <w:ind w:firstLine="540"/>
        <w:jc w:val="both"/>
      </w:pPr>
      <w:r>
        <w:rPr>
          <w:sz w:val="24"/>
        </w:rPr>
        <w:t xml:space="preserve">5. По показателю "Адрес аудиторской организации в пределах места нахождения аудиторской организации" </w:t>
      </w:r>
      <w:hyperlink w:history="0" w:anchor="P37775" w:tooltip="3">
        <w:r>
          <w:rPr>
            <w:sz w:val="24"/>
            <w:color w:val="0000ff"/>
          </w:rPr>
          <w:t xml:space="preserve">(строка 3)</w:t>
        </w:r>
      </w:hyperlink>
      <w:r>
        <w:rPr>
          <w:sz w:val="24"/>
        </w:rPr>
        <w:t xml:space="preserve"> указывается адрес аудиторской организации в пределах места нахождения аудиторской организации, указанный в ЕГРЮЛ.</w:t>
      </w:r>
    </w:p>
    <w:p>
      <w:pPr>
        <w:pStyle w:val="0"/>
        <w:spacing w:before="240" w:lineRule="auto"/>
        <w:ind w:firstLine="540"/>
        <w:jc w:val="both"/>
      </w:pP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r>
        <w:rPr>
          <w:sz w:val="24"/>
        </w:rPr>
        <w:t xml:space="preserve">. По показателю "Основной регистрационный номер записи (ОРНЗ) аудиторской организации" </w:t>
      </w:r>
      <w:hyperlink w:history="0" w:anchor="P37799" w:tooltip="4">
        <w:r>
          <w:rPr>
            <w:sz w:val="24"/>
            <w:color w:val="0000ff"/>
          </w:rPr>
          <w:t xml:space="preserve">(строка 4)</w:t>
        </w:r>
      </w:hyperlink>
      <w:r>
        <w:rPr>
          <w:sz w:val="24"/>
        </w:rPr>
        <w:t xml:space="preserve"> указывается основной регистрационный номер записи (далее - ОРНЗ) аудиторской организации в реестре аудиторов и аудиторских организаций саморегулируемой организации аудиторов, который в соответствии с </w:t>
      </w:r>
      <w:hyperlink w:history="0" r:id="rId643" w:tooltip="Федеральный закон от 30.12.2008 N 307-ФЗ (ред. от 26.12.2024) &quot;Об аудиторской деятельности&quot; {КонсультантПлюс}">
        <w:r>
          <w:rPr>
            <w:sz w:val="24"/>
            <w:color w:val="0000ff"/>
          </w:rPr>
          <w:t xml:space="preserve">частью 2 статьи 19</w:t>
        </w:r>
      </w:hyperlink>
      <w:r>
        <w:rPr>
          <w:sz w:val="24"/>
        </w:rPr>
        <w:t xml:space="preserve"> Федерального закона от 30 декабря 2008 года N 307-ФЗ "Об аудиторской деятельности" ведет саморегулируемая организация аудиторов (далее - реестр аудиторов и аудиторских организаций саморегулируемой организации аудиторов).</w:t>
      </w:r>
    </w:p>
    <w:p>
      <w:pPr>
        <w:pStyle w:val="0"/>
        <w:spacing w:before="240" w:lineRule="auto"/>
        <w:ind w:firstLine="540"/>
        <w:jc w:val="both"/>
      </w:pPr>
      <w:r>
        <w:rPr>
          <w:sz w:val="24"/>
        </w:rPr>
        <w:t xml:space="preserve">7. По показателю "Вид отчетности, подлежащей аудиторской проверке" </w:t>
      </w:r>
      <w:hyperlink w:history="0" w:anchor="P37823" w:tooltip="5">
        <w:r>
          <w:rPr>
            <w:sz w:val="24"/>
            <w:color w:val="0000ff"/>
          </w:rPr>
          <w:t xml:space="preserve">(строка 5)</w:t>
        </w:r>
      </w:hyperlink>
      <w:r>
        <w:rPr>
          <w:sz w:val="24"/>
        </w:rPr>
        <w:t xml:space="preserve"> указывается следующий вид отчетности, подлежащей аудиторской проверке:</w:t>
      </w:r>
    </w:p>
    <w:p>
      <w:pPr>
        <w:pStyle w:val="0"/>
        <w:spacing w:before="240" w:lineRule="auto"/>
        <w:ind w:firstLine="540"/>
        <w:jc w:val="both"/>
      </w:pPr>
      <w:r>
        <w:rPr>
          <w:sz w:val="24"/>
        </w:rPr>
        <w:t xml:space="preserve">годовая бухгалтерская (финансовая) отчетность;</w:t>
      </w:r>
    </w:p>
    <w:p>
      <w:pPr>
        <w:pStyle w:val="0"/>
        <w:spacing w:before="240" w:lineRule="auto"/>
        <w:ind w:firstLine="540"/>
        <w:jc w:val="both"/>
      </w:pPr>
      <w:r>
        <w:rPr>
          <w:sz w:val="24"/>
        </w:rPr>
        <w:t xml:space="preserve">промежуточная бухгалтерская (финансовая) отчетность;</w:t>
      </w:r>
    </w:p>
    <w:p>
      <w:pPr>
        <w:pStyle w:val="0"/>
        <w:spacing w:before="240" w:lineRule="auto"/>
        <w:ind w:firstLine="540"/>
        <w:jc w:val="both"/>
      </w:pPr>
      <w:r>
        <w:rPr>
          <w:sz w:val="24"/>
        </w:rPr>
        <w:t xml:space="preserve">годовая консолидированная финансовая отчетность;</w:t>
      </w:r>
    </w:p>
    <w:p>
      <w:pPr>
        <w:pStyle w:val="0"/>
        <w:spacing w:before="240" w:lineRule="auto"/>
        <w:ind w:firstLine="540"/>
        <w:jc w:val="both"/>
      </w:pPr>
      <w:r>
        <w:rPr>
          <w:sz w:val="24"/>
        </w:rPr>
        <w:t xml:space="preserve">промежуточная консолидированная финансовая отчетность;</w:t>
      </w:r>
    </w:p>
    <w:p>
      <w:pPr>
        <w:pStyle w:val="0"/>
        <w:spacing w:before="240" w:lineRule="auto"/>
        <w:ind w:firstLine="540"/>
        <w:jc w:val="both"/>
      </w:pPr>
      <w:r>
        <w:rPr>
          <w:sz w:val="24"/>
        </w:rPr>
        <w:t xml:space="preserve">годовая финансовая отчетность;</w:t>
      </w:r>
    </w:p>
    <w:p>
      <w:pPr>
        <w:pStyle w:val="0"/>
        <w:spacing w:before="240" w:lineRule="auto"/>
        <w:ind w:firstLine="540"/>
        <w:jc w:val="both"/>
      </w:pPr>
      <w:r>
        <w:rPr>
          <w:sz w:val="24"/>
        </w:rPr>
        <w:t xml:space="preserve">промежуточная финансовая отчетность;</w:t>
      </w:r>
    </w:p>
    <w:p>
      <w:pPr>
        <w:pStyle w:val="0"/>
        <w:spacing w:before="240" w:lineRule="auto"/>
        <w:ind w:firstLine="540"/>
        <w:jc w:val="both"/>
      </w:pPr>
      <w:r>
        <w:rPr>
          <w:sz w:val="24"/>
        </w:rPr>
        <w:t xml:space="preserve">проведение аудиторской организацией проверок, предусмотренных правилами доверительного управления паевым инвестиционным фондом.</w:t>
      </w:r>
    </w:p>
    <w:p>
      <w:pPr>
        <w:pStyle w:val="0"/>
        <w:spacing w:before="240" w:lineRule="auto"/>
        <w:ind w:firstLine="540"/>
        <w:jc w:val="both"/>
      </w:pPr>
      <w:r>
        <w:rPr>
          <w:sz w:val="24"/>
        </w:rPr>
        <w:t xml:space="preserve">В случае если аудиторской проверке подлежит проверка выполнения страховщиком требований финансовой устойчивости и платежеспособности, а также эффективности организации системы внутреннего контроля страховщика, по показателю "Вид отчетности, подлежащей аудиторской проверке" </w:t>
      </w:r>
      <w:hyperlink w:history="0" w:anchor="P37823" w:tooltip="5">
        <w:r>
          <w:rPr>
            <w:sz w:val="24"/>
            <w:color w:val="0000ff"/>
          </w:rPr>
          <w:t xml:space="preserve">(строка 5)</w:t>
        </w:r>
      </w:hyperlink>
      <w:r>
        <w:rPr>
          <w:sz w:val="24"/>
        </w:rPr>
        <w:t xml:space="preserve"> указывается значение "Годовая бухгалтерская (финансовая) отчетность".</w:t>
      </w:r>
    </w:p>
    <w:p>
      <w:pPr>
        <w:pStyle w:val="0"/>
        <w:spacing w:before="240" w:lineRule="auto"/>
        <w:ind w:firstLine="540"/>
        <w:jc w:val="both"/>
      </w:pPr>
      <w:r>
        <w:rPr>
          <w:sz w:val="24"/>
        </w:rPr>
        <w:t xml:space="preserve">По показателю "Вид отчетности, подлежащей аудиторской проверке" </w:t>
      </w:r>
      <w:hyperlink w:history="0" w:anchor="P37823" w:tooltip="5">
        <w:r>
          <w:rPr>
            <w:sz w:val="24"/>
            <w:color w:val="0000ff"/>
          </w:rPr>
          <w:t xml:space="preserve">(строка 5)</w:t>
        </w:r>
      </w:hyperlink>
      <w:r>
        <w:rPr>
          <w:sz w:val="24"/>
        </w:rPr>
        <w:t xml:space="preserve"> страховая организация, имеющая лицензию на осуществление добровольного страхования жизни и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указывает значение "Проведение аудиторской организацией проверок, предусмотренных правилами доверительного управления паевым инвестиционным фондом" в случае, если правилами доверительного управления паевым инвестиционным фондом предусмотрено ежегодное проведение аудиторской организацией проверки выполнения требований, предусмотренных </w:t>
      </w:r>
      <w:hyperlink w:history="0" r:id="rId644"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пунктом 3 статьи 50</w:t>
        </w:r>
      </w:hyperlink>
      <w:r>
        <w:rPr>
          <w:sz w:val="24"/>
        </w:rPr>
        <w:t xml:space="preserve"> Федерального закона от 29 ноября 2001 года N 156-ФЗ "Об инвестиционных фондах".</w:t>
      </w:r>
    </w:p>
    <w:p>
      <w:pPr>
        <w:pStyle w:val="0"/>
        <w:spacing w:before="240" w:lineRule="auto"/>
        <w:ind w:firstLine="540"/>
        <w:jc w:val="both"/>
      </w:pPr>
      <w:r>
        <w:rPr>
          <w:sz w:val="24"/>
        </w:rPr>
        <w:t xml:space="preserve">В случае если в соответствии с договором на проведение аудиторской проверки (дополнительным соглашением к нему) аудиторской проверке подлежит более одного вида отчетности, по показателю "Вид отчетности, подлежащей аудиторской проверке" </w:t>
      </w:r>
      <w:hyperlink w:history="0" w:anchor="P37823" w:tooltip="5">
        <w:r>
          <w:rPr>
            <w:sz w:val="24"/>
            <w:color w:val="0000ff"/>
          </w:rPr>
          <w:t xml:space="preserve">(строка 5)</w:t>
        </w:r>
      </w:hyperlink>
      <w:r>
        <w:rPr>
          <w:sz w:val="24"/>
        </w:rPr>
        <w:t xml:space="preserve"> указывается информация по каждому виду отчетности, подлежащей аудиторской проверке, отдельно (с отражением данных по группе аналитических признаков "Идентификатор строки").</w:t>
      </w:r>
    </w:p>
    <w:p>
      <w:pPr>
        <w:pStyle w:val="0"/>
        <w:spacing w:before="240" w:lineRule="auto"/>
        <w:ind w:firstLine="540"/>
        <w:jc w:val="both"/>
      </w:pPr>
      <w:r>
        <w:rPr>
          <w:sz w:val="24"/>
        </w:rPr>
        <w:t xml:space="preserve">8. По показателю "Дата заключения договора" </w:t>
      </w:r>
      <w:hyperlink w:history="0" w:anchor="P37847" w:tooltip="6">
        <w:r>
          <w:rPr>
            <w:sz w:val="24"/>
            <w:color w:val="0000ff"/>
          </w:rPr>
          <w:t xml:space="preserve">(строка 6)</w:t>
        </w:r>
      </w:hyperlink>
      <w:r>
        <w:rPr>
          <w:sz w:val="24"/>
        </w:rPr>
        <w:t xml:space="preserve"> указывается дата заключения договора на проведение аудиторской проверки.</w:t>
      </w:r>
    </w:p>
    <w:p>
      <w:pPr>
        <w:pStyle w:val="0"/>
        <w:spacing w:before="240" w:lineRule="auto"/>
        <w:ind w:firstLine="540"/>
        <w:jc w:val="both"/>
      </w:pPr>
      <w:r>
        <w:rPr>
          <w:sz w:val="24"/>
        </w:rPr>
        <w:t xml:space="preserve">9. По показателю "Номер договора" </w:t>
      </w:r>
      <w:hyperlink w:history="0" w:anchor="P37871" w:tooltip="7">
        <w:r>
          <w:rPr>
            <w:sz w:val="24"/>
            <w:color w:val="0000ff"/>
          </w:rPr>
          <w:t xml:space="preserve">(строка 7)</w:t>
        </w:r>
      </w:hyperlink>
      <w:r>
        <w:rPr>
          <w:sz w:val="24"/>
        </w:rPr>
        <w:t xml:space="preserve"> указывается номер договора на проведение аудиторской проверки (в случае отсутствия номера договора на проведение аудиторской проверки указывается значение "б/н" (без номера).</w:t>
      </w:r>
    </w:p>
    <w:p>
      <w:pPr>
        <w:pStyle w:val="0"/>
        <w:spacing w:before="240" w:lineRule="auto"/>
        <w:ind w:firstLine="540"/>
        <w:jc w:val="both"/>
      </w:pPr>
      <w:r>
        <w:rPr>
          <w:sz w:val="24"/>
        </w:rPr>
        <w:t xml:space="preserve">10. По показателю "Дата окончания действия договора" </w:t>
      </w:r>
      <w:hyperlink w:history="0" w:anchor="P37895" w:tooltip="8">
        <w:r>
          <w:rPr>
            <w:sz w:val="24"/>
            <w:color w:val="0000ff"/>
          </w:rPr>
          <w:t xml:space="preserve">(строка 8)</w:t>
        </w:r>
      </w:hyperlink>
      <w:r>
        <w:rPr>
          <w:sz w:val="24"/>
        </w:rPr>
        <w:t xml:space="preserve"> указывается дата окончания действия договора на проведение аудиторской проверки. В случае если в договоре на проведение аудиторской проверки не указана дата окончания его действия, указывается последний календарный день года, в который страховщику будут переданы последние результаты аудиторской проверки по договору на проведение аудиторской проверки.</w:t>
      </w:r>
    </w:p>
    <w:p>
      <w:pPr>
        <w:pStyle w:val="0"/>
        <w:spacing w:before="240" w:lineRule="auto"/>
        <w:ind w:firstLine="540"/>
        <w:jc w:val="both"/>
      </w:pPr>
      <w:r>
        <w:rPr>
          <w:sz w:val="24"/>
        </w:rPr>
        <w:t xml:space="preserve">11. По показателю "Стоимость аудиторских услуг, указанная в договоре" </w:t>
      </w:r>
      <w:hyperlink w:history="0" w:anchor="P37919" w:tooltip="9">
        <w:r>
          <w:rPr>
            <w:sz w:val="24"/>
            <w:color w:val="0000ff"/>
          </w:rPr>
          <w:t xml:space="preserve">(строка 9)</w:t>
        </w:r>
      </w:hyperlink>
      <w:r>
        <w:rPr>
          <w:sz w:val="24"/>
        </w:rPr>
        <w:t xml:space="preserve"> указывается размер денежного вознаграждения аудиторской организации, предусмотренный договором на проведение аудиторской проверки (с учетом суммы налога на добавленную стоимость).</w:t>
      </w:r>
    </w:p>
    <w:p>
      <w:pPr>
        <w:pStyle w:val="0"/>
        <w:spacing w:before="240" w:lineRule="auto"/>
        <w:ind w:firstLine="540"/>
        <w:jc w:val="both"/>
      </w:pPr>
      <w:r>
        <w:rPr>
          <w:sz w:val="24"/>
        </w:rPr>
        <w:t xml:space="preserve">В случае если в соответствии с договором на проведение аудиторской проверки аудиторской проверке подлежит более одного вида отчетности, значение показателя "Стоимость аудиторских услуг, указанная в договоре" </w:t>
      </w:r>
      <w:hyperlink w:history="0" w:anchor="P37919" w:tooltip="9">
        <w:r>
          <w:rPr>
            <w:sz w:val="24"/>
            <w:color w:val="0000ff"/>
          </w:rPr>
          <w:t xml:space="preserve">(строка 9)</w:t>
        </w:r>
      </w:hyperlink>
      <w:r>
        <w:rPr>
          <w:sz w:val="24"/>
        </w:rPr>
        <w:t xml:space="preserve"> указывается отдельно в отношении каждого указанного в договоре на проведение аудиторской проверки вида отчетности. Сумма значений указанного показателя по видам отчетности должна быть равна стоимости аудиторских услуг, указанной в договоре на проведение аудиторской проверки.</w:t>
      </w:r>
    </w:p>
    <w:p>
      <w:pPr>
        <w:pStyle w:val="0"/>
        <w:spacing w:before="240" w:lineRule="auto"/>
        <w:ind w:firstLine="540"/>
        <w:jc w:val="both"/>
      </w:pPr>
      <w:r>
        <w:rPr>
          <w:sz w:val="24"/>
        </w:rPr>
        <w:t xml:space="preserve">12. По показателю "Дата заключения дополнительного соглашения к договору" </w:t>
      </w:r>
      <w:hyperlink w:history="0" w:anchor="P37943" w:tooltip="10">
        <w:r>
          <w:rPr>
            <w:sz w:val="24"/>
            <w:color w:val="0000ff"/>
          </w:rPr>
          <w:t xml:space="preserve">(строка 10)</w:t>
        </w:r>
      </w:hyperlink>
      <w:r>
        <w:rPr>
          <w:sz w:val="24"/>
        </w:rPr>
        <w:t xml:space="preserve"> указывается дата заключения дополнительного соглашения к договору на проведение аудиторской проверки (показатель формируется при составлении отчетности по </w:t>
      </w:r>
      <w:hyperlink w:history="0" w:anchor="P37712" w:tooltip="Отчетность по форме 0420167">
        <w:r>
          <w:rPr>
            <w:sz w:val="24"/>
            <w:color w:val="0000ff"/>
          </w:rPr>
          <w:t xml:space="preserve">форме 0420167</w:t>
        </w:r>
      </w:hyperlink>
      <w:r>
        <w:rPr>
          <w:sz w:val="24"/>
        </w:rPr>
        <w:t xml:space="preserve"> в случае заключения дополнительного соглашения к договору на проведение аудиторской проверки).</w:t>
      </w:r>
    </w:p>
    <w:p>
      <w:pPr>
        <w:pStyle w:val="0"/>
        <w:spacing w:before="240" w:lineRule="auto"/>
        <w:ind w:firstLine="540"/>
        <w:jc w:val="both"/>
      </w:pPr>
      <w:r>
        <w:rPr>
          <w:sz w:val="24"/>
        </w:rPr>
        <w:t xml:space="preserve">13. По показателю "Номер дополнительного соглашения к договору" </w:t>
      </w:r>
      <w:hyperlink w:history="0" w:anchor="P37967" w:tooltip="11">
        <w:r>
          <w:rPr>
            <w:sz w:val="24"/>
            <w:color w:val="0000ff"/>
          </w:rPr>
          <w:t xml:space="preserve">(строка 11)</w:t>
        </w:r>
      </w:hyperlink>
      <w:r>
        <w:rPr>
          <w:sz w:val="24"/>
        </w:rPr>
        <w:t xml:space="preserve"> указывается номер дополнительного соглашения к договору на проведение аудиторской проверки (показатель формируется при составлении отчетности по </w:t>
      </w:r>
      <w:hyperlink w:history="0" w:anchor="P37712" w:tooltip="Отчетность по форме 0420167">
        <w:r>
          <w:rPr>
            <w:sz w:val="24"/>
            <w:color w:val="0000ff"/>
          </w:rPr>
          <w:t xml:space="preserve">форме 0420167</w:t>
        </w:r>
      </w:hyperlink>
      <w:r>
        <w:rPr>
          <w:sz w:val="24"/>
        </w:rPr>
        <w:t xml:space="preserve"> в случае заключения дополнительного соглашения к договору на проведение аудиторской проверки). В случае отсутствия номера дополнительного соглашения к договору на проведение аудиторской проверки указывается значение "б/н" (без номера).</w:t>
      </w:r>
    </w:p>
    <w:p>
      <w:pPr>
        <w:pStyle w:val="0"/>
        <w:spacing w:before="240" w:lineRule="auto"/>
        <w:ind w:firstLine="540"/>
        <w:jc w:val="both"/>
      </w:pPr>
      <w:r>
        <w:rPr>
          <w:sz w:val="24"/>
        </w:rPr>
        <w:t xml:space="preserve">14. По показателю "Дата окончания действия дополнительного соглашения к договору" </w:t>
      </w:r>
      <w:hyperlink w:history="0" w:anchor="P37991" w:tooltip="12">
        <w:r>
          <w:rPr>
            <w:sz w:val="24"/>
            <w:color w:val="0000ff"/>
          </w:rPr>
          <w:t xml:space="preserve">(строка 12)</w:t>
        </w:r>
      </w:hyperlink>
      <w:r>
        <w:rPr>
          <w:sz w:val="24"/>
        </w:rPr>
        <w:t xml:space="preserve"> указывается дата окончания действия дополнительного соглашения к договору на проведение аудиторской проверки (показатель формируется при составлении отчетности по </w:t>
      </w:r>
      <w:hyperlink w:history="0" w:anchor="P37712" w:tooltip="Отчетность по форме 0420167">
        <w:r>
          <w:rPr>
            <w:sz w:val="24"/>
            <w:color w:val="0000ff"/>
          </w:rPr>
          <w:t xml:space="preserve">форме 0420167</w:t>
        </w:r>
      </w:hyperlink>
      <w:r>
        <w:rPr>
          <w:sz w:val="24"/>
        </w:rPr>
        <w:t xml:space="preserve"> в случае заключения дополнительного соглашения к договору на проведение аудиторской проверки).</w:t>
      </w:r>
    </w:p>
    <w:p>
      <w:pPr>
        <w:pStyle w:val="0"/>
        <w:spacing w:before="240" w:lineRule="auto"/>
        <w:ind w:firstLine="540"/>
        <w:jc w:val="both"/>
      </w:pPr>
      <w:r>
        <w:rPr>
          <w:sz w:val="24"/>
        </w:rPr>
        <w:t xml:space="preserve">В случае если в дополнительном соглашении к договору на проведение аудиторской проверки не указана дата окончания его действия, указывается дата окончания действия договора на проведение аудиторской проверки.</w:t>
      </w:r>
    </w:p>
    <w:p>
      <w:pPr>
        <w:pStyle w:val="0"/>
        <w:spacing w:before="240" w:lineRule="auto"/>
        <w:ind w:firstLine="540"/>
        <w:jc w:val="both"/>
      </w:pPr>
      <w:r>
        <w:rPr>
          <w:sz w:val="24"/>
        </w:rPr>
        <w:t xml:space="preserve">15. По показателю "Стоимость аудиторских услуг, указанная в дополнительном соглашении к договору" </w:t>
      </w:r>
      <w:hyperlink w:history="0" w:anchor="P38015" w:tooltip="13">
        <w:r>
          <w:rPr>
            <w:sz w:val="24"/>
            <w:color w:val="0000ff"/>
          </w:rPr>
          <w:t xml:space="preserve">(строка 13)</w:t>
        </w:r>
      </w:hyperlink>
      <w:r>
        <w:rPr>
          <w:sz w:val="24"/>
        </w:rPr>
        <w:t xml:space="preserve"> указывается размер денежного вознаграждения аудиторской организации, предусмотренный в дополнительном соглашении к договору на проведение аудиторской проверки (с учетом суммы налога на добавленную стоимость).</w:t>
      </w:r>
    </w:p>
    <w:p>
      <w:pPr>
        <w:pStyle w:val="0"/>
        <w:spacing w:before="240" w:lineRule="auto"/>
        <w:ind w:firstLine="540"/>
        <w:jc w:val="both"/>
      </w:pPr>
      <w:r>
        <w:rPr>
          <w:sz w:val="24"/>
        </w:rPr>
        <w:t xml:space="preserve">В случае если в соответствии с дополнительным соглашением к договору на проведение аудиторской проверки аудиторской проверке подлежит более одного вида отчетности, значение показателя "Стоимость аудиторских услуг, указанная в дополнительном соглашении к договору" </w:t>
      </w:r>
      <w:hyperlink w:history="0" w:anchor="P38015" w:tooltip="13">
        <w:r>
          <w:rPr>
            <w:sz w:val="24"/>
            <w:color w:val="0000ff"/>
          </w:rPr>
          <w:t xml:space="preserve">(строка 13)</w:t>
        </w:r>
      </w:hyperlink>
      <w:r>
        <w:rPr>
          <w:sz w:val="24"/>
        </w:rPr>
        <w:t xml:space="preserve"> указывается отдельно в отношении каждого указанного в дополнительном соглашении к договору на проведение аудиторской проверки вида отчетности. Сумма значений указанного показателя по видам отчетности должна быть равна стоимости аудиторских услуг, указанной в дополнительном соглашении к договору на проведение аудиторской проверки.</w:t>
      </w:r>
    </w:p>
    <w:p>
      <w:pPr>
        <w:pStyle w:val="0"/>
        <w:spacing w:before="240" w:lineRule="auto"/>
        <w:ind w:firstLine="540"/>
        <w:jc w:val="both"/>
      </w:pPr>
      <w:r>
        <w:rPr>
          <w:sz w:val="24"/>
        </w:rPr>
        <w:t xml:space="preserve">16. По показателю "Дата составления аудиторского заключения" </w:t>
      </w:r>
      <w:hyperlink w:history="0" w:anchor="P38039" w:tooltip="14">
        <w:r>
          <w:rPr>
            <w:sz w:val="24"/>
            <w:color w:val="0000ff"/>
          </w:rPr>
          <w:t xml:space="preserve">(строка 14)</w:t>
        </w:r>
      </w:hyperlink>
      <w:r>
        <w:rPr>
          <w:sz w:val="24"/>
        </w:rPr>
        <w:t xml:space="preserve"> указывается дата составления аудиторского заключения, полученного страховщиком.</w:t>
      </w:r>
    </w:p>
    <w:p>
      <w:pPr>
        <w:pStyle w:val="0"/>
        <w:spacing w:before="240" w:lineRule="auto"/>
        <w:ind w:firstLine="540"/>
        <w:jc w:val="both"/>
      </w:pPr>
      <w:r>
        <w:rPr>
          <w:sz w:val="24"/>
        </w:rPr>
        <w:t xml:space="preserve">17. По показателю "Дата составления нового аудиторского заключения" </w:t>
      </w:r>
      <w:hyperlink w:history="0" w:anchor="P38063" w:tooltip="15">
        <w:r>
          <w:rPr>
            <w:sz w:val="24"/>
            <w:color w:val="0000ff"/>
          </w:rPr>
          <w:t xml:space="preserve">(строка 15)</w:t>
        </w:r>
      </w:hyperlink>
      <w:r>
        <w:rPr>
          <w:sz w:val="24"/>
        </w:rPr>
        <w:t xml:space="preserve"> указывается дата составления аудиторского заключения по результатам аудиторской проверки отчетности того же вида, которая отражена по показателю "Вид отчетности, подлежащей аудиторской проверке" </w:t>
      </w:r>
      <w:hyperlink w:history="0" w:anchor="P37823" w:tooltip="5">
        <w:r>
          <w:rPr>
            <w:sz w:val="24"/>
            <w:color w:val="0000ff"/>
          </w:rPr>
          <w:t xml:space="preserve">(строка 5)</w:t>
        </w:r>
      </w:hyperlink>
      <w:r>
        <w:rPr>
          <w:sz w:val="24"/>
        </w:rPr>
        <w:t xml:space="preserve">, и составленной за тот же период, что и аудиторское заключение, информация о котором ранее представлялась страховщиком в Банк России в отчетности по </w:t>
      </w:r>
      <w:hyperlink w:history="0" w:anchor="P37712" w:tooltip="Отчетность по форме 0420167">
        <w:r>
          <w:rPr>
            <w:sz w:val="24"/>
            <w:color w:val="0000ff"/>
          </w:rPr>
          <w:t xml:space="preserve">форме 0420167</w:t>
        </w:r>
      </w:hyperlink>
      <w:r>
        <w:rPr>
          <w:sz w:val="24"/>
        </w:rPr>
        <w:t xml:space="preserve"> (в случае получения такого аудиторского заключения страховщиком).</w:t>
      </w:r>
    </w:p>
    <w:p>
      <w:pPr>
        <w:pStyle w:val="0"/>
        <w:spacing w:before="240" w:lineRule="auto"/>
        <w:ind w:firstLine="540"/>
        <w:jc w:val="both"/>
      </w:pPr>
      <w:r>
        <w:rPr>
          <w:sz w:val="24"/>
        </w:rPr>
        <w:t xml:space="preserve">В случае указания значения показателя "Дата составления нового аудиторского заключения" </w:t>
      </w:r>
      <w:hyperlink w:history="0" w:anchor="P38063" w:tooltip="15">
        <w:r>
          <w:rPr>
            <w:sz w:val="24"/>
            <w:color w:val="0000ff"/>
          </w:rPr>
          <w:t xml:space="preserve">(строка 15)</w:t>
        </w:r>
      </w:hyperlink>
      <w:r>
        <w:rPr>
          <w:sz w:val="24"/>
        </w:rPr>
        <w:t xml:space="preserve"> значение показателя "Дата составления аудиторского заключения" </w:t>
      </w:r>
      <w:hyperlink w:history="0" w:anchor="P38039" w:tooltip="14">
        <w:r>
          <w:rPr>
            <w:sz w:val="24"/>
            <w:color w:val="0000ff"/>
          </w:rPr>
          <w:t xml:space="preserve">(строка 14)</w:t>
        </w:r>
      </w:hyperlink>
      <w:r>
        <w:rPr>
          <w:sz w:val="24"/>
        </w:rPr>
        <w:t xml:space="preserve"> не изменяется.</w:t>
      </w:r>
    </w:p>
    <w:bookmarkStart w:id="38447" w:name="P38447"/>
    <w:bookmarkEnd w:id="38447"/>
    <w:p>
      <w:pPr>
        <w:pStyle w:val="0"/>
        <w:spacing w:before="240" w:lineRule="auto"/>
        <w:ind w:firstLine="540"/>
        <w:jc w:val="both"/>
      </w:pPr>
      <w:r>
        <w:rPr>
          <w:sz w:val="24"/>
        </w:rPr>
        <w:t xml:space="preserve">18. По показателю "Отчетный период, за который составлена отчетность, в отношении которой аудиторской организацией составлено аудиторское заключение" </w:t>
      </w:r>
      <w:hyperlink w:history="0" w:anchor="P38087" w:tooltip="16">
        <w:r>
          <w:rPr>
            <w:sz w:val="24"/>
            <w:color w:val="0000ff"/>
          </w:rPr>
          <w:t xml:space="preserve">(строка 16)</w:t>
        </w:r>
      </w:hyperlink>
      <w:r>
        <w:rPr>
          <w:sz w:val="24"/>
        </w:rPr>
        <w:t xml:space="preserve"> указывается следующий отчетный период, за который составлена отчетность, в отношении которой аудиторской организацией составлено аудиторское заключение: "Первый квартал", "Первое полугодие", "Девять месяцев", "Год" или "Иной период".</w:t>
      </w:r>
    </w:p>
    <w:p>
      <w:pPr>
        <w:pStyle w:val="0"/>
        <w:spacing w:before="240" w:lineRule="auto"/>
        <w:ind w:firstLine="540"/>
        <w:jc w:val="both"/>
      </w:pPr>
      <w:r>
        <w:rPr>
          <w:sz w:val="24"/>
        </w:rPr>
        <w:t xml:space="preserve">19. В случае если по показателю "Отчетный период, за который составлена отчетность, в отношении которой аудиторской организацией составлено аудиторское заключение" </w:t>
      </w:r>
      <w:hyperlink w:history="0" w:anchor="P38087" w:tooltip="16">
        <w:r>
          <w:rPr>
            <w:sz w:val="24"/>
            <w:color w:val="0000ff"/>
          </w:rPr>
          <w:t xml:space="preserve">(строка 16)</w:t>
        </w:r>
      </w:hyperlink>
      <w:r>
        <w:rPr>
          <w:sz w:val="24"/>
        </w:rPr>
        <w:t xml:space="preserve"> указано значение "Иной период", по показателю "Информация о событии, в связи с которым отчетность составлена за иной период" </w:t>
      </w:r>
      <w:hyperlink w:history="0" w:anchor="P38111" w:tooltip="17">
        <w:r>
          <w:rPr>
            <w:sz w:val="24"/>
            <w:color w:val="0000ff"/>
          </w:rPr>
          <w:t xml:space="preserve">(строка 17)</w:t>
        </w:r>
      </w:hyperlink>
      <w:r>
        <w:rPr>
          <w:sz w:val="24"/>
        </w:rPr>
        <w:t xml:space="preserve"> указывается период, за который составлена отчетность, в отношении которой аудиторской организацией составлено аудиторское заключение, и отражаются обстоятельства, обусловившие составление такой отчетности. В ином случае показатель "Информация о событии, в связи с которым отчетность составлена за иной период" </w:t>
      </w:r>
      <w:hyperlink w:history="0" w:anchor="P38111" w:tooltip="17">
        <w:r>
          <w:rPr>
            <w:sz w:val="24"/>
            <w:color w:val="0000ff"/>
          </w:rPr>
          <w:t xml:space="preserve">(строка 17)</w:t>
        </w:r>
      </w:hyperlink>
      <w:r>
        <w:rPr>
          <w:sz w:val="24"/>
        </w:rPr>
        <w:t xml:space="preserve"> не формируется.</w:t>
      </w:r>
    </w:p>
    <w:p>
      <w:pPr>
        <w:pStyle w:val="0"/>
        <w:spacing w:before="240" w:lineRule="auto"/>
        <w:ind w:firstLine="540"/>
        <w:jc w:val="both"/>
      </w:pPr>
      <w:r>
        <w:rPr>
          <w:sz w:val="24"/>
        </w:rPr>
        <w:t xml:space="preserve">20. По показателю "Мнение, выраженное в аудиторском заключении" </w:t>
      </w:r>
      <w:hyperlink w:history="0" w:anchor="P38135" w:tooltip="18">
        <w:r>
          <w:rPr>
            <w:sz w:val="24"/>
            <w:color w:val="0000ff"/>
          </w:rPr>
          <w:t xml:space="preserve">(строка 18)</w:t>
        </w:r>
      </w:hyperlink>
      <w:r>
        <w:rPr>
          <w:sz w:val="24"/>
        </w:rPr>
        <w:t xml:space="preserve"> указывается одно из следующих значений:</w:t>
      </w:r>
    </w:p>
    <w:p>
      <w:pPr>
        <w:pStyle w:val="0"/>
        <w:spacing w:before="240" w:lineRule="auto"/>
        <w:ind w:firstLine="540"/>
        <w:jc w:val="both"/>
      </w:pPr>
      <w:r>
        <w:rPr>
          <w:sz w:val="24"/>
        </w:rPr>
        <w:t xml:space="preserve">"Немодифицированное мнение" - в случае если в аудиторском заключении (ином документе в соответствии со стандартами аудиторской деятельности) выражено немодифицированное мнение (немодифицированный вывод);</w:t>
      </w:r>
    </w:p>
    <w:p>
      <w:pPr>
        <w:pStyle w:val="0"/>
        <w:spacing w:before="240" w:lineRule="auto"/>
        <w:ind w:firstLine="540"/>
        <w:jc w:val="both"/>
      </w:pPr>
      <w:r>
        <w:rPr>
          <w:sz w:val="24"/>
        </w:rPr>
        <w:t xml:space="preserve">"Мнение с оговоркой" - в случае если в аудиторском заключении (ином документе в соответствии со стандартами аудиторской деятельности) выражено мнение (вывод) с оговоркой;</w:t>
      </w:r>
    </w:p>
    <w:p>
      <w:pPr>
        <w:pStyle w:val="0"/>
        <w:spacing w:before="240" w:lineRule="auto"/>
        <w:ind w:firstLine="540"/>
        <w:jc w:val="both"/>
      </w:pPr>
      <w:r>
        <w:rPr>
          <w:sz w:val="24"/>
        </w:rPr>
        <w:t xml:space="preserve">"Отрицательное мнение" - в случае если в аудиторском заключении (ином документе в соответствии со стандартами аудиторской деятельности) выражено отрицательное мнение (отрицательный вывод);</w:t>
      </w:r>
    </w:p>
    <w:p>
      <w:pPr>
        <w:pStyle w:val="0"/>
        <w:spacing w:before="240" w:lineRule="auto"/>
        <w:ind w:firstLine="540"/>
        <w:jc w:val="both"/>
      </w:pPr>
      <w:r>
        <w:rPr>
          <w:sz w:val="24"/>
        </w:rPr>
        <w:t xml:space="preserve">"Отказ от выражения мнения" - в случае если аудиторское заключение (иной документ в соответствии со стандартами аудиторской деятельности) содержит отказ от выражения мнения (вывода).</w:t>
      </w:r>
    </w:p>
    <w:p>
      <w:pPr>
        <w:pStyle w:val="0"/>
        <w:spacing w:before="240" w:lineRule="auto"/>
        <w:ind w:firstLine="540"/>
        <w:jc w:val="both"/>
      </w:pPr>
      <w:r>
        <w:rPr>
          <w:sz w:val="24"/>
        </w:rPr>
        <w:t xml:space="preserve">21. Сведения о лицах, подписавших аудиторское заключение, указываются в отчетности по </w:t>
      </w:r>
      <w:hyperlink w:history="0" w:anchor="P37712" w:tooltip="Отчетность по форме 0420167">
        <w:r>
          <w:rPr>
            <w:sz w:val="24"/>
            <w:color w:val="0000ff"/>
          </w:rPr>
          <w:t xml:space="preserve">форме 0420167</w:t>
        </w:r>
      </w:hyperlink>
      <w:r>
        <w:rPr>
          <w:sz w:val="24"/>
        </w:rPr>
        <w:t xml:space="preserve"> следующим образом:</w:t>
      </w:r>
    </w:p>
    <w:p>
      <w:pPr>
        <w:pStyle w:val="0"/>
        <w:spacing w:before="240" w:lineRule="auto"/>
        <w:ind w:firstLine="540"/>
        <w:jc w:val="both"/>
      </w:pPr>
      <w:r>
        <w:rPr>
          <w:sz w:val="24"/>
        </w:rPr>
        <w:t xml:space="preserve">по показателю "Фамилия, имя, отчество (при наличии) руководителя аудита, подписавшего аудиторское заключение" </w:t>
      </w:r>
      <w:hyperlink w:history="0" w:anchor="P38159" w:tooltip="19">
        <w:r>
          <w:rPr>
            <w:sz w:val="24"/>
            <w:color w:val="0000ff"/>
          </w:rPr>
          <w:t xml:space="preserve">(строка 19)</w:t>
        </w:r>
      </w:hyperlink>
      <w:r>
        <w:rPr>
          <w:sz w:val="24"/>
        </w:rPr>
        <w:t xml:space="preserve"> указываются фамилия, имя, отчество (при наличии) руководителя аудита, подписавшего аудиторское заключение;</w:t>
      </w:r>
    </w:p>
    <w:p>
      <w:pPr>
        <w:pStyle w:val="0"/>
        <w:spacing w:before="240" w:lineRule="auto"/>
        <w:ind w:firstLine="540"/>
        <w:jc w:val="both"/>
      </w:pPr>
      <w:r>
        <w:rPr>
          <w:sz w:val="24"/>
        </w:rPr>
        <w:t xml:space="preserve">по показателю "Основной регистрационный номер записи (ОРНЗ) руководителя аудита, подписавшего аудиторское заключение" </w:t>
      </w:r>
      <w:hyperlink w:history="0" w:anchor="P38183" w:tooltip="20">
        <w:r>
          <w:rPr>
            <w:sz w:val="24"/>
            <w:color w:val="0000ff"/>
          </w:rPr>
          <w:t xml:space="preserve">(строка 20)</w:t>
        </w:r>
      </w:hyperlink>
      <w:r>
        <w:rPr>
          <w:sz w:val="24"/>
        </w:rPr>
        <w:t xml:space="preserve"> указывается ОРНЗ руководителя аудита, подписавшего аудиторское заключение, в реестре аудиторов и аудиторских организаций саморегулируемой организации аудиторов;</w:t>
      </w:r>
    </w:p>
    <w:p>
      <w:pPr>
        <w:pStyle w:val="0"/>
        <w:spacing w:before="240" w:lineRule="auto"/>
        <w:ind w:firstLine="540"/>
        <w:jc w:val="both"/>
      </w:pPr>
      <w:r>
        <w:rPr>
          <w:sz w:val="24"/>
        </w:rPr>
        <w:t xml:space="preserve">по показателю "Номер квалификационного аттестата аудитора, выданного руководителю аудита, подписавшему аудиторское заключение" </w:t>
      </w:r>
      <w:hyperlink w:history="0" w:anchor="P38207" w:tooltip="21">
        <w:r>
          <w:rPr>
            <w:sz w:val="24"/>
            <w:color w:val="0000ff"/>
          </w:rPr>
          <w:t xml:space="preserve">(строка 21)</w:t>
        </w:r>
      </w:hyperlink>
      <w:r>
        <w:rPr>
          <w:sz w:val="24"/>
        </w:rPr>
        <w:t xml:space="preserve"> указывается номер квалификационного аттестата аудитора, выданного руководителю аудита, подписавшему аудиторское заключение;</w:t>
      </w:r>
    </w:p>
    <w:p>
      <w:pPr>
        <w:pStyle w:val="0"/>
        <w:spacing w:before="240" w:lineRule="auto"/>
        <w:ind w:firstLine="540"/>
        <w:jc w:val="both"/>
      </w:pPr>
      <w:r>
        <w:rPr>
          <w:sz w:val="24"/>
        </w:rPr>
        <w:t xml:space="preserve">по показателю "Фамилия, имя, отчество (при наличии) руководителя аудиторской организации или уполномоченного им лица, подписавшего аудиторское заключение" </w:t>
      </w:r>
      <w:hyperlink w:history="0" w:anchor="P38231" w:tooltip="22">
        <w:r>
          <w:rPr>
            <w:sz w:val="24"/>
            <w:color w:val="0000ff"/>
          </w:rPr>
          <w:t xml:space="preserve">(строка 22)</w:t>
        </w:r>
      </w:hyperlink>
      <w:r>
        <w:rPr>
          <w:sz w:val="24"/>
        </w:rPr>
        <w:t xml:space="preserve"> указываются фамилия, имя, отчество (при наличии) руководителя аудиторской организации или уполномоченного им лица, подписавшего аудиторское заключение;</w:t>
      </w:r>
    </w:p>
    <w:p>
      <w:pPr>
        <w:pStyle w:val="0"/>
        <w:spacing w:before="240" w:lineRule="auto"/>
        <w:ind w:firstLine="540"/>
        <w:jc w:val="both"/>
      </w:pPr>
      <w:r>
        <w:rPr>
          <w:sz w:val="24"/>
        </w:rPr>
        <w:t xml:space="preserve">по показателю "Основной регистрационный номер записи (ОРНЗ) руководителя аудиторской организации или уполномоченного им лица, подписавшего аудиторское заключение" </w:t>
      </w:r>
      <w:hyperlink w:history="0" w:anchor="P38255" w:tooltip="23">
        <w:r>
          <w:rPr>
            <w:sz w:val="24"/>
            <w:color w:val="0000ff"/>
          </w:rPr>
          <w:t xml:space="preserve">(строка 23)</w:t>
        </w:r>
      </w:hyperlink>
      <w:r>
        <w:rPr>
          <w:sz w:val="24"/>
        </w:rPr>
        <w:t xml:space="preserve"> указывается ОРНЗ руководителя аудиторской организации или уполномоченного им лица, подписавшего аудиторское заключение, в реестре аудиторов и аудиторских организаций саморегулируемой организации аудиторов;</w:t>
      </w:r>
    </w:p>
    <w:p>
      <w:pPr>
        <w:pStyle w:val="0"/>
        <w:spacing w:before="240" w:lineRule="auto"/>
        <w:ind w:firstLine="540"/>
        <w:jc w:val="both"/>
      </w:pPr>
      <w:r>
        <w:rPr>
          <w:sz w:val="24"/>
        </w:rPr>
        <w:t xml:space="preserve">по показателю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8279" w:tooltip="24">
        <w:r>
          <w:rPr>
            <w:sz w:val="24"/>
            <w:color w:val="0000ff"/>
          </w:rPr>
          <w:t xml:space="preserve">(строка 24)</w:t>
        </w:r>
      </w:hyperlink>
      <w:r>
        <w:rPr>
          <w:sz w:val="24"/>
        </w:rPr>
        <w:t xml:space="preserve"> указывается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w:t>
      </w:r>
    </w:p>
    <w:p>
      <w:pPr>
        <w:pStyle w:val="0"/>
        <w:spacing w:before="240" w:lineRule="auto"/>
        <w:ind w:firstLine="540"/>
        <w:jc w:val="both"/>
      </w:pPr>
      <w:r>
        <w:rPr>
          <w:sz w:val="24"/>
        </w:rPr>
        <w:t xml:space="preserve">В случае получения страховщиком иного документа в соответствии со стандартами аудиторской деятельности, в котором информация о руководителе аудита отсутствует, показатели "Фамилия, имя, отчество (при наличии) руководителя аудита, подписавшего аудиторское заключение" </w:t>
      </w:r>
      <w:hyperlink w:history="0" w:anchor="P38159" w:tooltip="19">
        <w:r>
          <w:rPr>
            <w:sz w:val="24"/>
            <w:color w:val="0000ff"/>
          </w:rPr>
          <w:t xml:space="preserve">(строка 19)</w:t>
        </w:r>
      </w:hyperlink>
      <w:r>
        <w:rPr>
          <w:sz w:val="24"/>
        </w:rPr>
        <w:t xml:space="preserve">, "Основной регистрационный номер записи (ОРНЗ) руководителя аудита, подписавшего аудиторское заключение" </w:t>
      </w:r>
      <w:hyperlink w:history="0" w:anchor="P38183" w:tooltip="20">
        <w:r>
          <w:rPr>
            <w:sz w:val="24"/>
            <w:color w:val="0000ff"/>
          </w:rPr>
          <w:t xml:space="preserve">(строка 20)</w:t>
        </w:r>
      </w:hyperlink>
      <w:r>
        <w:rPr>
          <w:sz w:val="24"/>
        </w:rPr>
        <w:t xml:space="preserve"> и "Номер квалификационного аттестата аудитора, выданного руководителю аудита, подписавшему аудиторское заключение" </w:t>
      </w:r>
      <w:hyperlink w:history="0" w:anchor="P38207" w:tooltip="21">
        <w:r>
          <w:rPr>
            <w:sz w:val="24"/>
            <w:color w:val="0000ff"/>
          </w:rPr>
          <w:t xml:space="preserve">(строка 21)</w:t>
        </w:r>
      </w:hyperlink>
      <w:r>
        <w:rPr>
          <w:sz w:val="24"/>
        </w:rPr>
        <w:t xml:space="preserve"> не формируются.</w:t>
      </w:r>
    </w:p>
    <w:p>
      <w:pPr>
        <w:pStyle w:val="0"/>
        <w:spacing w:before="240" w:lineRule="auto"/>
        <w:ind w:firstLine="540"/>
        <w:jc w:val="both"/>
      </w:pPr>
      <w:r>
        <w:rPr>
          <w:sz w:val="24"/>
        </w:rPr>
        <w:t xml:space="preserve">22. При наличии у руководителя аудита, руководителя аудиторской организации или уполномоченного им лица, подписавших аудиторское заключение, нескольких квалификационных аттестатов аудитора по показателям "Номер квалификационного аттестата аудитора, выданного руководителю аудита, подписавшему аудиторское заключение" </w:t>
      </w:r>
      <w:hyperlink w:history="0" w:anchor="P38207" w:tooltip="21">
        <w:r>
          <w:rPr>
            <w:sz w:val="24"/>
            <w:color w:val="0000ff"/>
          </w:rPr>
          <w:t xml:space="preserve">(строка 21)</w:t>
        </w:r>
      </w:hyperlink>
      <w:r>
        <w:rPr>
          <w:sz w:val="24"/>
        </w:rPr>
        <w:t xml:space="preserve"> и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8279" w:tooltip="24">
        <w:r>
          <w:rPr>
            <w:sz w:val="24"/>
            <w:color w:val="0000ff"/>
          </w:rPr>
          <w:t xml:space="preserve">(строка 24)</w:t>
        </w:r>
      </w:hyperlink>
      <w:r>
        <w:rPr>
          <w:sz w:val="24"/>
        </w:rPr>
        <w:t xml:space="preserve"> указывается номер квалификационного аттестата аудитора, состоящий из цифр, расположенных в следующей последовательности: XX-XXXXXX.</w:t>
      </w:r>
    </w:p>
    <w:p>
      <w:pPr>
        <w:pStyle w:val="0"/>
        <w:spacing w:before="240" w:lineRule="auto"/>
        <w:ind w:firstLine="540"/>
        <w:jc w:val="both"/>
      </w:pPr>
      <w:r>
        <w:rPr>
          <w:sz w:val="24"/>
        </w:rPr>
        <w:t xml:space="preserve">23. В случае если аудиторское заключение подписано лицом, уполномоченным руководителем аудиторской организации, сведения о документе, в соответствии с которым лицо уполномочено на подписание аудиторского заключения, указываются в отчетности по </w:t>
      </w:r>
      <w:hyperlink w:history="0" w:anchor="P37712" w:tooltip="Отчетность по форме 0420167">
        <w:r>
          <w:rPr>
            <w:sz w:val="24"/>
            <w:color w:val="0000ff"/>
          </w:rPr>
          <w:t xml:space="preserve">форме 0420167</w:t>
        </w:r>
      </w:hyperlink>
      <w:r>
        <w:rPr>
          <w:sz w:val="24"/>
        </w:rPr>
        <w:t xml:space="preserve"> следующим образом:</w:t>
      </w:r>
    </w:p>
    <w:p>
      <w:pPr>
        <w:pStyle w:val="0"/>
        <w:spacing w:before="240" w:lineRule="auto"/>
        <w:ind w:firstLine="540"/>
        <w:jc w:val="both"/>
      </w:pPr>
      <w:r>
        <w:rPr>
          <w:sz w:val="24"/>
        </w:rPr>
        <w:t xml:space="preserve">по показателю "Дата документа, в соответствии с которым лицо, подписавшее аудиторское заключение, уполномочено на его подписание" </w:t>
      </w:r>
      <w:hyperlink w:history="0" w:anchor="P38303" w:tooltip="25">
        <w:r>
          <w:rPr>
            <w:sz w:val="24"/>
            <w:color w:val="0000ff"/>
          </w:rPr>
          <w:t xml:space="preserve">(строка 25)</w:t>
        </w:r>
      </w:hyperlink>
      <w:r>
        <w:rPr>
          <w:sz w:val="24"/>
        </w:rPr>
        <w:t xml:space="preserve"> указывается дата документа, в соответствии с которым лицо, подписавшее аудиторское заключение, уполномочено руководителем аудиторской организации на подписание аудиторского заключения;</w:t>
      </w:r>
    </w:p>
    <w:p>
      <w:pPr>
        <w:pStyle w:val="0"/>
        <w:spacing w:before="240" w:lineRule="auto"/>
        <w:ind w:firstLine="540"/>
        <w:jc w:val="both"/>
      </w:pPr>
      <w:r>
        <w:rPr>
          <w:sz w:val="24"/>
        </w:rPr>
        <w:t xml:space="preserve">по показателю "Номер документа, в соответствии с которым лицо, подписавшее аудиторское заключение, уполномочено на его подписание" </w:t>
      </w:r>
      <w:hyperlink w:history="0" w:anchor="P38327" w:tooltip="26">
        <w:r>
          <w:rPr>
            <w:sz w:val="24"/>
            <w:color w:val="0000ff"/>
          </w:rPr>
          <w:t xml:space="preserve">(строка 26)</w:t>
        </w:r>
      </w:hyperlink>
      <w:r>
        <w:rPr>
          <w:sz w:val="24"/>
        </w:rPr>
        <w:t xml:space="preserve"> указывается номер документа, в соответствии с которым лицо, подписавшее аудиторское заключение, уполномочено руководителем аудиторской организации на подписание аудиторского заключения (в случае отсутствия у указанного документа номера указывается значение "б/н" (без номера);</w:t>
      </w:r>
    </w:p>
    <w:p>
      <w:pPr>
        <w:pStyle w:val="0"/>
        <w:spacing w:before="240" w:lineRule="auto"/>
        <w:ind w:firstLine="540"/>
        <w:jc w:val="both"/>
      </w:pPr>
      <w:r>
        <w:rPr>
          <w:sz w:val="24"/>
        </w:rPr>
        <w:t xml:space="preserve">по показателю "Срок действия полномочий (доверенности) на подписание аудиторского заключения" </w:t>
      </w:r>
      <w:hyperlink w:history="0" w:anchor="P38351" w:tooltip="27">
        <w:r>
          <w:rPr>
            <w:sz w:val="24"/>
            <w:color w:val="0000ff"/>
          </w:rPr>
          <w:t xml:space="preserve">(строка 27)</w:t>
        </w:r>
      </w:hyperlink>
      <w:r>
        <w:rPr>
          <w:sz w:val="24"/>
        </w:rPr>
        <w:t xml:space="preserve"> указываются дата начала и дата окончания срока действия полномочий (доверенности) на подписание аудиторского заключения на основании документа, в соответствии с которым лицо, подписавшее аудиторское заключение, уполномочено руководителем аудиторской организации на подписание аудиторского заключения.</w:t>
      </w:r>
    </w:p>
    <w:p>
      <w:pPr>
        <w:pStyle w:val="0"/>
        <w:spacing w:before="240" w:lineRule="auto"/>
        <w:ind w:firstLine="540"/>
        <w:jc w:val="both"/>
      </w:pPr>
      <w:r>
        <w:rPr>
          <w:sz w:val="24"/>
        </w:rPr>
        <w:t xml:space="preserve">24. В случае если руководитель аудита является руководителем аудиторской организации или уполномоченным им лицом, подписавшим аудиторское заключение, сведения о нем указываются по показателям "Фамилия, имя, отчество (при наличии) руководителя аудита, подписавшего аудиторское заключение" </w:t>
      </w:r>
      <w:hyperlink w:history="0" w:anchor="P38159" w:tooltip="19">
        <w:r>
          <w:rPr>
            <w:sz w:val="24"/>
            <w:color w:val="0000ff"/>
          </w:rPr>
          <w:t xml:space="preserve">(строка 19)</w:t>
        </w:r>
      </w:hyperlink>
      <w:r>
        <w:rPr>
          <w:sz w:val="24"/>
        </w:rPr>
        <w:t xml:space="preserve">, "Основной регистрационный номер записи (ОРНЗ) руководителя аудита, подписавшего аудиторское заключение" </w:t>
      </w:r>
      <w:hyperlink w:history="0" w:anchor="P38183" w:tooltip="20">
        <w:r>
          <w:rPr>
            <w:sz w:val="24"/>
            <w:color w:val="0000ff"/>
          </w:rPr>
          <w:t xml:space="preserve">(строка 20)</w:t>
        </w:r>
      </w:hyperlink>
      <w:r>
        <w:rPr>
          <w:sz w:val="24"/>
        </w:rPr>
        <w:t xml:space="preserve">, "Номер квалификационного аттестата аудитора, выданного руководителю аудита, подписавшему аудиторское заключение" </w:t>
      </w:r>
      <w:hyperlink w:history="0" w:anchor="P38207" w:tooltip="21">
        <w:r>
          <w:rPr>
            <w:sz w:val="24"/>
            <w:color w:val="0000ff"/>
          </w:rPr>
          <w:t xml:space="preserve">(строка 21)</w:t>
        </w:r>
      </w:hyperlink>
      <w:r>
        <w:rPr>
          <w:sz w:val="24"/>
        </w:rPr>
        <w:t xml:space="preserve">, "Фамилия, имя, отчество (при наличии) руководителя аудиторской организации или уполномоченного им лица, подписавшего аудиторское заключение" </w:t>
      </w:r>
      <w:hyperlink w:history="0" w:anchor="P38231" w:tooltip="22">
        <w:r>
          <w:rPr>
            <w:sz w:val="24"/>
            <w:color w:val="0000ff"/>
          </w:rPr>
          <w:t xml:space="preserve">(строка 22)</w:t>
        </w:r>
      </w:hyperlink>
      <w:r>
        <w:rPr>
          <w:sz w:val="24"/>
        </w:rPr>
        <w:t xml:space="preserve">, "Основной регистрационный номер записи (ОРНЗ) руководителя аудиторской организации или уполномоченного им лица, подписавшего аудиторское заключение" </w:t>
      </w:r>
      <w:hyperlink w:history="0" w:anchor="P38255" w:tooltip="23">
        <w:r>
          <w:rPr>
            <w:sz w:val="24"/>
            <w:color w:val="0000ff"/>
          </w:rPr>
          <w:t xml:space="preserve">(строка 23)</w:t>
        </w:r>
      </w:hyperlink>
      <w:r>
        <w:rPr>
          <w:sz w:val="24"/>
        </w:rPr>
        <w:t xml:space="preserve"> и "Номер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8279" w:tooltip="24">
        <w:r>
          <w:rPr>
            <w:sz w:val="24"/>
            <w:color w:val="0000ff"/>
          </w:rPr>
          <w:t xml:space="preserve">(строка 24)</w:t>
        </w:r>
      </w:hyperlink>
      <w:r>
        <w:rPr>
          <w:sz w:val="24"/>
        </w:rPr>
        <w:t xml:space="preserve">.</w:t>
      </w:r>
    </w:p>
    <w:bookmarkStart w:id="38468" w:name="P38468"/>
    <w:bookmarkEnd w:id="38468"/>
    <w:p>
      <w:pPr>
        <w:pStyle w:val="0"/>
        <w:spacing w:before="240" w:lineRule="auto"/>
        <w:ind w:firstLine="540"/>
        <w:jc w:val="both"/>
      </w:pPr>
      <w:r>
        <w:rPr>
          <w:sz w:val="24"/>
        </w:rPr>
        <w:t xml:space="preserve">25. По показателю "Примечание" </w:t>
      </w:r>
      <w:hyperlink w:history="0" w:anchor="P38375" w:tooltip="28">
        <w:r>
          <w:rPr>
            <w:sz w:val="24"/>
            <w:color w:val="0000ff"/>
          </w:rPr>
          <w:t xml:space="preserve">(строка 28)</w:t>
        </w:r>
      </w:hyperlink>
      <w:r>
        <w:rPr>
          <w:sz w:val="24"/>
        </w:rPr>
        <w:t xml:space="preserve"> указываются изложенные в аудиторском заключении (ином документе в соответствии со стандартами аудиторской деятельности) обстоятельства, обусловившие модифицированное мнение (модифицированный вывод) о достоверности отчетности и (или) выполнении страховщиком требований финансовой устойчивости и платежеспособности, эффективности организации системы внутреннего контроля страховщика (в случае если в аудиторском заключении (ином документе в соответствии со стандартами аудиторской деятельности) выражено модифицированное мнение (модифицированный вывод) (мнение (вывод) с оговоркой, отрицательное мнение (отрицательный вывод) или отказ от выражения мнения (вывода), а также обстоятельства, обусловившие включение в аудиторское заключение следующего раздела (разделов): "Существенная неопределенность в отношении непрерывности деятельности", "Важные обстоятельства", "Прочие сведения" (в случае наличия в аудиторском заключении указанного раздела (указанных разделов).</w:t>
      </w:r>
    </w:p>
    <w:p>
      <w:pPr>
        <w:pStyle w:val="0"/>
        <w:spacing w:before="240" w:lineRule="auto"/>
        <w:ind w:firstLine="540"/>
        <w:jc w:val="both"/>
      </w:pPr>
      <w:r>
        <w:rPr>
          <w:sz w:val="24"/>
        </w:rPr>
        <w:t xml:space="preserve">26. В случае если отчетность по </w:t>
      </w:r>
      <w:hyperlink w:history="0" w:anchor="P37712" w:tooltip="Отчетность по форме 0420167">
        <w:r>
          <w:rPr>
            <w:sz w:val="24"/>
            <w:color w:val="0000ff"/>
          </w:rPr>
          <w:t xml:space="preserve">форме 0420167</w:t>
        </w:r>
      </w:hyperlink>
      <w:r>
        <w:rPr>
          <w:sz w:val="24"/>
        </w:rPr>
        <w:t xml:space="preserve"> составляется страховщиком в связи с заключением договора на проведение аудиторской проверки, дополнительного соглашения к указанному договору, не указывается информация по следующим показателям отчетности по </w:t>
      </w:r>
      <w:hyperlink w:history="0" w:anchor="P37712" w:tooltip="Отчетность по форме 0420167">
        <w:r>
          <w:rPr>
            <w:sz w:val="24"/>
            <w:color w:val="0000ff"/>
          </w:rPr>
          <w:t xml:space="preserve">форме 0420167</w:t>
        </w:r>
      </w:hyperlink>
      <w:r>
        <w:rPr>
          <w:sz w:val="24"/>
        </w:rPr>
        <w:t xml:space="preserve">:</w:t>
      </w:r>
    </w:p>
    <w:p>
      <w:pPr>
        <w:pStyle w:val="0"/>
        <w:spacing w:before="240" w:lineRule="auto"/>
        <w:ind w:firstLine="540"/>
        <w:jc w:val="both"/>
      </w:pPr>
      <w:r>
        <w:rPr>
          <w:sz w:val="24"/>
        </w:rPr>
        <w:t xml:space="preserve">"Дата составления аудиторского заключения" </w:t>
      </w:r>
      <w:hyperlink w:history="0" w:anchor="P38039" w:tooltip="14">
        <w:r>
          <w:rPr>
            <w:sz w:val="24"/>
            <w:color w:val="0000ff"/>
          </w:rPr>
          <w:t xml:space="preserve">(строка 14)</w:t>
        </w:r>
      </w:hyperlink>
      <w:r>
        <w:rPr>
          <w:sz w:val="24"/>
        </w:rPr>
        <w:t xml:space="preserve">;</w:t>
      </w:r>
    </w:p>
    <w:p>
      <w:pPr>
        <w:pStyle w:val="0"/>
        <w:spacing w:before="240" w:lineRule="auto"/>
        <w:ind w:firstLine="540"/>
        <w:jc w:val="both"/>
      </w:pPr>
      <w:r>
        <w:rPr>
          <w:sz w:val="24"/>
        </w:rPr>
        <w:t xml:space="preserve">"Дата составления нового аудиторского заключения" </w:t>
      </w:r>
      <w:hyperlink w:history="0" w:anchor="P38063" w:tooltip="15">
        <w:r>
          <w:rPr>
            <w:sz w:val="24"/>
            <w:color w:val="0000ff"/>
          </w:rPr>
          <w:t xml:space="preserve">(строка 15)</w:t>
        </w:r>
      </w:hyperlink>
      <w:r>
        <w:rPr>
          <w:sz w:val="24"/>
        </w:rPr>
        <w:t xml:space="preserve">;</w:t>
      </w:r>
    </w:p>
    <w:p>
      <w:pPr>
        <w:pStyle w:val="0"/>
        <w:spacing w:before="240" w:lineRule="auto"/>
        <w:ind w:firstLine="540"/>
        <w:jc w:val="both"/>
      </w:pPr>
      <w:r>
        <w:rPr>
          <w:sz w:val="24"/>
        </w:rPr>
        <w:t xml:space="preserve">"Отчетный период, за который составлена отчетность, в отношении которой аудиторской организацией составлено аудиторское заключение" </w:t>
      </w:r>
      <w:hyperlink w:history="0" w:anchor="P38087" w:tooltip="16">
        <w:r>
          <w:rPr>
            <w:sz w:val="24"/>
            <w:color w:val="0000ff"/>
          </w:rPr>
          <w:t xml:space="preserve">(строка 16)</w:t>
        </w:r>
      </w:hyperlink>
      <w:r>
        <w:rPr>
          <w:sz w:val="24"/>
        </w:rPr>
        <w:t xml:space="preserve">;</w:t>
      </w:r>
    </w:p>
    <w:p>
      <w:pPr>
        <w:pStyle w:val="0"/>
        <w:spacing w:before="240" w:lineRule="auto"/>
        <w:ind w:firstLine="540"/>
        <w:jc w:val="both"/>
      </w:pPr>
      <w:r>
        <w:rPr>
          <w:sz w:val="24"/>
        </w:rPr>
        <w:t xml:space="preserve">"Информация о событии, в связи с которым отчетность составлена за иной период" </w:t>
      </w:r>
      <w:hyperlink w:history="0" w:anchor="P38111" w:tooltip="17">
        <w:r>
          <w:rPr>
            <w:sz w:val="24"/>
            <w:color w:val="0000ff"/>
          </w:rPr>
          <w:t xml:space="preserve">(строка 17)</w:t>
        </w:r>
      </w:hyperlink>
      <w:r>
        <w:rPr>
          <w:sz w:val="24"/>
        </w:rPr>
        <w:t xml:space="preserve">;</w:t>
      </w:r>
    </w:p>
    <w:p>
      <w:pPr>
        <w:pStyle w:val="0"/>
        <w:spacing w:before="240" w:lineRule="auto"/>
        <w:ind w:firstLine="540"/>
        <w:jc w:val="both"/>
      </w:pPr>
      <w:r>
        <w:rPr>
          <w:sz w:val="24"/>
        </w:rPr>
        <w:t xml:space="preserve">"Мнение, выраженное в аудиторском заключении" </w:t>
      </w:r>
      <w:hyperlink w:history="0" w:anchor="P38135" w:tooltip="18">
        <w:r>
          <w:rPr>
            <w:sz w:val="24"/>
            <w:color w:val="0000ff"/>
          </w:rPr>
          <w:t xml:space="preserve">(строка 18)</w:t>
        </w:r>
      </w:hyperlink>
      <w:r>
        <w:rPr>
          <w:sz w:val="24"/>
        </w:rPr>
        <w:t xml:space="preserve">;</w:t>
      </w:r>
    </w:p>
    <w:p>
      <w:pPr>
        <w:pStyle w:val="0"/>
        <w:spacing w:before="240" w:lineRule="auto"/>
        <w:ind w:firstLine="540"/>
        <w:jc w:val="both"/>
      </w:pPr>
      <w:r>
        <w:rPr>
          <w:sz w:val="24"/>
        </w:rPr>
        <w:t xml:space="preserve">"Фамилия, имя, отчество (при наличии) руководителя аудита, подписавшего аудиторское заключение" </w:t>
      </w:r>
      <w:hyperlink w:history="0" w:anchor="P38159" w:tooltip="19">
        <w:r>
          <w:rPr>
            <w:sz w:val="24"/>
            <w:color w:val="0000ff"/>
          </w:rPr>
          <w:t xml:space="preserve">(строка 19)</w:t>
        </w:r>
      </w:hyperlink>
      <w:r>
        <w:rPr>
          <w:sz w:val="24"/>
        </w:rPr>
        <w:t xml:space="preserve">;</w:t>
      </w:r>
    </w:p>
    <w:p>
      <w:pPr>
        <w:pStyle w:val="0"/>
        <w:spacing w:before="240" w:lineRule="auto"/>
        <w:ind w:firstLine="540"/>
        <w:jc w:val="both"/>
      </w:pPr>
      <w:r>
        <w:rPr>
          <w:sz w:val="24"/>
        </w:rPr>
        <w:t xml:space="preserve">"Основной регистрационный номер записи (ОРНЗ) руководителя аудита, подписавшего аудиторское заключение" </w:t>
      </w:r>
      <w:hyperlink w:history="0" w:anchor="P38183" w:tooltip="20">
        <w:r>
          <w:rPr>
            <w:sz w:val="24"/>
            <w:color w:val="0000ff"/>
          </w:rPr>
          <w:t xml:space="preserve">(строка 20)</w:t>
        </w:r>
      </w:hyperlink>
      <w:r>
        <w:rPr>
          <w:sz w:val="24"/>
        </w:rPr>
        <w:t xml:space="preserve">;</w:t>
      </w:r>
    </w:p>
    <w:p>
      <w:pPr>
        <w:pStyle w:val="0"/>
        <w:spacing w:before="240" w:lineRule="auto"/>
        <w:ind w:firstLine="540"/>
        <w:jc w:val="both"/>
      </w:pPr>
      <w:r>
        <w:rPr>
          <w:sz w:val="24"/>
        </w:rPr>
        <w:t xml:space="preserve">"Номер квалификационного аттестата аудитора, выданного руководителю аудита, подписавшему аудиторское заключение" </w:t>
      </w:r>
      <w:hyperlink w:history="0" w:anchor="P38207" w:tooltip="21">
        <w:r>
          <w:rPr>
            <w:sz w:val="24"/>
            <w:color w:val="0000ff"/>
          </w:rPr>
          <w:t xml:space="preserve">(строка 21)</w:t>
        </w:r>
      </w:hyperlink>
      <w:r>
        <w:rPr>
          <w:sz w:val="24"/>
        </w:rPr>
        <w:t xml:space="preserve">;</w:t>
      </w:r>
    </w:p>
    <w:p>
      <w:pPr>
        <w:pStyle w:val="0"/>
        <w:spacing w:before="240" w:lineRule="auto"/>
        <w:ind w:firstLine="540"/>
        <w:jc w:val="both"/>
      </w:pPr>
      <w:r>
        <w:rPr>
          <w:sz w:val="24"/>
        </w:rPr>
        <w:t xml:space="preserve">"Фамилия, имя, отчество (при наличии) руководителя аудиторской организации или уполномоченного им лица, подписавшего аудиторское заключение" </w:t>
      </w:r>
      <w:hyperlink w:history="0" w:anchor="P38231" w:tooltip="22">
        <w:r>
          <w:rPr>
            <w:sz w:val="24"/>
            <w:color w:val="0000ff"/>
          </w:rPr>
          <w:t xml:space="preserve">(строка 22)</w:t>
        </w:r>
      </w:hyperlink>
      <w:r>
        <w:rPr>
          <w:sz w:val="24"/>
        </w:rPr>
        <w:t xml:space="preserve">;</w:t>
      </w:r>
    </w:p>
    <w:p>
      <w:pPr>
        <w:pStyle w:val="0"/>
        <w:spacing w:before="240" w:lineRule="auto"/>
        <w:ind w:firstLine="540"/>
        <w:jc w:val="both"/>
      </w:pPr>
      <w:r>
        <w:rPr>
          <w:sz w:val="24"/>
        </w:rPr>
        <w:t xml:space="preserve">"Основной регистрационный номер записи (ОРНЗ) руководителя аудиторской организации или уполномоченного им лица, подписавшего аудиторское заключение" </w:t>
      </w:r>
      <w:hyperlink w:history="0" w:anchor="P38255" w:tooltip="23">
        <w:r>
          <w:rPr>
            <w:sz w:val="24"/>
            <w:color w:val="0000ff"/>
          </w:rPr>
          <w:t xml:space="preserve">(строка 23)</w:t>
        </w:r>
      </w:hyperlink>
      <w:r>
        <w:rPr>
          <w:sz w:val="24"/>
        </w:rPr>
        <w:t xml:space="preserve">;</w:t>
      </w:r>
    </w:p>
    <w:p>
      <w:pPr>
        <w:pStyle w:val="0"/>
        <w:spacing w:before="240" w:lineRule="auto"/>
        <w:ind w:firstLine="540"/>
        <w:jc w:val="both"/>
      </w:pPr>
      <w:r>
        <w:rPr>
          <w:sz w:val="24"/>
        </w:rPr>
        <w:t xml:space="preserve">"Номер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8279" w:tooltip="24">
        <w:r>
          <w:rPr>
            <w:sz w:val="24"/>
            <w:color w:val="0000ff"/>
          </w:rPr>
          <w:t xml:space="preserve">(строка 24)</w:t>
        </w:r>
      </w:hyperlink>
      <w:r>
        <w:rPr>
          <w:sz w:val="24"/>
        </w:rPr>
        <w:t xml:space="preserve">;</w:t>
      </w:r>
    </w:p>
    <w:p>
      <w:pPr>
        <w:pStyle w:val="0"/>
        <w:spacing w:before="240" w:lineRule="auto"/>
        <w:ind w:firstLine="540"/>
        <w:jc w:val="both"/>
      </w:pPr>
      <w:r>
        <w:rPr>
          <w:sz w:val="24"/>
        </w:rPr>
        <w:t xml:space="preserve">"Дата документа, в соответствии с которым лицо, подписавшее аудиторское заключение, уполномочено на его подписание" </w:t>
      </w:r>
      <w:hyperlink w:history="0" w:anchor="P38303" w:tooltip="25">
        <w:r>
          <w:rPr>
            <w:sz w:val="24"/>
            <w:color w:val="0000ff"/>
          </w:rPr>
          <w:t xml:space="preserve">(строка 25)</w:t>
        </w:r>
      </w:hyperlink>
      <w:r>
        <w:rPr>
          <w:sz w:val="24"/>
        </w:rPr>
        <w:t xml:space="preserve">;</w:t>
      </w:r>
    </w:p>
    <w:p>
      <w:pPr>
        <w:pStyle w:val="0"/>
        <w:spacing w:before="240" w:lineRule="auto"/>
        <w:ind w:firstLine="540"/>
        <w:jc w:val="both"/>
      </w:pPr>
      <w:r>
        <w:rPr>
          <w:sz w:val="24"/>
        </w:rPr>
        <w:t xml:space="preserve">"Номер документа, в соответствии с которым лицо, подписавшее аудиторское заключение, уполномочено на его подписание" </w:t>
      </w:r>
      <w:hyperlink w:history="0" w:anchor="P38327" w:tooltip="26">
        <w:r>
          <w:rPr>
            <w:sz w:val="24"/>
            <w:color w:val="0000ff"/>
          </w:rPr>
          <w:t xml:space="preserve">(строка 26)</w:t>
        </w:r>
      </w:hyperlink>
      <w:r>
        <w:rPr>
          <w:sz w:val="24"/>
        </w:rPr>
        <w:t xml:space="preserve">;</w:t>
      </w:r>
    </w:p>
    <w:p>
      <w:pPr>
        <w:pStyle w:val="0"/>
        <w:spacing w:before="240" w:lineRule="auto"/>
        <w:ind w:firstLine="540"/>
        <w:jc w:val="both"/>
      </w:pPr>
      <w:r>
        <w:rPr>
          <w:sz w:val="24"/>
        </w:rPr>
        <w:t xml:space="preserve">"Срок действия полномочий (доверенности) на подписание аудиторского заключения" </w:t>
      </w:r>
      <w:hyperlink w:history="0" w:anchor="P38351" w:tooltip="27">
        <w:r>
          <w:rPr>
            <w:sz w:val="24"/>
            <w:color w:val="0000ff"/>
          </w:rPr>
          <w:t xml:space="preserve">(строка 27)</w:t>
        </w:r>
      </w:hyperlink>
      <w:r>
        <w:rPr>
          <w:sz w:val="24"/>
        </w:rPr>
        <w:t xml:space="preserve">;</w:t>
      </w:r>
    </w:p>
    <w:p>
      <w:pPr>
        <w:pStyle w:val="0"/>
        <w:spacing w:before="240" w:lineRule="auto"/>
        <w:ind w:firstLine="540"/>
        <w:jc w:val="both"/>
      </w:pPr>
      <w:r>
        <w:rPr>
          <w:sz w:val="24"/>
        </w:rPr>
        <w:t xml:space="preserve">"Примечание" </w:t>
      </w:r>
      <w:hyperlink w:history="0" w:anchor="P38375" w:tooltip="28">
        <w:r>
          <w:rPr>
            <w:sz w:val="24"/>
            <w:color w:val="0000ff"/>
          </w:rPr>
          <w:t xml:space="preserve">(строка 28)</w:t>
        </w:r>
      </w:hyperlink>
      <w:r>
        <w:rPr>
          <w:sz w:val="24"/>
        </w:rPr>
        <w:t xml:space="preserve">.</w:t>
      </w:r>
    </w:p>
    <w:p>
      <w:pPr>
        <w:pStyle w:val="0"/>
        <w:spacing w:before="240" w:lineRule="auto"/>
        <w:ind w:firstLine="540"/>
        <w:jc w:val="both"/>
      </w:pPr>
      <w:r>
        <w:rPr>
          <w:sz w:val="24"/>
        </w:rPr>
        <w:t xml:space="preserve">27. В случае если отчетность по </w:t>
      </w:r>
      <w:hyperlink w:history="0" w:anchor="P37712" w:tooltip="Отчетность по форме 0420167">
        <w:r>
          <w:rPr>
            <w:sz w:val="24"/>
            <w:color w:val="0000ff"/>
          </w:rPr>
          <w:t xml:space="preserve">форме 0420167</w:t>
        </w:r>
      </w:hyperlink>
      <w:r>
        <w:rPr>
          <w:sz w:val="24"/>
        </w:rPr>
        <w:t xml:space="preserve"> составляется страховщиком в связи с получением им аудиторского заключения, дата составления которого указана по показателю "Дата составления нового аудиторского заключения" </w:t>
      </w:r>
      <w:hyperlink w:history="0" w:anchor="P38063" w:tooltip="15">
        <w:r>
          <w:rPr>
            <w:sz w:val="24"/>
            <w:color w:val="0000ff"/>
          </w:rPr>
          <w:t xml:space="preserve">(строка 15)</w:t>
        </w:r>
      </w:hyperlink>
      <w:r>
        <w:rPr>
          <w:sz w:val="24"/>
        </w:rPr>
        <w:t xml:space="preserve">, в отношении указанного аудиторского заключения указывается в соответствии с </w:t>
      </w:r>
      <w:hyperlink w:history="0" w:anchor="P38447" w:tooltip="18. По показателю &quot;Отчетный период, за который составлена отчетность, в отношении которой аудиторской организацией составлено аудиторское заключение&quot; (строка 16) указывается следующий отчетный период, за который составлена отчетность, в отношении которой аудиторской организацией составлено аудиторское заключение: &quot;Первый квартал&quot;, &quot;Первое полугодие&quot;, &quot;Девять месяцев&quot;, &quot;Год&quot; или &quot;Иной период&quot;.">
        <w:r>
          <w:rPr>
            <w:sz w:val="24"/>
            <w:color w:val="0000ff"/>
          </w:rPr>
          <w:t xml:space="preserve">пунктами 18</w:t>
        </w:r>
      </w:hyperlink>
      <w:r>
        <w:rPr>
          <w:sz w:val="24"/>
        </w:rPr>
        <w:t xml:space="preserve"> - </w:t>
      </w:r>
      <w:hyperlink w:history="0" w:anchor="P38468" w:tooltip="25. По показателю &quot;Примечание&quot; (строка 28) указываются изложенные в аудиторском заключении (ином документе в соответствии со стандартами аудиторской деятельности) обстоятельства, обусловившие модифицированное мнение (модифицированный вывод) о достоверности отчетности и (или) выполнении страховщиком требований финансовой устойчивости и платежеспособности, эффективности организации системы внутреннего контроля страховщика (в случае если в аудиторском заключении (ином документе в соответствии со стандартами...">
        <w:r>
          <w:rPr>
            <w:sz w:val="24"/>
            <w:color w:val="0000ff"/>
          </w:rPr>
          <w:t xml:space="preserve">25</w:t>
        </w:r>
      </w:hyperlink>
      <w:r>
        <w:rPr>
          <w:sz w:val="24"/>
        </w:rPr>
        <w:t xml:space="preserve"> настоящих Порядка и сроков также информация по следующим показателям отчетности по </w:t>
      </w:r>
      <w:hyperlink w:history="0" w:anchor="P37712" w:tooltip="Отчетность по форме 0420167">
        <w:r>
          <w:rPr>
            <w:sz w:val="24"/>
            <w:color w:val="0000ff"/>
          </w:rPr>
          <w:t xml:space="preserve">форме 0420167</w:t>
        </w:r>
      </w:hyperlink>
      <w:r>
        <w:rPr>
          <w:sz w:val="24"/>
        </w:rPr>
        <w:t xml:space="preserve">:</w:t>
      </w:r>
    </w:p>
    <w:p>
      <w:pPr>
        <w:pStyle w:val="0"/>
        <w:spacing w:before="240" w:lineRule="auto"/>
        <w:ind w:firstLine="540"/>
        <w:jc w:val="both"/>
      </w:pPr>
      <w:r>
        <w:rPr>
          <w:sz w:val="24"/>
        </w:rPr>
        <w:t xml:space="preserve">"Отчетный период, за который составлена отчетность, в отношении которой аудиторской организацией составлено аудиторское заключение" </w:t>
      </w:r>
      <w:hyperlink w:history="0" w:anchor="P38087" w:tooltip="16">
        <w:r>
          <w:rPr>
            <w:sz w:val="24"/>
            <w:color w:val="0000ff"/>
          </w:rPr>
          <w:t xml:space="preserve">(строка 16)</w:t>
        </w:r>
      </w:hyperlink>
      <w:r>
        <w:rPr>
          <w:sz w:val="24"/>
        </w:rPr>
        <w:t xml:space="preserve">;</w:t>
      </w:r>
    </w:p>
    <w:p>
      <w:pPr>
        <w:pStyle w:val="0"/>
        <w:spacing w:before="240" w:lineRule="auto"/>
        <w:ind w:firstLine="540"/>
        <w:jc w:val="both"/>
      </w:pPr>
      <w:r>
        <w:rPr>
          <w:sz w:val="24"/>
        </w:rPr>
        <w:t xml:space="preserve">"Информация о событии, в связи с которым отчетность составлена за иной период" </w:t>
      </w:r>
      <w:hyperlink w:history="0" w:anchor="P38111" w:tooltip="17">
        <w:r>
          <w:rPr>
            <w:sz w:val="24"/>
            <w:color w:val="0000ff"/>
          </w:rPr>
          <w:t xml:space="preserve">(строка 17)</w:t>
        </w:r>
      </w:hyperlink>
      <w:r>
        <w:rPr>
          <w:sz w:val="24"/>
        </w:rPr>
        <w:t xml:space="preserve">;</w:t>
      </w:r>
    </w:p>
    <w:p>
      <w:pPr>
        <w:pStyle w:val="0"/>
        <w:spacing w:before="240" w:lineRule="auto"/>
        <w:ind w:firstLine="540"/>
        <w:jc w:val="both"/>
      </w:pPr>
      <w:r>
        <w:rPr>
          <w:sz w:val="24"/>
        </w:rPr>
        <w:t xml:space="preserve">"Мнение, выраженное в аудиторском заключении" </w:t>
      </w:r>
      <w:hyperlink w:history="0" w:anchor="P38135" w:tooltip="18">
        <w:r>
          <w:rPr>
            <w:sz w:val="24"/>
            <w:color w:val="0000ff"/>
          </w:rPr>
          <w:t xml:space="preserve">(строка 18)</w:t>
        </w:r>
      </w:hyperlink>
      <w:r>
        <w:rPr>
          <w:sz w:val="24"/>
        </w:rPr>
        <w:t xml:space="preserve">;</w:t>
      </w:r>
    </w:p>
    <w:p>
      <w:pPr>
        <w:pStyle w:val="0"/>
        <w:spacing w:before="240" w:lineRule="auto"/>
        <w:ind w:firstLine="540"/>
        <w:jc w:val="both"/>
      </w:pPr>
      <w:r>
        <w:rPr>
          <w:sz w:val="24"/>
        </w:rPr>
        <w:t xml:space="preserve">"Фамилия, имя, отчество (при наличии) руководителя аудита, подписавшего аудиторское заключение" </w:t>
      </w:r>
      <w:hyperlink w:history="0" w:anchor="P38159" w:tooltip="19">
        <w:r>
          <w:rPr>
            <w:sz w:val="24"/>
            <w:color w:val="0000ff"/>
          </w:rPr>
          <w:t xml:space="preserve">(строка 19)</w:t>
        </w:r>
      </w:hyperlink>
      <w:r>
        <w:rPr>
          <w:sz w:val="24"/>
        </w:rPr>
        <w:t xml:space="preserve">;</w:t>
      </w:r>
    </w:p>
    <w:p>
      <w:pPr>
        <w:pStyle w:val="0"/>
        <w:spacing w:before="240" w:lineRule="auto"/>
        <w:ind w:firstLine="540"/>
        <w:jc w:val="both"/>
      </w:pPr>
      <w:r>
        <w:rPr>
          <w:sz w:val="24"/>
        </w:rPr>
        <w:t xml:space="preserve">"Основной регистрационный номер записи (ОРНЗ) руководителя аудита, подписавшего аудиторское заключение" </w:t>
      </w:r>
      <w:hyperlink w:history="0" w:anchor="P38183" w:tooltip="20">
        <w:r>
          <w:rPr>
            <w:sz w:val="24"/>
            <w:color w:val="0000ff"/>
          </w:rPr>
          <w:t xml:space="preserve">(строка 20)</w:t>
        </w:r>
      </w:hyperlink>
      <w:r>
        <w:rPr>
          <w:sz w:val="24"/>
        </w:rPr>
        <w:t xml:space="preserve">;</w:t>
      </w:r>
    </w:p>
    <w:p>
      <w:pPr>
        <w:pStyle w:val="0"/>
        <w:spacing w:before="240" w:lineRule="auto"/>
        <w:ind w:firstLine="540"/>
        <w:jc w:val="both"/>
      </w:pPr>
      <w:r>
        <w:rPr>
          <w:sz w:val="24"/>
        </w:rPr>
        <w:t xml:space="preserve">"Номер квалификационного аттестата аудитора, выданного руководителю аудита, подписавшему аудиторское заключение" </w:t>
      </w:r>
      <w:hyperlink w:history="0" w:anchor="P38207" w:tooltip="21">
        <w:r>
          <w:rPr>
            <w:sz w:val="24"/>
            <w:color w:val="0000ff"/>
          </w:rPr>
          <w:t xml:space="preserve">(строка 21)</w:t>
        </w:r>
      </w:hyperlink>
      <w:r>
        <w:rPr>
          <w:sz w:val="24"/>
        </w:rPr>
        <w:t xml:space="preserve">;</w:t>
      </w:r>
    </w:p>
    <w:p>
      <w:pPr>
        <w:pStyle w:val="0"/>
        <w:spacing w:before="240" w:lineRule="auto"/>
        <w:ind w:firstLine="540"/>
        <w:jc w:val="both"/>
      </w:pPr>
      <w:r>
        <w:rPr>
          <w:sz w:val="24"/>
        </w:rPr>
        <w:t xml:space="preserve">"Фамилия, имя, отчество (при наличии) руководителя аудиторской организации или уполномоченного им лица, подписавшего аудиторское заключение" </w:t>
      </w:r>
      <w:hyperlink w:history="0" w:anchor="P38231" w:tooltip="22">
        <w:r>
          <w:rPr>
            <w:sz w:val="24"/>
            <w:color w:val="0000ff"/>
          </w:rPr>
          <w:t xml:space="preserve">(строка 22)</w:t>
        </w:r>
      </w:hyperlink>
      <w:r>
        <w:rPr>
          <w:sz w:val="24"/>
        </w:rPr>
        <w:t xml:space="preserve">;</w:t>
      </w:r>
    </w:p>
    <w:p>
      <w:pPr>
        <w:pStyle w:val="0"/>
        <w:spacing w:before="240" w:lineRule="auto"/>
        <w:ind w:firstLine="540"/>
        <w:jc w:val="both"/>
      </w:pPr>
      <w:r>
        <w:rPr>
          <w:sz w:val="24"/>
        </w:rPr>
        <w:t xml:space="preserve">"Основной регистрационный номер записи (ОРНЗ) руководителя аудиторской организации или уполномоченного им лица, подписавшего аудиторское заключение" </w:t>
      </w:r>
      <w:hyperlink w:history="0" w:anchor="P38255" w:tooltip="23">
        <w:r>
          <w:rPr>
            <w:sz w:val="24"/>
            <w:color w:val="0000ff"/>
          </w:rPr>
          <w:t xml:space="preserve">(строка 23)</w:t>
        </w:r>
      </w:hyperlink>
      <w:r>
        <w:rPr>
          <w:sz w:val="24"/>
        </w:rPr>
        <w:t xml:space="preserve">;</w:t>
      </w:r>
    </w:p>
    <w:p>
      <w:pPr>
        <w:pStyle w:val="0"/>
        <w:spacing w:before="240" w:lineRule="auto"/>
        <w:ind w:firstLine="540"/>
        <w:jc w:val="both"/>
      </w:pPr>
      <w:r>
        <w:rPr>
          <w:sz w:val="24"/>
        </w:rPr>
        <w:t xml:space="preserve">"Номер квалификационного аттестата аудитора, выданного руководителю аудиторской организации или уполномоченному им лицу, подписавшему аудиторское заключение" </w:t>
      </w:r>
      <w:hyperlink w:history="0" w:anchor="P38279" w:tooltip="24">
        <w:r>
          <w:rPr>
            <w:sz w:val="24"/>
            <w:color w:val="0000ff"/>
          </w:rPr>
          <w:t xml:space="preserve">(строка 24)</w:t>
        </w:r>
      </w:hyperlink>
      <w:r>
        <w:rPr>
          <w:sz w:val="24"/>
        </w:rPr>
        <w:t xml:space="preserve">;</w:t>
      </w:r>
    </w:p>
    <w:p>
      <w:pPr>
        <w:pStyle w:val="0"/>
        <w:spacing w:before="240" w:lineRule="auto"/>
        <w:ind w:firstLine="540"/>
        <w:jc w:val="both"/>
      </w:pPr>
      <w:r>
        <w:rPr>
          <w:sz w:val="24"/>
        </w:rPr>
        <w:t xml:space="preserve">"Дата документа, в соответствии с которым лицо, подписавшее аудиторское заключение, уполномочено на его подписание" </w:t>
      </w:r>
      <w:hyperlink w:history="0" w:anchor="P38303" w:tooltip="25">
        <w:r>
          <w:rPr>
            <w:sz w:val="24"/>
            <w:color w:val="0000ff"/>
          </w:rPr>
          <w:t xml:space="preserve">(строка 25)</w:t>
        </w:r>
      </w:hyperlink>
      <w:r>
        <w:rPr>
          <w:sz w:val="24"/>
        </w:rPr>
        <w:t xml:space="preserve">;</w:t>
      </w:r>
    </w:p>
    <w:p>
      <w:pPr>
        <w:pStyle w:val="0"/>
        <w:spacing w:before="240" w:lineRule="auto"/>
        <w:ind w:firstLine="540"/>
        <w:jc w:val="both"/>
      </w:pPr>
      <w:r>
        <w:rPr>
          <w:sz w:val="24"/>
        </w:rPr>
        <w:t xml:space="preserve">"Номер документа, в соответствии с которым лицо, подписавшее аудиторское заключение, уполномочено на его подписание" </w:t>
      </w:r>
      <w:hyperlink w:history="0" w:anchor="P38327" w:tooltip="26">
        <w:r>
          <w:rPr>
            <w:sz w:val="24"/>
            <w:color w:val="0000ff"/>
          </w:rPr>
          <w:t xml:space="preserve">(строка 26)</w:t>
        </w:r>
      </w:hyperlink>
      <w:r>
        <w:rPr>
          <w:sz w:val="24"/>
        </w:rPr>
        <w:t xml:space="preserve">;</w:t>
      </w:r>
    </w:p>
    <w:p>
      <w:pPr>
        <w:pStyle w:val="0"/>
        <w:spacing w:before="240" w:lineRule="auto"/>
        <w:ind w:firstLine="540"/>
        <w:jc w:val="both"/>
      </w:pPr>
      <w:r>
        <w:rPr>
          <w:sz w:val="24"/>
        </w:rPr>
        <w:t xml:space="preserve">"Срок действия полномочий (доверенности) на подписание аудиторского заключения" </w:t>
      </w:r>
      <w:hyperlink w:history="0" w:anchor="P38351" w:tooltip="27">
        <w:r>
          <w:rPr>
            <w:sz w:val="24"/>
            <w:color w:val="0000ff"/>
          </w:rPr>
          <w:t xml:space="preserve">(строка 27)</w:t>
        </w:r>
      </w:hyperlink>
      <w:r>
        <w:rPr>
          <w:sz w:val="24"/>
        </w:rPr>
        <w:t xml:space="preserve">;</w:t>
      </w:r>
    </w:p>
    <w:p>
      <w:pPr>
        <w:pStyle w:val="0"/>
        <w:spacing w:before="240" w:lineRule="auto"/>
        <w:ind w:firstLine="540"/>
        <w:jc w:val="both"/>
      </w:pPr>
      <w:r>
        <w:rPr>
          <w:sz w:val="24"/>
        </w:rPr>
        <w:t xml:space="preserve">"Примечание" </w:t>
      </w:r>
      <w:hyperlink w:history="0" w:anchor="P38375" w:tooltip="28">
        <w:r>
          <w:rPr>
            <w:sz w:val="24"/>
            <w:color w:val="0000ff"/>
          </w:rPr>
          <w:t xml:space="preserve">(строка 28)</w:t>
        </w:r>
      </w:hyperlink>
      <w:r>
        <w:rPr>
          <w:sz w:val="24"/>
        </w:rPr>
        <w:t xml:space="preserve">.</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8506" w:name="P38506"/>
    <w:bookmarkEnd w:id="38506"/>
    <w:p>
      <w:pPr>
        <w:pStyle w:val="0"/>
        <w:jc w:val="center"/>
      </w:pPr>
      <w:r>
        <w:rPr>
          <w:sz w:val="24"/>
        </w:rPr>
        <w:t xml:space="preserve">Отчетность по форме 0420168</w:t>
      </w:r>
    </w:p>
    <w:p>
      <w:pPr>
        <w:pStyle w:val="0"/>
        <w:jc w:val="center"/>
      </w:pPr>
      <w:r>
        <w:rPr>
          <w:sz w:val="24"/>
        </w:rPr>
        <w:t xml:space="preserve">"Сведения об ответственном актуарии страховщика"</w:t>
      </w:r>
    </w:p>
    <w:p>
      <w:pPr>
        <w:pStyle w:val="0"/>
        <w:ind w:firstLine="540"/>
        <w:jc w:val="both"/>
      </w:pPr>
      <w:r>
        <w:rPr>
          <w:sz w:val="24"/>
        </w:rPr>
      </w:r>
    </w:p>
    <w:p>
      <w:pPr>
        <w:pStyle w:val="0"/>
        <w:jc w:val="right"/>
      </w:pPr>
      <w:r>
        <w:rPr>
          <w:sz w:val="24"/>
        </w:rPr>
        <w:t xml:space="preserve">Код формы по </w:t>
      </w:r>
      <w:hyperlink w:history="0" r:id="rId64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565" w:tooltip="&lt;1&gt; Общероссийский классификатор управленческой документации.">
        <w:r>
          <w:rPr>
            <w:sz w:val="24"/>
            <w:color w:val="0000ff"/>
          </w:rPr>
          <w:t xml:space="preserve">&lt;1&gt;</w:t>
        </w:r>
      </w:hyperlink>
      <w:r>
        <w:rPr>
          <w:sz w:val="24"/>
        </w:rPr>
        <w:t xml:space="preserve"> 0420168</w:t>
      </w:r>
    </w:p>
    <w:p>
      <w:pPr>
        <w:pStyle w:val="0"/>
        <w:ind w:firstLine="540"/>
        <w:jc w:val="both"/>
      </w:pPr>
      <w:r>
        <w:rPr>
          <w:sz w:val="24"/>
        </w:rPr>
      </w:r>
    </w:p>
    <w:p>
      <w:pPr>
        <w:pStyle w:val="0"/>
        <w:jc w:val="right"/>
      </w:pPr>
      <w:r>
        <w:rPr>
          <w:sz w:val="24"/>
        </w:rPr>
        <w:t xml:space="preserve">Годовая, на нерегулярной основе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186"/>
        <w:gridCol w:w="2422"/>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093" w:type="dxa"/>
            <w:tcBorders>
              <w:left w:val="single" w:sz="4"/>
            </w:tcBorders>
          </w:tcPr>
          <w:bookmarkStart w:id="38521" w:name="P38521"/>
          <w:bookmarkEnd w:id="38521"/>
          <w:p>
            <w:pPr>
              <w:pStyle w:val="0"/>
              <w:outlineLvl w:val="3"/>
            </w:pPr>
            <w:r>
              <w:rPr>
                <w:sz w:val="24"/>
              </w:rPr>
              <w:t xml:space="preserve">Раздел 1.</w:t>
            </w:r>
          </w:p>
        </w:tc>
        <w:tc>
          <w:tcPr>
            <w:gridSpan w:val="3"/>
            <w:tcW w:w="7978" w:type="dxa"/>
            <w:tcBorders>
              <w:right w:val="single" w:sz="4"/>
            </w:tcBorders>
          </w:tcPr>
          <w:p>
            <w:pPr>
              <w:pStyle w:val="0"/>
            </w:pPr>
            <w:r>
              <w:rPr>
                <w:sz w:val="24"/>
              </w:rPr>
              <w:t xml:space="preserve">Сведения об ответственном актуарии, осуществляющем проведение обязательного актуарного оценивания деятельности страховщика</w:t>
            </w:r>
          </w:p>
        </w:tc>
      </w:tr>
      <w:tr>
        <w:tc>
          <w:tcPr>
            <w:tcW w:w="907" w:type="dxa"/>
          </w:tcPr>
          <w:bookmarkStart w:id="38523" w:name="P38523"/>
          <w:bookmarkEnd w:id="38523"/>
          <w:p>
            <w:pPr>
              <w:pStyle w:val="0"/>
            </w:pPr>
            <w:r>
              <w:rPr>
                <w:sz w:val="24"/>
              </w:rPr>
              <w:t xml:space="preserve">1</w:t>
            </w:r>
          </w:p>
        </w:tc>
        <w:tc>
          <w:tcPr>
            <w:gridSpan w:val="2"/>
            <w:tcW w:w="2608" w:type="dxa"/>
          </w:tcPr>
          <w:p>
            <w:pPr>
              <w:pStyle w:val="0"/>
            </w:pPr>
            <w:r>
              <w:rPr>
                <w:sz w:val="24"/>
              </w:rPr>
              <w:t xml:space="preserve">Фамилия ответственного актуария</w:t>
            </w:r>
          </w:p>
        </w:tc>
        <w:tc>
          <w:tcPr>
            <w:tcW w:w="2608" w:type="dxa"/>
          </w:tcPr>
          <w:p>
            <w:pPr>
              <w:pStyle w:val="0"/>
            </w:pPr>
            <w:r>
              <w:rPr>
                <w:sz w:val="24"/>
              </w:rPr>
            </w:r>
          </w:p>
        </w:tc>
        <w:tc>
          <w:tcPr>
            <w:tcW w:w="2948" w:type="dxa"/>
          </w:tcPr>
          <w:p>
            <w:pPr>
              <w:pStyle w:val="0"/>
            </w:pPr>
            <w:r>
              <w:rPr>
                <w:sz w:val="24"/>
              </w:rPr>
              <w:t xml:space="preserve">ins-dic:Surname_Otv_Aktuariya</w:t>
            </w:r>
          </w:p>
        </w:tc>
      </w:tr>
      <w:tr>
        <w:tc>
          <w:tcPr>
            <w:tcW w:w="907" w:type="dxa"/>
          </w:tcPr>
          <w:bookmarkStart w:id="38527" w:name="P38527"/>
          <w:bookmarkEnd w:id="38527"/>
          <w:p>
            <w:pPr>
              <w:pStyle w:val="0"/>
            </w:pPr>
            <w:r>
              <w:rPr>
                <w:sz w:val="24"/>
              </w:rPr>
              <w:t xml:space="preserve">2</w:t>
            </w:r>
          </w:p>
        </w:tc>
        <w:tc>
          <w:tcPr>
            <w:gridSpan w:val="2"/>
            <w:tcW w:w="2608" w:type="dxa"/>
          </w:tcPr>
          <w:p>
            <w:pPr>
              <w:pStyle w:val="0"/>
            </w:pPr>
            <w:r>
              <w:rPr>
                <w:sz w:val="24"/>
              </w:rPr>
              <w:t xml:space="preserve">Имя ответственного актуария</w:t>
            </w:r>
          </w:p>
        </w:tc>
        <w:tc>
          <w:tcPr>
            <w:tcW w:w="2608" w:type="dxa"/>
          </w:tcPr>
          <w:p>
            <w:pPr>
              <w:pStyle w:val="0"/>
            </w:pPr>
            <w:r>
              <w:rPr>
                <w:sz w:val="24"/>
              </w:rPr>
            </w:r>
          </w:p>
        </w:tc>
        <w:tc>
          <w:tcPr>
            <w:tcW w:w="2948" w:type="dxa"/>
          </w:tcPr>
          <w:p>
            <w:pPr>
              <w:pStyle w:val="0"/>
            </w:pPr>
            <w:r>
              <w:rPr>
                <w:sz w:val="24"/>
              </w:rPr>
              <w:t xml:space="preserve">ins-dic:Name_Otv_Aktuariya</w:t>
            </w:r>
          </w:p>
        </w:tc>
      </w:tr>
      <w:tr>
        <w:tc>
          <w:tcPr>
            <w:tcW w:w="907" w:type="dxa"/>
          </w:tcPr>
          <w:bookmarkStart w:id="38531" w:name="P38531"/>
          <w:bookmarkEnd w:id="38531"/>
          <w:p>
            <w:pPr>
              <w:pStyle w:val="0"/>
            </w:pPr>
            <w:r>
              <w:rPr>
                <w:sz w:val="24"/>
              </w:rPr>
              <w:t xml:space="preserve">3</w:t>
            </w:r>
          </w:p>
        </w:tc>
        <w:tc>
          <w:tcPr>
            <w:gridSpan w:val="2"/>
            <w:tcW w:w="2608" w:type="dxa"/>
          </w:tcPr>
          <w:p>
            <w:pPr>
              <w:pStyle w:val="0"/>
            </w:pPr>
            <w:r>
              <w:rPr>
                <w:sz w:val="24"/>
              </w:rPr>
              <w:t xml:space="preserve">Отчество (при наличии) ответственного актуария</w:t>
            </w:r>
          </w:p>
        </w:tc>
        <w:tc>
          <w:tcPr>
            <w:tcW w:w="2608" w:type="dxa"/>
          </w:tcPr>
          <w:p>
            <w:pPr>
              <w:pStyle w:val="0"/>
            </w:pPr>
            <w:r>
              <w:rPr>
                <w:sz w:val="24"/>
              </w:rPr>
            </w:r>
          </w:p>
        </w:tc>
        <w:tc>
          <w:tcPr>
            <w:tcW w:w="2948" w:type="dxa"/>
          </w:tcPr>
          <w:p>
            <w:pPr>
              <w:pStyle w:val="0"/>
            </w:pPr>
            <w:r>
              <w:rPr>
                <w:sz w:val="24"/>
              </w:rPr>
              <w:t xml:space="preserve">ins-dic:MiddleName_Otv_Aktuariya</w:t>
            </w:r>
          </w:p>
        </w:tc>
      </w:tr>
      <w:tr>
        <w:tc>
          <w:tcPr>
            <w:tcW w:w="907" w:type="dxa"/>
          </w:tcPr>
          <w:bookmarkStart w:id="38535" w:name="P38535"/>
          <w:bookmarkEnd w:id="38535"/>
          <w:p>
            <w:pPr>
              <w:pStyle w:val="0"/>
            </w:pPr>
            <w:r>
              <w:rPr>
                <w:sz w:val="24"/>
              </w:rPr>
              <w:t xml:space="preserve">4</w:t>
            </w:r>
          </w:p>
        </w:tc>
        <w:tc>
          <w:tcPr>
            <w:gridSpan w:val="2"/>
            <w:tcW w:w="2608" w:type="dxa"/>
          </w:tcPr>
          <w:p>
            <w:pPr>
              <w:pStyle w:val="0"/>
            </w:pPr>
            <w:r>
              <w:rPr>
                <w:sz w:val="24"/>
              </w:rPr>
              <w:t xml:space="preserve">Регистрационный номер, присвоенный ответственному актуарию в едином реестре ответственных актуариев</w:t>
            </w:r>
          </w:p>
        </w:tc>
        <w:tc>
          <w:tcPr>
            <w:tcW w:w="2608" w:type="dxa"/>
          </w:tcPr>
          <w:p>
            <w:pPr>
              <w:pStyle w:val="0"/>
            </w:pPr>
            <w:r>
              <w:rPr>
                <w:sz w:val="24"/>
              </w:rPr>
            </w:r>
          </w:p>
        </w:tc>
        <w:tc>
          <w:tcPr>
            <w:tcW w:w="2948" w:type="dxa"/>
          </w:tcPr>
          <w:p>
            <w:pPr>
              <w:pStyle w:val="0"/>
            </w:pPr>
            <w:r>
              <w:rPr>
                <w:sz w:val="24"/>
              </w:rPr>
              <w:t xml:space="preserve">ins-dic:Reg_Nomer_Otv_Aktuarij_Reestr</w:t>
            </w:r>
          </w:p>
        </w:tc>
      </w:tr>
      <w:tr>
        <w:tc>
          <w:tcPr>
            <w:tcW w:w="907" w:type="dxa"/>
          </w:tcPr>
          <w:bookmarkStart w:id="38539" w:name="P38539"/>
          <w:bookmarkEnd w:id="38539"/>
          <w:p>
            <w:pPr>
              <w:pStyle w:val="0"/>
            </w:pPr>
            <w:r>
              <w:rPr>
                <w:sz w:val="24"/>
              </w:rPr>
              <w:t xml:space="preserve">5</w:t>
            </w:r>
          </w:p>
        </w:tc>
        <w:tc>
          <w:tcPr>
            <w:gridSpan w:val="2"/>
            <w:tcW w:w="2608" w:type="dxa"/>
          </w:tcPr>
          <w:p>
            <w:pPr>
              <w:pStyle w:val="0"/>
            </w:pPr>
            <w:r>
              <w:rPr>
                <w:sz w:val="24"/>
              </w:rPr>
              <w:t xml:space="preserve">Полное наименование саморегулируемой организации актуариев, членом которой является ответственный актуарий</w:t>
            </w:r>
          </w:p>
        </w:tc>
        <w:tc>
          <w:tcPr>
            <w:tcW w:w="2608" w:type="dxa"/>
          </w:tcPr>
          <w:p>
            <w:pPr>
              <w:pStyle w:val="0"/>
            </w:pPr>
            <w:r>
              <w:rPr>
                <w:sz w:val="24"/>
              </w:rPr>
            </w:r>
          </w:p>
        </w:tc>
        <w:tc>
          <w:tcPr>
            <w:tcW w:w="2948" w:type="dxa"/>
          </w:tcPr>
          <w:p>
            <w:pPr>
              <w:pStyle w:val="0"/>
            </w:pPr>
            <w:r>
              <w:rPr>
                <w:sz w:val="24"/>
              </w:rPr>
              <w:t xml:space="preserve">ins-dic:Polnnaim_Sro_Aktuarij_Chlen</w:t>
            </w:r>
          </w:p>
        </w:tc>
      </w:tr>
      <w:tr>
        <w:tc>
          <w:tcPr>
            <w:tcW w:w="907" w:type="dxa"/>
          </w:tcPr>
          <w:bookmarkStart w:id="38543" w:name="P38543"/>
          <w:bookmarkEnd w:id="38543"/>
          <w:p>
            <w:pPr>
              <w:pStyle w:val="0"/>
            </w:pP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p>
        </w:tc>
        <w:tc>
          <w:tcPr>
            <w:gridSpan w:val="2"/>
            <w:tcW w:w="2608" w:type="dxa"/>
          </w:tcPr>
          <w:p>
            <w:pPr>
              <w:pStyle w:val="0"/>
            </w:pPr>
            <w:r>
              <w:rPr>
                <w:sz w:val="24"/>
              </w:rPr>
              <w:t xml:space="preserve">Идентификационный номер налогоплательщика (ИНН) саморегулируемой организации актуариев, членом которой является ответственный актуарий</w:t>
            </w:r>
          </w:p>
        </w:tc>
        <w:tc>
          <w:tcPr>
            <w:tcW w:w="2608" w:type="dxa"/>
          </w:tcPr>
          <w:p>
            <w:pPr>
              <w:pStyle w:val="0"/>
            </w:pPr>
            <w:r>
              <w:rPr>
                <w:sz w:val="24"/>
              </w:rPr>
            </w:r>
          </w:p>
        </w:tc>
        <w:tc>
          <w:tcPr>
            <w:tcW w:w="2948" w:type="dxa"/>
          </w:tcPr>
          <w:p>
            <w:pPr>
              <w:pStyle w:val="0"/>
            </w:pPr>
            <w:r>
              <w:rPr>
                <w:sz w:val="24"/>
              </w:rPr>
              <w:t xml:space="preserve">ins-dic:Inn_Sro_Aktuarij</w:t>
            </w:r>
          </w:p>
        </w:tc>
      </w:tr>
      <w:tr>
        <w:tc>
          <w:tcPr>
            <w:tcW w:w="907" w:type="dxa"/>
          </w:tcPr>
          <w:bookmarkStart w:id="38547" w:name="P38547"/>
          <w:bookmarkEnd w:id="38547"/>
          <w:p>
            <w:pPr>
              <w:pStyle w:val="0"/>
            </w:pPr>
            <w:r>
              <w:rPr>
                <w:sz w:val="24"/>
              </w:rPr>
              <w:t xml:space="preserve">7</w:t>
            </w:r>
          </w:p>
        </w:tc>
        <w:tc>
          <w:tcPr>
            <w:gridSpan w:val="2"/>
            <w:tcW w:w="2608" w:type="dxa"/>
          </w:tcPr>
          <w:p>
            <w:pPr>
              <w:pStyle w:val="0"/>
            </w:pPr>
            <w:r>
              <w:rPr>
                <w:sz w:val="24"/>
              </w:rPr>
              <w:t xml:space="preserve">Основной государственный регистрационный номер (ОГРН) саморегулируемой организации актуариев, членом которой является ответственный актуарий</w:t>
            </w:r>
          </w:p>
        </w:tc>
        <w:tc>
          <w:tcPr>
            <w:tcW w:w="2608" w:type="dxa"/>
          </w:tcPr>
          <w:p>
            <w:pPr>
              <w:pStyle w:val="0"/>
            </w:pPr>
            <w:r>
              <w:rPr>
                <w:sz w:val="24"/>
              </w:rPr>
            </w:r>
          </w:p>
        </w:tc>
        <w:tc>
          <w:tcPr>
            <w:tcW w:w="2948" w:type="dxa"/>
          </w:tcPr>
          <w:p>
            <w:pPr>
              <w:pStyle w:val="0"/>
            </w:pPr>
            <w:r>
              <w:rPr>
                <w:sz w:val="24"/>
              </w:rPr>
              <w:t xml:space="preserve">ins-dic:Ogrn_Sro_Aktuarij</w:t>
            </w:r>
          </w:p>
        </w:tc>
      </w:tr>
      <w:tr>
        <w:tc>
          <w:tcPr>
            <w:tcW w:w="907" w:type="dxa"/>
          </w:tcPr>
          <w:bookmarkStart w:id="38551" w:name="P38551"/>
          <w:bookmarkEnd w:id="38551"/>
          <w:p>
            <w:pPr>
              <w:pStyle w:val="0"/>
            </w:pPr>
            <w:r>
              <w:rPr>
                <w:sz w:val="24"/>
              </w:rPr>
              <w:t xml:space="preserve">8</w:t>
            </w:r>
          </w:p>
        </w:tc>
        <w:tc>
          <w:tcPr>
            <w:gridSpan w:val="2"/>
            <w:tcW w:w="2608" w:type="dxa"/>
          </w:tcPr>
          <w:p>
            <w:pPr>
              <w:pStyle w:val="0"/>
            </w:pPr>
            <w:r>
              <w:rPr>
                <w:sz w:val="24"/>
              </w:rPr>
              <w:t xml:space="preserve">Вид договора о проведении обязательного актуарного оценивания деятельности страховщика</w:t>
            </w:r>
          </w:p>
        </w:tc>
        <w:tc>
          <w:tcPr>
            <w:tcW w:w="2608" w:type="dxa"/>
          </w:tcPr>
          <w:p>
            <w:pPr>
              <w:pStyle w:val="0"/>
            </w:pPr>
            <w:r>
              <w:rPr>
                <w:sz w:val="24"/>
              </w:rPr>
            </w:r>
          </w:p>
        </w:tc>
        <w:tc>
          <w:tcPr>
            <w:tcW w:w="2948" w:type="dxa"/>
          </w:tcPr>
          <w:p>
            <w:pPr>
              <w:pStyle w:val="0"/>
            </w:pPr>
            <w:r>
              <w:rPr>
                <w:sz w:val="24"/>
              </w:rPr>
              <w:t xml:space="preserve">ins-dic:VidDogNaProvedenieObyazAktuarnOczenDeyatStraxovshhikaEnumerator</w:t>
            </w:r>
          </w:p>
        </w:tc>
      </w:tr>
      <w:tr>
        <w:tc>
          <w:tcPr>
            <w:tcW w:w="907" w:type="dxa"/>
          </w:tcPr>
          <w:bookmarkStart w:id="38555" w:name="P38555"/>
          <w:bookmarkEnd w:id="38555"/>
          <w:p>
            <w:pPr>
              <w:pStyle w:val="0"/>
            </w:pPr>
            <w:r>
              <w:rPr>
                <w:sz w:val="24"/>
              </w:rPr>
              <w:t xml:space="preserve">9</w:t>
            </w:r>
          </w:p>
        </w:tc>
        <w:tc>
          <w:tcPr>
            <w:gridSpan w:val="2"/>
            <w:tcW w:w="2608" w:type="dxa"/>
          </w:tcPr>
          <w:p>
            <w:pPr>
              <w:pStyle w:val="0"/>
            </w:pPr>
            <w:r>
              <w:rPr>
                <w:sz w:val="24"/>
              </w:rPr>
              <w:t xml:space="preserve">Номер договора о проведении обязательного актуарного оценивания деятельности страховщика</w:t>
            </w:r>
          </w:p>
        </w:tc>
        <w:tc>
          <w:tcPr>
            <w:tcW w:w="2608" w:type="dxa"/>
          </w:tcPr>
          <w:p>
            <w:pPr>
              <w:pStyle w:val="0"/>
            </w:pPr>
            <w:r>
              <w:rPr>
                <w:sz w:val="24"/>
              </w:rPr>
            </w:r>
          </w:p>
        </w:tc>
        <w:tc>
          <w:tcPr>
            <w:tcW w:w="2948" w:type="dxa"/>
          </w:tcPr>
          <w:p>
            <w:pPr>
              <w:pStyle w:val="0"/>
            </w:pPr>
            <w:r>
              <w:rPr>
                <w:sz w:val="24"/>
              </w:rPr>
              <w:t xml:space="preserve">ins-dic:Nomer_Dog_Obyaz_Akt_Oczen_Deyat_So</w:t>
            </w:r>
          </w:p>
        </w:tc>
      </w:tr>
      <w:tr>
        <w:tc>
          <w:tcPr>
            <w:tcW w:w="907" w:type="dxa"/>
          </w:tcPr>
          <w:bookmarkStart w:id="38559" w:name="P38559"/>
          <w:bookmarkEnd w:id="38559"/>
          <w:p>
            <w:pPr>
              <w:pStyle w:val="0"/>
            </w:pPr>
            <w:r>
              <w:rPr>
                <w:sz w:val="24"/>
              </w:rPr>
              <w:t xml:space="preserve">10</w:t>
            </w:r>
          </w:p>
        </w:tc>
        <w:tc>
          <w:tcPr>
            <w:gridSpan w:val="2"/>
            <w:tcW w:w="2608" w:type="dxa"/>
          </w:tcPr>
          <w:p>
            <w:pPr>
              <w:pStyle w:val="0"/>
            </w:pPr>
            <w:r>
              <w:rPr>
                <w:sz w:val="24"/>
              </w:rPr>
              <w:t xml:space="preserve">Дата заключения договора о проведении обязательного актуарного оценивания деятельности страховщика</w:t>
            </w:r>
          </w:p>
        </w:tc>
        <w:tc>
          <w:tcPr>
            <w:tcW w:w="2608" w:type="dxa"/>
          </w:tcPr>
          <w:p>
            <w:pPr>
              <w:pStyle w:val="0"/>
            </w:pPr>
            <w:r>
              <w:rPr>
                <w:sz w:val="24"/>
              </w:rPr>
            </w:r>
          </w:p>
        </w:tc>
        <w:tc>
          <w:tcPr>
            <w:tcW w:w="2948" w:type="dxa"/>
          </w:tcPr>
          <w:p>
            <w:pPr>
              <w:pStyle w:val="0"/>
            </w:pPr>
            <w:r>
              <w:rPr>
                <w:sz w:val="24"/>
              </w:rPr>
              <w:t xml:space="preserve">ins-dic:Data_Zakl_Dog_Obyaz_Akt_Oczen_Deyat_So</w:t>
            </w:r>
          </w:p>
        </w:tc>
      </w:tr>
    </w:tbl>
    <w:p>
      <w:pPr>
        <w:pStyle w:val="0"/>
        <w:ind w:firstLine="540"/>
        <w:jc w:val="both"/>
      </w:pPr>
      <w:r>
        <w:rPr>
          <w:sz w:val="24"/>
        </w:rPr>
      </w:r>
    </w:p>
    <w:p>
      <w:pPr>
        <w:pStyle w:val="0"/>
        <w:ind w:firstLine="540"/>
        <w:jc w:val="both"/>
      </w:pPr>
      <w:r>
        <w:rPr>
          <w:sz w:val="24"/>
        </w:rPr>
        <w:t xml:space="preserve">--------------------------------</w:t>
      </w:r>
    </w:p>
    <w:bookmarkStart w:id="38565" w:name="P38565"/>
    <w:bookmarkEnd w:id="38565"/>
    <w:p>
      <w:pPr>
        <w:pStyle w:val="0"/>
        <w:spacing w:before="240" w:lineRule="auto"/>
        <w:ind w:firstLine="540"/>
        <w:jc w:val="both"/>
      </w:pPr>
      <w:r>
        <w:rPr>
          <w:sz w:val="24"/>
        </w:rPr>
        <w:t xml:space="preserve">&lt;1&gt; Общероссийский </w:t>
      </w:r>
      <w:hyperlink w:history="0" r:id="rId64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340"/>
        <w:gridCol w:w="2551"/>
        <w:gridCol w:w="1814"/>
        <w:gridCol w:w="3402"/>
      </w:tblGrid>
      <w:tr>
        <w:tc>
          <w:tcPr>
            <w:tcW w:w="964" w:type="dxa"/>
          </w:tcPr>
          <w:p>
            <w:pPr>
              <w:pStyle w:val="0"/>
              <w:jc w:val="center"/>
            </w:pPr>
            <w:r>
              <w:rPr>
                <w:sz w:val="24"/>
              </w:rPr>
              <w:t xml:space="preserve">1</w:t>
            </w:r>
          </w:p>
        </w:tc>
        <w:tc>
          <w:tcPr>
            <w:gridSpan w:val="2"/>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blPrEx>
          <w:tblBorders>
            <w:insideV w:val="nil"/>
          </w:tblBorders>
        </w:tblPrEx>
        <w:tc>
          <w:tcPr>
            <w:gridSpan w:val="2"/>
            <w:tcW w:w="1304" w:type="dxa"/>
            <w:tcBorders>
              <w:left w:val="single" w:sz="4"/>
            </w:tcBorders>
          </w:tcPr>
          <w:bookmarkStart w:id="38571" w:name="P38571"/>
          <w:bookmarkEnd w:id="38571"/>
          <w:p>
            <w:pPr>
              <w:pStyle w:val="0"/>
              <w:outlineLvl w:val="3"/>
            </w:pPr>
            <w:r>
              <w:rPr>
                <w:sz w:val="24"/>
              </w:rPr>
              <w:t xml:space="preserve">Раздел 2.</w:t>
            </w:r>
          </w:p>
        </w:tc>
        <w:tc>
          <w:tcPr>
            <w:gridSpan w:val="3"/>
            <w:tcW w:w="7767" w:type="dxa"/>
            <w:tcBorders>
              <w:right w:val="single" w:sz="4"/>
            </w:tcBorders>
          </w:tcPr>
          <w:p>
            <w:pPr>
              <w:pStyle w:val="0"/>
            </w:pPr>
            <w:r>
              <w:rPr>
                <w:sz w:val="24"/>
              </w:rPr>
              <w:t xml:space="preserve">Сведения об ответственном актуарии, осуществляющем проверку актуарного заключения</w:t>
            </w:r>
          </w:p>
        </w:tc>
      </w:tr>
      <w:tr>
        <w:tc>
          <w:tcPr>
            <w:tcW w:w="964" w:type="dxa"/>
          </w:tcPr>
          <w:bookmarkStart w:id="38573" w:name="P38573"/>
          <w:bookmarkEnd w:id="38573"/>
          <w:p>
            <w:pPr>
              <w:pStyle w:val="0"/>
            </w:pPr>
            <w:r>
              <w:rPr>
                <w:sz w:val="24"/>
              </w:rPr>
              <w:t xml:space="preserve">11</w:t>
            </w:r>
          </w:p>
        </w:tc>
        <w:tc>
          <w:tcPr>
            <w:gridSpan w:val="2"/>
            <w:tcW w:w="2891" w:type="dxa"/>
          </w:tcPr>
          <w:p>
            <w:pPr>
              <w:pStyle w:val="0"/>
            </w:pPr>
            <w:r>
              <w:rPr>
                <w:sz w:val="24"/>
              </w:rPr>
              <w:t xml:space="preserve">Фамилия ответственного актуария, осуществляющего проверку актуарного заключения</w:t>
            </w:r>
          </w:p>
        </w:tc>
        <w:tc>
          <w:tcPr>
            <w:tcW w:w="1814" w:type="dxa"/>
          </w:tcPr>
          <w:p>
            <w:pPr>
              <w:pStyle w:val="0"/>
            </w:pPr>
            <w:r>
              <w:rPr>
                <w:sz w:val="24"/>
              </w:rPr>
            </w:r>
          </w:p>
        </w:tc>
        <w:tc>
          <w:tcPr>
            <w:tcW w:w="3402" w:type="dxa"/>
          </w:tcPr>
          <w:p>
            <w:pPr>
              <w:pStyle w:val="0"/>
            </w:pPr>
            <w:r>
              <w:rPr>
                <w:sz w:val="24"/>
              </w:rPr>
              <w:t xml:space="preserve">ins-dic:FamiliyaOtvAktuariyaOsushhProverkuAktuarnogoZakl</w:t>
            </w:r>
          </w:p>
        </w:tc>
      </w:tr>
      <w:tr>
        <w:tc>
          <w:tcPr>
            <w:tcW w:w="964" w:type="dxa"/>
          </w:tcPr>
          <w:bookmarkStart w:id="38577" w:name="P38577"/>
          <w:bookmarkEnd w:id="38577"/>
          <w:p>
            <w:pPr>
              <w:pStyle w:val="0"/>
            </w:pPr>
            <w:r>
              <w:rPr>
                <w:sz w:val="24"/>
              </w:rPr>
              <w:t xml:space="preserve">12</w:t>
            </w:r>
          </w:p>
        </w:tc>
        <w:tc>
          <w:tcPr>
            <w:gridSpan w:val="2"/>
            <w:tcW w:w="2891" w:type="dxa"/>
          </w:tcPr>
          <w:p>
            <w:pPr>
              <w:pStyle w:val="0"/>
            </w:pPr>
            <w:r>
              <w:rPr>
                <w:sz w:val="24"/>
              </w:rPr>
              <w:t xml:space="preserve">Имя ответственного актуария, осуществляющего проверку актуарного заключения</w:t>
            </w:r>
          </w:p>
        </w:tc>
        <w:tc>
          <w:tcPr>
            <w:tcW w:w="1814" w:type="dxa"/>
          </w:tcPr>
          <w:p>
            <w:pPr>
              <w:pStyle w:val="0"/>
            </w:pPr>
            <w:r>
              <w:rPr>
                <w:sz w:val="24"/>
              </w:rPr>
            </w:r>
          </w:p>
        </w:tc>
        <w:tc>
          <w:tcPr>
            <w:tcW w:w="3402" w:type="dxa"/>
          </w:tcPr>
          <w:p>
            <w:pPr>
              <w:pStyle w:val="0"/>
            </w:pPr>
            <w:r>
              <w:rPr>
                <w:sz w:val="24"/>
              </w:rPr>
              <w:t xml:space="preserve">ins-dic:ImyaOtvAktuariyaOsushhProverkuAktuarnogooZakl</w:t>
            </w:r>
          </w:p>
        </w:tc>
      </w:tr>
      <w:tr>
        <w:tc>
          <w:tcPr>
            <w:tcW w:w="964" w:type="dxa"/>
          </w:tcPr>
          <w:bookmarkStart w:id="38581" w:name="P38581"/>
          <w:bookmarkEnd w:id="38581"/>
          <w:p>
            <w:pPr>
              <w:pStyle w:val="0"/>
            </w:pPr>
            <w:r>
              <w:rPr>
                <w:sz w:val="24"/>
              </w:rPr>
              <w:t xml:space="preserve">13</w:t>
            </w:r>
          </w:p>
        </w:tc>
        <w:tc>
          <w:tcPr>
            <w:gridSpan w:val="2"/>
            <w:tcW w:w="2891" w:type="dxa"/>
          </w:tcPr>
          <w:p>
            <w:pPr>
              <w:pStyle w:val="0"/>
            </w:pPr>
            <w:r>
              <w:rPr>
                <w:sz w:val="24"/>
              </w:rPr>
              <w:t xml:space="preserve">Отчество (при наличии) ответственного актуария, осуществляющего проверку актуарного заключения</w:t>
            </w:r>
          </w:p>
        </w:tc>
        <w:tc>
          <w:tcPr>
            <w:tcW w:w="1814" w:type="dxa"/>
          </w:tcPr>
          <w:p>
            <w:pPr>
              <w:pStyle w:val="0"/>
            </w:pPr>
            <w:r>
              <w:rPr>
                <w:sz w:val="24"/>
              </w:rPr>
            </w:r>
          </w:p>
        </w:tc>
        <w:tc>
          <w:tcPr>
            <w:tcW w:w="3402" w:type="dxa"/>
          </w:tcPr>
          <w:p>
            <w:pPr>
              <w:pStyle w:val="0"/>
            </w:pPr>
            <w:r>
              <w:rPr>
                <w:sz w:val="24"/>
              </w:rPr>
              <w:t xml:space="preserve">ins-dic:OtchestvoPriNalichiiOtvAktuariyaOsushhProverkuAktuarnogooZakl</w:t>
            </w:r>
          </w:p>
        </w:tc>
      </w:tr>
      <w:tr>
        <w:tc>
          <w:tcPr>
            <w:tcW w:w="964" w:type="dxa"/>
          </w:tcPr>
          <w:bookmarkStart w:id="38585" w:name="P38585"/>
          <w:bookmarkEnd w:id="38585"/>
          <w:p>
            <w:pPr>
              <w:pStyle w:val="0"/>
            </w:pPr>
            <w:r>
              <w:rPr>
                <w:sz w:val="24"/>
              </w:rPr>
              <w:t xml:space="preserve">14</w:t>
            </w:r>
          </w:p>
        </w:tc>
        <w:tc>
          <w:tcPr>
            <w:gridSpan w:val="2"/>
            <w:tcW w:w="2891" w:type="dxa"/>
          </w:tcPr>
          <w:p>
            <w:pPr>
              <w:pStyle w:val="0"/>
            </w:pPr>
            <w:r>
              <w:rPr>
                <w:sz w:val="24"/>
              </w:rPr>
              <w:t xml:space="preserve">Регистрационный номер, присвоенный ответственному актуарию, осуществляющему проверку актуарного заключения, в едином реестре ответственных актуариев</w:t>
            </w:r>
          </w:p>
        </w:tc>
        <w:tc>
          <w:tcPr>
            <w:tcW w:w="1814" w:type="dxa"/>
          </w:tcPr>
          <w:p>
            <w:pPr>
              <w:pStyle w:val="0"/>
            </w:pPr>
            <w:r>
              <w:rPr>
                <w:sz w:val="24"/>
              </w:rPr>
            </w:r>
          </w:p>
        </w:tc>
        <w:tc>
          <w:tcPr>
            <w:tcW w:w="3402" w:type="dxa"/>
          </w:tcPr>
          <w:p>
            <w:pPr>
              <w:pStyle w:val="0"/>
            </w:pPr>
            <w:r>
              <w:rPr>
                <w:sz w:val="24"/>
              </w:rPr>
              <w:t xml:space="preserve">ins-dic:RegNomerPrisvOtvAktuariyuOsushhProverkuAktuarnogoZaklVEROA</w:t>
            </w:r>
          </w:p>
        </w:tc>
      </w:tr>
      <w:tr>
        <w:tc>
          <w:tcPr>
            <w:tcW w:w="964" w:type="dxa"/>
          </w:tcPr>
          <w:bookmarkStart w:id="38589" w:name="P38589"/>
          <w:bookmarkEnd w:id="38589"/>
          <w:p>
            <w:pPr>
              <w:pStyle w:val="0"/>
            </w:pPr>
            <w:r>
              <w:rPr>
                <w:sz w:val="24"/>
              </w:rPr>
              <w:t xml:space="preserve">15</w:t>
            </w:r>
          </w:p>
        </w:tc>
        <w:tc>
          <w:tcPr>
            <w:gridSpan w:val="2"/>
            <w:tcW w:w="2891" w:type="dxa"/>
          </w:tcPr>
          <w:p>
            <w:pPr>
              <w:pStyle w:val="0"/>
            </w:pPr>
            <w:r>
              <w:rPr>
                <w:sz w:val="24"/>
              </w:rPr>
              <w:t xml:space="preserve">Полное наименование саморегулируемой организации актуариев, членом которой является ответственный актуарий, осуществляющий проверку актуарного заключения</w:t>
            </w:r>
          </w:p>
        </w:tc>
        <w:tc>
          <w:tcPr>
            <w:tcW w:w="1814" w:type="dxa"/>
          </w:tcPr>
          <w:p>
            <w:pPr>
              <w:pStyle w:val="0"/>
            </w:pPr>
            <w:r>
              <w:rPr>
                <w:sz w:val="24"/>
              </w:rPr>
            </w:r>
          </w:p>
        </w:tc>
        <w:tc>
          <w:tcPr>
            <w:tcW w:w="3402" w:type="dxa"/>
          </w:tcPr>
          <w:p>
            <w:pPr>
              <w:pStyle w:val="0"/>
            </w:pPr>
            <w:r>
              <w:rPr>
                <w:sz w:val="24"/>
              </w:rPr>
              <w:t xml:space="preserve">ins-dic:PolnNaimSROAktuarChlenomKotYavlOtvAktOsushhProverkuAktuarZakl</w:t>
            </w:r>
          </w:p>
        </w:tc>
      </w:tr>
      <w:tr>
        <w:tc>
          <w:tcPr>
            <w:tcW w:w="964" w:type="dxa"/>
          </w:tcPr>
          <w:bookmarkStart w:id="38593" w:name="P38593"/>
          <w:bookmarkEnd w:id="38593"/>
          <w:p>
            <w:pPr>
              <w:pStyle w:val="0"/>
            </w:pPr>
            <w:r>
              <w:rPr>
                <w:sz w:val="24"/>
              </w:rPr>
              <w:t xml:space="preserve">16</w:t>
            </w:r>
          </w:p>
        </w:tc>
        <w:tc>
          <w:tcPr>
            <w:gridSpan w:val="2"/>
            <w:tcW w:w="2891" w:type="dxa"/>
          </w:tcPr>
          <w:p>
            <w:pPr>
              <w:pStyle w:val="0"/>
            </w:pPr>
            <w:r>
              <w:rPr>
                <w:sz w:val="24"/>
              </w:rPr>
              <w:t xml:space="preserve">Идентификационный номер налогоплательщика (ИНН) саморегулируемой организации актуариев, членом которой является ответственный актуарий, осуществляющий проверку актуарного заключения</w:t>
            </w:r>
          </w:p>
        </w:tc>
        <w:tc>
          <w:tcPr>
            <w:tcW w:w="1814" w:type="dxa"/>
          </w:tcPr>
          <w:p>
            <w:pPr>
              <w:pStyle w:val="0"/>
            </w:pPr>
            <w:r>
              <w:rPr>
                <w:sz w:val="24"/>
              </w:rPr>
            </w:r>
          </w:p>
        </w:tc>
        <w:tc>
          <w:tcPr>
            <w:tcW w:w="3402" w:type="dxa"/>
          </w:tcPr>
          <w:p>
            <w:pPr>
              <w:pStyle w:val="0"/>
            </w:pPr>
            <w:r>
              <w:rPr>
                <w:sz w:val="24"/>
              </w:rPr>
              <w:t xml:space="preserve">ins-dic:INNSROAktuarChlenomKotYavlOtvAktOsushhProverkuAktuarZakl</w:t>
            </w:r>
          </w:p>
        </w:tc>
      </w:tr>
      <w:tr>
        <w:tc>
          <w:tcPr>
            <w:tcW w:w="964" w:type="dxa"/>
          </w:tcPr>
          <w:bookmarkStart w:id="38597" w:name="P38597"/>
          <w:bookmarkEnd w:id="38597"/>
          <w:p>
            <w:pPr>
              <w:pStyle w:val="0"/>
            </w:pPr>
            <w:r>
              <w:rPr>
                <w:sz w:val="24"/>
              </w:rPr>
              <w:t xml:space="preserve">17</w:t>
            </w:r>
          </w:p>
        </w:tc>
        <w:tc>
          <w:tcPr>
            <w:gridSpan w:val="2"/>
            <w:tcW w:w="2891" w:type="dxa"/>
          </w:tcPr>
          <w:p>
            <w:pPr>
              <w:pStyle w:val="0"/>
            </w:pPr>
            <w:r>
              <w:rPr>
                <w:sz w:val="24"/>
              </w:rPr>
              <w:t xml:space="preserve">Основной государственный регистрационный номер (ОГРН) саморегулируемой организации актуариев, членом которой является ответственный актуарий, осуществляющий проверку актуарного заключения</w:t>
            </w:r>
          </w:p>
        </w:tc>
        <w:tc>
          <w:tcPr>
            <w:tcW w:w="1814" w:type="dxa"/>
          </w:tcPr>
          <w:p>
            <w:pPr>
              <w:pStyle w:val="0"/>
            </w:pPr>
            <w:r>
              <w:rPr>
                <w:sz w:val="24"/>
              </w:rPr>
            </w:r>
          </w:p>
        </w:tc>
        <w:tc>
          <w:tcPr>
            <w:tcW w:w="3402" w:type="dxa"/>
          </w:tcPr>
          <w:p>
            <w:pPr>
              <w:pStyle w:val="0"/>
            </w:pPr>
            <w:r>
              <w:rPr>
                <w:sz w:val="24"/>
              </w:rPr>
              <w:t xml:space="preserve">ins-dic:OGRNSROAktuarChlenoniKotYavlOtvAktOsushhProverkuAktuarZakl</w:t>
            </w:r>
          </w:p>
        </w:tc>
      </w:tr>
      <w:tr>
        <w:tc>
          <w:tcPr>
            <w:tcW w:w="964" w:type="dxa"/>
          </w:tcPr>
          <w:bookmarkStart w:id="38601" w:name="P38601"/>
          <w:bookmarkEnd w:id="38601"/>
          <w:p>
            <w:pPr>
              <w:pStyle w:val="0"/>
            </w:pPr>
            <w:r>
              <w:rPr>
                <w:sz w:val="24"/>
              </w:rPr>
              <w:t xml:space="preserve">18</w:t>
            </w:r>
          </w:p>
        </w:tc>
        <w:tc>
          <w:tcPr>
            <w:gridSpan w:val="2"/>
            <w:tcW w:w="2891" w:type="dxa"/>
          </w:tcPr>
          <w:p>
            <w:pPr>
              <w:pStyle w:val="0"/>
            </w:pPr>
            <w:r>
              <w:rPr>
                <w:sz w:val="24"/>
              </w:rPr>
              <w:t xml:space="preserve">Номер договора о проведении проверки актуарного заключения</w:t>
            </w:r>
          </w:p>
        </w:tc>
        <w:tc>
          <w:tcPr>
            <w:tcW w:w="1814" w:type="dxa"/>
          </w:tcPr>
          <w:p>
            <w:pPr>
              <w:pStyle w:val="0"/>
            </w:pPr>
            <w:r>
              <w:rPr>
                <w:sz w:val="24"/>
              </w:rPr>
            </w:r>
          </w:p>
        </w:tc>
        <w:tc>
          <w:tcPr>
            <w:tcW w:w="3402" w:type="dxa"/>
          </w:tcPr>
          <w:p>
            <w:pPr>
              <w:pStyle w:val="0"/>
            </w:pPr>
            <w:r>
              <w:rPr>
                <w:sz w:val="24"/>
              </w:rPr>
              <w:t xml:space="preserve">ins-dic:NomerDogNaProvedenieProverkiAktuarZakl</w:t>
            </w:r>
          </w:p>
        </w:tc>
      </w:tr>
      <w:tr>
        <w:tc>
          <w:tcPr>
            <w:tcW w:w="964" w:type="dxa"/>
          </w:tcPr>
          <w:bookmarkStart w:id="38605" w:name="P38605"/>
          <w:bookmarkEnd w:id="38605"/>
          <w:p>
            <w:pPr>
              <w:pStyle w:val="0"/>
            </w:pPr>
            <w:r>
              <w:rPr>
                <w:sz w:val="24"/>
              </w:rPr>
              <w:t xml:space="preserve">19</w:t>
            </w:r>
          </w:p>
        </w:tc>
        <w:tc>
          <w:tcPr>
            <w:gridSpan w:val="2"/>
            <w:tcW w:w="2891" w:type="dxa"/>
          </w:tcPr>
          <w:p>
            <w:pPr>
              <w:pStyle w:val="0"/>
            </w:pPr>
            <w:r>
              <w:rPr>
                <w:sz w:val="24"/>
              </w:rPr>
              <w:t xml:space="preserve">Дата заключения договора о проведении проверки актуарного заключения</w:t>
            </w:r>
          </w:p>
        </w:tc>
        <w:tc>
          <w:tcPr>
            <w:tcW w:w="1814" w:type="dxa"/>
          </w:tcPr>
          <w:p>
            <w:pPr>
              <w:pStyle w:val="0"/>
            </w:pPr>
            <w:r>
              <w:rPr>
                <w:sz w:val="24"/>
              </w:rPr>
            </w:r>
          </w:p>
        </w:tc>
        <w:tc>
          <w:tcPr>
            <w:tcW w:w="3402" w:type="dxa"/>
          </w:tcPr>
          <w:p>
            <w:pPr>
              <w:pStyle w:val="0"/>
            </w:pPr>
            <w:r>
              <w:rPr>
                <w:sz w:val="24"/>
              </w:rPr>
              <w:t xml:space="preserve">ins-dic:DataZaklDogNaProvedenieProverkiAktuarZakl</w:t>
            </w:r>
          </w:p>
        </w:tc>
      </w:tr>
    </w:tbl>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0420168 "Сведения</w:t>
      </w:r>
    </w:p>
    <w:p>
      <w:pPr>
        <w:pStyle w:val="0"/>
        <w:jc w:val="center"/>
      </w:pPr>
      <w:r>
        <w:rPr>
          <w:sz w:val="24"/>
        </w:rPr>
        <w:t xml:space="preserve">об ответственном актуарии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8506" w:tooltip="Отчетность по форме 0420168">
        <w:r>
          <w:rPr>
            <w:sz w:val="24"/>
            <w:color w:val="0000ff"/>
          </w:rPr>
          <w:t xml:space="preserve">форме 0420168</w:t>
        </w:r>
      </w:hyperlink>
      <w:r>
        <w:rPr>
          <w:sz w:val="24"/>
        </w:rPr>
        <w:t xml:space="preserve"> "Сведения об ответственном актуарии страховщика" (далее - отчетность по форме 0420168) составляется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посредством формирования предусмотренных в ней показателей по состоянию на 31 декабря календарного года включительно, а также в случае изменения содержащихся в отчетности по </w:t>
      </w:r>
      <w:hyperlink w:history="0" w:anchor="P38506" w:tooltip="Отчетность по форме 0420168">
        <w:r>
          <w:rPr>
            <w:sz w:val="24"/>
            <w:color w:val="0000ff"/>
          </w:rPr>
          <w:t xml:space="preserve">форме 0420168</w:t>
        </w:r>
      </w:hyperlink>
      <w:r>
        <w:rPr>
          <w:sz w:val="24"/>
        </w:rPr>
        <w:t xml:space="preserve"> сведений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 </w:t>
      </w: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2. В </w:t>
      </w:r>
      <w:hyperlink w:history="0" w:anchor="P38521" w:tooltip="Раздел 1.">
        <w:r>
          <w:rPr>
            <w:sz w:val="24"/>
            <w:color w:val="0000ff"/>
          </w:rPr>
          <w:t xml:space="preserve">разделе 1</w:t>
        </w:r>
      </w:hyperlink>
      <w:r>
        <w:rPr>
          <w:sz w:val="24"/>
        </w:rPr>
        <w:t xml:space="preserve"> отчетности по форме 0420168 указываются сведения об ответственном актуарии, который проводит обязательное актуарное оценивание деятельности страховщика (далее - ответственный актуарий страховщика), и сведения о договоре о проведении обязательного актуарного оценивания деятельности страховщика.</w:t>
      </w:r>
    </w:p>
    <w:p>
      <w:pPr>
        <w:pStyle w:val="0"/>
        <w:spacing w:before="240" w:lineRule="auto"/>
        <w:ind w:firstLine="540"/>
        <w:jc w:val="both"/>
      </w:pPr>
      <w:r>
        <w:rPr>
          <w:sz w:val="24"/>
        </w:rPr>
        <w:t xml:space="preserve">2.1. По показателям "Фамилия ответственного актуария" </w:t>
      </w:r>
      <w:hyperlink w:history="0" w:anchor="P38523" w:tooltip="1">
        <w:r>
          <w:rPr>
            <w:sz w:val="24"/>
            <w:color w:val="0000ff"/>
          </w:rPr>
          <w:t xml:space="preserve">(строка 1)</w:t>
        </w:r>
      </w:hyperlink>
      <w:r>
        <w:rPr>
          <w:sz w:val="24"/>
        </w:rPr>
        <w:t xml:space="preserve">, "Имя ответственного актуария" </w:t>
      </w:r>
      <w:hyperlink w:history="0" w:anchor="P38527" w:tooltip="2">
        <w:r>
          <w:rPr>
            <w:sz w:val="24"/>
            <w:color w:val="0000ff"/>
          </w:rPr>
          <w:t xml:space="preserve">(строка 2)</w:t>
        </w:r>
      </w:hyperlink>
      <w:r>
        <w:rPr>
          <w:sz w:val="24"/>
        </w:rPr>
        <w:t xml:space="preserve">, "Отчество (при наличии) ответственного актуария" </w:t>
      </w:r>
      <w:hyperlink w:history="0" w:anchor="P38531" w:tooltip="3">
        <w:r>
          <w:rPr>
            <w:sz w:val="24"/>
            <w:color w:val="0000ff"/>
          </w:rPr>
          <w:t xml:space="preserve">(строка 3)</w:t>
        </w:r>
      </w:hyperlink>
      <w:r>
        <w:rPr>
          <w:sz w:val="24"/>
        </w:rPr>
        <w:t xml:space="preserve"> и "Регистрационный номер, присвоенный ответственному актуарию в едином реестре ответственных актуариев" </w:t>
      </w:r>
      <w:hyperlink w:history="0" w:anchor="P38535" w:tooltip="4">
        <w:r>
          <w:rPr>
            <w:sz w:val="24"/>
            <w:color w:val="0000ff"/>
          </w:rPr>
          <w:t xml:space="preserve">(строка 4)</w:t>
        </w:r>
      </w:hyperlink>
      <w:r>
        <w:rPr>
          <w:sz w:val="24"/>
        </w:rPr>
        <w:t xml:space="preserve"> указываются соответственно фамилия, имя и отчество (при наличии) ответственного актуария страховщика и регистрационный номер, присвоенный ему в едином реестре ответственных актуариев, который ведется Банком России в соответствии с </w:t>
      </w:r>
      <w:hyperlink w:history="0" r:id="rId647" w:tooltip="Федеральный закон от 02.11.2013 N 293-ФЗ (ред. от 10.07.2023) &quot;Об актуарной деятельности в Российской Федерации&quot; {КонсультантПлюс}">
        <w:r>
          <w:rPr>
            <w:sz w:val="24"/>
            <w:color w:val="0000ff"/>
          </w:rPr>
          <w:t xml:space="preserve">пунктом 8 части 2 статьи 8</w:t>
        </w:r>
      </w:hyperlink>
      <w:r>
        <w:rPr>
          <w:sz w:val="24"/>
        </w:rPr>
        <w:t xml:space="preserve"> Федерального закона от 2 ноября 2013 года N 293-ФЗ "Об актуарной деятельности в Российской Федерации" (далее - единый реестр ответственных актуариев).</w:t>
      </w:r>
    </w:p>
    <w:p>
      <w:pPr>
        <w:pStyle w:val="0"/>
        <w:spacing w:before="240" w:lineRule="auto"/>
        <w:ind w:firstLine="540"/>
        <w:jc w:val="both"/>
      </w:pPr>
      <w:r>
        <w:rPr>
          <w:sz w:val="24"/>
        </w:rPr>
        <w:t xml:space="preserve">2.2. По показателям "Полное наименование саморегулируемой организации актуариев, членом которой является ответственный актуарий" </w:t>
      </w:r>
      <w:hyperlink w:history="0" w:anchor="P38539" w:tooltip="5">
        <w:r>
          <w:rPr>
            <w:sz w:val="24"/>
            <w:color w:val="0000ff"/>
          </w:rPr>
          <w:t xml:space="preserve">(строка 5)</w:t>
        </w:r>
      </w:hyperlink>
      <w:r>
        <w:rPr>
          <w:sz w:val="24"/>
        </w:rPr>
        <w:t xml:space="preserve">, "Идентификационный номер налогоплательщика (ИНН) саморегулируемой организации актуариев, членом которой является ответственный актуарий" </w:t>
      </w:r>
      <w:hyperlink w:history="0" w:anchor="P38543" w:tooltip="6">
        <w:r>
          <w:rPr>
            <w:sz w:val="24"/>
            <w:color w:val="0000ff"/>
          </w:rPr>
          <w:t xml:space="preserve">(строка 6)</w:t>
        </w:r>
      </w:hyperlink>
      <w:r>
        <w:rPr>
          <w:sz w:val="24"/>
        </w:rPr>
        <w:t xml:space="preserve"> и "Основной государственный регистрационный номер (ОГРН) саморегулируемой организации актуариев, членом которой является ответственный актуарий" </w:t>
      </w:r>
      <w:hyperlink w:history="0" w:anchor="P38547" w:tooltip="7">
        <w:r>
          <w:rPr>
            <w:sz w:val="24"/>
            <w:color w:val="0000ff"/>
          </w:rPr>
          <w:t xml:space="preserve">(строка 7)</w:t>
        </w:r>
      </w:hyperlink>
      <w:r>
        <w:rPr>
          <w:sz w:val="24"/>
        </w:rPr>
        <w:t xml:space="preserve"> указываются соответственно полное наименование, идентификационный номер налогоплательщика и основной государственный регистрационный номер саморегулируемой организации актуариев, членом которой является ответственный актуарий страховщика.</w:t>
      </w:r>
    </w:p>
    <w:p>
      <w:pPr>
        <w:pStyle w:val="0"/>
        <w:spacing w:before="240" w:lineRule="auto"/>
        <w:ind w:firstLine="540"/>
        <w:jc w:val="both"/>
      </w:pPr>
      <w:r>
        <w:rPr>
          <w:sz w:val="24"/>
        </w:rPr>
        <w:t xml:space="preserve">2.3. По показателям "Вид договора о проведении обязательного актуарного оценивания деятельности страховщика" </w:t>
      </w:r>
      <w:hyperlink w:history="0" w:anchor="P38551" w:tooltip="8">
        <w:r>
          <w:rPr>
            <w:sz w:val="24"/>
            <w:color w:val="0000ff"/>
          </w:rPr>
          <w:t xml:space="preserve">(строка 8)</w:t>
        </w:r>
      </w:hyperlink>
      <w:r>
        <w:rPr>
          <w:sz w:val="24"/>
        </w:rPr>
        <w:t xml:space="preserve">, "Номер договора о проведении обязательного актуарного оценивания деятельности страховщика" </w:t>
      </w:r>
      <w:hyperlink w:history="0" w:anchor="P38555" w:tooltip="9">
        <w:r>
          <w:rPr>
            <w:sz w:val="24"/>
            <w:color w:val="0000ff"/>
          </w:rPr>
          <w:t xml:space="preserve">(строка 9)</w:t>
        </w:r>
      </w:hyperlink>
      <w:r>
        <w:rPr>
          <w:sz w:val="24"/>
        </w:rPr>
        <w:t xml:space="preserve"> и "Дата заключения договора о проведении обязательного актуарного оценивания деятельности страховщика" </w:t>
      </w:r>
      <w:hyperlink w:history="0" w:anchor="P38559" w:tooltip="10">
        <w:r>
          <w:rPr>
            <w:sz w:val="24"/>
            <w:color w:val="0000ff"/>
          </w:rPr>
          <w:t xml:space="preserve">(строка 10)</w:t>
        </w:r>
      </w:hyperlink>
      <w:r>
        <w:rPr>
          <w:sz w:val="24"/>
        </w:rPr>
        <w:t xml:space="preserve"> указываются соответственно вид договора, заключенного ответственным актуарием страховщика со страховщиком, деятельность которого является объектом обязательного актуарного оценивания (гражданско-правовой договор или трудовой договор), его номер (в случае отсутствия номера указывается значение "б/н" (без номера) и дата заключения.</w:t>
      </w:r>
    </w:p>
    <w:p>
      <w:pPr>
        <w:pStyle w:val="0"/>
        <w:spacing w:before="240" w:lineRule="auto"/>
        <w:ind w:firstLine="540"/>
        <w:jc w:val="both"/>
      </w:pPr>
      <w:r>
        <w:rPr>
          <w:sz w:val="24"/>
        </w:rPr>
        <w:t xml:space="preserve">3. В </w:t>
      </w:r>
      <w:hyperlink w:history="0" w:anchor="P38571" w:tooltip="Раздел 2.">
        <w:r>
          <w:rPr>
            <w:sz w:val="24"/>
            <w:color w:val="0000ff"/>
          </w:rPr>
          <w:t xml:space="preserve">разделе 2</w:t>
        </w:r>
      </w:hyperlink>
      <w:r>
        <w:rPr>
          <w:sz w:val="24"/>
        </w:rPr>
        <w:t xml:space="preserve"> отчетности по форме 0420168 указываются сведения об ответственном актуарии, который осуществляет проверку актуарного заключения, подготовленного по итогам проведения обязательного актуарного оценивания деятельности страховой организации, осуществляющей деятельность по добровольному страхованию жизни, обязательному страхованию, предусмотренному федеральным законом о конкретном виде обязательного страхования, перестрахованию (далее соответственно - актуарное заключение, ответственный актуарий страховой организации), и сведения о договоре, на основании которого ответственным актуарием страховой организации проводится проверка актуарного заключения (далее - договор о проведении проверки актуарного заключения).</w:t>
      </w:r>
    </w:p>
    <w:p>
      <w:pPr>
        <w:pStyle w:val="0"/>
        <w:spacing w:before="240" w:lineRule="auto"/>
        <w:ind w:firstLine="540"/>
        <w:jc w:val="both"/>
      </w:pPr>
      <w:r>
        <w:rPr>
          <w:sz w:val="24"/>
        </w:rPr>
        <w:t xml:space="preserve">3.1. По показателям "Фамилия ответственного актуария, осуществляющего проверку актуарного заключения" </w:t>
      </w:r>
      <w:hyperlink w:history="0" w:anchor="P38573" w:tooltip="11">
        <w:r>
          <w:rPr>
            <w:sz w:val="24"/>
            <w:color w:val="0000ff"/>
          </w:rPr>
          <w:t xml:space="preserve">(строка 11)</w:t>
        </w:r>
      </w:hyperlink>
      <w:r>
        <w:rPr>
          <w:sz w:val="24"/>
        </w:rPr>
        <w:t xml:space="preserve">, "Имя ответственного актуария, осуществляющего проверку актуарного заключения" </w:t>
      </w:r>
      <w:hyperlink w:history="0" w:anchor="P38577" w:tooltip="12">
        <w:r>
          <w:rPr>
            <w:sz w:val="24"/>
            <w:color w:val="0000ff"/>
          </w:rPr>
          <w:t xml:space="preserve">(строка 12)</w:t>
        </w:r>
      </w:hyperlink>
      <w:r>
        <w:rPr>
          <w:sz w:val="24"/>
        </w:rPr>
        <w:t xml:space="preserve">, "Отчество (при наличии) ответственного актуария, осуществляющего проверку актуарного заключения" </w:t>
      </w:r>
      <w:hyperlink w:history="0" w:anchor="P38581" w:tooltip="13">
        <w:r>
          <w:rPr>
            <w:sz w:val="24"/>
            <w:color w:val="0000ff"/>
          </w:rPr>
          <w:t xml:space="preserve">(строка 13)</w:t>
        </w:r>
      </w:hyperlink>
      <w:r>
        <w:rPr>
          <w:sz w:val="24"/>
        </w:rPr>
        <w:t xml:space="preserve"> и "Регистрационный номер, присвоенный ответственному актуарию, осуществляющему проверку актуарного заключения, в едином реестре ответственных актуариев" </w:t>
      </w:r>
      <w:hyperlink w:history="0" w:anchor="P38585" w:tooltip="14">
        <w:r>
          <w:rPr>
            <w:sz w:val="24"/>
            <w:color w:val="0000ff"/>
          </w:rPr>
          <w:t xml:space="preserve">(строка 14)</w:t>
        </w:r>
      </w:hyperlink>
      <w:r>
        <w:rPr>
          <w:sz w:val="24"/>
        </w:rPr>
        <w:t xml:space="preserve"> указываются соответственно фамилия, имя и отчество (при наличии) ответственного актуария страховой организации, осуществляющего проверку актуарного заключения, и регистрационный номер, присвоенный ему в едином реестре ответственных актуариев.</w:t>
      </w:r>
    </w:p>
    <w:p>
      <w:pPr>
        <w:pStyle w:val="0"/>
        <w:spacing w:before="240" w:lineRule="auto"/>
        <w:ind w:firstLine="540"/>
        <w:jc w:val="both"/>
      </w:pPr>
      <w:r>
        <w:rPr>
          <w:sz w:val="24"/>
        </w:rPr>
        <w:t xml:space="preserve">3.2. По показателям "Полное наименование саморегулируемой организации актуариев, членом которой является ответственный актуарий, осуществляющий проверку актуарного заключения" </w:t>
      </w:r>
      <w:hyperlink w:history="0" w:anchor="P38589" w:tooltip="15">
        <w:r>
          <w:rPr>
            <w:sz w:val="24"/>
            <w:color w:val="0000ff"/>
          </w:rPr>
          <w:t xml:space="preserve">(строка 15)</w:t>
        </w:r>
      </w:hyperlink>
      <w:r>
        <w:rPr>
          <w:sz w:val="24"/>
        </w:rPr>
        <w:t xml:space="preserve">, "Идентификационный номер налогоплательщика (ИНН) саморегулируемой организации актуариев, членом которой является ответственный актуарий, осуществляющий проверку актуарного заключения" </w:t>
      </w:r>
      <w:hyperlink w:history="0" w:anchor="P38593" w:tooltip="16">
        <w:r>
          <w:rPr>
            <w:sz w:val="24"/>
            <w:color w:val="0000ff"/>
          </w:rPr>
          <w:t xml:space="preserve">(строка 16)</w:t>
        </w:r>
      </w:hyperlink>
      <w:r>
        <w:rPr>
          <w:sz w:val="24"/>
        </w:rPr>
        <w:t xml:space="preserve"> и "Основной государственный регистрационный номер (ОГРН) саморегулируемой организации актуариев, членом которой является ответственный актуарий, осуществляющий проверку актуарного заключения" </w:t>
      </w:r>
      <w:hyperlink w:history="0" w:anchor="P38597" w:tooltip="17">
        <w:r>
          <w:rPr>
            <w:sz w:val="24"/>
            <w:color w:val="0000ff"/>
          </w:rPr>
          <w:t xml:space="preserve">(строка 17)</w:t>
        </w:r>
      </w:hyperlink>
      <w:r>
        <w:rPr>
          <w:sz w:val="24"/>
        </w:rPr>
        <w:t xml:space="preserve"> указываются соответственно полное наименование, идентификационный номер налогоплательщика и основной государственный регистрационный номер саморегулируемой организации актуариев, членом которой является ответственный актуарий страховой организации, осуществляющий проверку актуарного заключения.</w:t>
      </w:r>
    </w:p>
    <w:p>
      <w:pPr>
        <w:pStyle w:val="0"/>
        <w:spacing w:before="240" w:lineRule="auto"/>
        <w:ind w:firstLine="540"/>
        <w:jc w:val="both"/>
      </w:pPr>
      <w:r>
        <w:rPr>
          <w:sz w:val="24"/>
        </w:rPr>
        <w:t xml:space="preserve">3.3. По показателям "Номер договора о проведении проверки актуарного заключения" </w:t>
      </w:r>
      <w:hyperlink w:history="0" w:anchor="P38601" w:tooltip="18">
        <w:r>
          <w:rPr>
            <w:sz w:val="24"/>
            <w:color w:val="0000ff"/>
          </w:rPr>
          <w:t xml:space="preserve">(строка 18)</w:t>
        </w:r>
      </w:hyperlink>
      <w:r>
        <w:rPr>
          <w:sz w:val="24"/>
        </w:rPr>
        <w:t xml:space="preserve"> и "Дата заключения договора о проведении проверки актуарного заключения" </w:t>
      </w:r>
      <w:hyperlink w:history="0" w:anchor="P38605" w:tooltip="19">
        <w:r>
          <w:rPr>
            <w:sz w:val="24"/>
            <w:color w:val="0000ff"/>
          </w:rPr>
          <w:t xml:space="preserve">(строка 19)</w:t>
        </w:r>
      </w:hyperlink>
      <w:r>
        <w:rPr>
          <w:sz w:val="24"/>
        </w:rPr>
        <w:t xml:space="preserve"> указываются соответственно номер (в случае его отсутствия указывается значение "б/н" (без номера) и дата заключения договора о проведении проверки актуарного заключения.</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8630" w:name="P38630"/>
    <w:bookmarkEnd w:id="38630"/>
    <w:p>
      <w:pPr>
        <w:pStyle w:val="0"/>
        <w:jc w:val="center"/>
      </w:pPr>
      <w:r>
        <w:rPr>
          <w:sz w:val="24"/>
        </w:rPr>
        <w:t xml:space="preserve">Отчетность по форме 0420169</w:t>
      </w:r>
    </w:p>
    <w:p>
      <w:pPr>
        <w:pStyle w:val="0"/>
        <w:jc w:val="center"/>
      </w:pPr>
      <w:r>
        <w:rPr>
          <w:sz w:val="24"/>
        </w:rPr>
        <w:t xml:space="preserve">"Сведения для расчета размера (квоты) участия иностранного</w:t>
      </w:r>
    </w:p>
    <w:p>
      <w:pPr>
        <w:pStyle w:val="0"/>
        <w:jc w:val="center"/>
      </w:pPr>
      <w:r>
        <w:rPr>
          <w:sz w:val="24"/>
        </w:rPr>
        <w:t xml:space="preserve">капитала в совокупном уставном капитале страховых</w:t>
      </w:r>
    </w:p>
    <w:p>
      <w:pPr>
        <w:pStyle w:val="0"/>
        <w:jc w:val="center"/>
      </w:pPr>
      <w:r>
        <w:rPr>
          <w:sz w:val="24"/>
        </w:rPr>
        <w:t xml:space="preserve">организаций, имеющих лицензию на осуществление</w:t>
      </w:r>
    </w:p>
    <w:p>
      <w:pPr>
        <w:pStyle w:val="0"/>
        <w:jc w:val="center"/>
      </w:pPr>
      <w:r>
        <w:rPr>
          <w:sz w:val="24"/>
        </w:rPr>
        <w:t xml:space="preserve">страховой деятельности"</w:t>
      </w:r>
    </w:p>
    <w:p>
      <w:pPr>
        <w:pStyle w:val="0"/>
        <w:ind w:firstLine="540"/>
        <w:jc w:val="both"/>
      </w:pPr>
      <w:r>
        <w:rPr>
          <w:sz w:val="24"/>
        </w:rPr>
      </w:r>
    </w:p>
    <w:p>
      <w:pPr>
        <w:pStyle w:val="0"/>
        <w:jc w:val="right"/>
      </w:pPr>
      <w:r>
        <w:rPr>
          <w:sz w:val="24"/>
        </w:rPr>
        <w:t xml:space="preserve">Код формы по </w:t>
      </w:r>
      <w:hyperlink w:history="0" r:id="rId648"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686" w:tooltip="&lt;1&gt; Общероссийский классификатор управленческой документации.">
        <w:r>
          <w:rPr>
            <w:sz w:val="24"/>
            <w:color w:val="0000ff"/>
          </w:rPr>
          <w:t xml:space="preserve">&lt;1&gt;</w:t>
        </w:r>
      </w:hyperlink>
      <w:r>
        <w:rPr>
          <w:sz w:val="24"/>
        </w:rPr>
        <w:t xml:space="preserve"> 0420169</w:t>
      </w:r>
    </w:p>
    <w:p>
      <w:pPr>
        <w:pStyle w:val="0"/>
        <w:ind w:firstLine="540"/>
        <w:jc w:val="both"/>
      </w:pPr>
      <w:r>
        <w:rPr>
          <w:sz w:val="24"/>
        </w:rPr>
      </w:r>
    </w:p>
    <w:p>
      <w:pPr>
        <w:pStyle w:val="0"/>
        <w:jc w:val="right"/>
      </w:pPr>
      <w:r>
        <w:rPr>
          <w:sz w:val="24"/>
        </w:rPr>
        <w:t xml:space="preserve">За 9 месяцев, годовая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8648" w:name="P38648"/>
          <w:bookmarkEnd w:id="38648"/>
          <w:p>
            <w:pPr>
              <w:pStyle w:val="0"/>
            </w:pPr>
            <w:r>
              <w:rPr>
                <w:sz w:val="24"/>
              </w:rPr>
              <w:t xml:space="preserve">1</w:t>
            </w:r>
          </w:p>
        </w:tc>
        <w:tc>
          <w:tcPr>
            <w:tcW w:w="2608" w:type="dxa"/>
          </w:tcPr>
          <w:p>
            <w:pPr>
              <w:pStyle w:val="0"/>
            </w:pPr>
            <w:r>
              <w:rPr>
                <w:sz w:val="24"/>
              </w:rPr>
              <w:t xml:space="preserve">Размер оплаченного уставного капитала</w:t>
            </w:r>
          </w:p>
        </w:tc>
        <w:tc>
          <w:tcPr>
            <w:tcW w:w="2608" w:type="dxa"/>
          </w:tcPr>
          <w:p>
            <w:pPr>
              <w:pStyle w:val="0"/>
            </w:pPr>
            <w:r>
              <w:rPr>
                <w:sz w:val="24"/>
              </w:rPr>
            </w:r>
          </w:p>
        </w:tc>
        <w:tc>
          <w:tcPr>
            <w:tcW w:w="2948" w:type="dxa"/>
          </w:tcPr>
          <w:p>
            <w:pPr>
              <w:pStyle w:val="0"/>
            </w:pPr>
            <w:r>
              <w:rPr>
                <w:sz w:val="24"/>
              </w:rPr>
              <w:t xml:space="preserve">ins-dic:OplUstKap</w:t>
            </w:r>
          </w:p>
        </w:tc>
      </w:tr>
      <w:tr>
        <w:tc>
          <w:tcPr>
            <w:tcW w:w="907" w:type="dxa"/>
          </w:tcPr>
          <w:bookmarkStart w:id="38652" w:name="P38652"/>
          <w:bookmarkEnd w:id="38652"/>
          <w:p>
            <w:pPr>
              <w:pStyle w:val="0"/>
            </w:pPr>
            <w:r>
              <w:rPr>
                <w:sz w:val="24"/>
              </w:rPr>
              <w:t xml:space="preserve">2</w:t>
            </w:r>
          </w:p>
        </w:tc>
        <w:tc>
          <w:tcPr>
            <w:tcW w:w="2608" w:type="dxa"/>
          </w:tcPr>
          <w:p>
            <w:pPr>
              <w:pStyle w:val="0"/>
            </w:pPr>
            <w:r>
              <w:rPr>
                <w:sz w:val="24"/>
              </w:rPr>
              <w:t xml:space="preserve">Участие акционера (участника) - нерезидента в оплаченном уставном капитале на дату вхождения в состав акционеров (участников)</w:t>
            </w:r>
          </w:p>
        </w:tc>
        <w:tc>
          <w:tcPr>
            <w:tcW w:w="2608" w:type="dxa"/>
          </w:tcPr>
          <w:p>
            <w:pPr>
              <w:pStyle w:val="0"/>
            </w:pPr>
            <w:r>
              <w:rPr>
                <w:sz w:val="24"/>
              </w:rPr>
            </w:r>
          </w:p>
        </w:tc>
        <w:tc>
          <w:tcPr>
            <w:tcW w:w="2948" w:type="dxa"/>
          </w:tcPr>
          <w:p>
            <w:pPr>
              <w:pStyle w:val="0"/>
            </w:pPr>
            <w:r>
              <w:rPr>
                <w:sz w:val="24"/>
              </w:rPr>
              <w:t xml:space="preserve">ins-dic:Uchast_AkczUch_OplUk_Sk_DataVxozhd</w:t>
            </w:r>
          </w:p>
        </w:tc>
      </w:tr>
      <w:tr>
        <w:tblPrEx>
          <w:tblBorders>
            <w:right w:val="nil"/>
          </w:tblBorders>
        </w:tblPrEx>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Идентификатор акционера (участника)</w:t>
            </w:r>
          </w:p>
        </w:tc>
        <w:tc>
          <w:tcPr>
            <w:tcW w:w="2948" w:type="dxa"/>
            <w:tcBorders>
              <w:right w:val="nil"/>
            </w:tcBorders>
          </w:tcPr>
          <w:p>
            <w:pPr>
              <w:pStyle w:val="0"/>
            </w:pPr>
            <w:r>
              <w:rPr>
                <w:sz w:val="24"/>
              </w:rPr>
              <w:t xml:space="preserve">dim-int:ID_akczioneraTaxis</w:t>
            </w:r>
          </w:p>
        </w:tc>
      </w:tr>
      <w:tr>
        <w:tc>
          <w:tcPr>
            <w:tcW w:w="907" w:type="dxa"/>
          </w:tcPr>
          <w:bookmarkStart w:id="38660" w:name="P38660"/>
          <w:bookmarkEnd w:id="38660"/>
          <w:p>
            <w:pPr>
              <w:pStyle w:val="0"/>
            </w:pPr>
            <w:r>
              <w:rPr>
                <w:sz w:val="24"/>
              </w:rPr>
              <w:t xml:space="preserve">3</w:t>
            </w:r>
          </w:p>
        </w:tc>
        <w:tc>
          <w:tcPr>
            <w:tcW w:w="2608" w:type="dxa"/>
          </w:tcPr>
          <w:p>
            <w:pPr>
              <w:pStyle w:val="0"/>
            </w:pPr>
            <w:r>
              <w:rPr>
                <w:sz w:val="24"/>
              </w:rPr>
              <w:t xml:space="preserve">Участие акционера (участника) - нерезидента в оплаченном уставном капитале на отчетную дату</w:t>
            </w:r>
          </w:p>
        </w:tc>
        <w:tc>
          <w:tcPr>
            <w:tcW w:w="2608" w:type="dxa"/>
          </w:tcPr>
          <w:p>
            <w:pPr>
              <w:pStyle w:val="0"/>
            </w:pPr>
            <w:r>
              <w:rPr>
                <w:sz w:val="24"/>
              </w:rPr>
            </w:r>
          </w:p>
        </w:tc>
        <w:tc>
          <w:tcPr>
            <w:tcW w:w="2948" w:type="dxa"/>
          </w:tcPr>
          <w:p>
            <w:pPr>
              <w:pStyle w:val="0"/>
            </w:pPr>
            <w:r>
              <w:rPr>
                <w:sz w:val="24"/>
              </w:rPr>
              <w:t xml:space="preserve">ins-dic:Uchast_AkczUch_OplUk_Sk_Otch_Data</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Идентификатор акционера (участника)</w:t>
            </w:r>
          </w:p>
        </w:tc>
        <w:tc>
          <w:tcPr>
            <w:tcW w:w="2948" w:type="dxa"/>
          </w:tcPr>
          <w:p>
            <w:pPr>
              <w:pStyle w:val="0"/>
            </w:pPr>
            <w:r>
              <w:rPr>
                <w:sz w:val="24"/>
              </w:rPr>
              <w:t xml:space="preserve">dim-int:ID_akczioneraTaxis</w:t>
            </w:r>
          </w:p>
        </w:tc>
      </w:tr>
      <w:tr>
        <w:tc>
          <w:tcPr>
            <w:tcW w:w="907" w:type="dxa"/>
          </w:tcPr>
          <w:bookmarkStart w:id="38668" w:name="P38668"/>
          <w:bookmarkEnd w:id="38668"/>
          <w:p>
            <w:pPr>
              <w:pStyle w:val="0"/>
            </w:pPr>
            <w:r>
              <w:rPr>
                <w:sz w:val="24"/>
              </w:rPr>
              <w:t xml:space="preserve">4</w:t>
            </w:r>
          </w:p>
        </w:tc>
        <w:tc>
          <w:tcPr>
            <w:tcW w:w="2608" w:type="dxa"/>
          </w:tcPr>
          <w:p>
            <w:pPr>
              <w:pStyle w:val="0"/>
            </w:pPr>
            <w:r>
              <w:rPr>
                <w:sz w:val="24"/>
              </w:rPr>
              <w:t xml:space="preserve">Доля участия акционера (участника) - нерезидента в оплаченном уставном капитале на отчетную дату, %</w:t>
            </w:r>
          </w:p>
        </w:tc>
        <w:tc>
          <w:tcPr>
            <w:tcW w:w="2608" w:type="dxa"/>
          </w:tcPr>
          <w:p>
            <w:pPr>
              <w:pStyle w:val="0"/>
            </w:pPr>
            <w:r>
              <w:rPr>
                <w:sz w:val="24"/>
              </w:rPr>
            </w:r>
          </w:p>
        </w:tc>
        <w:tc>
          <w:tcPr>
            <w:tcW w:w="2948" w:type="dxa"/>
          </w:tcPr>
          <w:p>
            <w:pPr>
              <w:pStyle w:val="0"/>
            </w:pPr>
            <w:r>
              <w:rPr>
                <w:sz w:val="24"/>
              </w:rPr>
              <w:t xml:space="preserve">ins-dic:Dol_Uch_Akcz_Uch_Nerez_Opl_Uk_So_OtchData</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Идентификатор акционера (участника)</w:t>
            </w:r>
          </w:p>
        </w:tc>
        <w:tc>
          <w:tcPr>
            <w:tcW w:w="2948" w:type="dxa"/>
          </w:tcPr>
          <w:p>
            <w:pPr>
              <w:pStyle w:val="0"/>
            </w:pPr>
            <w:r>
              <w:rPr>
                <w:sz w:val="24"/>
              </w:rPr>
              <w:t xml:space="preserve">dim-int:ID_akczioneraTaxis</w:t>
            </w:r>
          </w:p>
        </w:tc>
      </w:tr>
      <w:tr>
        <w:tc>
          <w:tcPr>
            <w:tcW w:w="907" w:type="dxa"/>
          </w:tcPr>
          <w:bookmarkStart w:id="38676" w:name="P38676"/>
          <w:bookmarkEnd w:id="38676"/>
          <w:p>
            <w:pPr>
              <w:pStyle w:val="0"/>
            </w:pPr>
            <w:r>
              <w:rPr>
                <w:sz w:val="24"/>
              </w:rPr>
              <w:t xml:space="preserve">5</w:t>
            </w:r>
          </w:p>
        </w:tc>
        <w:tc>
          <w:tcPr>
            <w:tcW w:w="2608" w:type="dxa"/>
          </w:tcPr>
          <w:p>
            <w:pPr>
              <w:pStyle w:val="0"/>
            </w:pPr>
            <w:r>
              <w:rPr>
                <w:sz w:val="24"/>
              </w:rPr>
              <w:t xml:space="preserve">Сумма выплаченных дивидендов нарастающим итогом</w:t>
            </w:r>
          </w:p>
        </w:tc>
        <w:tc>
          <w:tcPr>
            <w:tcW w:w="2608" w:type="dxa"/>
          </w:tcPr>
          <w:p>
            <w:pPr>
              <w:pStyle w:val="0"/>
            </w:pPr>
            <w:r>
              <w:rPr>
                <w:sz w:val="24"/>
              </w:rPr>
            </w:r>
          </w:p>
        </w:tc>
        <w:tc>
          <w:tcPr>
            <w:tcW w:w="2948" w:type="dxa"/>
          </w:tcPr>
          <w:p>
            <w:pPr>
              <w:pStyle w:val="0"/>
            </w:pPr>
            <w:r>
              <w:rPr>
                <w:sz w:val="24"/>
              </w:rPr>
              <w:t xml:space="preserve">ins-dic:SumVypDividNarastItog</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Идентификатор акционера (участника)</w:t>
            </w:r>
          </w:p>
        </w:tc>
        <w:tc>
          <w:tcPr>
            <w:tcW w:w="2948" w:type="dxa"/>
          </w:tcPr>
          <w:p>
            <w:pPr>
              <w:pStyle w:val="0"/>
            </w:pPr>
            <w:r>
              <w:rPr>
                <w:sz w:val="24"/>
              </w:rPr>
              <w:t xml:space="preserve">dim-int:ID_akczioneraTaxis</w:t>
            </w:r>
          </w:p>
        </w:tc>
      </w:tr>
    </w:tbl>
    <w:p>
      <w:pPr>
        <w:pStyle w:val="0"/>
        <w:ind w:firstLine="540"/>
        <w:jc w:val="both"/>
      </w:pPr>
      <w:r>
        <w:rPr>
          <w:sz w:val="24"/>
        </w:rPr>
      </w:r>
    </w:p>
    <w:p>
      <w:pPr>
        <w:pStyle w:val="0"/>
        <w:ind w:firstLine="540"/>
        <w:jc w:val="both"/>
      </w:pPr>
      <w:r>
        <w:rPr>
          <w:sz w:val="24"/>
        </w:rPr>
        <w:t xml:space="preserve">--------------------------------</w:t>
      </w:r>
    </w:p>
    <w:bookmarkStart w:id="38686" w:name="P38686"/>
    <w:bookmarkEnd w:id="38686"/>
    <w:p>
      <w:pPr>
        <w:pStyle w:val="0"/>
        <w:spacing w:before="240" w:lineRule="auto"/>
        <w:ind w:firstLine="540"/>
        <w:jc w:val="both"/>
      </w:pPr>
      <w:r>
        <w:rPr>
          <w:sz w:val="24"/>
        </w:rPr>
        <w:t xml:space="preserve">&lt;1&gt; Общероссийский </w:t>
      </w:r>
      <w:hyperlink w:history="0" r:id="rId64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5.2</w:t>
            </w:r>
          </w:p>
        </w:tc>
        <w:tc>
          <w:tcPr>
            <w:tcW w:w="2891" w:type="dxa"/>
          </w:tcPr>
          <w:p>
            <w:pPr>
              <w:pStyle w:val="0"/>
            </w:pPr>
            <w:r>
              <w:rPr>
                <w:sz w:val="24"/>
              </w:rPr>
            </w:r>
          </w:p>
        </w:tc>
        <w:tc>
          <w:tcPr>
            <w:tcW w:w="1814" w:type="dxa"/>
          </w:tcPr>
          <w:p>
            <w:pPr>
              <w:pStyle w:val="0"/>
            </w:pPr>
            <w:r>
              <w:rPr>
                <w:sz w:val="24"/>
              </w:rPr>
              <w:t xml:space="preserve">Дата принятия решения о выплате дивидендов или капитализации (распределении) прибыли</w:t>
            </w:r>
          </w:p>
        </w:tc>
        <w:tc>
          <w:tcPr>
            <w:tcW w:w="3402" w:type="dxa"/>
          </w:tcPr>
          <w:p>
            <w:pPr>
              <w:pStyle w:val="0"/>
            </w:pPr>
            <w:r>
              <w:rPr>
                <w:sz w:val="24"/>
              </w:rPr>
              <w:t xml:space="preserve">dinwnt:IDReshOVypDividKapitPribTaxis</w:t>
            </w:r>
          </w:p>
        </w:tc>
      </w:tr>
      <w:tr>
        <w:tc>
          <w:tcPr>
            <w:tcW w:w="964" w:type="dxa"/>
          </w:tcPr>
          <w:bookmarkStart w:id="38696" w:name="P38696"/>
          <w:bookmarkEnd w:id="38696"/>
          <w:p>
            <w:pPr>
              <w:pStyle w:val="0"/>
            </w:pPr>
            <w:r>
              <w:rPr>
                <w:sz w:val="24"/>
              </w:rPr>
              <w:t xml:space="preserve">6</w:t>
            </w:r>
          </w:p>
        </w:tc>
        <w:tc>
          <w:tcPr>
            <w:tcW w:w="2891" w:type="dxa"/>
          </w:tcPr>
          <w:p>
            <w:pPr>
              <w:pStyle w:val="0"/>
            </w:pPr>
            <w:r>
              <w:rPr>
                <w:sz w:val="24"/>
              </w:rPr>
              <w:t xml:space="preserve">Увеличение уставного капитала за счет капитализации прибыли и за счет начисленных, но не выплаченных дивидендов</w:t>
            </w:r>
          </w:p>
        </w:tc>
        <w:tc>
          <w:tcPr>
            <w:tcW w:w="1814" w:type="dxa"/>
          </w:tcPr>
          <w:p>
            <w:pPr>
              <w:pStyle w:val="0"/>
            </w:pPr>
            <w:r>
              <w:rPr>
                <w:sz w:val="24"/>
              </w:rPr>
            </w:r>
          </w:p>
        </w:tc>
        <w:tc>
          <w:tcPr>
            <w:tcW w:w="3402" w:type="dxa"/>
          </w:tcPr>
          <w:p>
            <w:pPr>
              <w:pStyle w:val="0"/>
            </w:pPr>
            <w:r>
              <w:rPr>
                <w:sz w:val="24"/>
              </w:rPr>
              <w:t xml:space="preserve">ins-dic:Uvel_Uk_Kap_Pribyl_NachNeVypDivid</w:t>
            </w:r>
          </w:p>
        </w:tc>
      </w:tr>
      <w:tr>
        <w:tc>
          <w:tcPr>
            <w:tcW w:w="964" w:type="dxa"/>
          </w:tcPr>
          <w:p>
            <w:pPr>
              <w:pStyle w:val="0"/>
            </w:pPr>
            <w:r>
              <w:rPr>
                <w:sz w:val="24"/>
              </w:rPr>
              <w:t xml:space="preserve">6.1</w:t>
            </w:r>
          </w:p>
        </w:tc>
        <w:tc>
          <w:tcPr>
            <w:tcW w:w="2891" w:type="dxa"/>
          </w:tcPr>
          <w:p>
            <w:pPr>
              <w:pStyle w:val="0"/>
            </w:pPr>
            <w:r>
              <w:rPr>
                <w:sz w:val="24"/>
              </w:rPr>
            </w:r>
          </w:p>
        </w:tc>
        <w:tc>
          <w:tcPr>
            <w:tcW w:w="1814" w:type="dxa"/>
          </w:tcPr>
          <w:p>
            <w:pPr>
              <w:pStyle w:val="0"/>
            </w:pPr>
            <w:r>
              <w:rPr>
                <w:sz w:val="24"/>
              </w:rPr>
              <w:t xml:space="preserve">Идентификатор акционера (участника)</w:t>
            </w:r>
          </w:p>
        </w:tc>
        <w:tc>
          <w:tcPr>
            <w:tcW w:w="3402" w:type="dxa"/>
          </w:tcPr>
          <w:p>
            <w:pPr>
              <w:pStyle w:val="0"/>
            </w:pPr>
            <w:r>
              <w:rPr>
                <w:sz w:val="24"/>
              </w:rPr>
              <w:t xml:space="preserve">dim-int:ID_akczioneraTaxis</w:t>
            </w:r>
          </w:p>
        </w:tc>
      </w:tr>
      <w:tr>
        <w:tc>
          <w:tcPr>
            <w:tcW w:w="964" w:type="dxa"/>
          </w:tcPr>
          <w:p>
            <w:pPr>
              <w:pStyle w:val="0"/>
            </w:pPr>
            <w:r>
              <w:rPr>
                <w:sz w:val="24"/>
              </w:rPr>
              <w:t xml:space="preserve">6.2</w:t>
            </w:r>
          </w:p>
        </w:tc>
        <w:tc>
          <w:tcPr>
            <w:tcW w:w="2891" w:type="dxa"/>
          </w:tcPr>
          <w:p>
            <w:pPr>
              <w:pStyle w:val="0"/>
            </w:pPr>
            <w:r>
              <w:rPr>
                <w:sz w:val="24"/>
              </w:rPr>
            </w:r>
          </w:p>
        </w:tc>
        <w:tc>
          <w:tcPr>
            <w:tcW w:w="1814" w:type="dxa"/>
          </w:tcPr>
          <w:p>
            <w:pPr>
              <w:pStyle w:val="0"/>
            </w:pPr>
            <w:r>
              <w:rPr>
                <w:sz w:val="24"/>
              </w:rPr>
              <w:t xml:space="preserve">Дата принятия решения о выплате дивидендов или капитализации (распределении) прибыли</w:t>
            </w:r>
          </w:p>
        </w:tc>
        <w:tc>
          <w:tcPr>
            <w:tcW w:w="3402" w:type="dxa"/>
          </w:tcPr>
          <w:p>
            <w:pPr>
              <w:pStyle w:val="0"/>
            </w:pPr>
            <w:r>
              <w:rPr>
                <w:sz w:val="24"/>
              </w:rPr>
              <w:t xml:space="preserve">dim-int:IDReshOVypDividKapitPribTaxis</w:t>
            </w:r>
          </w:p>
        </w:tc>
      </w:tr>
    </w:tbl>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0420169 "Сведения</w:t>
      </w:r>
    </w:p>
    <w:p>
      <w:pPr>
        <w:pStyle w:val="0"/>
        <w:jc w:val="center"/>
      </w:pPr>
      <w:r>
        <w:rPr>
          <w:sz w:val="24"/>
        </w:rPr>
        <w:t xml:space="preserve">для расчета размера (квоты) участия иностранного капитала</w:t>
      </w:r>
    </w:p>
    <w:p>
      <w:pPr>
        <w:pStyle w:val="0"/>
        <w:jc w:val="center"/>
      </w:pPr>
      <w:r>
        <w:rPr>
          <w:sz w:val="24"/>
        </w:rPr>
        <w:t xml:space="preserve">в совокупном уставном капитале страховых организаций,</w:t>
      </w:r>
    </w:p>
    <w:p>
      <w:pPr>
        <w:pStyle w:val="0"/>
        <w:jc w:val="center"/>
      </w:pPr>
      <w:r>
        <w:rPr>
          <w:sz w:val="24"/>
        </w:rPr>
        <w:t xml:space="preserve">имеющих лицензию на осуществление</w:t>
      </w:r>
    </w:p>
    <w:p>
      <w:pPr>
        <w:pStyle w:val="0"/>
        <w:jc w:val="center"/>
      </w:pPr>
      <w:r>
        <w:rPr>
          <w:sz w:val="24"/>
        </w:rPr>
        <w:t xml:space="preserve">страховой деятельности"</w:t>
      </w:r>
    </w:p>
    <w:p>
      <w:pPr>
        <w:pStyle w:val="0"/>
        <w:ind w:firstLine="540"/>
        <w:jc w:val="both"/>
      </w:pPr>
      <w:r>
        <w:rPr>
          <w:sz w:val="24"/>
        </w:rPr>
      </w:r>
    </w:p>
    <w:p>
      <w:pPr>
        <w:pStyle w:val="0"/>
        <w:ind w:firstLine="540"/>
        <w:jc w:val="both"/>
      </w:pPr>
      <w:r>
        <w:rPr>
          <w:sz w:val="24"/>
        </w:rPr>
        <w:t xml:space="preserve">1. Отчетность по </w:t>
      </w:r>
      <w:hyperlink w:history="0" w:anchor="P38630" w:tooltip="Отчетность по форме 0420169">
        <w:r>
          <w:rPr>
            <w:sz w:val="24"/>
            <w:color w:val="0000ff"/>
          </w:rPr>
          <w:t xml:space="preserve">форме 0420169</w:t>
        </w:r>
      </w:hyperlink>
      <w:r>
        <w:rPr>
          <w:sz w:val="24"/>
        </w:rPr>
        <w:t xml:space="preserve"> "Сведения для расчета размера (квоты) участия иностранного капитала в совокупном уставном капитале страховых организаций, имеющих лицензию на осуществление страховой деятельности" (далее - отчетность по форме 0420169) составляется страховой организацией, имеющей долю иностранных инвесторов в своем уставном капитале и лицензию на осуществление страховой деятельности, в целях выполнения требований </w:t>
      </w:r>
      <w:hyperlink w:history="0" r:id="rId65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абзаца второго пункта 3.1 статьи 6</w:t>
        </w:r>
      </w:hyperlink>
      <w:r>
        <w:rPr>
          <w:sz w:val="24"/>
        </w:rPr>
        <w:t xml:space="preserve"> Закона Российской Федерации от 27 ноября 1992 года N 4015-I "Об организации страхового дела в Российской Федерации" посредством формирования предусмотренных в ней показателей за 9 месяцев и год (далее - отчетный период) по состоянию на последний календарный день отчетного периода включительно (далее - отчетная дата)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 </w:t>
      </w:r>
      <w:hyperlink w:history="0" w:anchor="P54285" w:tooltip="3. Понятия &quot;резидент&quot; и &quot;нерезидент&quot; используются в значениях, установленных пунктами 6 и 7 части 1 статьи 1 Федерального закона от 10 декабря 2003 года N 173-ФЗ &quot;О валютном регулировании и валютном контроле&quot;.">
        <w:r>
          <w:rPr>
            <w:sz w:val="24"/>
            <w:color w:val="0000ff"/>
          </w:rPr>
          <w:t xml:space="preserve">3</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2. Отчетность по </w:t>
      </w:r>
      <w:hyperlink w:history="0" w:anchor="P38630" w:tooltip="Отчетность по форме 0420169">
        <w:r>
          <w:rPr>
            <w:sz w:val="24"/>
            <w:color w:val="0000ff"/>
          </w:rPr>
          <w:t xml:space="preserve">форме 0420169</w:t>
        </w:r>
      </w:hyperlink>
      <w:r>
        <w:rPr>
          <w:sz w:val="24"/>
        </w:rPr>
        <w:t xml:space="preserve"> составляется в разрезе всех акционеров (участников) страховой организации - нерезидентов (по группе аналитических признаков "Идентификатор акционера (участника)"). В случае если акционером (участником) страховой организации является иностранное юридическое лицо, зарегистрированное в соответствии со </w:t>
      </w:r>
      <w:hyperlink w:history="0" r:id="rId651"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статьями 5</w:t>
        </w:r>
      </w:hyperlink>
      <w:r>
        <w:rPr>
          <w:sz w:val="24"/>
        </w:rPr>
        <w:t xml:space="preserve">, </w:t>
      </w:r>
      <w:hyperlink w:history="0" r:id="rId652"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12.2</w:t>
        </w:r>
      </w:hyperlink>
      <w:r>
        <w:rPr>
          <w:sz w:val="24"/>
        </w:rPr>
        <w:t xml:space="preserve"> и </w:t>
      </w:r>
      <w:hyperlink w:history="0" r:id="rId653"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12.16</w:t>
        </w:r>
      </w:hyperlink>
      <w:r>
        <w:rPr>
          <w:sz w:val="24"/>
        </w:rPr>
        <w:t xml:space="preserve"> Федерального закона от 3 августа 2018 года N 290-ФЗ "О международных компаниях и международных фондах", информация о таком акционере (участнике) не подлежит отражению в отчетности по </w:t>
      </w:r>
      <w:hyperlink w:history="0" w:anchor="P38630" w:tooltip="Отчетность по форме 0420169">
        <w:r>
          <w:rPr>
            <w:sz w:val="24"/>
            <w:color w:val="0000ff"/>
          </w:rPr>
          <w:t xml:space="preserve">форме 0420169</w:t>
        </w:r>
      </w:hyperlink>
      <w:r>
        <w:rPr>
          <w:sz w:val="24"/>
        </w:rPr>
        <w:t xml:space="preserve">.</w:t>
      </w:r>
    </w:p>
    <w:p>
      <w:pPr>
        <w:pStyle w:val="0"/>
        <w:spacing w:before="240" w:lineRule="auto"/>
        <w:ind w:firstLine="540"/>
        <w:jc w:val="both"/>
      </w:pPr>
      <w:r>
        <w:rPr>
          <w:sz w:val="24"/>
        </w:rPr>
        <w:t xml:space="preserve">Значение идентификатора акционера (участника), указанное по группе аналитических признаков "Идентификатор акционера (участника)", должно соответствовать значению, указанному по группе аналитических признаков "Идентификатор контрагента"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"Общие сведения о страховщике" по этому акционеру (участнику).</w:t>
      </w:r>
    </w:p>
    <w:p>
      <w:pPr>
        <w:pStyle w:val="0"/>
        <w:spacing w:before="240" w:lineRule="auto"/>
        <w:ind w:firstLine="540"/>
        <w:jc w:val="both"/>
      </w:pPr>
      <w:r>
        <w:rPr>
          <w:sz w:val="24"/>
        </w:rPr>
        <w:t xml:space="preserve">3. По показателю "Размер оплаченного уставного капитала" </w:t>
      </w:r>
      <w:hyperlink w:history="0" w:anchor="P38648" w:tooltip="1">
        <w:r>
          <w:rPr>
            <w:sz w:val="24"/>
            <w:color w:val="0000ff"/>
          </w:rPr>
          <w:t xml:space="preserve">(строка 1)</w:t>
        </w:r>
      </w:hyperlink>
      <w:r>
        <w:rPr>
          <w:sz w:val="24"/>
        </w:rPr>
        <w:t xml:space="preserve"> указывается размер оплаченного уставного капитала страховой организации на отчетную дату.</w:t>
      </w:r>
    </w:p>
    <w:p>
      <w:pPr>
        <w:pStyle w:val="0"/>
        <w:spacing w:before="240" w:lineRule="auto"/>
        <w:ind w:firstLine="540"/>
        <w:jc w:val="both"/>
      </w:pPr>
      <w:r>
        <w:rPr>
          <w:sz w:val="24"/>
        </w:rPr>
        <w:t xml:space="preserve">4. По показателю "Участие акционера (участника) - нерезидента в оплаченном уставном капитале на дату вхождения в состав акционеров (участников)" </w:t>
      </w:r>
      <w:hyperlink w:history="0" w:anchor="P38652" w:tooltip="2">
        <w:r>
          <w:rPr>
            <w:sz w:val="24"/>
            <w:color w:val="0000ff"/>
          </w:rPr>
          <w:t xml:space="preserve">(строка 2)</w:t>
        </w:r>
      </w:hyperlink>
      <w:r>
        <w:rPr>
          <w:sz w:val="24"/>
        </w:rPr>
        <w:t xml:space="preserve"> для каждого акционера (участника) - нерезидента указывается размер оплаченного уставного капитала на следующие даты:</w:t>
      </w:r>
    </w:p>
    <w:p>
      <w:pPr>
        <w:pStyle w:val="0"/>
        <w:spacing w:before="240" w:lineRule="auto"/>
        <w:ind w:firstLine="540"/>
        <w:jc w:val="both"/>
      </w:pPr>
      <w:r>
        <w:rPr>
          <w:sz w:val="24"/>
        </w:rPr>
        <w:t xml:space="preserve">для страховых организаций, действующих в форме акционерного общества, - по состоянию на дату государственной регистрации отчета об итогах выпуска (дополнительного выпуска) акций или представления в регистрирующий орган уведомления об итогах выпуска акций;</w:t>
      </w:r>
    </w:p>
    <w:p>
      <w:pPr>
        <w:pStyle w:val="0"/>
        <w:spacing w:before="240" w:lineRule="auto"/>
        <w:ind w:firstLine="540"/>
        <w:jc w:val="both"/>
      </w:pPr>
      <w:r>
        <w:rPr>
          <w:sz w:val="24"/>
        </w:rPr>
        <w:t xml:space="preserve">для страховых организаций, действующих в форме общества с ограниченной ответственностью, - по состоянию на дату внесения в единый государственный реестр юридических лиц изменений в устав страховой организации, связанных с изменением величины ее уставного капитала.</w:t>
      </w:r>
    </w:p>
    <w:p>
      <w:pPr>
        <w:pStyle w:val="0"/>
        <w:spacing w:before="240" w:lineRule="auto"/>
        <w:ind w:firstLine="540"/>
        <w:jc w:val="both"/>
      </w:pPr>
      <w:r>
        <w:rPr>
          <w:sz w:val="24"/>
        </w:rPr>
        <w:t xml:space="preserve">5. По показателю "Участие акционера (участника) - нерезидента в оплаченном уставном капитале на отчетную дату" </w:t>
      </w:r>
      <w:hyperlink w:history="0" w:anchor="P38660" w:tooltip="3">
        <w:r>
          <w:rPr>
            <w:sz w:val="24"/>
            <w:color w:val="0000ff"/>
          </w:rPr>
          <w:t xml:space="preserve">(строка 3)</w:t>
        </w:r>
      </w:hyperlink>
      <w:r>
        <w:rPr>
          <w:sz w:val="24"/>
        </w:rPr>
        <w:t xml:space="preserve"> для каждого акционера (участника) - нерезидента указывается размер оплаченного им уставного капитала страховой организации на отчетную дату.</w:t>
      </w:r>
    </w:p>
    <w:p>
      <w:pPr>
        <w:pStyle w:val="0"/>
        <w:spacing w:before="240" w:lineRule="auto"/>
        <w:ind w:firstLine="540"/>
        <w:jc w:val="both"/>
      </w:pPr>
      <w:r>
        <w:rPr>
          <w:sz w:val="24"/>
        </w:rPr>
        <w:t xml:space="preserve">6. По показателю "Доля участия акционера (участника) - нерезидента в оплаченном уставном капитале на отчетную дату, %" </w:t>
      </w:r>
      <w:hyperlink w:history="0" w:anchor="P38668" w:tooltip="4">
        <w:r>
          <w:rPr>
            <w:sz w:val="24"/>
            <w:color w:val="0000ff"/>
          </w:rPr>
          <w:t xml:space="preserve">(строка 4)</w:t>
        </w:r>
      </w:hyperlink>
      <w:r>
        <w:rPr>
          <w:sz w:val="24"/>
        </w:rPr>
        <w:t xml:space="preserve"> для каждого акционера (участника) - нерезидента указывается размер доли его участия в оплаченном уставном капитале страховой организации на отчетную дату в процентах. В целях формирования показателя "Доля участия акционера (участника) - нерезидента в оплаченном уставном капитале на отчетную дату, %" </w:t>
      </w:r>
      <w:hyperlink w:history="0" w:anchor="P38668" w:tooltip="4">
        <w:r>
          <w:rPr>
            <w:sz w:val="24"/>
            <w:color w:val="0000ff"/>
          </w:rPr>
          <w:t xml:space="preserve">(строка 4)</w:t>
        </w:r>
      </w:hyperlink>
      <w:r>
        <w:rPr>
          <w:sz w:val="24"/>
        </w:rPr>
        <w:t xml:space="preserve"> размер доли участия акционера (участника) - нерезидента в оплаченном уставном капитале страховой организации рассчитывается как отношение размера доли участия этого акционера (участника), указанного по показателю "Участие акционера (участника) - нерезидента в оплаченном уставном капитале на отчетную дату" </w:t>
      </w:r>
      <w:hyperlink w:history="0" w:anchor="P38660" w:tooltip="3">
        <w:r>
          <w:rPr>
            <w:sz w:val="24"/>
            <w:color w:val="0000ff"/>
          </w:rPr>
          <w:t xml:space="preserve">(строка 3)</w:t>
        </w:r>
      </w:hyperlink>
      <w:r>
        <w:rPr>
          <w:sz w:val="24"/>
        </w:rPr>
        <w:t xml:space="preserve">, к размеру оплаченного уставного капитала страховой организации, указанному по показателю "Размер оплаченного уставного капитала" </w:t>
      </w:r>
      <w:hyperlink w:history="0" w:anchor="P38648" w:tooltip="1">
        <w:r>
          <w:rPr>
            <w:sz w:val="24"/>
            <w:color w:val="0000ff"/>
          </w:rPr>
          <w:t xml:space="preserve">(строка 1)</w:t>
        </w:r>
      </w:hyperlink>
      <w:r>
        <w:rPr>
          <w:sz w:val="24"/>
        </w:rPr>
        <w:t xml:space="preserve">, умноженное на 100 процентов.</w:t>
      </w:r>
    </w:p>
    <w:p>
      <w:pPr>
        <w:pStyle w:val="0"/>
        <w:spacing w:before="240" w:lineRule="auto"/>
        <w:ind w:firstLine="540"/>
        <w:jc w:val="both"/>
      </w:pPr>
      <w:r>
        <w:rPr>
          <w:sz w:val="24"/>
        </w:rPr>
        <w:t xml:space="preserve">В случае если доля участия акционера (участника) - нерезидента в оплаченном уставном капитале страховой организации составляет 0,001 процента и менее, по показателю "Доля участия акционера (участника) - нерезидента в оплаченном уставном капитале на отчетную дату, %" </w:t>
      </w:r>
      <w:hyperlink w:history="0" w:anchor="P38668" w:tooltip="4">
        <w:r>
          <w:rPr>
            <w:sz w:val="24"/>
            <w:color w:val="0000ff"/>
          </w:rPr>
          <w:t xml:space="preserve">(строка 4)</w:t>
        </w:r>
      </w:hyperlink>
      <w:r>
        <w:rPr>
          <w:sz w:val="24"/>
        </w:rPr>
        <w:t xml:space="preserve"> указывается значение "менее 0,001%".</w:t>
      </w:r>
    </w:p>
    <w:p>
      <w:pPr>
        <w:pStyle w:val="0"/>
        <w:spacing w:before="240" w:lineRule="auto"/>
        <w:ind w:firstLine="540"/>
        <w:jc w:val="both"/>
      </w:pPr>
      <w:r>
        <w:rPr>
          <w:sz w:val="24"/>
        </w:rPr>
        <w:t xml:space="preserve">7. По показателю "Сумма выплаченных дивидендов нарастающим итогом" </w:t>
      </w:r>
      <w:hyperlink w:history="0" w:anchor="P38676" w:tooltip="5">
        <w:r>
          <w:rPr>
            <w:sz w:val="24"/>
            <w:color w:val="0000ff"/>
          </w:rPr>
          <w:t xml:space="preserve">(строка 5)</w:t>
        </w:r>
      </w:hyperlink>
      <w:r>
        <w:rPr>
          <w:sz w:val="24"/>
        </w:rPr>
        <w:t xml:space="preserve"> для каждого акционера (участника) - нерезидента указываются в хронологическом порядке сведения о выплаченных ему дивидендах (с отражением по группе аналитических признаков "Дата принятия решения о выплате дивидендов или капитализации (распределении) прибыли" даты принятия решения о выплате дивидендов).</w:t>
      </w:r>
    </w:p>
    <w:p>
      <w:pPr>
        <w:pStyle w:val="0"/>
        <w:spacing w:before="240" w:lineRule="auto"/>
        <w:ind w:firstLine="540"/>
        <w:jc w:val="both"/>
      </w:pPr>
      <w:r>
        <w:rPr>
          <w:sz w:val="24"/>
        </w:rPr>
        <w:t xml:space="preserve">8. По показателю "Увеличение уставного капитала за счет капитализации прибыли и за счет начисленных, но не выплаченных дивидендов" </w:t>
      </w:r>
      <w:hyperlink w:history="0" w:anchor="P38696" w:tooltip="6">
        <w:r>
          <w:rPr>
            <w:sz w:val="24"/>
            <w:color w:val="0000ff"/>
          </w:rPr>
          <w:t xml:space="preserve">(строка 6)</w:t>
        </w:r>
      </w:hyperlink>
      <w:r>
        <w:rPr>
          <w:sz w:val="24"/>
        </w:rPr>
        <w:t xml:space="preserve"> для каждого акционера (участника) - нерезидента указываются в хронологическом порядке данные о дивидендах, полученных им (начисленных ему), а также о распределении и капитализации прибыли страховой организации начиная с 1 января 2016 года (с отражением по группе аналитических признаков "Дата принятия решения о выплате дивидендов или капитализации (распределении) прибыли" даты принятия решения о капитализации (распределении) прибыли).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8735" w:name="P38735"/>
    <w:bookmarkEnd w:id="38735"/>
    <w:p>
      <w:pPr>
        <w:pStyle w:val="0"/>
        <w:jc w:val="center"/>
      </w:pPr>
      <w:r>
        <w:rPr>
          <w:sz w:val="24"/>
        </w:rPr>
        <w:t xml:space="preserve">Отчетность по форме 0420171</w:t>
      </w:r>
    </w:p>
    <w:p>
      <w:pPr>
        <w:pStyle w:val="0"/>
        <w:jc w:val="center"/>
      </w:pPr>
      <w:r>
        <w:rPr>
          <w:sz w:val="24"/>
        </w:rPr>
        <w:t xml:space="preserve">"Информация о лицах, которым страховщиком поручено</w:t>
      </w:r>
    </w:p>
    <w:p>
      <w:pPr>
        <w:pStyle w:val="0"/>
        <w:jc w:val="center"/>
      </w:pPr>
      <w:r>
        <w:rPr>
          <w:sz w:val="24"/>
        </w:rPr>
        <w:t xml:space="preserve">проведение идентификации, упрощенной идентификации,</w:t>
      </w:r>
    </w:p>
    <w:p>
      <w:pPr>
        <w:pStyle w:val="0"/>
        <w:jc w:val="center"/>
      </w:pPr>
      <w:r>
        <w:rPr>
          <w:sz w:val="24"/>
        </w:rPr>
        <w:t xml:space="preserve">обновление информации о клиентах, представителях клиентов,</w:t>
      </w:r>
    </w:p>
    <w:p>
      <w:pPr>
        <w:pStyle w:val="0"/>
        <w:jc w:val="center"/>
      </w:pPr>
      <w:r>
        <w:rPr>
          <w:sz w:val="24"/>
        </w:rPr>
        <w:t xml:space="preserve">выгодоприобретателях и бенефициарных владельцах"</w:t>
      </w:r>
    </w:p>
    <w:p>
      <w:pPr>
        <w:pStyle w:val="0"/>
        <w:ind w:firstLine="540"/>
        <w:jc w:val="both"/>
      </w:pPr>
      <w:r>
        <w:rPr>
          <w:sz w:val="24"/>
        </w:rPr>
      </w:r>
    </w:p>
    <w:p>
      <w:pPr>
        <w:pStyle w:val="0"/>
        <w:jc w:val="right"/>
      </w:pPr>
      <w:r>
        <w:rPr>
          <w:sz w:val="24"/>
        </w:rPr>
        <w:t xml:space="preserve">Код формы по </w:t>
      </w:r>
      <w:hyperlink w:history="0" r:id="rId654"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783" w:tooltip="&lt;1&gt; Общероссийский классификатор управленческой документации.">
        <w:r>
          <w:rPr>
            <w:sz w:val="24"/>
            <w:color w:val="0000ff"/>
          </w:rPr>
          <w:t xml:space="preserve">&lt;1&gt;</w:t>
        </w:r>
      </w:hyperlink>
      <w:r>
        <w:rPr>
          <w:sz w:val="24"/>
        </w:rPr>
        <w:t xml:space="preserve"> 0420171</w:t>
      </w:r>
    </w:p>
    <w:p>
      <w:pPr>
        <w:pStyle w:val="0"/>
        <w:ind w:firstLine="540"/>
        <w:jc w:val="both"/>
      </w:pPr>
      <w:r>
        <w:rPr>
          <w:sz w:val="24"/>
        </w:rPr>
      </w:r>
    </w:p>
    <w:p>
      <w:pPr>
        <w:pStyle w:val="0"/>
        <w:jc w:val="right"/>
      </w:pPr>
      <w:r>
        <w:rPr>
          <w:sz w:val="24"/>
        </w:rPr>
        <w:t xml:space="preserve">На нерегулярной основе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8753" w:name="P38753"/>
          <w:bookmarkEnd w:id="38753"/>
          <w:p>
            <w:pPr>
              <w:pStyle w:val="0"/>
            </w:pPr>
            <w:r>
              <w:rPr>
                <w:sz w:val="24"/>
              </w:rPr>
              <w:t xml:space="preserve">1</w:t>
            </w:r>
          </w:p>
        </w:tc>
        <w:tc>
          <w:tcPr>
            <w:tcW w:w="2608" w:type="dxa"/>
          </w:tcPr>
          <w:p>
            <w:pPr>
              <w:pStyle w:val="0"/>
            </w:pPr>
            <w:r>
              <w:rPr>
                <w:sz w:val="24"/>
              </w:rPr>
              <w:t xml:space="preserve">Полное наименование</w:t>
            </w:r>
          </w:p>
        </w:tc>
        <w:tc>
          <w:tcPr>
            <w:tcW w:w="2608" w:type="dxa"/>
          </w:tcPr>
          <w:p>
            <w:pPr>
              <w:pStyle w:val="0"/>
            </w:pPr>
            <w:r>
              <w:rPr>
                <w:sz w:val="24"/>
              </w:rPr>
            </w:r>
          </w:p>
        </w:tc>
        <w:tc>
          <w:tcPr>
            <w:tcW w:w="2948" w:type="dxa"/>
          </w:tcPr>
          <w:p>
            <w:pPr>
              <w:pStyle w:val="0"/>
            </w:pPr>
            <w:r>
              <w:rPr>
                <w:sz w:val="24"/>
              </w:rPr>
              <w:t xml:space="preserve">nfo-dic:PolnNaim</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2948" w:type="dxa"/>
          </w:tcPr>
          <w:p>
            <w:pPr>
              <w:pStyle w:val="0"/>
            </w:pPr>
            <w:r>
              <w:rPr>
                <w:sz w:val="24"/>
              </w:rPr>
              <w:t xml:space="preserve">dim-int:Sved_o_IdentifikacziiTaxis</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2948" w:type="dxa"/>
          </w:tcPr>
          <w:p>
            <w:pPr>
              <w:pStyle w:val="0"/>
            </w:pPr>
            <w:r>
              <w:rPr>
                <w:sz w:val="24"/>
              </w:rPr>
              <w:t xml:space="preserve">dim-int:ID_Dogovora_KOPoruchProvedIdentifTaxis</w:t>
            </w:r>
          </w:p>
        </w:tc>
      </w:tr>
      <w:tr>
        <w:tc>
          <w:tcPr>
            <w:tcW w:w="907" w:type="dxa"/>
          </w:tcPr>
          <w:bookmarkStart w:id="38765" w:name="P38765"/>
          <w:bookmarkEnd w:id="38765"/>
          <w:p>
            <w:pPr>
              <w:pStyle w:val="0"/>
            </w:pPr>
            <w:r>
              <w:rPr>
                <w:sz w:val="24"/>
              </w:rPr>
              <w:t xml:space="preserve">2</w:t>
            </w:r>
          </w:p>
        </w:tc>
        <w:tc>
          <w:tcPr>
            <w:tcW w:w="2608" w:type="dxa"/>
          </w:tcPr>
          <w:p>
            <w:pPr>
              <w:pStyle w:val="0"/>
            </w:pPr>
            <w:r>
              <w:rPr>
                <w:sz w:val="24"/>
              </w:rPr>
              <w:t xml:space="preserve">Регистрационный номер кредитной организации (порядковый номер ее филиала)</w:t>
            </w:r>
          </w:p>
        </w:tc>
        <w:tc>
          <w:tcPr>
            <w:tcW w:w="2608" w:type="dxa"/>
          </w:tcPr>
          <w:p>
            <w:pPr>
              <w:pStyle w:val="0"/>
            </w:pPr>
            <w:r>
              <w:rPr>
                <w:sz w:val="24"/>
              </w:rPr>
            </w:r>
          </w:p>
        </w:tc>
        <w:tc>
          <w:tcPr>
            <w:tcW w:w="2948" w:type="dxa"/>
          </w:tcPr>
          <w:p>
            <w:pPr>
              <w:pStyle w:val="0"/>
            </w:pPr>
            <w:r>
              <w:rPr>
                <w:sz w:val="24"/>
              </w:rPr>
              <w:t xml:space="preserve">nfo-dic:RegNomKO_PoryadkNomFiliala</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2948" w:type="dxa"/>
          </w:tcPr>
          <w:p>
            <w:pPr>
              <w:pStyle w:val="0"/>
            </w:pPr>
            <w:r>
              <w:rPr>
                <w:sz w:val="24"/>
              </w:rPr>
              <w:t xml:space="preserve">dim-int:Sved_o_IdentifikacziiTaxis</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2948" w:type="dxa"/>
          </w:tcPr>
          <w:p>
            <w:pPr>
              <w:pStyle w:val="0"/>
            </w:pPr>
            <w:r>
              <w:rPr>
                <w:sz w:val="24"/>
              </w:rPr>
              <w:t xml:space="preserve">dim-int:ID_Dogovora_KOPoruchProvedIdentifTaxis</w:t>
            </w:r>
          </w:p>
        </w:tc>
      </w:tr>
      <w:tr>
        <w:tc>
          <w:tcPr>
            <w:tcW w:w="907" w:type="dxa"/>
          </w:tcPr>
          <w:bookmarkStart w:id="38777" w:name="P38777"/>
          <w:bookmarkEnd w:id="38777"/>
          <w:p>
            <w:pPr>
              <w:pStyle w:val="0"/>
            </w:pPr>
            <w:r>
              <w:rPr>
                <w:sz w:val="24"/>
              </w:rPr>
              <w:t xml:space="preserve">3</w:t>
            </w:r>
          </w:p>
        </w:tc>
        <w:tc>
          <w:tcPr>
            <w:tcW w:w="2608" w:type="dxa"/>
          </w:tcPr>
          <w:p>
            <w:pPr>
              <w:pStyle w:val="0"/>
            </w:pPr>
            <w:r>
              <w:rPr>
                <w:sz w:val="24"/>
              </w:rPr>
              <w:t xml:space="preserve">Основной государственный регистрационный номер (ОГРН)</w:t>
            </w:r>
          </w:p>
        </w:tc>
        <w:tc>
          <w:tcPr>
            <w:tcW w:w="2608" w:type="dxa"/>
          </w:tcPr>
          <w:p>
            <w:pPr>
              <w:pStyle w:val="0"/>
            </w:pPr>
            <w:r>
              <w:rPr>
                <w:sz w:val="24"/>
              </w:rPr>
            </w:r>
          </w:p>
        </w:tc>
        <w:tc>
          <w:tcPr>
            <w:tcW w:w="2948" w:type="dxa"/>
          </w:tcPr>
          <w:p>
            <w:pPr>
              <w:pStyle w:val="0"/>
            </w:pPr>
            <w:r>
              <w:rPr>
                <w:sz w:val="24"/>
              </w:rPr>
              <w:t xml:space="preserve">nfo-dic:OGRN</w:t>
            </w:r>
          </w:p>
        </w:tc>
      </w:tr>
    </w:tbl>
    <w:p>
      <w:pPr>
        <w:pStyle w:val="0"/>
        <w:ind w:firstLine="540"/>
        <w:jc w:val="both"/>
      </w:pPr>
      <w:r>
        <w:rPr>
          <w:sz w:val="24"/>
        </w:rPr>
      </w:r>
    </w:p>
    <w:p>
      <w:pPr>
        <w:pStyle w:val="0"/>
        <w:ind w:firstLine="540"/>
        <w:jc w:val="both"/>
      </w:pPr>
      <w:r>
        <w:rPr>
          <w:sz w:val="24"/>
        </w:rPr>
        <w:t xml:space="preserve">--------------------------------</w:t>
      </w:r>
    </w:p>
    <w:bookmarkStart w:id="38783" w:name="P38783"/>
    <w:bookmarkEnd w:id="38783"/>
    <w:p>
      <w:pPr>
        <w:pStyle w:val="0"/>
        <w:spacing w:before="240" w:lineRule="auto"/>
        <w:ind w:firstLine="540"/>
        <w:jc w:val="both"/>
      </w:pPr>
      <w:r>
        <w:rPr>
          <w:sz w:val="24"/>
        </w:rPr>
        <w:t xml:space="preserve">&lt;1&gt; Общероссийский </w:t>
      </w:r>
      <w:hyperlink w:history="0" r:id="rId65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3.1</w:t>
            </w:r>
          </w:p>
        </w:tc>
        <w:tc>
          <w:tcPr>
            <w:tcW w:w="2891" w:type="dxa"/>
          </w:tcPr>
          <w:p>
            <w:pPr>
              <w:pStyle w:val="0"/>
            </w:pPr>
            <w:r>
              <w:rPr>
                <w:sz w:val="24"/>
              </w:rPr>
            </w:r>
          </w:p>
        </w:tc>
        <w:tc>
          <w:tcPr>
            <w:tcW w:w="1814"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dim-int:Sved_o_IdentifikacziiTaxis</w:t>
            </w:r>
          </w:p>
        </w:tc>
      </w:tr>
      <w:tr>
        <w:tc>
          <w:tcPr>
            <w:tcW w:w="964" w:type="dxa"/>
          </w:tcPr>
          <w:p>
            <w:pPr>
              <w:pStyle w:val="0"/>
            </w:pPr>
            <w:r>
              <w:rPr>
                <w:sz w:val="24"/>
              </w:rPr>
              <w:t xml:space="preserve">3.2</w:t>
            </w:r>
          </w:p>
        </w:tc>
        <w:tc>
          <w:tcPr>
            <w:tcW w:w="2891" w:type="dxa"/>
          </w:tcPr>
          <w:p>
            <w:pPr>
              <w:pStyle w:val="0"/>
            </w:pPr>
            <w:r>
              <w:rPr>
                <w:sz w:val="24"/>
              </w:rPr>
            </w:r>
          </w:p>
        </w:tc>
        <w:tc>
          <w:tcPr>
            <w:tcW w:w="1814"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dim-int:ID_Dogovora_KOPoruchProvedIdentifTaxis</w:t>
            </w:r>
          </w:p>
        </w:tc>
      </w:tr>
      <w:tr>
        <w:tc>
          <w:tcPr>
            <w:tcW w:w="964" w:type="dxa"/>
          </w:tcPr>
          <w:bookmarkStart w:id="38797" w:name="P38797"/>
          <w:bookmarkEnd w:id="38797"/>
          <w:p>
            <w:pPr>
              <w:pStyle w:val="0"/>
            </w:pPr>
            <w:r>
              <w:rPr>
                <w:sz w:val="24"/>
              </w:rPr>
              <w:t xml:space="preserve">4</w:t>
            </w:r>
          </w:p>
        </w:tc>
        <w:tc>
          <w:tcPr>
            <w:tcW w:w="2891" w:type="dxa"/>
          </w:tcPr>
          <w:p>
            <w:pPr>
              <w:pStyle w:val="0"/>
            </w:pPr>
            <w:r>
              <w:rPr>
                <w:sz w:val="24"/>
              </w:rPr>
              <w:t xml:space="preserve">Идентификационный номер налогоплательщика (ИНН)</w:t>
            </w:r>
          </w:p>
        </w:tc>
        <w:tc>
          <w:tcPr>
            <w:tcW w:w="1814" w:type="dxa"/>
          </w:tcPr>
          <w:p>
            <w:pPr>
              <w:pStyle w:val="0"/>
            </w:pPr>
            <w:r>
              <w:rPr>
                <w:sz w:val="24"/>
              </w:rPr>
            </w:r>
          </w:p>
        </w:tc>
        <w:tc>
          <w:tcPr>
            <w:tcW w:w="3402" w:type="dxa"/>
          </w:tcPr>
          <w:p>
            <w:pPr>
              <w:pStyle w:val="0"/>
            </w:pPr>
            <w:r>
              <w:rPr>
                <w:sz w:val="24"/>
              </w:rPr>
              <w:t xml:space="preserve">nfo-dic:INN</w:t>
            </w:r>
          </w:p>
        </w:tc>
      </w:tr>
      <w:tr>
        <w:tc>
          <w:tcPr>
            <w:tcW w:w="964" w:type="dxa"/>
          </w:tcPr>
          <w:p>
            <w:pPr>
              <w:pStyle w:val="0"/>
            </w:pPr>
            <w:r>
              <w:rPr>
                <w:sz w:val="24"/>
              </w:rPr>
              <w:t xml:space="preserve">4.1</w:t>
            </w:r>
          </w:p>
        </w:tc>
        <w:tc>
          <w:tcPr>
            <w:tcW w:w="2891" w:type="dxa"/>
          </w:tcPr>
          <w:p>
            <w:pPr>
              <w:pStyle w:val="0"/>
            </w:pPr>
            <w:r>
              <w:rPr>
                <w:sz w:val="24"/>
              </w:rPr>
            </w:r>
          </w:p>
        </w:tc>
        <w:tc>
          <w:tcPr>
            <w:tcW w:w="1814"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dim-int:Sved_o_IdentifikacziiTaxis</w:t>
            </w:r>
          </w:p>
        </w:tc>
      </w:tr>
      <w:tr>
        <w:tc>
          <w:tcPr>
            <w:tcW w:w="964" w:type="dxa"/>
          </w:tcPr>
          <w:p>
            <w:pPr>
              <w:pStyle w:val="0"/>
            </w:pPr>
            <w:r>
              <w:rPr>
                <w:sz w:val="24"/>
              </w:rPr>
              <w:t xml:space="preserve">4.2</w:t>
            </w:r>
          </w:p>
        </w:tc>
        <w:tc>
          <w:tcPr>
            <w:tcW w:w="2891" w:type="dxa"/>
          </w:tcPr>
          <w:p>
            <w:pPr>
              <w:pStyle w:val="0"/>
            </w:pPr>
            <w:r>
              <w:rPr>
                <w:sz w:val="24"/>
              </w:rPr>
            </w:r>
          </w:p>
        </w:tc>
        <w:tc>
          <w:tcPr>
            <w:tcW w:w="1814"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dim-int:ID_Dogovora_KOPoruchProvedIdentifTaxis</w:t>
            </w:r>
          </w:p>
        </w:tc>
      </w:tr>
      <w:tr>
        <w:tc>
          <w:tcPr>
            <w:tcW w:w="964" w:type="dxa"/>
          </w:tcPr>
          <w:bookmarkStart w:id="38809" w:name="P38809"/>
          <w:bookmarkEnd w:id="38809"/>
          <w:p>
            <w:pPr>
              <w:pStyle w:val="0"/>
            </w:pPr>
            <w:r>
              <w:rPr>
                <w:sz w:val="24"/>
              </w:rPr>
              <w:t xml:space="preserve">5</w:t>
            </w:r>
          </w:p>
        </w:tc>
        <w:tc>
          <w:tcPr>
            <w:tcW w:w="2891" w:type="dxa"/>
          </w:tcPr>
          <w:p>
            <w:pPr>
              <w:pStyle w:val="0"/>
            </w:pPr>
            <w:r>
              <w:rPr>
                <w:sz w:val="24"/>
              </w:rPr>
              <w:t xml:space="preserve">Код причины постановки на учет (КПП)</w:t>
            </w:r>
          </w:p>
        </w:tc>
        <w:tc>
          <w:tcPr>
            <w:tcW w:w="1814" w:type="dxa"/>
          </w:tcPr>
          <w:p>
            <w:pPr>
              <w:pStyle w:val="0"/>
            </w:pPr>
            <w:r>
              <w:rPr>
                <w:sz w:val="24"/>
              </w:rPr>
            </w:r>
          </w:p>
        </w:tc>
        <w:tc>
          <w:tcPr>
            <w:tcW w:w="3402" w:type="dxa"/>
          </w:tcPr>
          <w:p>
            <w:pPr>
              <w:pStyle w:val="0"/>
            </w:pPr>
            <w:r>
              <w:rPr>
                <w:sz w:val="24"/>
              </w:rPr>
              <w:t xml:space="preserve">nfo-dic:KPP_YUL_IP_reziden</w:t>
            </w:r>
          </w:p>
        </w:tc>
      </w:tr>
      <w:tr>
        <w:tc>
          <w:tcPr>
            <w:tcW w:w="964" w:type="dxa"/>
          </w:tcPr>
          <w:p>
            <w:pPr>
              <w:pStyle w:val="0"/>
            </w:pPr>
            <w:r>
              <w:rPr>
                <w:sz w:val="24"/>
              </w:rPr>
              <w:t xml:space="preserve">5.1</w:t>
            </w:r>
          </w:p>
        </w:tc>
        <w:tc>
          <w:tcPr>
            <w:tcW w:w="2891" w:type="dxa"/>
          </w:tcPr>
          <w:p>
            <w:pPr>
              <w:pStyle w:val="0"/>
            </w:pPr>
            <w:r>
              <w:rPr>
                <w:sz w:val="24"/>
              </w:rPr>
            </w:r>
          </w:p>
        </w:tc>
        <w:tc>
          <w:tcPr>
            <w:tcW w:w="1814"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dim-int:Sved_o_IdentifikacziiTaxis</w:t>
            </w:r>
          </w:p>
        </w:tc>
      </w:tr>
      <w:tr>
        <w:tc>
          <w:tcPr>
            <w:tcW w:w="964" w:type="dxa"/>
          </w:tcPr>
          <w:p>
            <w:pPr>
              <w:pStyle w:val="0"/>
            </w:pPr>
            <w:r>
              <w:rPr>
                <w:sz w:val="24"/>
              </w:rPr>
              <w:t xml:space="preserve">5.2</w:t>
            </w:r>
          </w:p>
        </w:tc>
        <w:tc>
          <w:tcPr>
            <w:tcW w:w="2891" w:type="dxa"/>
          </w:tcPr>
          <w:p>
            <w:pPr>
              <w:pStyle w:val="0"/>
            </w:pPr>
            <w:r>
              <w:rPr>
                <w:sz w:val="24"/>
              </w:rPr>
            </w:r>
          </w:p>
        </w:tc>
        <w:tc>
          <w:tcPr>
            <w:tcW w:w="1814"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dim-int:ID_Dogovora_KOPoruchProvedIdentifTaxis</w:t>
            </w:r>
          </w:p>
        </w:tc>
      </w:tr>
      <w:tr>
        <w:tc>
          <w:tcPr>
            <w:tcW w:w="964" w:type="dxa"/>
          </w:tcPr>
          <w:bookmarkStart w:id="38821" w:name="P38821"/>
          <w:bookmarkEnd w:id="38821"/>
          <w:p>
            <w:pPr>
              <w:pStyle w:val="0"/>
            </w:pPr>
            <w:r>
              <w:rPr>
                <w:sz w:val="24"/>
              </w:rPr>
              <w:t xml:space="preserve">6</w:t>
            </w:r>
          </w:p>
        </w:tc>
        <w:tc>
          <w:tcPr>
            <w:tcW w:w="2891" w:type="dxa"/>
          </w:tcPr>
          <w:p>
            <w:pPr>
              <w:pStyle w:val="0"/>
            </w:pPr>
            <w:r>
              <w:rPr>
                <w:sz w:val="24"/>
              </w:rPr>
              <w:t xml:space="preserve">Код поручения</w:t>
            </w:r>
          </w:p>
        </w:tc>
        <w:tc>
          <w:tcPr>
            <w:tcW w:w="1814" w:type="dxa"/>
          </w:tcPr>
          <w:p>
            <w:pPr>
              <w:pStyle w:val="0"/>
            </w:pPr>
            <w:r>
              <w:rPr>
                <w:sz w:val="24"/>
              </w:rPr>
            </w:r>
          </w:p>
        </w:tc>
        <w:tc>
          <w:tcPr>
            <w:tcW w:w="3402" w:type="dxa"/>
          </w:tcPr>
          <w:p>
            <w:pPr>
              <w:pStyle w:val="0"/>
            </w:pPr>
            <w:r>
              <w:rPr>
                <w:sz w:val="24"/>
              </w:rPr>
              <w:t xml:space="preserve">nfo-dic:TipDogNaIdentifUproshhIdentifObnovlInformEnumerator</w:t>
            </w:r>
          </w:p>
        </w:tc>
      </w:tr>
      <w:tr>
        <w:tc>
          <w:tcPr>
            <w:tcW w:w="964" w:type="dxa"/>
          </w:tcPr>
          <w:p>
            <w:pPr>
              <w:pStyle w:val="0"/>
            </w:pPr>
            <w:r>
              <w:rPr>
                <w:sz w:val="24"/>
              </w:rPr>
              <w:t xml:space="preserve">6.1</w:t>
            </w:r>
          </w:p>
        </w:tc>
        <w:tc>
          <w:tcPr>
            <w:tcW w:w="2891" w:type="dxa"/>
          </w:tcPr>
          <w:p>
            <w:pPr>
              <w:pStyle w:val="0"/>
            </w:pPr>
            <w:r>
              <w:rPr>
                <w:sz w:val="24"/>
              </w:rPr>
            </w:r>
          </w:p>
        </w:tc>
        <w:tc>
          <w:tcPr>
            <w:tcW w:w="1814"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dim-int:Sved_o_IdentifikacziiTaxis</w:t>
            </w:r>
          </w:p>
        </w:tc>
      </w:tr>
      <w:tr>
        <w:tc>
          <w:tcPr>
            <w:tcW w:w="964" w:type="dxa"/>
          </w:tcPr>
          <w:p>
            <w:pPr>
              <w:pStyle w:val="0"/>
            </w:pPr>
            <w:r>
              <w:rPr>
                <w:sz w:val="24"/>
              </w:rPr>
              <w:t xml:space="preserve">6.2</w:t>
            </w:r>
          </w:p>
        </w:tc>
        <w:tc>
          <w:tcPr>
            <w:tcW w:w="2891" w:type="dxa"/>
          </w:tcPr>
          <w:p>
            <w:pPr>
              <w:pStyle w:val="0"/>
            </w:pPr>
            <w:r>
              <w:rPr>
                <w:sz w:val="24"/>
              </w:rPr>
            </w:r>
          </w:p>
        </w:tc>
        <w:tc>
          <w:tcPr>
            <w:tcW w:w="1814"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dim-int:ID_Dogovora_KOPoruchProvedIdentifTaxis</w:t>
            </w:r>
          </w:p>
        </w:tc>
      </w:tr>
      <w:tr>
        <w:tc>
          <w:tcPr>
            <w:tcW w:w="964" w:type="dxa"/>
          </w:tcPr>
          <w:bookmarkStart w:id="38833" w:name="P38833"/>
          <w:bookmarkEnd w:id="38833"/>
          <w:p>
            <w:pPr>
              <w:pStyle w:val="0"/>
            </w:pPr>
            <w:r>
              <w:rPr>
                <w:sz w:val="24"/>
              </w:rPr>
              <w:t xml:space="preserve">7</w:t>
            </w:r>
          </w:p>
        </w:tc>
        <w:tc>
          <w:tcPr>
            <w:tcW w:w="2891" w:type="dxa"/>
          </w:tcPr>
          <w:p>
            <w:pPr>
              <w:pStyle w:val="0"/>
            </w:pPr>
            <w:r>
              <w:rPr>
                <w:sz w:val="24"/>
              </w:rPr>
              <w:t xml:space="preserve">Номер договора</w:t>
            </w:r>
          </w:p>
        </w:tc>
        <w:tc>
          <w:tcPr>
            <w:tcW w:w="1814" w:type="dxa"/>
          </w:tcPr>
          <w:p>
            <w:pPr>
              <w:pStyle w:val="0"/>
            </w:pPr>
            <w:r>
              <w:rPr>
                <w:sz w:val="24"/>
              </w:rPr>
            </w:r>
          </w:p>
        </w:tc>
        <w:tc>
          <w:tcPr>
            <w:tcW w:w="3402" w:type="dxa"/>
          </w:tcPr>
          <w:p>
            <w:pPr>
              <w:pStyle w:val="0"/>
            </w:pPr>
            <w:r>
              <w:rPr>
                <w:sz w:val="24"/>
              </w:rPr>
              <w:t xml:space="preserve">nfo-dic:NomDog</w:t>
            </w:r>
          </w:p>
        </w:tc>
      </w:tr>
      <w:tr>
        <w:tc>
          <w:tcPr>
            <w:tcW w:w="964" w:type="dxa"/>
          </w:tcPr>
          <w:p>
            <w:pPr>
              <w:pStyle w:val="0"/>
            </w:pPr>
            <w:r>
              <w:rPr>
                <w:sz w:val="24"/>
              </w:rPr>
              <w:t xml:space="preserve">7.1</w:t>
            </w:r>
          </w:p>
        </w:tc>
        <w:tc>
          <w:tcPr>
            <w:tcW w:w="2891" w:type="dxa"/>
          </w:tcPr>
          <w:p>
            <w:pPr>
              <w:pStyle w:val="0"/>
            </w:pPr>
            <w:r>
              <w:rPr>
                <w:sz w:val="24"/>
              </w:rPr>
            </w:r>
          </w:p>
        </w:tc>
        <w:tc>
          <w:tcPr>
            <w:tcW w:w="1814"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dim-int:Sved_o_IdentifikacziiTaxis</w:t>
            </w:r>
          </w:p>
        </w:tc>
      </w:tr>
      <w:tr>
        <w:tc>
          <w:tcPr>
            <w:tcW w:w="964" w:type="dxa"/>
          </w:tcPr>
          <w:p>
            <w:pPr>
              <w:pStyle w:val="0"/>
            </w:pPr>
            <w:r>
              <w:rPr>
                <w:sz w:val="24"/>
              </w:rPr>
              <w:t xml:space="preserve">7.2</w:t>
            </w:r>
          </w:p>
        </w:tc>
        <w:tc>
          <w:tcPr>
            <w:tcW w:w="2891" w:type="dxa"/>
          </w:tcPr>
          <w:p>
            <w:pPr>
              <w:pStyle w:val="0"/>
            </w:pPr>
            <w:r>
              <w:rPr>
                <w:sz w:val="24"/>
              </w:rPr>
            </w:r>
          </w:p>
        </w:tc>
        <w:tc>
          <w:tcPr>
            <w:tcW w:w="1814"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dim-int:ID_Dogovora_KOPoruchProvedIdentifTaxis</w:t>
            </w:r>
          </w:p>
        </w:tc>
      </w:tr>
      <w:tr>
        <w:tc>
          <w:tcPr>
            <w:tcW w:w="964" w:type="dxa"/>
          </w:tcPr>
          <w:bookmarkStart w:id="38845" w:name="P38845"/>
          <w:bookmarkEnd w:id="38845"/>
          <w:p>
            <w:pPr>
              <w:pStyle w:val="0"/>
            </w:pPr>
            <w:r>
              <w:rPr>
                <w:sz w:val="24"/>
              </w:rPr>
              <w:t xml:space="preserve">8</w:t>
            </w:r>
          </w:p>
        </w:tc>
        <w:tc>
          <w:tcPr>
            <w:tcW w:w="2891" w:type="dxa"/>
          </w:tcPr>
          <w:p>
            <w:pPr>
              <w:pStyle w:val="0"/>
            </w:pPr>
            <w:r>
              <w:rPr>
                <w:sz w:val="24"/>
              </w:rPr>
              <w:t xml:space="preserve">Дата заключения договора</w:t>
            </w:r>
          </w:p>
        </w:tc>
        <w:tc>
          <w:tcPr>
            <w:tcW w:w="1814" w:type="dxa"/>
          </w:tcPr>
          <w:p>
            <w:pPr>
              <w:pStyle w:val="0"/>
            </w:pPr>
            <w:r>
              <w:rPr>
                <w:sz w:val="24"/>
              </w:rPr>
            </w:r>
          </w:p>
        </w:tc>
        <w:tc>
          <w:tcPr>
            <w:tcW w:w="3402" w:type="dxa"/>
          </w:tcPr>
          <w:p>
            <w:pPr>
              <w:pStyle w:val="0"/>
            </w:pPr>
            <w:r>
              <w:rPr>
                <w:sz w:val="24"/>
              </w:rPr>
              <w:t xml:space="preserve">nfo-dic:DataZaklDog</w:t>
            </w:r>
          </w:p>
        </w:tc>
      </w:tr>
      <w:tr>
        <w:tc>
          <w:tcPr>
            <w:tcW w:w="964" w:type="dxa"/>
          </w:tcPr>
          <w:p>
            <w:pPr>
              <w:pStyle w:val="0"/>
            </w:pPr>
            <w:r>
              <w:rPr>
                <w:sz w:val="24"/>
              </w:rPr>
              <w:t xml:space="preserve">8.1</w:t>
            </w:r>
          </w:p>
        </w:tc>
        <w:tc>
          <w:tcPr>
            <w:tcW w:w="2891" w:type="dxa"/>
          </w:tcPr>
          <w:p>
            <w:pPr>
              <w:pStyle w:val="0"/>
            </w:pPr>
            <w:r>
              <w:rPr>
                <w:sz w:val="24"/>
              </w:rPr>
            </w:r>
          </w:p>
        </w:tc>
        <w:tc>
          <w:tcPr>
            <w:tcW w:w="1814"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dim-int:Sved_o_IdentifikacziiTaxis</w:t>
            </w:r>
          </w:p>
        </w:tc>
      </w:tr>
      <w:tr>
        <w:tc>
          <w:tcPr>
            <w:tcW w:w="964" w:type="dxa"/>
          </w:tcPr>
          <w:p>
            <w:pPr>
              <w:pStyle w:val="0"/>
            </w:pPr>
            <w:r>
              <w:rPr>
                <w:sz w:val="24"/>
              </w:rPr>
              <w:t xml:space="preserve">8.2</w:t>
            </w:r>
          </w:p>
        </w:tc>
        <w:tc>
          <w:tcPr>
            <w:tcW w:w="2891" w:type="dxa"/>
          </w:tcPr>
          <w:p>
            <w:pPr>
              <w:pStyle w:val="0"/>
            </w:pPr>
            <w:r>
              <w:rPr>
                <w:sz w:val="24"/>
              </w:rPr>
            </w:r>
          </w:p>
        </w:tc>
        <w:tc>
          <w:tcPr>
            <w:tcW w:w="1814"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dim-int:ID_Dogovora_KOPoruchProvedIdentifTaxis</w:t>
            </w:r>
          </w:p>
        </w:tc>
      </w:tr>
      <w:tr>
        <w:tc>
          <w:tcPr>
            <w:tcW w:w="964" w:type="dxa"/>
          </w:tcPr>
          <w:bookmarkStart w:id="38857" w:name="P38857"/>
          <w:bookmarkEnd w:id="38857"/>
          <w:p>
            <w:pPr>
              <w:pStyle w:val="0"/>
            </w:pPr>
            <w:r>
              <w:rPr>
                <w:sz w:val="24"/>
              </w:rPr>
              <w:t xml:space="preserve">9</w:t>
            </w:r>
          </w:p>
        </w:tc>
        <w:tc>
          <w:tcPr>
            <w:tcW w:w="2891" w:type="dxa"/>
          </w:tcPr>
          <w:p>
            <w:pPr>
              <w:pStyle w:val="0"/>
            </w:pPr>
            <w:r>
              <w:rPr>
                <w:sz w:val="24"/>
              </w:rPr>
              <w:t xml:space="preserve">Дата расторжения договора</w:t>
            </w:r>
          </w:p>
        </w:tc>
        <w:tc>
          <w:tcPr>
            <w:tcW w:w="1814" w:type="dxa"/>
          </w:tcPr>
          <w:p>
            <w:pPr>
              <w:pStyle w:val="0"/>
            </w:pPr>
            <w:r>
              <w:rPr>
                <w:sz w:val="24"/>
              </w:rPr>
            </w:r>
          </w:p>
        </w:tc>
        <w:tc>
          <w:tcPr>
            <w:tcW w:w="3402" w:type="dxa"/>
          </w:tcPr>
          <w:p>
            <w:pPr>
              <w:pStyle w:val="0"/>
            </w:pPr>
            <w:r>
              <w:rPr>
                <w:sz w:val="24"/>
              </w:rPr>
              <w:t xml:space="preserve">nfo-dic:DataRastDog</w:t>
            </w:r>
          </w:p>
        </w:tc>
      </w:tr>
      <w:tr>
        <w:tc>
          <w:tcPr>
            <w:tcW w:w="964" w:type="dxa"/>
          </w:tcPr>
          <w:p>
            <w:pPr>
              <w:pStyle w:val="0"/>
            </w:pPr>
            <w:r>
              <w:rPr>
                <w:sz w:val="24"/>
              </w:rPr>
              <w:t xml:space="preserve">9.1</w:t>
            </w:r>
          </w:p>
        </w:tc>
        <w:tc>
          <w:tcPr>
            <w:tcW w:w="2891" w:type="dxa"/>
          </w:tcPr>
          <w:p>
            <w:pPr>
              <w:pStyle w:val="0"/>
            </w:pPr>
            <w:r>
              <w:rPr>
                <w:sz w:val="24"/>
              </w:rPr>
            </w:r>
          </w:p>
        </w:tc>
        <w:tc>
          <w:tcPr>
            <w:tcW w:w="1814" w:type="dxa"/>
          </w:tcPr>
          <w:p>
            <w:pPr>
              <w:pStyle w:val="0"/>
            </w:pPr>
            <w:r>
              <w:rPr>
                <w:sz w:val="24"/>
              </w:rPr>
              <w:t xml:space="preserve">Идентификатор лица, которому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dim-int:Sved_o_IdentifikacziiTaxis</w:t>
            </w:r>
          </w:p>
        </w:tc>
      </w:tr>
      <w:tr>
        <w:tc>
          <w:tcPr>
            <w:tcW w:w="964" w:type="dxa"/>
          </w:tcPr>
          <w:p>
            <w:pPr>
              <w:pStyle w:val="0"/>
            </w:pPr>
            <w:r>
              <w:rPr>
                <w:sz w:val="24"/>
              </w:rPr>
              <w:t xml:space="preserve">9.2</w:t>
            </w:r>
          </w:p>
        </w:tc>
        <w:tc>
          <w:tcPr>
            <w:tcW w:w="2891" w:type="dxa"/>
          </w:tcPr>
          <w:p>
            <w:pPr>
              <w:pStyle w:val="0"/>
            </w:pPr>
            <w:r>
              <w:rPr>
                <w:sz w:val="24"/>
              </w:rPr>
            </w:r>
          </w:p>
        </w:tc>
        <w:tc>
          <w:tcPr>
            <w:tcW w:w="1814" w:type="dxa"/>
          </w:tcPr>
          <w:p>
            <w:pPr>
              <w:pStyle w:val="0"/>
            </w:pPr>
            <w:r>
              <w:rPr>
                <w:sz w:val="24"/>
              </w:rPr>
              <w:t xml:space="preserve">Идентификатор договора, на основании которого поручено проведение идентификации или упрощенной идентификации, обновление информации</w:t>
            </w:r>
          </w:p>
        </w:tc>
        <w:tc>
          <w:tcPr>
            <w:tcW w:w="3402" w:type="dxa"/>
          </w:tcPr>
          <w:p>
            <w:pPr>
              <w:pStyle w:val="0"/>
            </w:pPr>
            <w:r>
              <w:rPr>
                <w:sz w:val="24"/>
              </w:rPr>
              <w:t xml:space="preserve">dim-int:ID_Dogovora_KOPoruchProvedIdentifTaxis</w:t>
            </w:r>
          </w:p>
        </w:tc>
      </w:tr>
    </w:tbl>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0420171 "Информация о лицах,</w:t>
      </w:r>
    </w:p>
    <w:p>
      <w:pPr>
        <w:pStyle w:val="0"/>
        <w:jc w:val="center"/>
      </w:pPr>
      <w:r>
        <w:rPr>
          <w:sz w:val="24"/>
        </w:rPr>
        <w:t xml:space="preserve">которым страховщиком поручено проведение идентификации,</w:t>
      </w:r>
    </w:p>
    <w:p>
      <w:pPr>
        <w:pStyle w:val="0"/>
        <w:jc w:val="center"/>
      </w:pPr>
      <w:r>
        <w:rPr>
          <w:sz w:val="24"/>
        </w:rPr>
        <w:t xml:space="preserve">упрощенной идентификации, обновление информации о клиентах,</w:t>
      </w:r>
    </w:p>
    <w:p>
      <w:pPr>
        <w:pStyle w:val="0"/>
        <w:jc w:val="center"/>
      </w:pPr>
      <w:r>
        <w:rPr>
          <w:sz w:val="24"/>
        </w:rPr>
        <w:t xml:space="preserve">представителях клиентов, выгодоприобретателях</w:t>
      </w:r>
    </w:p>
    <w:p>
      <w:pPr>
        <w:pStyle w:val="0"/>
        <w:jc w:val="center"/>
      </w:pPr>
      <w:r>
        <w:rPr>
          <w:sz w:val="24"/>
        </w:rPr>
        <w:t xml:space="preserve">и бенефициарных владельцах"</w:t>
      </w:r>
    </w:p>
    <w:p>
      <w:pPr>
        <w:pStyle w:val="0"/>
        <w:ind w:firstLine="540"/>
        <w:jc w:val="both"/>
      </w:pPr>
      <w:r>
        <w:rPr>
          <w:sz w:val="24"/>
        </w:rPr>
      </w:r>
    </w:p>
    <w:p>
      <w:pPr>
        <w:pStyle w:val="0"/>
        <w:ind w:firstLine="540"/>
        <w:jc w:val="both"/>
      </w:pPr>
      <w:r>
        <w:rPr>
          <w:sz w:val="24"/>
        </w:rPr>
        <w:t xml:space="preserve">1. Отчетность по </w:t>
      </w:r>
      <w:hyperlink w:history="0" w:anchor="P38735" w:tooltip="Отчетность по форме 0420171">
        <w:r>
          <w:rPr>
            <w:sz w:val="24"/>
            <w:color w:val="0000ff"/>
          </w:rPr>
          <w:t xml:space="preserve">форме 0420171</w:t>
        </w:r>
      </w:hyperlink>
      <w:r>
        <w:rPr>
          <w:sz w:val="24"/>
        </w:rPr>
        <w:t xml:space="preserve"> "Информация о лицах, которым страховщиком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(далее - отчетность по форме 0420171) составляется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в целях выполнения требования </w:t>
      </w:r>
      <w:hyperlink w:history="0" r:id="rId656"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пункта 1.10 статьи 7</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(далее - Федеральный закон N 115-ФЗ)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 </w:t>
      </w: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Отчетность по </w:t>
      </w:r>
      <w:hyperlink w:history="0" w:anchor="P38735" w:tooltip="Отчетность по форме 0420171">
        <w:r>
          <w:rPr>
            <w:sz w:val="24"/>
            <w:color w:val="0000ff"/>
          </w:rPr>
          <w:t xml:space="preserve">форме 0420171</w:t>
        </w:r>
      </w:hyperlink>
      <w:r>
        <w:rPr>
          <w:sz w:val="24"/>
        </w:rPr>
        <w:t xml:space="preserve"> составляется в случае заключения и (или) расторжения страховщиком договоров на проведение идентификации или упрощенной идентификации, а также обновление информации о клиентах, представителях клиентов, выгодоприобретателях и бенефициарных владельцах (далее - обновление информации) с лицами, которым в соответствии с </w:t>
      </w:r>
      <w:hyperlink w:history="0" r:id="rId657"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пунктами 1.5-1</w:t>
        </w:r>
      </w:hyperlink>
      <w:r>
        <w:rPr>
          <w:sz w:val="24"/>
        </w:rPr>
        <w:t xml:space="preserve">, </w:t>
      </w:r>
      <w:hyperlink w:history="0" r:id="rId658"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1.5-8</w:t>
        </w:r>
      </w:hyperlink>
      <w:r>
        <w:rPr>
          <w:sz w:val="24"/>
        </w:rPr>
        <w:t xml:space="preserve"> и </w:t>
      </w:r>
      <w:hyperlink w:history="0" r:id="rId659"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1.5-9 статьи 7</w:t>
        </w:r>
      </w:hyperlink>
      <w:r>
        <w:rPr>
          <w:sz w:val="24"/>
        </w:rPr>
        <w:t xml:space="preserve"> Федерального закона N 115-ФЗ поручено проведение идентификации или упрощенной идентификации, обновление информации (далее - привлеченные лица).</w:t>
      </w:r>
    </w:p>
    <w:p>
      <w:pPr>
        <w:pStyle w:val="0"/>
        <w:spacing w:before="240" w:lineRule="auto"/>
        <w:ind w:firstLine="540"/>
        <w:jc w:val="both"/>
      </w:pPr>
      <w:r>
        <w:rPr>
          <w:sz w:val="24"/>
        </w:rPr>
        <w:t xml:space="preserve">2. Показатели отчетности по </w:t>
      </w:r>
      <w:hyperlink w:history="0" w:anchor="P38735" w:tooltip="Отчетность по форме 0420171">
        <w:r>
          <w:rPr>
            <w:sz w:val="24"/>
            <w:color w:val="0000ff"/>
          </w:rPr>
          <w:t xml:space="preserve">форме 0420171</w:t>
        </w:r>
      </w:hyperlink>
      <w:r>
        <w:rPr>
          <w:sz w:val="24"/>
        </w:rPr>
        <w:t xml:space="preserve"> формируются по каждому привлеченному лицу (по группе аналитических признаков "Идентификатор лица, которому поручено проведение идентификации или упрощенной идентификации, обновление информации") с указанием договора, на основании которого указанному привлеченному лицу поручено проведение идентификации или упрощенной идентификации, обновление информации (по группе аналитических признаков "Идентификатор договора, на основании которого поручено проведение идентификации или упрощенной идентификации, обновление информации").</w:t>
      </w:r>
    </w:p>
    <w:p>
      <w:pPr>
        <w:pStyle w:val="0"/>
        <w:spacing w:before="240" w:lineRule="auto"/>
        <w:ind w:firstLine="540"/>
        <w:jc w:val="both"/>
      </w:pPr>
      <w:r>
        <w:rPr>
          <w:sz w:val="24"/>
        </w:rPr>
        <w:t xml:space="preserve">По группе аналитических признаков "Идентификатор лица, которому поручено проведение идентификации или упрощенной идентификации, обновление информации" указывается сформированный страховщиком самостоятельно идентификатор привлеченного лица, позволяющий выделить одно привлеченное лицо из других привлеченных лиц.</w:t>
      </w:r>
    </w:p>
    <w:p>
      <w:pPr>
        <w:pStyle w:val="0"/>
        <w:spacing w:before="240" w:lineRule="auto"/>
        <w:ind w:firstLine="540"/>
        <w:jc w:val="both"/>
      </w:pPr>
      <w:r>
        <w:rPr>
          <w:sz w:val="24"/>
        </w:rPr>
        <w:t xml:space="preserve">По группе аналитических признаков "Идентификатор договора, на основании которого поручено проведение идентификации или упрощенной идентификации, обновление информации" указывается сформированный страховщиком самостоятельно идентификатор заключенного им договора, на основании которого поручено проведение идентификации или упрощенной идентификации, обновление информации, позволяющий выделить один договор из других договоров, на основании которых поручено проведение идентификации или упрощенной идентификации, обновление информации.</w:t>
      </w:r>
    </w:p>
    <w:p>
      <w:pPr>
        <w:pStyle w:val="0"/>
        <w:spacing w:before="240" w:lineRule="auto"/>
        <w:ind w:firstLine="540"/>
        <w:jc w:val="both"/>
      </w:pPr>
      <w:r>
        <w:rPr>
          <w:sz w:val="24"/>
        </w:rPr>
        <w:t xml:space="preserve">3. По показателю "Полное наименование" </w:t>
      </w:r>
      <w:hyperlink w:history="0" w:anchor="P38753" w:tooltip="1">
        <w:r>
          <w:rPr>
            <w:sz w:val="24"/>
            <w:color w:val="0000ff"/>
          </w:rPr>
          <w:t xml:space="preserve">(строка 1)</w:t>
        </w:r>
      </w:hyperlink>
      <w:r>
        <w:rPr>
          <w:sz w:val="24"/>
        </w:rPr>
        <w:t xml:space="preserve"> указывается:</w:t>
      </w:r>
    </w:p>
    <w:p>
      <w:pPr>
        <w:pStyle w:val="0"/>
        <w:spacing w:before="240" w:lineRule="auto"/>
        <w:ind w:firstLine="540"/>
        <w:jc w:val="both"/>
      </w:pPr>
      <w:r>
        <w:rPr>
          <w:sz w:val="24"/>
        </w:rPr>
        <w:t xml:space="preserve">для привлеченного лица, являющегося кредитной организацией (ее филиалом), - полное фирменное наименование в соответствии с Книгой государственной регистрации кредитных организаций, которая ведется Банком России в соответствии с </w:t>
      </w:r>
      <w:hyperlink w:history="0" r:id="rId660" w:tooltip="Федеральный закон от 02.12.1990 N 395-1 (ред. от 28.11.2025) &quot;О банках и банковской деятельности&quot; (с изм. и доп., вступ. в силу с 01.01.2026) {КонсультантПлюс}">
        <w:r>
          <w:rPr>
            <w:sz w:val="24"/>
            <w:color w:val="0000ff"/>
          </w:rPr>
          <w:t xml:space="preserve">частью третьей статьи 12</w:t>
        </w:r>
      </w:hyperlink>
      <w:r>
        <w:rPr>
          <w:sz w:val="24"/>
        </w:rPr>
        <w:t xml:space="preserve"> Федерального закона "О банках и банковской деятельности" (в редакции Федерального закона от 3 февраля 1996 года N 17-ФЗ) (далее - КГРКО);</w:t>
      </w:r>
    </w:p>
    <w:p>
      <w:pPr>
        <w:pStyle w:val="0"/>
        <w:spacing w:before="240" w:lineRule="auto"/>
        <w:ind w:firstLine="540"/>
        <w:jc w:val="both"/>
      </w:pPr>
      <w:r>
        <w:rPr>
          <w:sz w:val="24"/>
        </w:rPr>
        <w:t xml:space="preserve">для привлеченного лица, не являющегося кредитной организацией (ее филиалом), - полное наименование в соответствии с единым государственным реестром юридических лиц (далее - ЕГРЮЛ).</w:t>
      </w:r>
    </w:p>
    <w:p>
      <w:pPr>
        <w:pStyle w:val="0"/>
        <w:spacing w:before="240" w:lineRule="auto"/>
        <w:ind w:firstLine="540"/>
        <w:jc w:val="both"/>
      </w:pPr>
      <w:r>
        <w:rPr>
          <w:sz w:val="24"/>
        </w:rPr>
        <w:t xml:space="preserve">4. По показателю "Регистрационный номер кредитной организации (порядковый номер ее филиала)" </w:t>
      </w:r>
      <w:hyperlink w:history="0" w:anchor="P38765" w:tooltip="2">
        <w:r>
          <w:rPr>
            <w:sz w:val="24"/>
            <w:color w:val="0000ff"/>
          </w:rPr>
          <w:t xml:space="preserve">(строка 2)</w:t>
        </w:r>
      </w:hyperlink>
      <w:r>
        <w:rPr>
          <w:sz w:val="24"/>
        </w:rPr>
        <w:t xml:space="preserve"> указываются в соответствии с КГРКО:</w:t>
      </w:r>
    </w:p>
    <w:p>
      <w:pPr>
        <w:pStyle w:val="0"/>
        <w:spacing w:before="240" w:lineRule="auto"/>
        <w:ind w:firstLine="540"/>
        <w:jc w:val="both"/>
      </w:pPr>
      <w:r>
        <w:rPr>
          <w:sz w:val="24"/>
        </w:rPr>
        <w:t xml:space="preserve">для привлеченного лица, являющегося кредитной организацией, - ее регистрационный номер;</w:t>
      </w:r>
    </w:p>
    <w:p>
      <w:pPr>
        <w:pStyle w:val="0"/>
        <w:spacing w:before="240" w:lineRule="auto"/>
        <w:ind w:firstLine="540"/>
        <w:jc w:val="both"/>
      </w:pPr>
      <w:r>
        <w:rPr>
          <w:sz w:val="24"/>
        </w:rPr>
        <w:t xml:space="preserve">для привлеченного лица, являющегося филиалом кредитной организации, - регистрационный номер кредитной организации и через символ "/" (косая линия) порядковый номер ее филиала.</w:t>
      </w:r>
    </w:p>
    <w:p>
      <w:pPr>
        <w:pStyle w:val="0"/>
        <w:spacing w:before="240" w:lineRule="auto"/>
        <w:ind w:firstLine="540"/>
        <w:jc w:val="both"/>
      </w:pPr>
      <w:r>
        <w:rPr>
          <w:sz w:val="24"/>
        </w:rPr>
        <w:t xml:space="preserve">Показатель "Регистрационный номер кредитной организации (порядковый номер ее филиала)" </w:t>
      </w:r>
      <w:hyperlink w:history="0" w:anchor="P38765" w:tooltip="2">
        <w:r>
          <w:rPr>
            <w:sz w:val="24"/>
            <w:color w:val="0000ff"/>
          </w:rPr>
          <w:t xml:space="preserve">(строка 2)</w:t>
        </w:r>
      </w:hyperlink>
      <w:r>
        <w:rPr>
          <w:sz w:val="24"/>
        </w:rPr>
        <w:t xml:space="preserve"> для привлеченного лица, не являющегося кредитной организацией (ее филиалом), не формируется.</w:t>
      </w:r>
    </w:p>
    <w:p>
      <w:pPr>
        <w:pStyle w:val="0"/>
        <w:spacing w:before="240" w:lineRule="auto"/>
        <w:ind w:firstLine="540"/>
        <w:jc w:val="both"/>
      </w:pPr>
      <w:r>
        <w:rPr>
          <w:sz w:val="24"/>
        </w:rPr>
        <w:t xml:space="preserve">5. По показателю "Основной государственный регистрационный номер (ОГРН)" </w:t>
      </w:r>
      <w:hyperlink w:history="0" w:anchor="P38777" w:tooltip="3">
        <w:r>
          <w:rPr>
            <w:sz w:val="24"/>
            <w:color w:val="0000ff"/>
          </w:rPr>
          <w:t xml:space="preserve">(строка 3)</w:t>
        </w:r>
      </w:hyperlink>
      <w:r>
        <w:rPr>
          <w:sz w:val="24"/>
        </w:rPr>
        <w:t xml:space="preserve"> указывается основной государственный регистрационный номер привлеченного лица, не являющегося кредитной организацией (ее филиалом).</w:t>
      </w:r>
    </w:p>
    <w:p>
      <w:pPr>
        <w:pStyle w:val="0"/>
        <w:spacing w:before="240" w:lineRule="auto"/>
        <w:ind w:firstLine="540"/>
        <w:jc w:val="both"/>
      </w:pPr>
      <w:r>
        <w:rPr>
          <w:sz w:val="24"/>
        </w:rPr>
        <w:t xml:space="preserve">Показатель "Основной государственный регистрационный номер (ОГРН)" </w:t>
      </w:r>
      <w:hyperlink w:history="0" w:anchor="P38777" w:tooltip="3">
        <w:r>
          <w:rPr>
            <w:sz w:val="24"/>
            <w:color w:val="0000ff"/>
          </w:rPr>
          <w:t xml:space="preserve">(строка 3)</w:t>
        </w:r>
      </w:hyperlink>
      <w:r>
        <w:rPr>
          <w:sz w:val="24"/>
        </w:rPr>
        <w:t xml:space="preserve"> для привлеченного лица, являющегося кредитной организацией (ее филиалом), не формируется.</w:t>
      </w:r>
    </w:p>
    <w:p>
      <w:pPr>
        <w:pStyle w:val="0"/>
        <w:spacing w:before="240" w:lineRule="auto"/>
        <w:ind w:firstLine="540"/>
        <w:jc w:val="both"/>
      </w:pPr>
      <w:r>
        <w:rPr>
          <w:sz w:val="24"/>
        </w:rPr>
        <w:t xml:space="preserve">6. По показателю "Идентификационный номер налогоплательщика (ИНН)" </w:t>
      </w:r>
      <w:hyperlink w:history="0" w:anchor="P38797" w:tooltip="4">
        <w:r>
          <w:rPr>
            <w:sz w:val="24"/>
            <w:color w:val="0000ff"/>
          </w:rPr>
          <w:t xml:space="preserve">(строка 4)</w:t>
        </w:r>
      </w:hyperlink>
      <w:r>
        <w:rPr>
          <w:sz w:val="24"/>
        </w:rPr>
        <w:t xml:space="preserve"> указывается идентификационный номер налогоплательщика - привлеченного лица, не являющегося кредитной организацией (ее филиалом).</w:t>
      </w:r>
    </w:p>
    <w:p>
      <w:pPr>
        <w:pStyle w:val="0"/>
        <w:spacing w:before="240" w:lineRule="auto"/>
        <w:ind w:firstLine="540"/>
        <w:jc w:val="both"/>
      </w:pPr>
      <w:r>
        <w:rPr>
          <w:sz w:val="24"/>
        </w:rPr>
        <w:t xml:space="preserve">Показатель "Идентификационный номер налогоплательщика (ИНН)" </w:t>
      </w:r>
      <w:hyperlink w:history="0" w:anchor="P38797" w:tooltip="4">
        <w:r>
          <w:rPr>
            <w:sz w:val="24"/>
            <w:color w:val="0000ff"/>
          </w:rPr>
          <w:t xml:space="preserve">(строка 4)</w:t>
        </w:r>
      </w:hyperlink>
      <w:r>
        <w:rPr>
          <w:sz w:val="24"/>
        </w:rPr>
        <w:t xml:space="preserve"> для привлеченного лица, являющегося кредитной организацией (ее филиалом), не формируется.</w:t>
      </w:r>
    </w:p>
    <w:p>
      <w:pPr>
        <w:pStyle w:val="0"/>
        <w:spacing w:before="240" w:lineRule="auto"/>
        <w:ind w:firstLine="540"/>
        <w:jc w:val="both"/>
      </w:pPr>
      <w:r>
        <w:rPr>
          <w:sz w:val="24"/>
        </w:rPr>
        <w:t xml:space="preserve">7. По показателю "Код причины постановки на учет (КПП)" </w:t>
      </w:r>
      <w:hyperlink w:history="0" w:anchor="P38809" w:tooltip="5">
        <w:r>
          <w:rPr>
            <w:sz w:val="24"/>
            <w:color w:val="0000ff"/>
          </w:rPr>
          <w:t xml:space="preserve">(строка 5)</w:t>
        </w:r>
      </w:hyperlink>
      <w:r>
        <w:rPr>
          <w:sz w:val="24"/>
        </w:rPr>
        <w:t xml:space="preserve"> указывается код причины постановки на учет привлеченного лица, не являющегося кредитной организацией, в соответствии с ЕГРЮЛ (для филиала привлеченного лица, не являющегося филиалом кредитной организации, указывается код причины постановки на учет (КПП), присвоенный филиалу по месту его нахождения).</w:t>
      </w:r>
    </w:p>
    <w:p>
      <w:pPr>
        <w:pStyle w:val="0"/>
        <w:spacing w:before="240" w:lineRule="auto"/>
        <w:ind w:firstLine="540"/>
        <w:jc w:val="both"/>
      </w:pPr>
      <w:r>
        <w:rPr>
          <w:sz w:val="24"/>
        </w:rPr>
        <w:t xml:space="preserve">Показатель "Код причины постановки на учет (КПП)" </w:t>
      </w:r>
      <w:hyperlink w:history="0" w:anchor="P38809" w:tooltip="5">
        <w:r>
          <w:rPr>
            <w:sz w:val="24"/>
            <w:color w:val="0000ff"/>
          </w:rPr>
          <w:t xml:space="preserve">(строка 5)</w:t>
        </w:r>
      </w:hyperlink>
      <w:r>
        <w:rPr>
          <w:sz w:val="24"/>
        </w:rPr>
        <w:t xml:space="preserve"> для привлеченного лица, являющегося кредитной организацией (ее филиалом), не формируется.</w:t>
      </w:r>
    </w:p>
    <w:p>
      <w:pPr>
        <w:pStyle w:val="0"/>
        <w:spacing w:before="240" w:lineRule="auto"/>
        <w:ind w:firstLine="540"/>
        <w:jc w:val="both"/>
      </w:pPr>
      <w:r>
        <w:rPr>
          <w:sz w:val="24"/>
        </w:rPr>
        <w:t xml:space="preserve">8. По показателю "Код поручения" </w:t>
      </w:r>
      <w:hyperlink w:history="0" w:anchor="P38821" w:tooltip="6">
        <w:r>
          <w:rPr>
            <w:sz w:val="24"/>
            <w:color w:val="0000ff"/>
          </w:rPr>
          <w:t xml:space="preserve">(строка 6)</w:t>
        </w:r>
      </w:hyperlink>
      <w:r>
        <w:rPr>
          <w:sz w:val="24"/>
        </w:rPr>
        <w:t xml:space="preserve"> указывается один из следующих кодов поручения согласно договору, на основании которого привлеченному лицу поручено проведение идентификации или упрощенной идентификации, обновление информации:</w:t>
      </w:r>
    </w:p>
    <w:p>
      <w:pPr>
        <w:pStyle w:val="0"/>
        <w:spacing w:before="240" w:lineRule="auto"/>
        <w:ind w:firstLine="540"/>
        <w:jc w:val="both"/>
      </w:pPr>
      <w:r>
        <w:rPr>
          <w:sz w:val="24"/>
        </w:rPr>
        <w:t xml:space="preserve">"1 - поручено проведение идентификации или упрощенной идентификации" - в случае если привлеченному лицу поручено проведение идентификации или упрощенной идентификации;</w:t>
      </w:r>
    </w:p>
    <w:p>
      <w:pPr>
        <w:pStyle w:val="0"/>
        <w:spacing w:before="240" w:lineRule="auto"/>
        <w:ind w:firstLine="540"/>
        <w:jc w:val="both"/>
      </w:pPr>
      <w:r>
        <w:rPr>
          <w:sz w:val="24"/>
        </w:rPr>
        <w:t xml:space="preserve">"2 - поручено обновление информации" - в случае если привлеченному лицу поручено обновление информации;</w:t>
      </w:r>
    </w:p>
    <w:p>
      <w:pPr>
        <w:pStyle w:val="0"/>
        <w:spacing w:before="240" w:lineRule="auto"/>
        <w:ind w:firstLine="540"/>
        <w:jc w:val="both"/>
      </w:pPr>
      <w:r>
        <w:rPr>
          <w:sz w:val="24"/>
        </w:rPr>
        <w:t xml:space="preserve">"3 - одновременно поручено проведение идентификации или упрощенной идентификации, обновление информации" - в случае если привлеченному лицу одновременно поручено проведение идентификации или упрощенной идентификации, обновление информации.</w:t>
      </w:r>
    </w:p>
    <w:p>
      <w:pPr>
        <w:pStyle w:val="0"/>
        <w:spacing w:before="240" w:lineRule="auto"/>
        <w:ind w:firstLine="540"/>
        <w:jc w:val="both"/>
      </w:pPr>
      <w:r>
        <w:rPr>
          <w:sz w:val="24"/>
        </w:rPr>
        <w:t xml:space="preserve">9. По показателям "Номер договора" </w:t>
      </w:r>
      <w:hyperlink w:history="0" w:anchor="P38833" w:tooltip="7">
        <w:r>
          <w:rPr>
            <w:sz w:val="24"/>
            <w:color w:val="0000ff"/>
          </w:rPr>
          <w:t xml:space="preserve">(строка 7)</w:t>
        </w:r>
      </w:hyperlink>
      <w:r>
        <w:rPr>
          <w:sz w:val="24"/>
        </w:rPr>
        <w:t xml:space="preserve">, "Дата заключения договора" </w:t>
      </w:r>
      <w:hyperlink w:history="0" w:anchor="P38845" w:tooltip="8">
        <w:r>
          <w:rPr>
            <w:sz w:val="24"/>
            <w:color w:val="0000ff"/>
          </w:rPr>
          <w:t xml:space="preserve">(строка 8)</w:t>
        </w:r>
      </w:hyperlink>
      <w:r>
        <w:rPr>
          <w:sz w:val="24"/>
        </w:rPr>
        <w:t xml:space="preserve"> и "Дата расторжения договора" </w:t>
      </w:r>
      <w:hyperlink w:history="0" w:anchor="P38857" w:tooltip="9">
        <w:r>
          <w:rPr>
            <w:sz w:val="24"/>
            <w:color w:val="0000ff"/>
          </w:rPr>
          <w:t xml:space="preserve">(строка 9)</w:t>
        </w:r>
      </w:hyperlink>
      <w:r>
        <w:rPr>
          <w:sz w:val="24"/>
        </w:rPr>
        <w:t xml:space="preserve"> указываются соответственно номер (в случае его отсутствия указывается значение "б/н" (без номера), дата заключения и дата расторжения договора, на основании которого привлеченному лицу поручено проведение идентификации или упрощенной идентификации, обновление информации.</w:t>
      </w:r>
    </w:p>
    <w:p>
      <w:pPr>
        <w:pStyle w:val="0"/>
        <w:spacing w:before="240" w:lineRule="auto"/>
        <w:ind w:firstLine="540"/>
        <w:jc w:val="both"/>
      </w:pPr>
      <w:r>
        <w:rPr>
          <w:sz w:val="24"/>
        </w:rPr>
        <w:t xml:space="preserve">При составлении страховщиком отчетности по </w:t>
      </w:r>
      <w:hyperlink w:history="0" w:anchor="P38735" w:tooltip="Отчетность по форме 0420171">
        <w:r>
          <w:rPr>
            <w:sz w:val="24"/>
            <w:color w:val="0000ff"/>
          </w:rPr>
          <w:t xml:space="preserve">форме 0420171</w:t>
        </w:r>
      </w:hyperlink>
      <w:r>
        <w:rPr>
          <w:sz w:val="24"/>
        </w:rPr>
        <w:t xml:space="preserve"> в случае заключения договора, на основании которого привлеченному лицу поручено проведение идентификации или упрощенной идентификации, обновление информации, показатель "Дата расторжения договора" </w:t>
      </w:r>
      <w:hyperlink w:history="0" w:anchor="P38857" w:tooltip="9">
        <w:r>
          <w:rPr>
            <w:sz w:val="24"/>
            <w:color w:val="0000ff"/>
          </w:rPr>
          <w:t xml:space="preserve">(строка 9)</w:t>
        </w:r>
      </w:hyperlink>
      <w:r>
        <w:rPr>
          <w:sz w:val="24"/>
        </w:rPr>
        <w:t xml:space="preserve"> не формируется.</w:t>
      </w:r>
    </w:p>
    <w:p>
      <w:pPr>
        <w:pStyle w:val="0"/>
        <w:spacing w:before="240" w:lineRule="auto"/>
        <w:ind w:firstLine="540"/>
        <w:jc w:val="both"/>
      </w:pPr>
      <w:r>
        <w:rPr>
          <w:sz w:val="24"/>
        </w:rPr>
        <w:t xml:space="preserve">При составлении страховщиком отчетности по </w:t>
      </w:r>
      <w:hyperlink w:history="0" w:anchor="P38735" w:tooltip="Отчетность по форме 0420171">
        <w:r>
          <w:rPr>
            <w:sz w:val="24"/>
            <w:color w:val="0000ff"/>
          </w:rPr>
          <w:t xml:space="preserve">форме 0420171</w:t>
        </w:r>
      </w:hyperlink>
      <w:r>
        <w:rPr>
          <w:sz w:val="24"/>
        </w:rPr>
        <w:t xml:space="preserve"> в случае расторжения договора, на основании которого привлеченному лицу поручено проведение идентификации или упрощенной идентификации, обновление информации, по показателям "Дата расторжения договора" </w:t>
      </w:r>
      <w:hyperlink w:history="0" w:anchor="P38857" w:tooltip="9">
        <w:r>
          <w:rPr>
            <w:sz w:val="24"/>
            <w:color w:val="0000ff"/>
          </w:rPr>
          <w:t xml:space="preserve">(строка 9)</w:t>
        </w:r>
      </w:hyperlink>
      <w:r>
        <w:rPr>
          <w:sz w:val="24"/>
        </w:rPr>
        <w:t xml:space="preserve"> и "Дата заключения договора" </w:t>
      </w:r>
      <w:hyperlink w:history="0" w:anchor="P38845" w:tooltip="8">
        <w:r>
          <w:rPr>
            <w:sz w:val="24"/>
            <w:color w:val="0000ff"/>
          </w:rPr>
          <w:t xml:space="preserve">(строка 8)</w:t>
        </w:r>
      </w:hyperlink>
      <w:r>
        <w:rPr>
          <w:sz w:val="24"/>
        </w:rPr>
        <w:t xml:space="preserve"> указываются дата расторжения и дата заключения указанного договора соответственно.</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8909" w:name="P38909"/>
    <w:bookmarkEnd w:id="38909"/>
    <w:p>
      <w:pPr>
        <w:pStyle w:val="0"/>
        <w:jc w:val="center"/>
      </w:pPr>
      <w:r>
        <w:rPr>
          <w:sz w:val="24"/>
        </w:rPr>
        <w:t xml:space="preserve">Отчетность по форме 0420172</w:t>
      </w:r>
    </w:p>
    <w:p>
      <w:pPr>
        <w:pStyle w:val="0"/>
        <w:jc w:val="center"/>
      </w:pPr>
      <w:r>
        <w:rPr>
          <w:sz w:val="24"/>
        </w:rPr>
        <w:t xml:space="preserve">"Расшифровка отдельных показателей деятельности страховщика"</w:t>
      </w:r>
    </w:p>
    <w:p>
      <w:pPr>
        <w:pStyle w:val="0"/>
        <w:ind w:firstLine="540"/>
        <w:jc w:val="both"/>
      </w:pPr>
      <w:r>
        <w:rPr>
          <w:sz w:val="24"/>
        </w:rPr>
      </w:r>
    </w:p>
    <w:p>
      <w:pPr>
        <w:pStyle w:val="0"/>
        <w:jc w:val="right"/>
      </w:pPr>
      <w:r>
        <w:rPr>
          <w:sz w:val="24"/>
        </w:rPr>
        <w:t xml:space="preserve">Код формы по </w:t>
      </w:r>
      <w:hyperlink w:history="0" r:id="rId66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962" w:tooltip="&lt;1&gt; Общероссийский классификатор управленческой документации.">
        <w:r>
          <w:rPr>
            <w:sz w:val="24"/>
            <w:color w:val="0000ff"/>
          </w:rPr>
          <w:t xml:space="preserve">&lt;1&gt;</w:t>
        </w:r>
      </w:hyperlink>
      <w:r>
        <w:rPr>
          <w:sz w:val="24"/>
        </w:rPr>
        <w:t xml:space="preserve"> 0420172</w:t>
      </w:r>
    </w:p>
    <w:p>
      <w:pPr>
        <w:pStyle w:val="0"/>
        <w:ind w:firstLine="540"/>
        <w:jc w:val="both"/>
      </w:pPr>
      <w:r>
        <w:rPr>
          <w:sz w:val="24"/>
        </w:rPr>
      </w:r>
    </w:p>
    <w:p>
      <w:pPr>
        <w:pStyle w:val="0"/>
        <w:jc w:val="right"/>
      </w:pPr>
      <w:r>
        <w:rPr>
          <w:sz w:val="24"/>
        </w:rPr>
        <w:t xml:space="preserve">Квартальная, годовая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8924" w:name="P38924"/>
          <w:bookmarkEnd w:id="38924"/>
          <w:p>
            <w:pPr>
              <w:pStyle w:val="0"/>
            </w:pPr>
            <w:r>
              <w:rPr>
                <w:sz w:val="24"/>
              </w:rPr>
              <w:t xml:space="preserve">1</w:t>
            </w:r>
          </w:p>
        </w:tc>
        <w:tc>
          <w:tcPr>
            <w:tcW w:w="2608" w:type="dxa"/>
          </w:tcPr>
          <w:p>
            <w:pPr>
              <w:pStyle w:val="0"/>
            </w:pPr>
            <w:r>
              <w:rPr>
                <w:sz w:val="24"/>
              </w:rPr>
              <w:t xml:space="preserve">Процентные доходы по займам, выданным юридическим лицам (31119)</w:t>
            </w:r>
          </w:p>
        </w:tc>
        <w:tc>
          <w:tcPr>
            <w:tcW w:w="2608" w:type="dxa"/>
          </w:tcPr>
          <w:p>
            <w:pPr>
              <w:pStyle w:val="0"/>
            </w:pPr>
            <w:r>
              <w:rPr>
                <w:sz w:val="24"/>
              </w:rPr>
            </w:r>
          </w:p>
        </w:tc>
        <w:tc>
          <w:tcPr>
            <w:tcW w:w="2948" w:type="dxa"/>
          </w:tcPr>
          <w:p>
            <w:pPr>
              <w:pStyle w:val="0"/>
            </w:pPr>
            <w:r>
              <w:rPr>
                <w:sz w:val="24"/>
              </w:rPr>
              <w:t xml:space="preserve">cbr-coa-dic:OFR_71001.31119</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Валюта Российской Федерации или рублевый эквивалент</w:t>
            </w:r>
          </w:p>
        </w:tc>
        <w:tc>
          <w:tcPr>
            <w:tcW w:w="2948" w:type="dxa"/>
          </w:tcPr>
          <w:p>
            <w:pPr>
              <w:pStyle w:val="0"/>
            </w:pPr>
            <w:r>
              <w:rPr>
                <w:sz w:val="24"/>
              </w:rPr>
              <w:t xml:space="preserve">dim-int:NaczVal_RubEkvAxis</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Тип контрагента, сектор (подсектор) экономики</w:t>
            </w:r>
          </w:p>
        </w:tc>
        <w:tc>
          <w:tcPr>
            <w:tcW w:w="2948" w:type="dxa"/>
          </w:tcPr>
          <w:p>
            <w:pPr>
              <w:pStyle w:val="0"/>
            </w:pPr>
            <w:r>
              <w:rPr>
                <w:sz w:val="24"/>
              </w:rPr>
              <w:t xml:space="preserve">dim-int:Tip_KontragentaAxis</w:t>
            </w:r>
          </w:p>
        </w:tc>
      </w:tr>
      <w:tr>
        <w:tc>
          <w:tcPr>
            <w:tcW w:w="907" w:type="dxa"/>
          </w:tcPr>
          <w:bookmarkStart w:id="38936" w:name="P38936"/>
          <w:bookmarkEnd w:id="38936"/>
          <w:p>
            <w:pPr>
              <w:pStyle w:val="0"/>
            </w:pPr>
            <w:r>
              <w:rPr>
                <w:sz w:val="24"/>
              </w:rPr>
              <w:t xml:space="preserve">2</w:t>
            </w:r>
          </w:p>
        </w:tc>
        <w:tc>
          <w:tcPr>
            <w:tcW w:w="2608" w:type="dxa"/>
          </w:tcPr>
          <w:p>
            <w:pPr>
              <w:pStyle w:val="0"/>
            </w:pPr>
            <w:r>
              <w:rPr>
                <w:sz w:val="24"/>
              </w:rPr>
              <w:t xml:space="preserve">Процентные доходы по вложениям в долговые ценные бумаги, оцениваемые по справедливой стоимости через прибыль или убыток (кроме векселей), прочих резидентов (31129)</w:t>
            </w:r>
          </w:p>
        </w:tc>
        <w:tc>
          <w:tcPr>
            <w:tcW w:w="2608" w:type="dxa"/>
          </w:tcPr>
          <w:p>
            <w:pPr>
              <w:pStyle w:val="0"/>
            </w:pPr>
            <w:r>
              <w:rPr>
                <w:sz w:val="24"/>
              </w:rPr>
            </w:r>
          </w:p>
        </w:tc>
        <w:tc>
          <w:tcPr>
            <w:tcW w:w="2948" w:type="dxa"/>
          </w:tcPr>
          <w:p>
            <w:pPr>
              <w:pStyle w:val="0"/>
            </w:pPr>
            <w:r>
              <w:rPr>
                <w:sz w:val="24"/>
              </w:rPr>
              <w:t xml:space="preserve">cbr-coa-dic:OFR_71001.31129</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Валюта Российской Федерации или рублевый эквивалент</w:t>
            </w:r>
          </w:p>
        </w:tc>
        <w:tc>
          <w:tcPr>
            <w:tcW w:w="2948" w:type="dxa"/>
          </w:tcPr>
          <w:p>
            <w:pPr>
              <w:pStyle w:val="0"/>
            </w:pPr>
            <w:r>
              <w:rPr>
                <w:sz w:val="24"/>
              </w:rPr>
              <w:t xml:space="preserve">dim-int:NaczVal_RubEkvAxis</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Тип контрагента, сектор (подсектор) экономики</w:t>
            </w:r>
          </w:p>
        </w:tc>
        <w:tc>
          <w:tcPr>
            <w:tcW w:w="2948" w:type="dxa"/>
          </w:tcPr>
          <w:p>
            <w:pPr>
              <w:pStyle w:val="0"/>
            </w:pPr>
            <w:r>
              <w:rPr>
                <w:sz w:val="24"/>
              </w:rPr>
              <w:t xml:space="preserve">dim-int:Tip_KontragentaAxis</w:t>
            </w:r>
          </w:p>
        </w:tc>
      </w:tr>
      <w:tr>
        <w:tc>
          <w:tcPr>
            <w:tcW w:w="907" w:type="dxa"/>
          </w:tcPr>
          <w:bookmarkStart w:id="38948" w:name="P38948"/>
          <w:bookmarkEnd w:id="38948"/>
          <w:p>
            <w:pPr>
              <w:pStyle w:val="0"/>
            </w:pPr>
            <w:r>
              <w:rPr>
                <w:sz w:val="24"/>
              </w:rPr>
              <w:t xml:space="preserve">3</w:t>
            </w:r>
          </w:p>
        </w:tc>
        <w:tc>
          <w:tcPr>
            <w:tcW w:w="2608" w:type="dxa"/>
          </w:tcPr>
          <w:p>
            <w:pPr>
              <w:pStyle w:val="0"/>
            </w:pPr>
            <w:r>
              <w:rPr>
                <w:sz w:val="24"/>
              </w:rPr>
              <w:t xml:space="preserve">Процентные доходы по вложениям в долговые ценные бумаги, оцениваемые по справедливой стоимости через прочий совокупный доход (кроме векселей), прочих резидентов (31136)</w:t>
            </w:r>
          </w:p>
        </w:tc>
        <w:tc>
          <w:tcPr>
            <w:tcW w:w="2608" w:type="dxa"/>
          </w:tcPr>
          <w:p>
            <w:pPr>
              <w:pStyle w:val="0"/>
            </w:pPr>
            <w:r>
              <w:rPr>
                <w:sz w:val="24"/>
              </w:rPr>
            </w:r>
          </w:p>
        </w:tc>
        <w:tc>
          <w:tcPr>
            <w:tcW w:w="2948" w:type="dxa"/>
          </w:tcPr>
          <w:p>
            <w:pPr>
              <w:pStyle w:val="0"/>
            </w:pPr>
            <w:r>
              <w:rPr>
                <w:sz w:val="24"/>
              </w:rPr>
              <w:t xml:space="preserve">cbr-coa-dic:OFR_71001.31136</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Валюта Российской Федерации или рублевый эквивалент</w:t>
            </w:r>
          </w:p>
        </w:tc>
        <w:tc>
          <w:tcPr>
            <w:tcW w:w="2948" w:type="dxa"/>
          </w:tcPr>
          <w:p>
            <w:pPr>
              <w:pStyle w:val="0"/>
            </w:pPr>
            <w:r>
              <w:rPr>
                <w:sz w:val="24"/>
              </w:rPr>
              <w:t xml:space="preserve">dim-int:NaczVal_RubEkvAxis</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Тип контрагента, сектор (подсектор) экономики</w:t>
            </w:r>
          </w:p>
        </w:tc>
        <w:tc>
          <w:tcPr>
            <w:tcW w:w="2948" w:type="dxa"/>
          </w:tcPr>
          <w:p>
            <w:pPr>
              <w:pStyle w:val="0"/>
            </w:pPr>
            <w:r>
              <w:rPr>
                <w:sz w:val="24"/>
              </w:rPr>
              <w:t xml:space="preserve">dim-int:Tip_KontragentaAxis</w:t>
            </w:r>
          </w:p>
        </w:tc>
      </w:tr>
    </w:tbl>
    <w:p>
      <w:pPr>
        <w:pStyle w:val="0"/>
        <w:ind w:firstLine="540"/>
        <w:jc w:val="both"/>
      </w:pPr>
      <w:r>
        <w:rPr>
          <w:sz w:val="24"/>
        </w:rPr>
      </w:r>
    </w:p>
    <w:p>
      <w:pPr>
        <w:pStyle w:val="0"/>
        <w:ind w:firstLine="540"/>
        <w:jc w:val="both"/>
      </w:pPr>
      <w:r>
        <w:rPr>
          <w:sz w:val="24"/>
        </w:rPr>
        <w:t xml:space="preserve">--------------------------------</w:t>
      </w:r>
    </w:p>
    <w:bookmarkStart w:id="38962" w:name="P38962"/>
    <w:bookmarkEnd w:id="38962"/>
    <w:p>
      <w:pPr>
        <w:pStyle w:val="0"/>
        <w:spacing w:before="240" w:lineRule="auto"/>
        <w:ind w:firstLine="540"/>
        <w:jc w:val="both"/>
      </w:pPr>
      <w:r>
        <w:rPr>
          <w:sz w:val="24"/>
        </w:rPr>
        <w:t xml:space="preserve">&lt;1&gt; Общероссийский </w:t>
      </w:r>
      <w:hyperlink w:history="0" r:id="rId662"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bookmarkStart w:id="38968" w:name="P38968"/>
          <w:bookmarkEnd w:id="38968"/>
          <w:p>
            <w:pPr>
              <w:pStyle w:val="0"/>
            </w:pPr>
            <w:r>
              <w:rPr>
                <w:sz w:val="24"/>
              </w:rPr>
              <w:t xml:space="preserve">4</w:t>
            </w:r>
          </w:p>
        </w:tc>
        <w:tc>
          <w:tcPr>
            <w:tcW w:w="2891" w:type="dxa"/>
          </w:tcPr>
          <w:p>
            <w:pPr>
              <w:pStyle w:val="0"/>
            </w:pPr>
            <w:r>
              <w:rPr>
                <w:sz w:val="24"/>
              </w:rPr>
              <w:t xml:space="preserve">Процентные доходы по вложениям в долговые ценные бумаги (кроме векселей), оцениваемые по амортизированной стоимости, прочих резидентов (31150)</w:t>
            </w:r>
          </w:p>
        </w:tc>
        <w:tc>
          <w:tcPr>
            <w:tcW w:w="1814" w:type="dxa"/>
          </w:tcPr>
          <w:p>
            <w:pPr>
              <w:pStyle w:val="0"/>
            </w:pPr>
            <w:r>
              <w:rPr>
                <w:sz w:val="24"/>
              </w:rPr>
            </w:r>
          </w:p>
        </w:tc>
        <w:tc>
          <w:tcPr>
            <w:tcW w:w="3402" w:type="dxa"/>
          </w:tcPr>
          <w:p>
            <w:pPr>
              <w:pStyle w:val="0"/>
            </w:pPr>
            <w:r>
              <w:rPr>
                <w:sz w:val="24"/>
              </w:rPr>
              <w:t xml:space="preserve">cbr-coa-dic:OFR_71001.31150</w:t>
            </w:r>
          </w:p>
        </w:tc>
      </w:tr>
      <w:tr>
        <w:tc>
          <w:tcPr>
            <w:tcW w:w="964" w:type="dxa"/>
          </w:tcPr>
          <w:p>
            <w:pPr>
              <w:pStyle w:val="0"/>
            </w:pPr>
            <w:r>
              <w:rPr>
                <w:sz w:val="24"/>
              </w:rPr>
              <w:t xml:space="preserve">4.1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8980" w:name="P38980"/>
          <w:bookmarkEnd w:id="38980"/>
          <w:p>
            <w:pPr>
              <w:pStyle w:val="0"/>
            </w:pPr>
            <w:r>
              <w:rPr>
                <w:sz w:val="24"/>
              </w:rPr>
              <w:t xml:space="preserve">5</w:t>
            </w:r>
          </w:p>
        </w:tc>
        <w:tc>
          <w:tcPr>
            <w:tcW w:w="2891" w:type="dxa"/>
          </w:tcPr>
          <w:p>
            <w:pPr>
              <w:pStyle w:val="0"/>
            </w:pPr>
            <w:r>
              <w:rPr>
                <w:sz w:val="24"/>
              </w:rPr>
              <w:t xml:space="preserve">Процентные доходы по вложениям в учтенные векселя, оцениваемые по справедливой стоимости через прибыль или убыток, прочих резидентов (31157)</w:t>
            </w:r>
          </w:p>
        </w:tc>
        <w:tc>
          <w:tcPr>
            <w:tcW w:w="1814" w:type="dxa"/>
          </w:tcPr>
          <w:p>
            <w:pPr>
              <w:pStyle w:val="0"/>
            </w:pPr>
            <w:r>
              <w:rPr>
                <w:sz w:val="24"/>
              </w:rPr>
            </w:r>
          </w:p>
        </w:tc>
        <w:tc>
          <w:tcPr>
            <w:tcW w:w="3402" w:type="dxa"/>
          </w:tcPr>
          <w:p>
            <w:pPr>
              <w:pStyle w:val="0"/>
            </w:pPr>
            <w:r>
              <w:rPr>
                <w:sz w:val="24"/>
              </w:rPr>
              <w:t xml:space="preserve">cbr-coa-dic:OFR_71001.31157</w:t>
            </w:r>
          </w:p>
        </w:tc>
      </w:tr>
      <w:tr>
        <w:tc>
          <w:tcPr>
            <w:tcW w:w="964" w:type="dxa"/>
          </w:tcPr>
          <w:p>
            <w:pPr>
              <w:pStyle w:val="0"/>
            </w:pPr>
            <w:r>
              <w:rPr>
                <w:sz w:val="24"/>
              </w:rPr>
              <w:t xml:space="preserve">5.1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5.2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8992" w:name="P38992"/>
          <w:bookmarkEnd w:id="38992"/>
          <w:p>
            <w:pPr>
              <w:pStyle w:val="0"/>
            </w:pPr>
            <w:r>
              <w:rPr>
                <w:sz w:val="24"/>
              </w:rPr>
              <w:t xml:space="preserve">6</w:t>
            </w:r>
          </w:p>
        </w:tc>
        <w:tc>
          <w:tcPr>
            <w:tcW w:w="2891" w:type="dxa"/>
          </w:tcPr>
          <w:p>
            <w:pPr>
              <w:pStyle w:val="0"/>
            </w:pPr>
            <w:r>
              <w:rPr>
                <w:sz w:val="24"/>
              </w:rPr>
              <w:t xml:space="preserve">Процентные доходы по вложениям в учтенные векселя, оцениваемые по справедливой стоимости через прочий совокупный доход, прочих резидентов (31164)</w:t>
            </w:r>
          </w:p>
        </w:tc>
        <w:tc>
          <w:tcPr>
            <w:tcW w:w="1814" w:type="dxa"/>
          </w:tcPr>
          <w:p>
            <w:pPr>
              <w:pStyle w:val="0"/>
            </w:pPr>
            <w:r>
              <w:rPr>
                <w:sz w:val="24"/>
              </w:rPr>
            </w:r>
          </w:p>
        </w:tc>
        <w:tc>
          <w:tcPr>
            <w:tcW w:w="3402" w:type="dxa"/>
          </w:tcPr>
          <w:p>
            <w:pPr>
              <w:pStyle w:val="0"/>
            </w:pPr>
            <w:r>
              <w:rPr>
                <w:sz w:val="24"/>
              </w:rPr>
              <w:t xml:space="preserve">cbr-coa-dic:OFR_71001.31164</w:t>
            </w:r>
          </w:p>
        </w:tc>
      </w:tr>
      <w:tr>
        <w:tc>
          <w:tcPr>
            <w:tcW w:w="964" w:type="dxa"/>
          </w:tcPr>
          <w:p>
            <w:pPr>
              <w:pStyle w:val="0"/>
            </w:pPr>
            <w:r>
              <w:rPr>
                <w:sz w:val="24"/>
              </w:rPr>
              <w:t xml:space="preserve">6.1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6.2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004" w:name="P39004"/>
          <w:bookmarkEnd w:id="39004"/>
          <w:p>
            <w:pPr>
              <w:pStyle w:val="0"/>
            </w:pPr>
            <w:r>
              <w:rPr>
                <w:sz w:val="24"/>
              </w:rPr>
              <w:t xml:space="preserve">7</w:t>
            </w:r>
          </w:p>
        </w:tc>
        <w:tc>
          <w:tcPr>
            <w:tcW w:w="2891" w:type="dxa"/>
          </w:tcPr>
          <w:p>
            <w:pPr>
              <w:pStyle w:val="0"/>
            </w:pPr>
            <w:r>
              <w:rPr>
                <w:sz w:val="24"/>
              </w:rPr>
              <w:t xml:space="preserve">Процентные доходы по вложениям в учтенные векселя, оцениваемые по амортизированной стоимости, прочих резидентов (31178)</w:t>
            </w:r>
          </w:p>
        </w:tc>
        <w:tc>
          <w:tcPr>
            <w:tcW w:w="1814" w:type="dxa"/>
          </w:tcPr>
          <w:p>
            <w:pPr>
              <w:pStyle w:val="0"/>
            </w:pPr>
            <w:r>
              <w:rPr>
                <w:sz w:val="24"/>
              </w:rPr>
            </w:r>
          </w:p>
        </w:tc>
        <w:tc>
          <w:tcPr>
            <w:tcW w:w="3402" w:type="dxa"/>
          </w:tcPr>
          <w:p>
            <w:pPr>
              <w:pStyle w:val="0"/>
            </w:pPr>
            <w:r>
              <w:rPr>
                <w:sz w:val="24"/>
              </w:rPr>
              <w:t xml:space="preserve">cbr-coa-dic:OFR_71001.31178</w:t>
            </w:r>
          </w:p>
        </w:tc>
      </w:tr>
      <w:tr>
        <w:tc>
          <w:tcPr>
            <w:tcW w:w="964" w:type="dxa"/>
          </w:tcPr>
          <w:p>
            <w:pPr>
              <w:pStyle w:val="0"/>
            </w:pPr>
            <w:r>
              <w:rPr>
                <w:sz w:val="24"/>
              </w:rPr>
              <w:t xml:space="preserve">7.1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7.2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016" w:name="P39016"/>
          <w:bookmarkEnd w:id="39016"/>
          <w:p>
            <w:pPr>
              <w:pStyle w:val="0"/>
            </w:pPr>
            <w:r>
              <w:rPr>
                <w:sz w:val="24"/>
              </w:rPr>
              <w:t xml:space="preserve">8</w:t>
            </w:r>
          </w:p>
        </w:tc>
        <w:tc>
          <w:tcPr>
            <w:tcW w:w="2891" w:type="dxa"/>
          </w:tcPr>
          <w:p>
            <w:pPr>
              <w:pStyle w:val="0"/>
            </w:pPr>
            <w:r>
              <w:rPr>
                <w:sz w:val="24"/>
              </w:rPr>
              <w:t xml:space="preserve">Дивиденды от вложений в акции и доходы от участия в хозяйственных обществах, кроме акционерных (34502 + 34602 + 34702 + 34802)</w:t>
            </w:r>
          </w:p>
        </w:tc>
        <w:tc>
          <w:tcPr>
            <w:tcW w:w="1814" w:type="dxa"/>
          </w:tcPr>
          <w:p>
            <w:pPr>
              <w:pStyle w:val="0"/>
            </w:pPr>
            <w:r>
              <w:rPr>
                <w:sz w:val="24"/>
              </w:rPr>
            </w:r>
          </w:p>
        </w:tc>
        <w:tc>
          <w:tcPr>
            <w:tcW w:w="3402" w:type="dxa"/>
          </w:tcPr>
          <w:p>
            <w:pPr>
              <w:pStyle w:val="0"/>
            </w:pPr>
            <w:r>
              <w:rPr>
                <w:sz w:val="24"/>
              </w:rPr>
              <w:t xml:space="preserve">cbr-coa-dic:OFR_71505_34502_plus_34602_plus_34702_plus_34802</w:t>
            </w:r>
          </w:p>
        </w:tc>
      </w:tr>
      <w:tr>
        <w:tc>
          <w:tcPr>
            <w:tcW w:w="964" w:type="dxa"/>
          </w:tcPr>
          <w:p>
            <w:pPr>
              <w:pStyle w:val="0"/>
            </w:pPr>
            <w:r>
              <w:rPr>
                <w:sz w:val="24"/>
              </w:rPr>
              <w:t xml:space="preserve">8.1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8.2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p>
            <w:pPr>
              <w:pStyle w:val="0"/>
            </w:pPr>
            <w:r>
              <w:rPr>
                <w:sz w:val="24"/>
              </w:rPr>
              <w:t xml:space="preserve">9</w:t>
            </w:r>
          </w:p>
        </w:tc>
        <w:tc>
          <w:tcPr>
            <w:tcW w:w="2891" w:type="dxa"/>
          </w:tcPr>
          <w:p>
            <w:pPr>
              <w:pStyle w:val="0"/>
            </w:pPr>
            <w:r>
              <w:rPr>
                <w:sz w:val="24"/>
              </w:rPr>
              <w:t xml:space="preserve">Прочие доходы арендатора по договорам аренды (52304)</w:t>
            </w:r>
          </w:p>
        </w:tc>
        <w:tc>
          <w:tcPr>
            <w:tcW w:w="1814" w:type="dxa"/>
          </w:tcPr>
          <w:p>
            <w:pPr>
              <w:pStyle w:val="0"/>
            </w:pPr>
            <w:r>
              <w:rPr>
                <w:sz w:val="24"/>
              </w:rPr>
            </w:r>
          </w:p>
        </w:tc>
        <w:tc>
          <w:tcPr>
            <w:tcW w:w="3402" w:type="dxa"/>
          </w:tcPr>
          <w:p>
            <w:pPr>
              <w:pStyle w:val="0"/>
            </w:pPr>
            <w:r>
              <w:rPr>
                <w:sz w:val="24"/>
              </w:rPr>
              <w:t xml:space="preserve">cbr-coa-dic:OFR_71701.52304</w:t>
            </w:r>
          </w:p>
        </w:tc>
      </w:tr>
      <w:tr>
        <w:tc>
          <w:tcPr>
            <w:tcW w:w="964" w:type="dxa"/>
          </w:tcPr>
          <w:p>
            <w:pPr>
              <w:pStyle w:val="0"/>
            </w:pPr>
            <w:r>
              <w:rPr>
                <w:sz w:val="24"/>
              </w:rPr>
              <w:t xml:space="preserve">9.1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9.2</w:t>
            </w:r>
          </w:p>
        </w:tc>
        <w:tc>
          <w:tcPr>
            <w:tcW w:w="2891" w:type="dxa"/>
          </w:tcPr>
          <w:p>
            <w:pPr>
              <w:pStyle w:val="0"/>
            </w:pPr>
            <w:r>
              <w:rPr>
                <w:sz w:val="24"/>
              </w:rPr>
            </w:r>
          </w:p>
        </w:tc>
        <w:tc>
          <w:tcPr>
            <w:tcW w:w="1814" w:type="dxa"/>
          </w:tcPr>
          <w:p>
            <w:pPr>
              <w:pStyle w:val="0"/>
            </w:pPr>
            <w:r>
              <w:rPr>
                <w:sz w:val="24"/>
              </w:rPr>
              <w:t xml:space="preserve">Вид имущества</w:t>
            </w:r>
          </w:p>
        </w:tc>
        <w:tc>
          <w:tcPr>
            <w:tcW w:w="3402" w:type="dxa"/>
          </w:tcPr>
          <w:p>
            <w:pPr>
              <w:pStyle w:val="0"/>
            </w:pPr>
            <w:r>
              <w:rPr>
                <w:sz w:val="24"/>
              </w:rPr>
              <w:t xml:space="preserve">dim-int:VidImuschAxis</w:t>
            </w:r>
          </w:p>
        </w:tc>
      </w:tr>
      <w:tr>
        <w:tc>
          <w:tcPr>
            <w:tcW w:w="964" w:type="dxa"/>
          </w:tcPr>
          <w:p>
            <w:pPr>
              <w:pStyle w:val="0"/>
            </w:pPr>
            <w:r>
              <w:rPr>
                <w:sz w:val="24"/>
              </w:rPr>
              <w:t xml:space="preserve">10</w:t>
            </w:r>
          </w:p>
        </w:tc>
        <w:tc>
          <w:tcPr>
            <w:tcW w:w="2891" w:type="dxa"/>
          </w:tcPr>
          <w:p>
            <w:pPr>
              <w:pStyle w:val="0"/>
            </w:pPr>
            <w:r>
              <w:rPr>
                <w:sz w:val="24"/>
              </w:rPr>
              <w:t xml:space="preserve">Прочие расходы арендатора по договорам аренды (53805)</w:t>
            </w:r>
          </w:p>
        </w:tc>
        <w:tc>
          <w:tcPr>
            <w:tcW w:w="1814" w:type="dxa"/>
          </w:tcPr>
          <w:p>
            <w:pPr>
              <w:pStyle w:val="0"/>
            </w:pPr>
            <w:r>
              <w:rPr>
                <w:sz w:val="24"/>
              </w:rPr>
            </w:r>
          </w:p>
        </w:tc>
        <w:tc>
          <w:tcPr>
            <w:tcW w:w="3402" w:type="dxa"/>
          </w:tcPr>
          <w:p>
            <w:pPr>
              <w:pStyle w:val="0"/>
            </w:pPr>
            <w:r>
              <w:rPr>
                <w:sz w:val="24"/>
              </w:rPr>
              <w:t xml:space="preserve">cbr-coa-dic:OFR_71702.53805</w:t>
            </w:r>
          </w:p>
        </w:tc>
      </w:tr>
      <w:tr>
        <w:tc>
          <w:tcPr>
            <w:tcW w:w="964" w:type="dxa"/>
          </w:tcPr>
          <w:p>
            <w:pPr>
              <w:pStyle w:val="0"/>
            </w:pPr>
            <w:r>
              <w:rPr>
                <w:sz w:val="24"/>
              </w:rPr>
              <w:t xml:space="preserve">10.1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10.2</w:t>
            </w:r>
          </w:p>
        </w:tc>
        <w:tc>
          <w:tcPr>
            <w:tcW w:w="2891" w:type="dxa"/>
          </w:tcPr>
          <w:p>
            <w:pPr>
              <w:pStyle w:val="0"/>
            </w:pPr>
            <w:r>
              <w:rPr>
                <w:sz w:val="24"/>
              </w:rPr>
            </w:r>
          </w:p>
        </w:tc>
        <w:tc>
          <w:tcPr>
            <w:tcW w:w="1814" w:type="dxa"/>
          </w:tcPr>
          <w:p>
            <w:pPr>
              <w:pStyle w:val="0"/>
            </w:pPr>
            <w:r>
              <w:rPr>
                <w:sz w:val="24"/>
              </w:rPr>
              <w:t xml:space="preserve">Вид имущества</w:t>
            </w:r>
          </w:p>
        </w:tc>
        <w:tc>
          <w:tcPr>
            <w:tcW w:w="3402" w:type="dxa"/>
          </w:tcPr>
          <w:p>
            <w:pPr>
              <w:pStyle w:val="0"/>
            </w:pPr>
            <w:r>
              <w:rPr>
                <w:sz w:val="24"/>
              </w:rPr>
              <w:t xml:space="preserve">dim-int:VidImuschAxis</w:t>
            </w:r>
          </w:p>
        </w:tc>
      </w:tr>
      <w:tr>
        <w:tc>
          <w:tcPr>
            <w:tcW w:w="964" w:type="dxa"/>
          </w:tcPr>
          <w:p>
            <w:pPr>
              <w:pStyle w:val="0"/>
            </w:pPr>
            <w:r>
              <w:rPr>
                <w:sz w:val="24"/>
              </w:rPr>
              <w:t xml:space="preserve">11</w:t>
            </w:r>
          </w:p>
        </w:tc>
        <w:tc>
          <w:tcPr>
            <w:tcW w:w="2891" w:type="dxa"/>
          </w:tcPr>
          <w:p>
            <w:pPr>
              <w:pStyle w:val="0"/>
            </w:pPr>
            <w:r>
              <w:rPr>
                <w:sz w:val="24"/>
              </w:rPr>
              <w:t xml:space="preserve">Доходы арендодателя от сдачи имущества, в том числе инвестиционного имущества, в аренду (52301 + 52502)</w:t>
            </w:r>
          </w:p>
        </w:tc>
        <w:tc>
          <w:tcPr>
            <w:tcW w:w="1814" w:type="dxa"/>
          </w:tcPr>
          <w:p>
            <w:pPr>
              <w:pStyle w:val="0"/>
            </w:pPr>
            <w:r>
              <w:rPr>
                <w:sz w:val="24"/>
              </w:rPr>
            </w:r>
          </w:p>
        </w:tc>
        <w:tc>
          <w:tcPr>
            <w:tcW w:w="3402" w:type="dxa"/>
          </w:tcPr>
          <w:p>
            <w:pPr>
              <w:pStyle w:val="0"/>
            </w:pPr>
            <w:r>
              <w:rPr>
                <w:sz w:val="24"/>
              </w:rPr>
              <w:t xml:space="preserve">cbr-coa-dic:OFR_71701.5231_plus_71701.52502</w:t>
            </w:r>
          </w:p>
        </w:tc>
      </w:tr>
      <w:tr>
        <w:tc>
          <w:tcPr>
            <w:tcW w:w="964" w:type="dxa"/>
          </w:tcPr>
          <w:p>
            <w:pPr>
              <w:pStyle w:val="0"/>
            </w:pPr>
            <w:r>
              <w:rPr>
                <w:sz w:val="24"/>
              </w:rPr>
              <w:t xml:space="preserve">11.1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11.2</w:t>
            </w:r>
          </w:p>
        </w:tc>
        <w:tc>
          <w:tcPr>
            <w:tcW w:w="2891" w:type="dxa"/>
          </w:tcPr>
          <w:p>
            <w:pPr>
              <w:pStyle w:val="0"/>
            </w:pPr>
            <w:r>
              <w:rPr>
                <w:sz w:val="24"/>
              </w:rPr>
            </w:r>
          </w:p>
        </w:tc>
        <w:tc>
          <w:tcPr>
            <w:tcW w:w="1814" w:type="dxa"/>
          </w:tcPr>
          <w:p>
            <w:pPr>
              <w:pStyle w:val="0"/>
            </w:pPr>
            <w:r>
              <w:rPr>
                <w:sz w:val="24"/>
              </w:rPr>
              <w:t xml:space="preserve">Вид имущества</w:t>
            </w:r>
          </w:p>
        </w:tc>
        <w:tc>
          <w:tcPr>
            <w:tcW w:w="3402" w:type="dxa"/>
          </w:tcPr>
          <w:p>
            <w:pPr>
              <w:pStyle w:val="0"/>
            </w:pPr>
            <w:r>
              <w:rPr>
                <w:sz w:val="24"/>
              </w:rPr>
              <w:t xml:space="preserve">dim-int:VidImuschAxis</w:t>
            </w:r>
          </w:p>
        </w:tc>
      </w:tr>
      <w:tr>
        <w:tc>
          <w:tcPr>
            <w:tcW w:w="964" w:type="dxa"/>
          </w:tcPr>
          <w:p>
            <w:pPr>
              <w:pStyle w:val="0"/>
            </w:pPr>
            <w:r>
              <w:rPr>
                <w:sz w:val="24"/>
              </w:rPr>
              <w:t xml:space="preserve">12</w:t>
            </w:r>
          </w:p>
        </w:tc>
        <w:tc>
          <w:tcPr>
            <w:tcW w:w="2891" w:type="dxa"/>
          </w:tcPr>
          <w:p>
            <w:pPr>
              <w:pStyle w:val="0"/>
            </w:pPr>
            <w:r>
              <w:rPr>
                <w:sz w:val="24"/>
              </w:rPr>
              <w:t xml:space="preserve">Расходы на уплату налогов и сборов, относимых на расходы (55413)</w:t>
            </w:r>
          </w:p>
        </w:tc>
        <w:tc>
          <w:tcPr>
            <w:tcW w:w="1814" w:type="dxa"/>
          </w:tcPr>
          <w:p>
            <w:pPr>
              <w:pStyle w:val="0"/>
            </w:pPr>
            <w:r>
              <w:rPr>
                <w:sz w:val="24"/>
              </w:rPr>
            </w:r>
          </w:p>
        </w:tc>
        <w:tc>
          <w:tcPr>
            <w:tcW w:w="3402" w:type="dxa"/>
          </w:tcPr>
          <w:p>
            <w:pPr>
              <w:pStyle w:val="0"/>
            </w:pPr>
            <w:r>
              <w:rPr>
                <w:sz w:val="24"/>
              </w:rPr>
              <w:t xml:space="preserve">cbr-coa-dic:OFR_71802.55413</w:t>
            </w:r>
          </w:p>
        </w:tc>
      </w:tr>
      <w:tr>
        <w:tc>
          <w:tcPr>
            <w:tcW w:w="964" w:type="dxa"/>
          </w:tcPr>
          <w:p>
            <w:pPr>
              <w:pStyle w:val="0"/>
            </w:pPr>
            <w:r>
              <w:rPr>
                <w:sz w:val="24"/>
              </w:rPr>
              <w:t xml:space="preserve">12.1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12.2</w:t>
            </w:r>
          </w:p>
        </w:tc>
        <w:tc>
          <w:tcPr>
            <w:tcW w:w="2891" w:type="dxa"/>
          </w:tcPr>
          <w:p>
            <w:pPr>
              <w:pStyle w:val="0"/>
            </w:pPr>
            <w:r>
              <w:rPr>
                <w:sz w:val="24"/>
              </w:rPr>
            </w:r>
          </w:p>
        </w:tc>
        <w:tc>
          <w:tcPr>
            <w:tcW w:w="1814" w:type="dxa"/>
          </w:tcPr>
          <w:p>
            <w:pPr>
              <w:pStyle w:val="0"/>
            </w:pPr>
            <w:r>
              <w:rPr>
                <w:sz w:val="24"/>
              </w:rPr>
              <w:t xml:space="preserve">Тип налогов</w:t>
            </w:r>
          </w:p>
        </w:tc>
        <w:tc>
          <w:tcPr>
            <w:tcW w:w="3402" w:type="dxa"/>
          </w:tcPr>
          <w:p>
            <w:pPr>
              <w:pStyle w:val="0"/>
            </w:pPr>
            <w:r>
              <w:rPr>
                <w:sz w:val="24"/>
              </w:rPr>
              <w:t xml:space="preserve">dim-int:TipNalogovAxis</w:t>
            </w:r>
          </w:p>
        </w:tc>
      </w:tr>
      <w:tr>
        <w:tc>
          <w:tcPr>
            <w:tcW w:w="964" w:type="dxa"/>
          </w:tcPr>
          <w:p>
            <w:pPr>
              <w:pStyle w:val="0"/>
            </w:pPr>
            <w:r>
              <w:rPr>
                <w:sz w:val="24"/>
              </w:rPr>
              <w:t xml:space="preserve">13</w:t>
            </w:r>
          </w:p>
        </w:tc>
        <w:tc>
          <w:tcPr>
            <w:tcW w:w="2891" w:type="dxa"/>
          </w:tcPr>
          <w:p>
            <w:pPr>
              <w:pStyle w:val="0"/>
            </w:pPr>
            <w:r>
              <w:rPr>
                <w:sz w:val="24"/>
              </w:rPr>
              <w:t xml:space="preserve">Расходы на служебные командировки (55405)</w:t>
            </w:r>
          </w:p>
        </w:tc>
        <w:tc>
          <w:tcPr>
            <w:tcW w:w="1814" w:type="dxa"/>
          </w:tcPr>
          <w:p>
            <w:pPr>
              <w:pStyle w:val="0"/>
            </w:pPr>
            <w:r>
              <w:rPr>
                <w:sz w:val="24"/>
              </w:rPr>
            </w:r>
          </w:p>
        </w:tc>
        <w:tc>
          <w:tcPr>
            <w:tcW w:w="3402" w:type="dxa"/>
          </w:tcPr>
          <w:p>
            <w:pPr>
              <w:pStyle w:val="0"/>
            </w:pPr>
            <w:r>
              <w:rPr>
                <w:sz w:val="24"/>
              </w:rPr>
              <w:t xml:space="preserve">cbr-coa-dic:OFR_71802.55405</w:t>
            </w:r>
          </w:p>
        </w:tc>
      </w:tr>
      <w:tr>
        <w:tc>
          <w:tcPr>
            <w:tcW w:w="964" w:type="dxa"/>
          </w:tcPr>
          <w:p>
            <w:pPr>
              <w:pStyle w:val="0"/>
            </w:pPr>
            <w:r>
              <w:rPr>
                <w:sz w:val="24"/>
              </w:rPr>
              <w:t xml:space="preserve">13.1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13.2</w:t>
            </w:r>
          </w:p>
        </w:tc>
        <w:tc>
          <w:tcPr>
            <w:tcW w:w="2891" w:type="dxa"/>
          </w:tcPr>
          <w:p>
            <w:pPr>
              <w:pStyle w:val="0"/>
            </w:pPr>
            <w:r>
              <w:rPr>
                <w:sz w:val="24"/>
              </w:rPr>
            </w:r>
          </w:p>
        </w:tc>
        <w:tc>
          <w:tcPr>
            <w:tcW w:w="1814" w:type="dxa"/>
          </w:tcPr>
          <w:p>
            <w:pPr>
              <w:pStyle w:val="0"/>
            </w:pPr>
            <w:r>
              <w:rPr>
                <w:sz w:val="24"/>
              </w:rPr>
              <w:t xml:space="preserve">Тип расходов на служебные командировки</w:t>
            </w:r>
          </w:p>
        </w:tc>
        <w:tc>
          <w:tcPr>
            <w:tcW w:w="3402" w:type="dxa"/>
          </w:tcPr>
          <w:p>
            <w:pPr>
              <w:pStyle w:val="0"/>
            </w:pPr>
            <w:r>
              <w:rPr>
                <w:sz w:val="24"/>
              </w:rPr>
              <w:t xml:space="preserve">dim-int:TipRasxodovNaSluzhKomandirAxis</w:t>
            </w:r>
          </w:p>
        </w:tc>
      </w:tr>
      <w:tr>
        <w:tc>
          <w:tcPr>
            <w:tcW w:w="964" w:type="dxa"/>
          </w:tcPr>
          <w:bookmarkStart w:id="39088" w:name="P39088"/>
          <w:bookmarkEnd w:id="39088"/>
          <w:p>
            <w:pPr>
              <w:pStyle w:val="0"/>
            </w:pPr>
            <w:r>
              <w:rPr>
                <w:sz w:val="24"/>
              </w:rPr>
              <w:t xml:space="preserve">14</w:t>
            </w:r>
          </w:p>
        </w:tc>
        <w:tc>
          <w:tcPr>
            <w:tcW w:w="2891" w:type="dxa"/>
          </w:tcPr>
          <w:p>
            <w:pPr>
              <w:pStyle w:val="0"/>
            </w:pPr>
            <w:r>
              <w:rPr>
                <w:sz w:val="24"/>
              </w:rPr>
              <w:t xml:space="preserve">Процентные доходы по прочим средствам (31101 + 31102 + 31103 + 31104 + 31105 + 31106 + 31107 + 31108 + 31109 + 31110 + 31111 + 31112 + 31113 + 31114 + 31115 + 31116 + 31117)</w:t>
            </w:r>
          </w:p>
        </w:tc>
        <w:tc>
          <w:tcPr>
            <w:tcW w:w="1814" w:type="dxa"/>
          </w:tcPr>
          <w:p>
            <w:pPr>
              <w:pStyle w:val="0"/>
            </w:pPr>
            <w:r>
              <w:rPr>
                <w:sz w:val="24"/>
              </w:rPr>
            </w:r>
          </w:p>
        </w:tc>
        <w:tc>
          <w:tcPr>
            <w:tcW w:w="3402" w:type="dxa"/>
          </w:tcPr>
          <w:p>
            <w:pPr>
              <w:pStyle w:val="0"/>
            </w:pPr>
            <w:r>
              <w:rPr>
                <w:sz w:val="24"/>
              </w:rPr>
              <w:t xml:space="preserve">cbr-coa-dic:OFR_71001.sum_31101_31117</w:t>
            </w:r>
          </w:p>
        </w:tc>
      </w:tr>
      <w:tr>
        <w:tc>
          <w:tcPr>
            <w:tcW w:w="964" w:type="dxa"/>
          </w:tcPr>
          <w:p>
            <w:pPr>
              <w:pStyle w:val="0"/>
            </w:pPr>
            <w:r>
              <w:rPr>
                <w:sz w:val="24"/>
              </w:rPr>
              <w:t xml:space="preserve">14.1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14.2</w:t>
            </w:r>
          </w:p>
        </w:tc>
        <w:tc>
          <w:tcPr>
            <w:tcW w:w="2891" w:type="dxa"/>
          </w:tcPr>
          <w:p>
            <w:pPr>
              <w:pStyle w:val="0"/>
            </w:pPr>
            <w:r>
              <w:rPr>
                <w:sz w:val="24"/>
              </w:rPr>
            </w:r>
          </w:p>
        </w:tc>
        <w:tc>
          <w:tcPr>
            <w:tcW w:w="1814" w:type="dxa"/>
          </w:tcPr>
          <w:p>
            <w:pPr>
              <w:pStyle w:val="0"/>
            </w:pPr>
            <w:r>
              <w:rPr>
                <w:sz w:val="24"/>
              </w:rPr>
              <w:t xml:space="preserve">Тип процентных доходов</w:t>
            </w:r>
          </w:p>
        </w:tc>
        <w:tc>
          <w:tcPr>
            <w:tcW w:w="3402" w:type="dxa"/>
          </w:tcPr>
          <w:p>
            <w:pPr>
              <w:pStyle w:val="0"/>
            </w:pPr>
            <w:r>
              <w:rPr>
                <w:sz w:val="24"/>
              </w:rPr>
              <w:t xml:space="preserve">dim-int:TipProczentDoxodovAxis</w:t>
            </w:r>
          </w:p>
        </w:tc>
      </w:tr>
      <w:tr>
        <w:tc>
          <w:tcPr>
            <w:tcW w:w="964" w:type="dxa"/>
          </w:tcPr>
          <w:p>
            <w:pPr>
              <w:pStyle w:val="0"/>
            </w:pPr>
            <w:r>
              <w:rPr>
                <w:sz w:val="24"/>
              </w:rPr>
              <w:t xml:space="preserve">14.3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104" w:name="P39104"/>
          <w:bookmarkEnd w:id="39104"/>
          <w:p>
            <w:pPr>
              <w:pStyle w:val="0"/>
            </w:pPr>
            <w:r>
              <w:rPr>
                <w:sz w:val="24"/>
              </w:rPr>
              <w:t xml:space="preserve">15</w:t>
            </w:r>
          </w:p>
        </w:tc>
        <w:tc>
          <w:tcPr>
            <w:tcW w:w="2891" w:type="dxa"/>
          </w:tcPr>
          <w:p>
            <w:pPr>
              <w:pStyle w:val="0"/>
            </w:pPr>
            <w:r>
              <w:rPr>
                <w:sz w:val="24"/>
              </w:rPr>
              <w:t xml:space="preserve">Процентные расходы по привлеченным средствам (44103 + 44104 + 44105 + 44106 + 44107 + 44108 + 44109 + 44110 + 44111 + 44112 + 44113 + 44114 + 44115 + 44116 + 44117 + 44118 + 44119)</w:t>
            </w:r>
          </w:p>
        </w:tc>
        <w:tc>
          <w:tcPr>
            <w:tcW w:w="1814" w:type="dxa"/>
          </w:tcPr>
          <w:p>
            <w:pPr>
              <w:pStyle w:val="0"/>
            </w:pPr>
            <w:r>
              <w:rPr>
                <w:sz w:val="24"/>
              </w:rPr>
            </w:r>
          </w:p>
        </w:tc>
        <w:tc>
          <w:tcPr>
            <w:tcW w:w="3402" w:type="dxa"/>
          </w:tcPr>
          <w:p>
            <w:pPr>
              <w:pStyle w:val="0"/>
            </w:pPr>
            <w:r>
              <w:rPr>
                <w:sz w:val="24"/>
              </w:rPr>
              <w:t xml:space="preserve">cbr-coa-dic:OFR_71101.sum_44103_44119</w:t>
            </w:r>
          </w:p>
        </w:tc>
      </w:tr>
      <w:tr>
        <w:tc>
          <w:tcPr>
            <w:tcW w:w="964" w:type="dxa"/>
          </w:tcPr>
          <w:p>
            <w:pPr>
              <w:pStyle w:val="0"/>
            </w:pPr>
            <w:r>
              <w:rPr>
                <w:sz w:val="24"/>
              </w:rPr>
              <w:t xml:space="preserve">15.1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15.2</w:t>
            </w:r>
          </w:p>
        </w:tc>
        <w:tc>
          <w:tcPr>
            <w:tcW w:w="2891" w:type="dxa"/>
          </w:tcPr>
          <w:p>
            <w:pPr>
              <w:pStyle w:val="0"/>
            </w:pPr>
            <w:r>
              <w:rPr>
                <w:sz w:val="24"/>
              </w:rPr>
            </w:r>
          </w:p>
        </w:tc>
        <w:tc>
          <w:tcPr>
            <w:tcW w:w="1814" w:type="dxa"/>
          </w:tcPr>
          <w:p>
            <w:pPr>
              <w:pStyle w:val="0"/>
            </w:pPr>
            <w:r>
              <w:rPr>
                <w:sz w:val="24"/>
              </w:rPr>
              <w:t xml:space="preserve">Тип процентных расходов</w:t>
            </w:r>
          </w:p>
        </w:tc>
        <w:tc>
          <w:tcPr>
            <w:tcW w:w="3402" w:type="dxa"/>
          </w:tcPr>
          <w:p>
            <w:pPr>
              <w:pStyle w:val="0"/>
            </w:pPr>
            <w:r>
              <w:rPr>
                <w:sz w:val="24"/>
              </w:rPr>
              <w:t xml:space="preserve">dim-int:TipProczentRasxodovAxis</w:t>
            </w:r>
          </w:p>
        </w:tc>
      </w:tr>
      <w:tr>
        <w:tc>
          <w:tcPr>
            <w:tcW w:w="964" w:type="dxa"/>
          </w:tcPr>
          <w:p>
            <w:pPr>
              <w:pStyle w:val="0"/>
            </w:pPr>
            <w:r>
              <w:rPr>
                <w:sz w:val="24"/>
              </w:rPr>
              <w:t xml:space="preserve">15.3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120" w:name="P39120"/>
          <w:bookmarkEnd w:id="39120"/>
          <w:p>
            <w:pPr>
              <w:pStyle w:val="0"/>
            </w:pPr>
            <w:r>
              <w:rPr>
                <w:sz w:val="24"/>
              </w:rPr>
              <w:t xml:space="preserve">16</w:t>
            </w:r>
          </w:p>
        </w:tc>
        <w:tc>
          <w:tcPr>
            <w:tcW w:w="2891" w:type="dxa"/>
          </w:tcPr>
          <w:p>
            <w:pPr>
              <w:pStyle w:val="0"/>
            </w:pPr>
            <w:r>
              <w:rPr>
                <w:sz w:val="24"/>
              </w:rPr>
              <w:t xml:space="preserve">Выручка по договорам страхования жизни и выпущенным (принятым) договорам перестрахования жизни</w:t>
            </w:r>
          </w:p>
        </w:tc>
        <w:tc>
          <w:tcPr>
            <w:tcW w:w="1814" w:type="dxa"/>
          </w:tcPr>
          <w:p>
            <w:pPr>
              <w:pStyle w:val="0"/>
            </w:pPr>
            <w:r>
              <w:rPr>
                <w:sz w:val="24"/>
              </w:rPr>
            </w:r>
          </w:p>
        </w:tc>
        <w:tc>
          <w:tcPr>
            <w:tcW w:w="3402" w:type="dxa"/>
          </w:tcPr>
          <w:p>
            <w:pPr>
              <w:pStyle w:val="0"/>
            </w:pPr>
            <w:r>
              <w:rPr>
                <w:sz w:val="24"/>
              </w:rPr>
              <w:t xml:space="preserve">ins-dic:VyruchPoDogStrZhIVypushPrinyatDogPerestrZhRasshOFR</w:t>
            </w:r>
          </w:p>
        </w:tc>
      </w:tr>
      <w:tr>
        <w:tc>
          <w:tcPr>
            <w:tcW w:w="964" w:type="dxa"/>
          </w:tcPr>
          <w:p>
            <w:pPr>
              <w:pStyle w:val="0"/>
            </w:pPr>
            <w:r>
              <w:rPr>
                <w:sz w:val="24"/>
              </w:rPr>
              <w:t xml:space="preserve">16.1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16.2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132" w:name="P39132"/>
          <w:bookmarkEnd w:id="39132"/>
          <w:p>
            <w:pPr>
              <w:pStyle w:val="0"/>
            </w:pPr>
            <w:r>
              <w:rPr>
                <w:sz w:val="24"/>
              </w:rPr>
              <w:t xml:space="preserve">17</w:t>
            </w:r>
          </w:p>
        </w:tc>
        <w:tc>
          <w:tcPr>
            <w:tcW w:w="2891" w:type="dxa"/>
          </w:tcPr>
          <w:p>
            <w:pPr>
              <w:pStyle w:val="0"/>
            </w:pPr>
            <w:r>
              <w:rPr>
                <w:sz w:val="24"/>
              </w:rPr>
              <w:t xml:space="preserve">Выручка по договорам страхования иного, чем страхования жизни, и выпущенным (принятым) договорам перестрахования иного, чем страхование жизни</w:t>
            </w:r>
          </w:p>
        </w:tc>
        <w:tc>
          <w:tcPr>
            <w:tcW w:w="1814" w:type="dxa"/>
          </w:tcPr>
          <w:p>
            <w:pPr>
              <w:pStyle w:val="0"/>
            </w:pPr>
            <w:r>
              <w:rPr>
                <w:sz w:val="24"/>
              </w:rPr>
            </w:r>
          </w:p>
        </w:tc>
        <w:tc>
          <w:tcPr>
            <w:tcW w:w="3402" w:type="dxa"/>
          </w:tcPr>
          <w:p>
            <w:pPr>
              <w:pStyle w:val="0"/>
            </w:pPr>
            <w:r>
              <w:rPr>
                <w:sz w:val="24"/>
              </w:rPr>
              <w:t xml:space="preserve">ins-dic:VyrPoDogStrInChZhIVypPrinDogPerestrInChZhRasshOFR</w:t>
            </w:r>
          </w:p>
        </w:tc>
      </w:tr>
      <w:tr>
        <w:tc>
          <w:tcPr>
            <w:tcW w:w="964" w:type="dxa"/>
          </w:tcPr>
          <w:p>
            <w:pPr>
              <w:pStyle w:val="0"/>
            </w:pPr>
            <w:r>
              <w:rPr>
                <w:sz w:val="24"/>
              </w:rPr>
              <w:t xml:space="preserve">17.1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17.2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144" w:name="P39144"/>
          <w:bookmarkEnd w:id="39144"/>
          <w:p>
            <w:pPr>
              <w:pStyle w:val="0"/>
            </w:pPr>
            <w:r>
              <w:rPr>
                <w:sz w:val="24"/>
              </w:rPr>
              <w:t xml:space="preserve">18</w:t>
            </w:r>
          </w:p>
        </w:tc>
        <w:tc>
          <w:tcPr>
            <w:tcW w:w="2891" w:type="dxa"/>
          </w:tcPr>
          <w:p>
            <w:pPr>
              <w:pStyle w:val="0"/>
            </w:pPr>
            <w:r>
              <w:rPr>
                <w:sz w:val="24"/>
              </w:rPr>
              <w:t xml:space="preserve">Расходы по договорам страхования жизни и выпущенным (принятым) договорам перестрахования жизни</w:t>
            </w:r>
          </w:p>
        </w:tc>
        <w:tc>
          <w:tcPr>
            <w:tcW w:w="1814" w:type="dxa"/>
          </w:tcPr>
          <w:p>
            <w:pPr>
              <w:pStyle w:val="0"/>
            </w:pPr>
            <w:r>
              <w:rPr>
                <w:sz w:val="24"/>
              </w:rPr>
            </w:r>
          </w:p>
        </w:tc>
        <w:tc>
          <w:tcPr>
            <w:tcW w:w="3402" w:type="dxa"/>
          </w:tcPr>
          <w:p>
            <w:pPr>
              <w:pStyle w:val="0"/>
            </w:pPr>
            <w:r>
              <w:rPr>
                <w:sz w:val="24"/>
              </w:rPr>
              <w:t xml:space="preserve">ins-dic:RasxPoDogStrZhIVypushPrinyatDogPerestrZhRasshOFR</w:t>
            </w:r>
          </w:p>
        </w:tc>
      </w:tr>
      <w:tr>
        <w:tc>
          <w:tcPr>
            <w:tcW w:w="964" w:type="dxa"/>
          </w:tcPr>
          <w:p>
            <w:pPr>
              <w:pStyle w:val="0"/>
            </w:pPr>
            <w:r>
              <w:rPr>
                <w:sz w:val="24"/>
              </w:rPr>
              <w:t xml:space="preserve">18.1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18.2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156" w:name="P39156"/>
          <w:bookmarkEnd w:id="39156"/>
          <w:p>
            <w:pPr>
              <w:pStyle w:val="0"/>
            </w:pPr>
            <w:r>
              <w:rPr>
                <w:sz w:val="24"/>
              </w:rPr>
              <w:t xml:space="preserve">19</w:t>
            </w:r>
          </w:p>
        </w:tc>
        <w:tc>
          <w:tcPr>
            <w:tcW w:w="2891" w:type="dxa"/>
          </w:tcPr>
          <w:p>
            <w:pPr>
              <w:pStyle w:val="0"/>
            </w:pPr>
            <w:r>
              <w:rPr>
                <w:sz w:val="24"/>
              </w:rPr>
              <w:t xml:space="preserve">Расходы по договорам страхования иного, чем страхования жизни, и выпущенным (принятым) договорам перестрахования иного, чем страхование жизни</w:t>
            </w:r>
          </w:p>
        </w:tc>
        <w:tc>
          <w:tcPr>
            <w:tcW w:w="1814" w:type="dxa"/>
          </w:tcPr>
          <w:p>
            <w:pPr>
              <w:pStyle w:val="0"/>
            </w:pPr>
            <w:r>
              <w:rPr>
                <w:sz w:val="24"/>
              </w:rPr>
            </w:r>
          </w:p>
        </w:tc>
        <w:tc>
          <w:tcPr>
            <w:tcW w:w="3402" w:type="dxa"/>
          </w:tcPr>
          <w:p>
            <w:pPr>
              <w:pStyle w:val="0"/>
            </w:pPr>
            <w:r>
              <w:rPr>
                <w:sz w:val="24"/>
              </w:rPr>
              <w:t xml:space="preserve">ins-dic:RasxPoDogStrInChZhIVypPrinDogPerestrInChZhRasshOFR</w:t>
            </w:r>
          </w:p>
        </w:tc>
      </w:tr>
      <w:tr>
        <w:tc>
          <w:tcPr>
            <w:tcW w:w="964" w:type="dxa"/>
          </w:tcPr>
          <w:p>
            <w:pPr>
              <w:pStyle w:val="0"/>
            </w:pPr>
            <w:r>
              <w:rPr>
                <w:sz w:val="24"/>
              </w:rPr>
              <w:t xml:space="preserve">19.1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19.2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168" w:name="P39168"/>
          <w:bookmarkEnd w:id="39168"/>
          <w:p>
            <w:pPr>
              <w:pStyle w:val="0"/>
            </w:pPr>
            <w:r>
              <w:rPr>
                <w:sz w:val="24"/>
              </w:rPr>
              <w:t xml:space="preserve">20</w:t>
            </w:r>
          </w:p>
        </w:tc>
        <w:tc>
          <w:tcPr>
            <w:tcW w:w="2891" w:type="dxa"/>
          </w:tcPr>
          <w:p>
            <w:pPr>
              <w:pStyle w:val="0"/>
            </w:pPr>
            <w:r>
              <w:rPr>
                <w:sz w:val="24"/>
              </w:rPr>
              <w:t xml:space="preserve">Вознаграждение посредникам за заключение договоров страхования, оказание услуг, связанных с их заключением (фактически выплаченное)</w:t>
            </w:r>
          </w:p>
        </w:tc>
        <w:tc>
          <w:tcPr>
            <w:tcW w:w="1814" w:type="dxa"/>
          </w:tcPr>
          <w:p>
            <w:pPr>
              <w:pStyle w:val="0"/>
            </w:pPr>
            <w:r>
              <w:rPr>
                <w:sz w:val="24"/>
              </w:rPr>
            </w:r>
          </w:p>
        </w:tc>
        <w:tc>
          <w:tcPr>
            <w:tcW w:w="3402" w:type="dxa"/>
          </w:tcPr>
          <w:p>
            <w:pPr>
              <w:pStyle w:val="0"/>
            </w:pPr>
            <w:r>
              <w:rPr>
                <w:sz w:val="24"/>
              </w:rPr>
              <w:t xml:space="preserve">ins-dic:VozPosredZaklDogStrOkazUslSvSIxZaklFaktVyplRasshOFR</w:t>
            </w:r>
          </w:p>
        </w:tc>
      </w:tr>
      <w:tr>
        <w:tc>
          <w:tcPr>
            <w:tcW w:w="964" w:type="dxa"/>
          </w:tcPr>
          <w:p>
            <w:pPr>
              <w:pStyle w:val="0"/>
            </w:pPr>
            <w:r>
              <w:rPr>
                <w:sz w:val="24"/>
              </w:rPr>
              <w:t xml:space="preserve">20.1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20.2</w:t>
            </w:r>
          </w:p>
        </w:tc>
        <w:tc>
          <w:tcPr>
            <w:tcW w:w="2891" w:type="dxa"/>
          </w:tcPr>
          <w:p>
            <w:pPr>
              <w:pStyle w:val="0"/>
            </w:pPr>
            <w:r>
              <w:rPr>
                <w:sz w:val="24"/>
              </w:rPr>
            </w:r>
          </w:p>
        </w:tc>
        <w:tc>
          <w:tcPr>
            <w:tcW w:w="1814" w:type="dxa"/>
          </w:tcPr>
          <w:p>
            <w:pPr>
              <w:pStyle w:val="0"/>
            </w:pPr>
            <w:r>
              <w:rPr>
                <w:sz w:val="24"/>
              </w:rPr>
              <w:t xml:space="preserve">Вид контрагента</w:t>
            </w:r>
          </w:p>
        </w:tc>
        <w:tc>
          <w:tcPr>
            <w:tcW w:w="3402" w:type="dxa"/>
          </w:tcPr>
          <w:p>
            <w:pPr>
              <w:pStyle w:val="0"/>
            </w:pPr>
            <w:r>
              <w:rPr>
                <w:sz w:val="24"/>
              </w:rPr>
              <w:t xml:space="preserve">dim-int:VidKontragentaAxis</w:t>
            </w:r>
          </w:p>
        </w:tc>
      </w:tr>
      <w:tr>
        <w:tc>
          <w:tcPr>
            <w:tcW w:w="964" w:type="dxa"/>
          </w:tcPr>
          <w:bookmarkStart w:id="39180" w:name="P39180"/>
          <w:bookmarkEnd w:id="39180"/>
          <w:p>
            <w:pPr>
              <w:pStyle w:val="0"/>
            </w:pPr>
            <w:r>
              <w:rPr>
                <w:sz w:val="24"/>
              </w:rPr>
              <w:t xml:space="preserve">21</w:t>
            </w:r>
          </w:p>
        </w:tc>
        <w:tc>
          <w:tcPr>
            <w:tcW w:w="2891" w:type="dxa"/>
          </w:tcPr>
          <w:p>
            <w:pPr>
              <w:pStyle w:val="0"/>
            </w:pPr>
            <w:r>
              <w:rPr>
                <w:sz w:val="24"/>
              </w:rPr>
              <w:t xml:space="preserve">Страховые премии (взносы) по договорам страхования</w:t>
            </w:r>
          </w:p>
        </w:tc>
        <w:tc>
          <w:tcPr>
            <w:tcW w:w="1814" w:type="dxa"/>
          </w:tcPr>
          <w:p>
            <w:pPr>
              <w:pStyle w:val="0"/>
            </w:pPr>
            <w:r>
              <w:rPr>
                <w:sz w:val="24"/>
              </w:rPr>
            </w:r>
          </w:p>
        </w:tc>
        <w:tc>
          <w:tcPr>
            <w:tcW w:w="3402" w:type="dxa"/>
          </w:tcPr>
          <w:p>
            <w:pPr>
              <w:pStyle w:val="0"/>
            </w:pPr>
            <w:r>
              <w:rPr>
                <w:sz w:val="24"/>
              </w:rPr>
              <w:t xml:space="preserve">ins-dic:StrPremiIVznosyPoDogStrakh</w:t>
            </w:r>
          </w:p>
        </w:tc>
      </w:tr>
      <w:tr>
        <w:tc>
          <w:tcPr>
            <w:tcW w:w="964" w:type="dxa"/>
          </w:tcPr>
          <w:p>
            <w:pPr>
              <w:pStyle w:val="0"/>
            </w:pPr>
            <w:r>
              <w:rPr>
                <w:sz w:val="24"/>
              </w:rPr>
              <w:t xml:space="preserve">21.1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21.2</w:t>
            </w:r>
          </w:p>
        </w:tc>
        <w:tc>
          <w:tcPr>
            <w:tcW w:w="2891" w:type="dxa"/>
          </w:tcPr>
          <w:p>
            <w:pPr>
              <w:pStyle w:val="0"/>
            </w:pPr>
            <w:r>
              <w:rPr>
                <w:sz w:val="24"/>
              </w:rPr>
            </w:r>
          </w:p>
        </w:tc>
        <w:tc>
          <w:tcPr>
            <w:tcW w:w="1814" w:type="dxa"/>
          </w:tcPr>
          <w:p>
            <w:pPr>
              <w:pStyle w:val="0"/>
            </w:pPr>
            <w:r>
              <w:rPr>
                <w:sz w:val="24"/>
              </w:rPr>
              <w:t xml:space="preserve">Вид договора страхования, перестрахования</w:t>
            </w:r>
          </w:p>
        </w:tc>
        <w:tc>
          <w:tcPr>
            <w:tcW w:w="3402" w:type="dxa"/>
          </w:tcPr>
          <w:p>
            <w:pPr>
              <w:pStyle w:val="0"/>
            </w:pPr>
            <w:r>
              <w:rPr>
                <w:sz w:val="24"/>
              </w:rPr>
              <w:t xml:space="preserve">dim-int:StrDogZhNezhAxis</w:t>
            </w:r>
          </w:p>
        </w:tc>
      </w:tr>
      <w:tr>
        <w:tc>
          <w:tcPr>
            <w:tcW w:w="964" w:type="dxa"/>
          </w:tcPr>
          <w:p>
            <w:pPr>
              <w:pStyle w:val="0"/>
            </w:pPr>
            <w:r>
              <w:rPr>
                <w:sz w:val="24"/>
              </w:rPr>
              <w:t xml:space="preserve">21.3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196" w:name="P39196"/>
          <w:bookmarkEnd w:id="39196"/>
          <w:p>
            <w:pPr>
              <w:pStyle w:val="0"/>
            </w:pPr>
            <w:r>
              <w:rPr>
                <w:sz w:val="24"/>
              </w:rPr>
              <w:t xml:space="preserve">22</w:t>
            </w:r>
          </w:p>
        </w:tc>
        <w:tc>
          <w:tcPr>
            <w:tcW w:w="2891" w:type="dxa"/>
          </w:tcPr>
          <w:p>
            <w:pPr>
              <w:pStyle w:val="0"/>
            </w:pPr>
            <w:r>
              <w:rPr>
                <w:sz w:val="24"/>
              </w:rPr>
              <w:t xml:space="preserve">Страховые премии по договорам входящего перестрахования</w:t>
            </w:r>
          </w:p>
        </w:tc>
        <w:tc>
          <w:tcPr>
            <w:tcW w:w="1814" w:type="dxa"/>
          </w:tcPr>
          <w:p>
            <w:pPr>
              <w:pStyle w:val="0"/>
            </w:pPr>
            <w:r>
              <w:rPr>
                <w:sz w:val="24"/>
              </w:rPr>
            </w:r>
          </w:p>
        </w:tc>
        <w:tc>
          <w:tcPr>
            <w:tcW w:w="3402" w:type="dxa"/>
          </w:tcPr>
          <w:p>
            <w:pPr>
              <w:pStyle w:val="0"/>
            </w:pPr>
            <w:r>
              <w:rPr>
                <w:sz w:val="24"/>
              </w:rPr>
              <w:t xml:space="preserve">ins-dic:Sp_Prinyatye_V_Perestrax_Vsego</w:t>
            </w:r>
          </w:p>
        </w:tc>
      </w:tr>
      <w:tr>
        <w:tc>
          <w:tcPr>
            <w:tcW w:w="964" w:type="dxa"/>
          </w:tcPr>
          <w:p>
            <w:pPr>
              <w:pStyle w:val="0"/>
            </w:pPr>
            <w:r>
              <w:rPr>
                <w:sz w:val="24"/>
              </w:rPr>
              <w:t xml:space="preserve">22.1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22.2</w:t>
            </w:r>
          </w:p>
        </w:tc>
        <w:tc>
          <w:tcPr>
            <w:tcW w:w="2891" w:type="dxa"/>
          </w:tcPr>
          <w:p>
            <w:pPr>
              <w:pStyle w:val="0"/>
            </w:pPr>
            <w:r>
              <w:rPr>
                <w:sz w:val="24"/>
              </w:rPr>
            </w:r>
          </w:p>
        </w:tc>
        <w:tc>
          <w:tcPr>
            <w:tcW w:w="1814" w:type="dxa"/>
          </w:tcPr>
          <w:p>
            <w:pPr>
              <w:pStyle w:val="0"/>
            </w:pPr>
            <w:r>
              <w:rPr>
                <w:sz w:val="24"/>
              </w:rPr>
              <w:t xml:space="preserve">Вид договора страхования, перестрахования</w:t>
            </w:r>
          </w:p>
        </w:tc>
        <w:tc>
          <w:tcPr>
            <w:tcW w:w="3402" w:type="dxa"/>
          </w:tcPr>
          <w:p>
            <w:pPr>
              <w:pStyle w:val="0"/>
            </w:pPr>
            <w:r>
              <w:rPr>
                <w:sz w:val="24"/>
              </w:rPr>
              <w:t xml:space="preserve">dim-int:StrDogZhNezhAxis</w:t>
            </w:r>
          </w:p>
        </w:tc>
      </w:tr>
      <w:tr>
        <w:tc>
          <w:tcPr>
            <w:tcW w:w="964" w:type="dxa"/>
          </w:tcPr>
          <w:p>
            <w:pPr>
              <w:pStyle w:val="0"/>
            </w:pPr>
            <w:r>
              <w:rPr>
                <w:sz w:val="24"/>
              </w:rPr>
              <w:t xml:space="preserve">22.3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212" w:name="P39212"/>
          <w:bookmarkEnd w:id="39212"/>
          <w:p>
            <w:pPr>
              <w:pStyle w:val="0"/>
            </w:pPr>
            <w:r>
              <w:rPr>
                <w:sz w:val="24"/>
              </w:rPr>
              <w:t xml:space="preserve">23</w:t>
            </w:r>
          </w:p>
        </w:tc>
        <w:tc>
          <w:tcPr>
            <w:tcW w:w="2891" w:type="dxa"/>
          </w:tcPr>
          <w:p>
            <w:pPr>
              <w:pStyle w:val="0"/>
            </w:pPr>
            <w:r>
              <w:rPr>
                <w:sz w:val="24"/>
              </w:rPr>
              <w:t xml:space="preserve">Страховые премии по договорам исходящего перестрахования</w:t>
            </w:r>
          </w:p>
        </w:tc>
        <w:tc>
          <w:tcPr>
            <w:tcW w:w="1814" w:type="dxa"/>
          </w:tcPr>
          <w:p>
            <w:pPr>
              <w:pStyle w:val="0"/>
            </w:pPr>
            <w:r>
              <w:rPr>
                <w:sz w:val="24"/>
              </w:rPr>
            </w:r>
          </w:p>
        </w:tc>
        <w:tc>
          <w:tcPr>
            <w:tcW w:w="3402" w:type="dxa"/>
          </w:tcPr>
          <w:p>
            <w:pPr>
              <w:pStyle w:val="0"/>
            </w:pPr>
            <w:r>
              <w:rPr>
                <w:sz w:val="24"/>
              </w:rPr>
              <w:t xml:space="preserve">ins-dic:Sp_Peredan_V_Perestrax_Vsego</w:t>
            </w:r>
          </w:p>
        </w:tc>
      </w:tr>
      <w:tr>
        <w:tc>
          <w:tcPr>
            <w:tcW w:w="964" w:type="dxa"/>
          </w:tcPr>
          <w:p>
            <w:pPr>
              <w:pStyle w:val="0"/>
            </w:pPr>
            <w:r>
              <w:rPr>
                <w:sz w:val="24"/>
              </w:rPr>
              <w:t xml:space="preserve">23.1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23.2</w:t>
            </w:r>
          </w:p>
        </w:tc>
        <w:tc>
          <w:tcPr>
            <w:tcW w:w="2891" w:type="dxa"/>
          </w:tcPr>
          <w:p>
            <w:pPr>
              <w:pStyle w:val="0"/>
            </w:pPr>
            <w:r>
              <w:rPr>
                <w:sz w:val="24"/>
              </w:rPr>
            </w:r>
          </w:p>
        </w:tc>
        <w:tc>
          <w:tcPr>
            <w:tcW w:w="1814" w:type="dxa"/>
          </w:tcPr>
          <w:p>
            <w:pPr>
              <w:pStyle w:val="0"/>
            </w:pPr>
            <w:r>
              <w:rPr>
                <w:sz w:val="24"/>
              </w:rPr>
              <w:t xml:space="preserve">Вид договора страхования, перестрахования</w:t>
            </w:r>
          </w:p>
        </w:tc>
        <w:tc>
          <w:tcPr>
            <w:tcW w:w="3402" w:type="dxa"/>
          </w:tcPr>
          <w:p>
            <w:pPr>
              <w:pStyle w:val="0"/>
            </w:pPr>
            <w:r>
              <w:rPr>
                <w:sz w:val="24"/>
              </w:rPr>
              <w:t xml:space="preserve">dim-int:StrDogZhNezhAxis</w:t>
            </w:r>
          </w:p>
        </w:tc>
      </w:tr>
      <w:tr>
        <w:tc>
          <w:tcPr>
            <w:tcW w:w="964" w:type="dxa"/>
          </w:tcPr>
          <w:p>
            <w:pPr>
              <w:pStyle w:val="0"/>
            </w:pPr>
            <w:r>
              <w:rPr>
                <w:sz w:val="24"/>
              </w:rPr>
              <w:t xml:space="preserve">23.3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228" w:name="P39228"/>
          <w:bookmarkEnd w:id="39228"/>
          <w:p>
            <w:pPr>
              <w:pStyle w:val="0"/>
            </w:pPr>
            <w:r>
              <w:rPr>
                <w:sz w:val="24"/>
              </w:rPr>
              <w:t xml:space="preserve">24</w:t>
            </w:r>
          </w:p>
        </w:tc>
        <w:tc>
          <w:tcPr>
            <w:tcW w:w="2891" w:type="dxa"/>
          </w:tcPr>
          <w:p>
            <w:pPr>
              <w:pStyle w:val="0"/>
            </w:pPr>
            <w:r>
              <w:rPr>
                <w:sz w:val="24"/>
              </w:rPr>
              <w:t xml:space="preserve">Дебиторская задолженность</w:t>
            </w:r>
          </w:p>
        </w:tc>
        <w:tc>
          <w:tcPr>
            <w:tcW w:w="1814" w:type="dxa"/>
          </w:tcPr>
          <w:p>
            <w:pPr>
              <w:pStyle w:val="0"/>
            </w:pPr>
            <w:r>
              <w:rPr>
                <w:sz w:val="24"/>
              </w:rPr>
            </w:r>
          </w:p>
        </w:tc>
        <w:tc>
          <w:tcPr>
            <w:tcW w:w="3402" w:type="dxa"/>
          </w:tcPr>
          <w:p>
            <w:pPr>
              <w:pStyle w:val="0"/>
            </w:pPr>
            <w:r>
              <w:rPr>
                <w:sz w:val="24"/>
              </w:rPr>
              <w:t xml:space="preserve">ins-dic:DebitorZadolzh_RasshOFR</w:t>
            </w:r>
          </w:p>
        </w:tc>
      </w:tr>
      <w:tr>
        <w:tc>
          <w:tcPr>
            <w:tcW w:w="964" w:type="dxa"/>
          </w:tcPr>
          <w:p>
            <w:pPr>
              <w:pStyle w:val="0"/>
            </w:pPr>
            <w:r>
              <w:rPr>
                <w:sz w:val="24"/>
              </w:rPr>
              <w:t xml:space="preserve">24.1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24.2</w:t>
            </w:r>
          </w:p>
        </w:tc>
        <w:tc>
          <w:tcPr>
            <w:tcW w:w="2891" w:type="dxa"/>
          </w:tcPr>
          <w:p>
            <w:pPr>
              <w:pStyle w:val="0"/>
            </w:pPr>
            <w:r>
              <w:rPr>
                <w:sz w:val="24"/>
              </w:rPr>
            </w:r>
          </w:p>
        </w:tc>
        <w:tc>
          <w:tcPr>
            <w:tcW w:w="1814" w:type="dxa"/>
          </w:tcPr>
          <w:p>
            <w:pPr>
              <w:pStyle w:val="0"/>
            </w:pPr>
            <w:r>
              <w:rPr>
                <w:sz w:val="24"/>
              </w:rPr>
              <w:t xml:space="preserve">Вид задолженности по категориям</w:t>
            </w:r>
          </w:p>
        </w:tc>
        <w:tc>
          <w:tcPr>
            <w:tcW w:w="3402" w:type="dxa"/>
          </w:tcPr>
          <w:p>
            <w:pPr>
              <w:pStyle w:val="0"/>
            </w:pPr>
            <w:r>
              <w:rPr>
                <w:sz w:val="24"/>
              </w:rPr>
              <w:t xml:space="preserve">dim-int:VidZadolzhPoKategoriyamAxis</w:t>
            </w:r>
          </w:p>
        </w:tc>
      </w:tr>
      <w:tr>
        <w:tc>
          <w:tcPr>
            <w:tcW w:w="964" w:type="dxa"/>
          </w:tcPr>
          <w:p>
            <w:pPr>
              <w:pStyle w:val="0"/>
            </w:pPr>
            <w:r>
              <w:rPr>
                <w:sz w:val="24"/>
              </w:rPr>
              <w:t xml:space="preserve">24.3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244" w:name="P39244"/>
          <w:bookmarkEnd w:id="39244"/>
          <w:p>
            <w:pPr>
              <w:pStyle w:val="0"/>
            </w:pPr>
            <w:r>
              <w:rPr>
                <w:sz w:val="24"/>
              </w:rPr>
              <w:t xml:space="preserve">25</w:t>
            </w:r>
          </w:p>
        </w:tc>
        <w:tc>
          <w:tcPr>
            <w:tcW w:w="2891" w:type="dxa"/>
          </w:tcPr>
          <w:p>
            <w:pPr>
              <w:pStyle w:val="0"/>
            </w:pPr>
            <w:r>
              <w:rPr>
                <w:sz w:val="24"/>
              </w:rPr>
              <w:t xml:space="preserve">Кредиторская задолженность</w:t>
            </w:r>
          </w:p>
        </w:tc>
        <w:tc>
          <w:tcPr>
            <w:tcW w:w="1814" w:type="dxa"/>
          </w:tcPr>
          <w:p>
            <w:pPr>
              <w:pStyle w:val="0"/>
            </w:pPr>
            <w:r>
              <w:rPr>
                <w:sz w:val="24"/>
              </w:rPr>
            </w:r>
          </w:p>
        </w:tc>
        <w:tc>
          <w:tcPr>
            <w:tcW w:w="3402" w:type="dxa"/>
          </w:tcPr>
          <w:p>
            <w:pPr>
              <w:pStyle w:val="0"/>
            </w:pPr>
            <w:r>
              <w:rPr>
                <w:sz w:val="24"/>
              </w:rPr>
              <w:t xml:space="preserve">ins-dic:KreditorZadolzh_RasshOFR</w:t>
            </w:r>
          </w:p>
        </w:tc>
      </w:tr>
      <w:tr>
        <w:tc>
          <w:tcPr>
            <w:tcW w:w="964" w:type="dxa"/>
          </w:tcPr>
          <w:p>
            <w:pPr>
              <w:pStyle w:val="0"/>
            </w:pPr>
            <w:r>
              <w:rPr>
                <w:sz w:val="24"/>
              </w:rPr>
              <w:t xml:space="preserve">25.1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25.2</w:t>
            </w:r>
          </w:p>
        </w:tc>
        <w:tc>
          <w:tcPr>
            <w:tcW w:w="2891" w:type="dxa"/>
          </w:tcPr>
          <w:p>
            <w:pPr>
              <w:pStyle w:val="0"/>
            </w:pPr>
            <w:r>
              <w:rPr>
                <w:sz w:val="24"/>
              </w:rPr>
            </w:r>
          </w:p>
        </w:tc>
        <w:tc>
          <w:tcPr>
            <w:tcW w:w="1814" w:type="dxa"/>
          </w:tcPr>
          <w:p>
            <w:pPr>
              <w:pStyle w:val="0"/>
            </w:pPr>
            <w:r>
              <w:rPr>
                <w:sz w:val="24"/>
              </w:rPr>
              <w:t xml:space="preserve">Вид задолженности по категориям</w:t>
            </w:r>
          </w:p>
        </w:tc>
        <w:tc>
          <w:tcPr>
            <w:tcW w:w="3402" w:type="dxa"/>
          </w:tcPr>
          <w:p>
            <w:pPr>
              <w:pStyle w:val="0"/>
            </w:pPr>
            <w:r>
              <w:rPr>
                <w:sz w:val="24"/>
              </w:rPr>
              <w:t xml:space="preserve">dim-int:VidZadolzhPoKategoriyamAxis</w:t>
            </w:r>
          </w:p>
        </w:tc>
      </w:tr>
      <w:tr>
        <w:tc>
          <w:tcPr>
            <w:tcW w:w="964" w:type="dxa"/>
          </w:tcPr>
          <w:p>
            <w:pPr>
              <w:pStyle w:val="0"/>
            </w:pPr>
            <w:r>
              <w:rPr>
                <w:sz w:val="24"/>
              </w:rPr>
              <w:t xml:space="preserve">25.3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260" w:name="P39260"/>
          <w:bookmarkEnd w:id="39260"/>
          <w:p>
            <w:pPr>
              <w:pStyle w:val="0"/>
            </w:pPr>
            <w:r>
              <w:rPr>
                <w:sz w:val="24"/>
              </w:rPr>
              <w:t xml:space="preserve">26</w:t>
            </w:r>
          </w:p>
        </w:tc>
        <w:tc>
          <w:tcPr>
            <w:tcW w:w="2891" w:type="dxa"/>
          </w:tcPr>
          <w:p>
            <w:pPr>
              <w:pStyle w:val="0"/>
            </w:pPr>
            <w:r>
              <w:rPr>
                <w:sz w:val="24"/>
              </w:rPr>
              <w:t xml:space="preserve">Процентные доходы по займам, выданным юридическим лицам (31119)</w:t>
            </w:r>
          </w:p>
        </w:tc>
        <w:tc>
          <w:tcPr>
            <w:tcW w:w="1814" w:type="dxa"/>
          </w:tcPr>
          <w:p>
            <w:pPr>
              <w:pStyle w:val="0"/>
            </w:pPr>
            <w:r>
              <w:rPr>
                <w:sz w:val="24"/>
              </w:rPr>
            </w:r>
          </w:p>
        </w:tc>
        <w:tc>
          <w:tcPr>
            <w:tcW w:w="3402" w:type="dxa"/>
          </w:tcPr>
          <w:p>
            <w:pPr>
              <w:pStyle w:val="0"/>
            </w:pPr>
            <w:r>
              <w:rPr>
                <w:sz w:val="24"/>
              </w:rPr>
              <w:t xml:space="preserve">cbr-coa-dic:OFR_72001.31119</w:t>
            </w:r>
          </w:p>
        </w:tc>
      </w:tr>
      <w:tr>
        <w:tc>
          <w:tcPr>
            <w:tcW w:w="964" w:type="dxa"/>
          </w:tcPr>
          <w:p>
            <w:pPr>
              <w:pStyle w:val="0"/>
            </w:pPr>
            <w:r>
              <w:rPr>
                <w:sz w:val="24"/>
              </w:rPr>
              <w:t xml:space="preserve">26.1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26.2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272" w:name="P39272"/>
          <w:bookmarkEnd w:id="39272"/>
          <w:p>
            <w:pPr>
              <w:pStyle w:val="0"/>
            </w:pPr>
            <w:r>
              <w:rPr>
                <w:sz w:val="24"/>
              </w:rPr>
              <w:t xml:space="preserve">27</w:t>
            </w:r>
          </w:p>
        </w:tc>
        <w:tc>
          <w:tcPr>
            <w:tcW w:w="2891" w:type="dxa"/>
          </w:tcPr>
          <w:p>
            <w:pPr>
              <w:pStyle w:val="0"/>
            </w:pPr>
            <w:r>
              <w:rPr>
                <w:sz w:val="24"/>
              </w:rPr>
              <w:t xml:space="preserve">Процентные доходы по вложениям в долговые ценные бумаги, оцениваемые по справедливой стоимости через прибыль или убыток (кроме векселей), прочих резидентов (31129)</w:t>
            </w:r>
          </w:p>
        </w:tc>
        <w:tc>
          <w:tcPr>
            <w:tcW w:w="1814" w:type="dxa"/>
          </w:tcPr>
          <w:p>
            <w:pPr>
              <w:pStyle w:val="0"/>
            </w:pPr>
            <w:r>
              <w:rPr>
                <w:sz w:val="24"/>
              </w:rPr>
            </w:r>
          </w:p>
        </w:tc>
        <w:tc>
          <w:tcPr>
            <w:tcW w:w="3402" w:type="dxa"/>
          </w:tcPr>
          <w:p>
            <w:pPr>
              <w:pStyle w:val="0"/>
            </w:pPr>
            <w:r>
              <w:rPr>
                <w:sz w:val="24"/>
              </w:rPr>
              <w:t xml:space="preserve">cbr-coa-dic:OFR_72001.31129</w:t>
            </w:r>
          </w:p>
        </w:tc>
      </w:tr>
      <w:tr>
        <w:tc>
          <w:tcPr>
            <w:tcW w:w="964" w:type="dxa"/>
          </w:tcPr>
          <w:p>
            <w:pPr>
              <w:pStyle w:val="0"/>
            </w:pPr>
            <w:r>
              <w:rPr>
                <w:sz w:val="24"/>
              </w:rPr>
              <w:t xml:space="preserve">27.1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27.2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284" w:name="P39284"/>
          <w:bookmarkEnd w:id="39284"/>
          <w:p>
            <w:pPr>
              <w:pStyle w:val="0"/>
            </w:pPr>
            <w:r>
              <w:rPr>
                <w:sz w:val="24"/>
              </w:rPr>
              <w:t xml:space="preserve">28</w:t>
            </w:r>
          </w:p>
        </w:tc>
        <w:tc>
          <w:tcPr>
            <w:tcW w:w="2891" w:type="dxa"/>
          </w:tcPr>
          <w:p>
            <w:pPr>
              <w:pStyle w:val="0"/>
            </w:pPr>
            <w:r>
              <w:rPr>
                <w:sz w:val="24"/>
              </w:rPr>
              <w:t xml:space="preserve">Процентные доходы по вложениям в долговые ценные бумаги, оцениваемые по справедливой стоимости через прочий совокупный доход (кроме векселей), прочих резидентов (31136)</w:t>
            </w:r>
          </w:p>
        </w:tc>
        <w:tc>
          <w:tcPr>
            <w:tcW w:w="1814" w:type="dxa"/>
          </w:tcPr>
          <w:p>
            <w:pPr>
              <w:pStyle w:val="0"/>
            </w:pPr>
            <w:r>
              <w:rPr>
                <w:sz w:val="24"/>
              </w:rPr>
            </w:r>
          </w:p>
        </w:tc>
        <w:tc>
          <w:tcPr>
            <w:tcW w:w="3402" w:type="dxa"/>
          </w:tcPr>
          <w:p>
            <w:pPr>
              <w:pStyle w:val="0"/>
            </w:pPr>
            <w:r>
              <w:rPr>
                <w:sz w:val="24"/>
              </w:rPr>
              <w:t xml:space="preserve">cbr-coa-dic:OFR_72001.31136</w:t>
            </w:r>
          </w:p>
        </w:tc>
      </w:tr>
      <w:tr>
        <w:tc>
          <w:tcPr>
            <w:tcW w:w="964" w:type="dxa"/>
          </w:tcPr>
          <w:p>
            <w:pPr>
              <w:pStyle w:val="0"/>
            </w:pPr>
            <w:r>
              <w:rPr>
                <w:sz w:val="24"/>
              </w:rPr>
              <w:t xml:space="preserve">28.1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28.2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296" w:name="P39296"/>
          <w:bookmarkEnd w:id="39296"/>
          <w:p>
            <w:pPr>
              <w:pStyle w:val="0"/>
            </w:pPr>
            <w:r>
              <w:rPr>
                <w:sz w:val="24"/>
              </w:rPr>
              <w:t xml:space="preserve">29</w:t>
            </w:r>
          </w:p>
        </w:tc>
        <w:tc>
          <w:tcPr>
            <w:tcW w:w="2891" w:type="dxa"/>
          </w:tcPr>
          <w:p>
            <w:pPr>
              <w:pStyle w:val="0"/>
            </w:pPr>
            <w:r>
              <w:rPr>
                <w:sz w:val="24"/>
              </w:rPr>
              <w:t xml:space="preserve">Процентные доходы по вложениям в долговые ценные бумаги (кроме векселей), оцениваемые по амортизированной стоимости, прочих резидентов (31150)</w:t>
            </w:r>
          </w:p>
        </w:tc>
        <w:tc>
          <w:tcPr>
            <w:tcW w:w="1814" w:type="dxa"/>
          </w:tcPr>
          <w:p>
            <w:pPr>
              <w:pStyle w:val="0"/>
            </w:pPr>
            <w:r>
              <w:rPr>
                <w:sz w:val="24"/>
              </w:rPr>
            </w:r>
          </w:p>
        </w:tc>
        <w:tc>
          <w:tcPr>
            <w:tcW w:w="3402" w:type="dxa"/>
          </w:tcPr>
          <w:p>
            <w:pPr>
              <w:pStyle w:val="0"/>
            </w:pPr>
            <w:r>
              <w:rPr>
                <w:sz w:val="24"/>
              </w:rPr>
              <w:t xml:space="preserve">cbr-coa-dic:OFR_72001.31150</w:t>
            </w:r>
          </w:p>
        </w:tc>
      </w:tr>
      <w:tr>
        <w:tc>
          <w:tcPr>
            <w:tcW w:w="964" w:type="dxa"/>
          </w:tcPr>
          <w:p>
            <w:pPr>
              <w:pStyle w:val="0"/>
            </w:pPr>
            <w:r>
              <w:rPr>
                <w:sz w:val="24"/>
              </w:rPr>
              <w:t xml:space="preserve">29.1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29.2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308" w:name="P39308"/>
          <w:bookmarkEnd w:id="39308"/>
          <w:p>
            <w:pPr>
              <w:pStyle w:val="0"/>
            </w:pPr>
            <w:r>
              <w:rPr>
                <w:sz w:val="24"/>
              </w:rPr>
              <w:t xml:space="preserve">30</w:t>
            </w:r>
          </w:p>
        </w:tc>
        <w:tc>
          <w:tcPr>
            <w:tcW w:w="2891" w:type="dxa"/>
          </w:tcPr>
          <w:p>
            <w:pPr>
              <w:pStyle w:val="0"/>
            </w:pPr>
            <w:r>
              <w:rPr>
                <w:sz w:val="24"/>
              </w:rPr>
              <w:t xml:space="preserve">Процентные доходы по вложениям в учтенные векселя, оцениваемые по справедливой стоимости через прибыль или убыток, прочих резидентов (31157)</w:t>
            </w:r>
          </w:p>
        </w:tc>
        <w:tc>
          <w:tcPr>
            <w:tcW w:w="1814" w:type="dxa"/>
          </w:tcPr>
          <w:p>
            <w:pPr>
              <w:pStyle w:val="0"/>
            </w:pPr>
            <w:r>
              <w:rPr>
                <w:sz w:val="24"/>
              </w:rPr>
            </w:r>
          </w:p>
        </w:tc>
        <w:tc>
          <w:tcPr>
            <w:tcW w:w="3402" w:type="dxa"/>
          </w:tcPr>
          <w:p>
            <w:pPr>
              <w:pStyle w:val="0"/>
            </w:pPr>
            <w:r>
              <w:rPr>
                <w:sz w:val="24"/>
              </w:rPr>
              <w:t xml:space="preserve">cbr-coa-dic:OFR_72001.31157</w:t>
            </w:r>
          </w:p>
        </w:tc>
      </w:tr>
      <w:tr>
        <w:tc>
          <w:tcPr>
            <w:tcW w:w="964" w:type="dxa"/>
          </w:tcPr>
          <w:p>
            <w:pPr>
              <w:pStyle w:val="0"/>
            </w:pPr>
            <w:r>
              <w:rPr>
                <w:sz w:val="24"/>
              </w:rPr>
              <w:t xml:space="preserve">30.1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30.2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320" w:name="P39320"/>
          <w:bookmarkEnd w:id="39320"/>
          <w:p>
            <w:pPr>
              <w:pStyle w:val="0"/>
            </w:pPr>
            <w:r>
              <w:rPr>
                <w:sz w:val="24"/>
              </w:rPr>
              <w:t xml:space="preserve">31</w:t>
            </w:r>
          </w:p>
        </w:tc>
        <w:tc>
          <w:tcPr>
            <w:tcW w:w="2891" w:type="dxa"/>
          </w:tcPr>
          <w:p>
            <w:pPr>
              <w:pStyle w:val="0"/>
            </w:pPr>
            <w:r>
              <w:rPr>
                <w:sz w:val="24"/>
              </w:rPr>
              <w:t xml:space="preserve">Процентные доходы по вложениям в учтенные векселя, оцениваемые по справедливой стоимости через прочий совокупный доход, прочих резидентов (31164)</w:t>
            </w:r>
          </w:p>
        </w:tc>
        <w:tc>
          <w:tcPr>
            <w:tcW w:w="1814" w:type="dxa"/>
          </w:tcPr>
          <w:p>
            <w:pPr>
              <w:pStyle w:val="0"/>
            </w:pPr>
            <w:r>
              <w:rPr>
                <w:sz w:val="24"/>
              </w:rPr>
            </w:r>
          </w:p>
        </w:tc>
        <w:tc>
          <w:tcPr>
            <w:tcW w:w="3402" w:type="dxa"/>
          </w:tcPr>
          <w:p>
            <w:pPr>
              <w:pStyle w:val="0"/>
            </w:pPr>
            <w:r>
              <w:rPr>
                <w:sz w:val="24"/>
              </w:rPr>
              <w:t xml:space="preserve">cbr-coa-dic:OFR_72001.31164</w:t>
            </w:r>
          </w:p>
        </w:tc>
      </w:tr>
      <w:tr>
        <w:tc>
          <w:tcPr>
            <w:tcW w:w="964" w:type="dxa"/>
          </w:tcPr>
          <w:p>
            <w:pPr>
              <w:pStyle w:val="0"/>
            </w:pPr>
            <w:r>
              <w:rPr>
                <w:sz w:val="24"/>
              </w:rPr>
              <w:t xml:space="preserve">31.1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31.2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332" w:name="P39332"/>
          <w:bookmarkEnd w:id="39332"/>
          <w:p>
            <w:pPr>
              <w:pStyle w:val="0"/>
            </w:pPr>
            <w:r>
              <w:rPr>
                <w:sz w:val="24"/>
              </w:rPr>
              <w:t xml:space="preserve">32</w:t>
            </w:r>
          </w:p>
        </w:tc>
        <w:tc>
          <w:tcPr>
            <w:tcW w:w="2891" w:type="dxa"/>
          </w:tcPr>
          <w:p>
            <w:pPr>
              <w:pStyle w:val="0"/>
            </w:pPr>
            <w:r>
              <w:rPr>
                <w:sz w:val="24"/>
              </w:rPr>
              <w:t xml:space="preserve">Процентные доходы по вложениям в учтенные векселя, оцениваемые по амортизированной стоимости, прочих резидентов (31178)</w:t>
            </w:r>
          </w:p>
        </w:tc>
        <w:tc>
          <w:tcPr>
            <w:tcW w:w="1814" w:type="dxa"/>
          </w:tcPr>
          <w:p>
            <w:pPr>
              <w:pStyle w:val="0"/>
            </w:pPr>
            <w:r>
              <w:rPr>
                <w:sz w:val="24"/>
              </w:rPr>
            </w:r>
          </w:p>
        </w:tc>
        <w:tc>
          <w:tcPr>
            <w:tcW w:w="3402" w:type="dxa"/>
          </w:tcPr>
          <w:p>
            <w:pPr>
              <w:pStyle w:val="0"/>
            </w:pPr>
            <w:r>
              <w:rPr>
                <w:sz w:val="24"/>
              </w:rPr>
              <w:t xml:space="preserve">cbr-coa-dic:OFR_72001.31178</w:t>
            </w:r>
          </w:p>
        </w:tc>
      </w:tr>
      <w:tr>
        <w:tc>
          <w:tcPr>
            <w:tcW w:w="964" w:type="dxa"/>
          </w:tcPr>
          <w:p>
            <w:pPr>
              <w:pStyle w:val="0"/>
            </w:pPr>
            <w:r>
              <w:rPr>
                <w:sz w:val="24"/>
              </w:rPr>
              <w:t xml:space="preserve">32.1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32.2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344" w:name="P39344"/>
          <w:bookmarkEnd w:id="39344"/>
          <w:p>
            <w:pPr>
              <w:pStyle w:val="0"/>
            </w:pPr>
            <w:r>
              <w:rPr>
                <w:sz w:val="24"/>
              </w:rPr>
              <w:t xml:space="preserve">33</w:t>
            </w:r>
          </w:p>
        </w:tc>
        <w:tc>
          <w:tcPr>
            <w:tcW w:w="2891" w:type="dxa"/>
          </w:tcPr>
          <w:p>
            <w:pPr>
              <w:pStyle w:val="0"/>
            </w:pPr>
            <w:r>
              <w:rPr>
                <w:sz w:val="24"/>
              </w:rPr>
              <w:t xml:space="preserve">Дивиденды от вложений в акции и доходы от участия в хозяйственных обществах, кроме акционерных (34502 + 34602 + 34702 + 34802)</w:t>
            </w:r>
          </w:p>
        </w:tc>
        <w:tc>
          <w:tcPr>
            <w:tcW w:w="1814" w:type="dxa"/>
          </w:tcPr>
          <w:p>
            <w:pPr>
              <w:pStyle w:val="0"/>
            </w:pPr>
            <w:r>
              <w:rPr>
                <w:sz w:val="24"/>
              </w:rPr>
            </w:r>
          </w:p>
        </w:tc>
        <w:tc>
          <w:tcPr>
            <w:tcW w:w="3402" w:type="dxa"/>
          </w:tcPr>
          <w:p>
            <w:pPr>
              <w:pStyle w:val="0"/>
            </w:pPr>
            <w:r>
              <w:rPr>
                <w:sz w:val="24"/>
              </w:rPr>
              <w:t xml:space="preserve">cbr-coa-dic:OFR_72505_34502_plus_34602_plus_34702_plus_34802</w:t>
            </w:r>
          </w:p>
        </w:tc>
      </w:tr>
      <w:tr>
        <w:tc>
          <w:tcPr>
            <w:tcW w:w="964" w:type="dxa"/>
          </w:tcPr>
          <w:p>
            <w:pPr>
              <w:pStyle w:val="0"/>
            </w:pPr>
            <w:r>
              <w:rPr>
                <w:sz w:val="24"/>
              </w:rPr>
              <w:t xml:space="preserve">33.1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33.2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p>
            <w:pPr>
              <w:pStyle w:val="0"/>
            </w:pPr>
            <w:r>
              <w:rPr>
                <w:sz w:val="24"/>
              </w:rPr>
              <w:t xml:space="preserve">34</w:t>
            </w:r>
          </w:p>
        </w:tc>
        <w:tc>
          <w:tcPr>
            <w:tcW w:w="2891" w:type="dxa"/>
          </w:tcPr>
          <w:p>
            <w:pPr>
              <w:pStyle w:val="0"/>
            </w:pPr>
            <w:r>
              <w:rPr>
                <w:sz w:val="24"/>
              </w:rPr>
              <w:t xml:space="preserve">Прочие доходы арендатора по договорам аренды (52304)</w:t>
            </w:r>
          </w:p>
        </w:tc>
        <w:tc>
          <w:tcPr>
            <w:tcW w:w="1814" w:type="dxa"/>
          </w:tcPr>
          <w:p>
            <w:pPr>
              <w:pStyle w:val="0"/>
            </w:pPr>
            <w:r>
              <w:rPr>
                <w:sz w:val="24"/>
              </w:rPr>
            </w:r>
          </w:p>
        </w:tc>
        <w:tc>
          <w:tcPr>
            <w:tcW w:w="3402" w:type="dxa"/>
          </w:tcPr>
          <w:p>
            <w:pPr>
              <w:pStyle w:val="0"/>
            </w:pPr>
            <w:r>
              <w:rPr>
                <w:sz w:val="24"/>
              </w:rPr>
              <w:t xml:space="preserve">cbr-coa-dic:OFR_72701.52304</w:t>
            </w:r>
          </w:p>
        </w:tc>
      </w:tr>
      <w:tr>
        <w:tc>
          <w:tcPr>
            <w:tcW w:w="964" w:type="dxa"/>
          </w:tcPr>
          <w:p>
            <w:pPr>
              <w:pStyle w:val="0"/>
            </w:pPr>
            <w:r>
              <w:rPr>
                <w:sz w:val="24"/>
              </w:rPr>
              <w:t xml:space="preserve">34.1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34.2</w:t>
            </w:r>
          </w:p>
        </w:tc>
        <w:tc>
          <w:tcPr>
            <w:tcW w:w="2891" w:type="dxa"/>
          </w:tcPr>
          <w:p>
            <w:pPr>
              <w:pStyle w:val="0"/>
            </w:pPr>
            <w:r>
              <w:rPr>
                <w:sz w:val="24"/>
              </w:rPr>
            </w:r>
          </w:p>
        </w:tc>
        <w:tc>
          <w:tcPr>
            <w:tcW w:w="1814" w:type="dxa"/>
          </w:tcPr>
          <w:p>
            <w:pPr>
              <w:pStyle w:val="0"/>
            </w:pPr>
            <w:r>
              <w:rPr>
                <w:sz w:val="24"/>
              </w:rPr>
              <w:t xml:space="preserve">Вид имущества</w:t>
            </w:r>
          </w:p>
        </w:tc>
        <w:tc>
          <w:tcPr>
            <w:tcW w:w="3402" w:type="dxa"/>
          </w:tcPr>
          <w:p>
            <w:pPr>
              <w:pStyle w:val="0"/>
            </w:pPr>
            <w:r>
              <w:rPr>
                <w:sz w:val="24"/>
              </w:rPr>
              <w:t xml:space="preserve">dim-int:VidImuschAxis</w:t>
            </w:r>
          </w:p>
        </w:tc>
      </w:tr>
      <w:tr>
        <w:tc>
          <w:tcPr>
            <w:tcW w:w="964" w:type="dxa"/>
          </w:tcPr>
          <w:p>
            <w:pPr>
              <w:pStyle w:val="0"/>
            </w:pPr>
            <w:r>
              <w:rPr>
                <w:sz w:val="24"/>
              </w:rPr>
              <w:t xml:space="preserve">35</w:t>
            </w:r>
          </w:p>
        </w:tc>
        <w:tc>
          <w:tcPr>
            <w:tcW w:w="2891" w:type="dxa"/>
          </w:tcPr>
          <w:p>
            <w:pPr>
              <w:pStyle w:val="0"/>
            </w:pPr>
            <w:r>
              <w:rPr>
                <w:sz w:val="24"/>
              </w:rPr>
              <w:t xml:space="preserve">Прочие расходы арендатора по договорам аренды (53805)</w:t>
            </w:r>
          </w:p>
        </w:tc>
        <w:tc>
          <w:tcPr>
            <w:tcW w:w="1814" w:type="dxa"/>
          </w:tcPr>
          <w:p>
            <w:pPr>
              <w:pStyle w:val="0"/>
            </w:pPr>
            <w:r>
              <w:rPr>
                <w:sz w:val="24"/>
              </w:rPr>
            </w:r>
          </w:p>
        </w:tc>
        <w:tc>
          <w:tcPr>
            <w:tcW w:w="3402" w:type="dxa"/>
          </w:tcPr>
          <w:p>
            <w:pPr>
              <w:pStyle w:val="0"/>
            </w:pPr>
            <w:r>
              <w:rPr>
                <w:sz w:val="24"/>
              </w:rPr>
              <w:t xml:space="preserve">cbr-coa-dic:OFR_72702.53805</w:t>
            </w:r>
          </w:p>
        </w:tc>
      </w:tr>
      <w:tr>
        <w:tc>
          <w:tcPr>
            <w:tcW w:w="964" w:type="dxa"/>
          </w:tcPr>
          <w:p>
            <w:pPr>
              <w:pStyle w:val="0"/>
            </w:pPr>
            <w:r>
              <w:rPr>
                <w:sz w:val="24"/>
              </w:rPr>
              <w:t xml:space="preserve">35.1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35.2</w:t>
            </w:r>
          </w:p>
        </w:tc>
        <w:tc>
          <w:tcPr>
            <w:tcW w:w="2891" w:type="dxa"/>
          </w:tcPr>
          <w:p>
            <w:pPr>
              <w:pStyle w:val="0"/>
            </w:pPr>
            <w:r>
              <w:rPr>
                <w:sz w:val="24"/>
              </w:rPr>
            </w:r>
          </w:p>
        </w:tc>
        <w:tc>
          <w:tcPr>
            <w:tcW w:w="1814" w:type="dxa"/>
          </w:tcPr>
          <w:p>
            <w:pPr>
              <w:pStyle w:val="0"/>
            </w:pPr>
            <w:r>
              <w:rPr>
                <w:sz w:val="24"/>
              </w:rPr>
              <w:t xml:space="preserve">Вид имущества</w:t>
            </w:r>
          </w:p>
        </w:tc>
        <w:tc>
          <w:tcPr>
            <w:tcW w:w="3402" w:type="dxa"/>
          </w:tcPr>
          <w:p>
            <w:pPr>
              <w:pStyle w:val="0"/>
            </w:pPr>
            <w:r>
              <w:rPr>
                <w:sz w:val="24"/>
              </w:rPr>
              <w:t xml:space="preserve">dim-int:VidImuschAxis</w:t>
            </w:r>
          </w:p>
        </w:tc>
      </w:tr>
      <w:tr>
        <w:tc>
          <w:tcPr>
            <w:tcW w:w="964" w:type="dxa"/>
          </w:tcPr>
          <w:p>
            <w:pPr>
              <w:pStyle w:val="0"/>
            </w:pPr>
            <w:r>
              <w:rPr>
                <w:sz w:val="24"/>
              </w:rPr>
              <w:t xml:space="preserve">36</w:t>
            </w:r>
          </w:p>
        </w:tc>
        <w:tc>
          <w:tcPr>
            <w:tcW w:w="2891" w:type="dxa"/>
          </w:tcPr>
          <w:p>
            <w:pPr>
              <w:pStyle w:val="0"/>
            </w:pPr>
            <w:r>
              <w:rPr>
                <w:sz w:val="24"/>
              </w:rPr>
              <w:t xml:space="preserve">Доходы арендодателя от сдачи имущества, в том числе инвестиционного имущества, в аренду (52301 + 52502)</w:t>
            </w:r>
          </w:p>
        </w:tc>
        <w:tc>
          <w:tcPr>
            <w:tcW w:w="1814" w:type="dxa"/>
          </w:tcPr>
          <w:p>
            <w:pPr>
              <w:pStyle w:val="0"/>
            </w:pPr>
            <w:r>
              <w:rPr>
                <w:sz w:val="24"/>
              </w:rPr>
            </w:r>
          </w:p>
        </w:tc>
        <w:tc>
          <w:tcPr>
            <w:tcW w:w="3402" w:type="dxa"/>
          </w:tcPr>
          <w:p>
            <w:pPr>
              <w:pStyle w:val="0"/>
            </w:pPr>
            <w:r>
              <w:rPr>
                <w:sz w:val="24"/>
              </w:rPr>
              <w:t xml:space="preserve">cbr-coa-dic:OFR_72701.52301_plus_72701.52502</w:t>
            </w:r>
          </w:p>
        </w:tc>
      </w:tr>
      <w:tr>
        <w:tc>
          <w:tcPr>
            <w:tcW w:w="964" w:type="dxa"/>
          </w:tcPr>
          <w:p>
            <w:pPr>
              <w:pStyle w:val="0"/>
            </w:pPr>
            <w:r>
              <w:rPr>
                <w:sz w:val="24"/>
              </w:rPr>
              <w:t xml:space="preserve">36.1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36.2</w:t>
            </w:r>
          </w:p>
        </w:tc>
        <w:tc>
          <w:tcPr>
            <w:tcW w:w="2891" w:type="dxa"/>
          </w:tcPr>
          <w:p>
            <w:pPr>
              <w:pStyle w:val="0"/>
            </w:pPr>
            <w:r>
              <w:rPr>
                <w:sz w:val="24"/>
              </w:rPr>
            </w:r>
          </w:p>
        </w:tc>
        <w:tc>
          <w:tcPr>
            <w:tcW w:w="1814" w:type="dxa"/>
          </w:tcPr>
          <w:p>
            <w:pPr>
              <w:pStyle w:val="0"/>
            </w:pPr>
            <w:r>
              <w:rPr>
                <w:sz w:val="24"/>
              </w:rPr>
              <w:t xml:space="preserve">Вид имущества</w:t>
            </w:r>
          </w:p>
        </w:tc>
        <w:tc>
          <w:tcPr>
            <w:tcW w:w="3402" w:type="dxa"/>
          </w:tcPr>
          <w:p>
            <w:pPr>
              <w:pStyle w:val="0"/>
            </w:pPr>
            <w:r>
              <w:rPr>
                <w:sz w:val="24"/>
              </w:rPr>
              <w:t xml:space="preserve">dim-int:VidImuschAxis</w:t>
            </w:r>
          </w:p>
        </w:tc>
      </w:tr>
      <w:tr>
        <w:tc>
          <w:tcPr>
            <w:tcW w:w="964" w:type="dxa"/>
          </w:tcPr>
          <w:p>
            <w:pPr>
              <w:pStyle w:val="0"/>
            </w:pPr>
            <w:r>
              <w:rPr>
                <w:sz w:val="24"/>
              </w:rPr>
              <w:t xml:space="preserve">37</w:t>
            </w:r>
          </w:p>
        </w:tc>
        <w:tc>
          <w:tcPr>
            <w:tcW w:w="2891" w:type="dxa"/>
          </w:tcPr>
          <w:p>
            <w:pPr>
              <w:pStyle w:val="0"/>
            </w:pPr>
            <w:r>
              <w:rPr>
                <w:sz w:val="24"/>
              </w:rPr>
              <w:t xml:space="preserve">Расходы на уплату налогов и сборов, относимых на расходы (55413)</w:t>
            </w:r>
          </w:p>
        </w:tc>
        <w:tc>
          <w:tcPr>
            <w:tcW w:w="1814" w:type="dxa"/>
          </w:tcPr>
          <w:p>
            <w:pPr>
              <w:pStyle w:val="0"/>
            </w:pPr>
            <w:r>
              <w:rPr>
                <w:sz w:val="24"/>
              </w:rPr>
            </w:r>
          </w:p>
        </w:tc>
        <w:tc>
          <w:tcPr>
            <w:tcW w:w="3402" w:type="dxa"/>
          </w:tcPr>
          <w:p>
            <w:pPr>
              <w:pStyle w:val="0"/>
            </w:pPr>
            <w:r>
              <w:rPr>
                <w:sz w:val="24"/>
              </w:rPr>
              <w:t xml:space="preserve">cbr-coa-dic:OFR_72802.55413</w:t>
            </w:r>
          </w:p>
        </w:tc>
      </w:tr>
      <w:tr>
        <w:tc>
          <w:tcPr>
            <w:tcW w:w="964" w:type="dxa"/>
          </w:tcPr>
          <w:p>
            <w:pPr>
              <w:pStyle w:val="0"/>
            </w:pPr>
            <w:r>
              <w:rPr>
                <w:sz w:val="24"/>
              </w:rPr>
              <w:t xml:space="preserve">37.1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37.2</w:t>
            </w:r>
          </w:p>
        </w:tc>
        <w:tc>
          <w:tcPr>
            <w:tcW w:w="2891" w:type="dxa"/>
          </w:tcPr>
          <w:p>
            <w:pPr>
              <w:pStyle w:val="0"/>
            </w:pPr>
            <w:r>
              <w:rPr>
                <w:sz w:val="24"/>
              </w:rPr>
            </w:r>
          </w:p>
        </w:tc>
        <w:tc>
          <w:tcPr>
            <w:tcW w:w="1814" w:type="dxa"/>
          </w:tcPr>
          <w:p>
            <w:pPr>
              <w:pStyle w:val="0"/>
            </w:pPr>
            <w:r>
              <w:rPr>
                <w:sz w:val="24"/>
              </w:rPr>
              <w:t xml:space="preserve">Тип налогов</w:t>
            </w:r>
          </w:p>
        </w:tc>
        <w:tc>
          <w:tcPr>
            <w:tcW w:w="3402" w:type="dxa"/>
          </w:tcPr>
          <w:p>
            <w:pPr>
              <w:pStyle w:val="0"/>
            </w:pPr>
            <w:r>
              <w:rPr>
                <w:sz w:val="24"/>
              </w:rPr>
              <w:t xml:space="preserve">dim-int:TipNalogovAxis</w:t>
            </w:r>
          </w:p>
        </w:tc>
      </w:tr>
      <w:tr>
        <w:tc>
          <w:tcPr>
            <w:tcW w:w="964" w:type="dxa"/>
          </w:tcPr>
          <w:p>
            <w:pPr>
              <w:pStyle w:val="0"/>
            </w:pPr>
            <w:r>
              <w:rPr>
                <w:sz w:val="24"/>
              </w:rPr>
              <w:t xml:space="preserve">38</w:t>
            </w:r>
          </w:p>
        </w:tc>
        <w:tc>
          <w:tcPr>
            <w:tcW w:w="2891" w:type="dxa"/>
          </w:tcPr>
          <w:p>
            <w:pPr>
              <w:pStyle w:val="0"/>
            </w:pPr>
            <w:r>
              <w:rPr>
                <w:sz w:val="24"/>
              </w:rPr>
              <w:t xml:space="preserve">Расходы на служебные командировки (55405)</w:t>
            </w:r>
          </w:p>
        </w:tc>
        <w:tc>
          <w:tcPr>
            <w:tcW w:w="1814" w:type="dxa"/>
          </w:tcPr>
          <w:p>
            <w:pPr>
              <w:pStyle w:val="0"/>
            </w:pPr>
            <w:r>
              <w:rPr>
                <w:sz w:val="24"/>
              </w:rPr>
            </w:r>
          </w:p>
        </w:tc>
        <w:tc>
          <w:tcPr>
            <w:tcW w:w="3402" w:type="dxa"/>
          </w:tcPr>
          <w:p>
            <w:pPr>
              <w:pStyle w:val="0"/>
            </w:pPr>
            <w:r>
              <w:rPr>
                <w:sz w:val="24"/>
              </w:rPr>
              <w:t xml:space="preserve">cbr-coa-dic:OFR_72802.55405</w:t>
            </w:r>
          </w:p>
        </w:tc>
      </w:tr>
      <w:tr>
        <w:tc>
          <w:tcPr>
            <w:tcW w:w="964" w:type="dxa"/>
          </w:tcPr>
          <w:p>
            <w:pPr>
              <w:pStyle w:val="0"/>
            </w:pPr>
            <w:r>
              <w:rPr>
                <w:sz w:val="24"/>
              </w:rPr>
              <w:t xml:space="preserve">38.1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38.2</w:t>
            </w:r>
          </w:p>
        </w:tc>
        <w:tc>
          <w:tcPr>
            <w:tcW w:w="2891" w:type="dxa"/>
          </w:tcPr>
          <w:p>
            <w:pPr>
              <w:pStyle w:val="0"/>
            </w:pPr>
            <w:r>
              <w:rPr>
                <w:sz w:val="24"/>
              </w:rPr>
            </w:r>
          </w:p>
        </w:tc>
        <w:tc>
          <w:tcPr>
            <w:tcW w:w="1814" w:type="dxa"/>
          </w:tcPr>
          <w:p>
            <w:pPr>
              <w:pStyle w:val="0"/>
            </w:pPr>
            <w:r>
              <w:rPr>
                <w:sz w:val="24"/>
              </w:rPr>
              <w:t xml:space="preserve">Тип расходов на служебные командировки</w:t>
            </w:r>
          </w:p>
        </w:tc>
        <w:tc>
          <w:tcPr>
            <w:tcW w:w="3402" w:type="dxa"/>
          </w:tcPr>
          <w:p>
            <w:pPr>
              <w:pStyle w:val="0"/>
            </w:pPr>
            <w:r>
              <w:rPr>
                <w:sz w:val="24"/>
              </w:rPr>
              <w:t xml:space="preserve">dim-int:TipRasxodovNaSluzhKomandirAxis</w:t>
            </w:r>
          </w:p>
        </w:tc>
      </w:tr>
      <w:tr>
        <w:tc>
          <w:tcPr>
            <w:tcW w:w="964" w:type="dxa"/>
          </w:tcPr>
          <w:bookmarkStart w:id="39416" w:name="P39416"/>
          <w:bookmarkEnd w:id="39416"/>
          <w:p>
            <w:pPr>
              <w:pStyle w:val="0"/>
            </w:pPr>
            <w:r>
              <w:rPr>
                <w:sz w:val="24"/>
              </w:rPr>
              <w:t xml:space="preserve">39</w:t>
            </w:r>
          </w:p>
        </w:tc>
        <w:tc>
          <w:tcPr>
            <w:tcW w:w="2891" w:type="dxa"/>
          </w:tcPr>
          <w:p>
            <w:pPr>
              <w:pStyle w:val="0"/>
            </w:pPr>
            <w:r>
              <w:rPr>
                <w:sz w:val="24"/>
              </w:rPr>
              <w:t xml:space="preserve">Процентные доходы по прочим средствам (31101 + 31102 + 31103 + 31104 + 31105 + 31106 + 31107 + 31108 + 31109 + 31110 + 31111 + 31112 + 31113 + 31114 + 31115 + 31116 + 31117)</w:t>
            </w:r>
          </w:p>
        </w:tc>
        <w:tc>
          <w:tcPr>
            <w:tcW w:w="1814" w:type="dxa"/>
          </w:tcPr>
          <w:p>
            <w:pPr>
              <w:pStyle w:val="0"/>
            </w:pPr>
            <w:r>
              <w:rPr>
                <w:sz w:val="24"/>
              </w:rPr>
            </w:r>
          </w:p>
        </w:tc>
        <w:tc>
          <w:tcPr>
            <w:tcW w:w="3402" w:type="dxa"/>
          </w:tcPr>
          <w:p>
            <w:pPr>
              <w:pStyle w:val="0"/>
            </w:pPr>
            <w:r>
              <w:rPr>
                <w:sz w:val="24"/>
              </w:rPr>
              <w:t xml:space="preserve">cbr-coa-dic:OFR_72001.sum_31101_31117</w:t>
            </w:r>
          </w:p>
        </w:tc>
      </w:tr>
      <w:tr>
        <w:tc>
          <w:tcPr>
            <w:tcW w:w="964" w:type="dxa"/>
          </w:tcPr>
          <w:p>
            <w:pPr>
              <w:pStyle w:val="0"/>
            </w:pPr>
            <w:r>
              <w:rPr>
                <w:sz w:val="24"/>
              </w:rPr>
              <w:t xml:space="preserve">39.1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39.2</w:t>
            </w:r>
          </w:p>
        </w:tc>
        <w:tc>
          <w:tcPr>
            <w:tcW w:w="2891" w:type="dxa"/>
          </w:tcPr>
          <w:p>
            <w:pPr>
              <w:pStyle w:val="0"/>
            </w:pPr>
            <w:r>
              <w:rPr>
                <w:sz w:val="24"/>
              </w:rPr>
            </w:r>
          </w:p>
        </w:tc>
        <w:tc>
          <w:tcPr>
            <w:tcW w:w="1814" w:type="dxa"/>
          </w:tcPr>
          <w:p>
            <w:pPr>
              <w:pStyle w:val="0"/>
            </w:pPr>
            <w:r>
              <w:rPr>
                <w:sz w:val="24"/>
              </w:rPr>
              <w:t xml:space="preserve">Тип процентных доходов</w:t>
            </w:r>
          </w:p>
        </w:tc>
        <w:tc>
          <w:tcPr>
            <w:tcW w:w="3402" w:type="dxa"/>
          </w:tcPr>
          <w:p>
            <w:pPr>
              <w:pStyle w:val="0"/>
            </w:pPr>
            <w:r>
              <w:rPr>
                <w:sz w:val="24"/>
              </w:rPr>
              <w:t xml:space="preserve">dim-int:TipProczentDoxodovAxis</w:t>
            </w:r>
          </w:p>
        </w:tc>
      </w:tr>
      <w:tr>
        <w:tc>
          <w:tcPr>
            <w:tcW w:w="964" w:type="dxa"/>
          </w:tcPr>
          <w:p>
            <w:pPr>
              <w:pStyle w:val="0"/>
            </w:pPr>
            <w:r>
              <w:rPr>
                <w:sz w:val="24"/>
              </w:rPr>
              <w:t xml:space="preserve">39.3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432" w:name="P39432"/>
          <w:bookmarkEnd w:id="39432"/>
          <w:p>
            <w:pPr>
              <w:pStyle w:val="0"/>
            </w:pPr>
            <w:r>
              <w:rPr>
                <w:sz w:val="24"/>
              </w:rPr>
              <w:t xml:space="preserve">40</w:t>
            </w:r>
          </w:p>
        </w:tc>
        <w:tc>
          <w:tcPr>
            <w:tcW w:w="2891" w:type="dxa"/>
          </w:tcPr>
          <w:p>
            <w:pPr>
              <w:pStyle w:val="0"/>
            </w:pPr>
            <w:r>
              <w:rPr>
                <w:sz w:val="24"/>
              </w:rPr>
              <w:t xml:space="preserve">Процентные расходы по привлеченным средствам (44103 + 44104 + 44105 + 44106 + 44107 + 44108 + 44109 + 44110 + 44111 + 44112 + 44113 + 44114 + 44115 + 44116 + 44117 + 44118 + 44119)</w:t>
            </w:r>
          </w:p>
        </w:tc>
        <w:tc>
          <w:tcPr>
            <w:tcW w:w="1814" w:type="dxa"/>
          </w:tcPr>
          <w:p>
            <w:pPr>
              <w:pStyle w:val="0"/>
            </w:pPr>
            <w:r>
              <w:rPr>
                <w:sz w:val="24"/>
              </w:rPr>
            </w:r>
          </w:p>
        </w:tc>
        <w:tc>
          <w:tcPr>
            <w:tcW w:w="3402" w:type="dxa"/>
          </w:tcPr>
          <w:p>
            <w:pPr>
              <w:pStyle w:val="0"/>
            </w:pPr>
            <w:r>
              <w:rPr>
                <w:sz w:val="24"/>
              </w:rPr>
              <w:t xml:space="preserve">cbr-coa-dic:OFR_72101.sum_44103_44119</w:t>
            </w:r>
          </w:p>
        </w:tc>
      </w:tr>
      <w:tr>
        <w:tc>
          <w:tcPr>
            <w:tcW w:w="964" w:type="dxa"/>
          </w:tcPr>
          <w:p>
            <w:pPr>
              <w:pStyle w:val="0"/>
            </w:pPr>
            <w:r>
              <w:rPr>
                <w:sz w:val="24"/>
              </w:rPr>
              <w:t xml:space="preserve">40.1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40.2</w:t>
            </w:r>
          </w:p>
        </w:tc>
        <w:tc>
          <w:tcPr>
            <w:tcW w:w="2891" w:type="dxa"/>
          </w:tcPr>
          <w:p>
            <w:pPr>
              <w:pStyle w:val="0"/>
            </w:pPr>
            <w:r>
              <w:rPr>
                <w:sz w:val="24"/>
              </w:rPr>
            </w:r>
          </w:p>
        </w:tc>
        <w:tc>
          <w:tcPr>
            <w:tcW w:w="1814" w:type="dxa"/>
          </w:tcPr>
          <w:p>
            <w:pPr>
              <w:pStyle w:val="0"/>
            </w:pPr>
            <w:r>
              <w:rPr>
                <w:sz w:val="24"/>
              </w:rPr>
              <w:t xml:space="preserve">Тип процентных расходов</w:t>
            </w:r>
          </w:p>
        </w:tc>
        <w:tc>
          <w:tcPr>
            <w:tcW w:w="3402" w:type="dxa"/>
          </w:tcPr>
          <w:p>
            <w:pPr>
              <w:pStyle w:val="0"/>
            </w:pPr>
            <w:r>
              <w:rPr>
                <w:sz w:val="24"/>
              </w:rPr>
              <w:t xml:space="preserve">dim-int:TipProczentRasxodovAxis</w:t>
            </w:r>
          </w:p>
        </w:tc>
      </w:tr>
      <w:tr>
        <w:tc>
          <w:tcPr>
            <w:tcW w:w="964" w:type="dxa"/>
          </w:tcPr>
          <w:p>
            <w:pPr>
              <w:pStyle w:val="0"/>
            </w:pPr>
            <w:r>
              <w:rPr>
                <w:sz w:val="24"/>
              </w:rPr>
              <w:t xml:space="preserve">40.3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448" w:name="P39448"/>
          <w:bookmarkEnd w:id="39448"/>
          <w:p>
            <w:pPr>
              <w:pStyle w:val="0"/>
            </w:pPr>
            <w:r>
              <w:rPr>
                <w:sz w:val="24"/>
              </w:rPr>
              <w:t xml:space="preserve">41</w:t>
            </w:r>
          </w:p>
        </w:tc>
        <w:tc>
          <w:tcPr>
            <w:tcW w:w="2891" w:type="dxa"/>
          </w:tcPr>
          <w:p>
            <w:pPr>
              <w:pStyle w:val="0"/>
            </w:pPr>
            <w:r>
              <w:rPr>
                <w:sz w:val="24"/>
              </w:rPr>
              <w:t xml:space="preserve">Выручка по договорам страхования жизни и выпущенным (принятым) договорам перестрахования жизни</w:t>
            </w:r>
          </w:p>
        </w:tc>
        <w:tc>
          <w:tcPr>
            <w:tcW w:w="1814" w:type="dxa"/>
          </w:tcPr>
          <w:p>
            <w:pPr>
              <w:pStyle w:val="0"/>
            </w:pPr>
            <w:r>
              <w:rPr>
                <w:sz w:val="24"/>
              </w:rPr>
            </w:r>
          </w:p>
        </w:tc>
        <w:tc>
          <w:tcPr>
            <w:tcW w:w="3402" w:type="dxa"/>
          </w:tcPr>
          <w:p>
            <w:pPr>
              <w:pStyle w:val="0"/>
            </w:pPr>
            <w:r>
              <w:rPr>
                <w:sz w:val="24"/>
              </w:rPr>
              <w:t xml:space="preserve">ins-dic:VyruchPoDogStrZhIVypushPrinyatDogPerestrZhRasshOFRSpod</w:t>
            </w:r>
          </w:p>
        </w:tc>
      </w:tr>
      <w:tr>
        <w:tc>
          <w:tcPr>
            <w:tcW w:w="964" w:type="dxa"/>
          </w:tcPr>
          <w:p>
            <w:pPr>
              <w:pStyle w:val="0"/>
            </w:pPr>
            <w:r>
              <w:rPr>
                <w:sz w:val="24"/>
              </w:rPr>
              <w:t xml:space="preserve">41.1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41.2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460" w:name="P39460"/>
          <w:bookmarkEnd w:id="39460"/>
          <w:p>
            <w:pPr>
              <w:pStyle w:val="0"/>
            </w:pPr>
            <w:r>
              <w:rPr>
                <w:sz w:val="24"/>
              </w:rPr>
              <w:t xml:space="preserve">42</w:t>
            </w:r>
          </w:p>
        </w:tc>
        <w:tc>
          <w:tcPr>
            <w:tcW w:w="2891" w:type="dxa"/>
          </w:tcPr>
          <w:p>
            <w:pPr>
              <w:pStyle w:val="0"/>
            </w:pPr>
            <w:r>
              <w:rPr>
                <w:sz w:val="24"/>
              </w:rPr>
              <w:t xml:space="preserve">Выручка по договорам страхования иного, чем страхования жизни, и выпущенным (принятым) договорам перестрахования иного, чем страхование жизни</w:t>
            </w:r>
          </w:p>
        </w:tc>
        <w:tc>
          <w:tcPr>
            <w:tcW w:w="1814" w:type="dxa"/>
          </w:tcPr>
          <w:p>
            <w:pPr>
              <w:pStyle w:val="0"/>
            </w:pPr>
            <w:r>
              <w:rPr>
                <w:sz w:val="24"/>
              </w:rPr>
            </w:r>
          </w:p>
        </w:tc>
        <w:tc>
          <w:tcPr>
            <w:tcW w:w="3402" w:type="dxa"/>
          </w:tcPr>
          <w:p>
            <w:pPr>
              <w:pStyle w:val="0"/>
            </w:pPr>
            <w:r>
              <w:rPr>
                <w:sz w:val="24"/>
              </w:rPr>
              <w:t xml:space="preserve">ins-dic:VyrPoDogStrInChZhIVypPrinDogPerestrInChZhRasshOFRSpod</w:t>
            </w:r>
          </w:p>
        </w:tc>
      </w:tr>
      <w:tr>
        <w:tc>
          <w:tcPr>
            <w:tcW w:w="964" w:type="dxa"/>
          </w:tcPr>
          <w:p>
            <w:pPr>
              <w:pStyle w:val="0"/>
            </w:pPr>
            <w:r>
              <w:rPr>
                <w:sz w:val="24"/>
              </w:rPr>
              <w:t xml:space="preserve">42.1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42.2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472" w:name="P39472"/>
          <w:bookmarkEnd w:id="39472"/>
          <w:p>
            <w:pPr>
              <w:pStyle w:val="0"/>
            </w:pPr>
            <w:r>
              <w:rPr>
                <w:sz w:val="24"/>
              </w:rPr>
              <w:t xml:space="preserve">43</w:t>
            </w:r>
          </w:p>
        </w:tc>
        <w:tc>
          <w:tcPr>
            <w:tcW w:w="2891" w:type="dxa"/>
          </w:tcPr>
          <w:p>
            <w:pPr>
              <w:pStyle w:val="0"/>
            </w:pPr>
            <w:r>
              <w:rPr>
                <w:sz w:val="24"/>
              </w:rPr>
              <w:t xml:space="preserve">Расходы по договорам страхования жизни и выпущенным (принятым) договорам перестрахования жизни</w:t>
            </w:r>
          </w:p>
        </w:tc>
        <w:tc>
          <w:tcPr>
            <w:tcW w:w="1814" w:type="dxa"/>
          </w:tcPr>
          <w:p>
            <w:pPr>
              <w:pStyle w:val="0"/>
            </w:pPr>
            <w:r>
              <w:rPr>
                <w:sz w:val="24"/>
              </w:rPr>
            </w:r>
          </w:p>
        </w:tc>
        <w:tc>
          <w:tcPr>
            <w:tcW w:w="3402" w:type="dxa"/>
          </w:tcPr>
          <w:p>
            <w:pPr>
              <w:pStyle w:val="0"/>
            </w:pPr>
            <w:r>
              <w:rPr>
                <w:sz w:val="24"/>
              </w:rPr>
              <w:t xml:space="preserve">ins-dic:RasxPoDogStrZhIVypushPrinyatDogPerestrZhRasshOFRSpod</w:t>
            </w:r>
          </w:p>
        </w:tc>
      </w:tr>
      <w:tr>
        <w:tc>
          <w:tcPr>
            <w:tcW w:w="964" w:type="dxa"/>
          </w:tcPr>
          <w:p>
            <w:pPr>
              <w:pStyle w:val="0"/>
            </w:pPr>
            <w:r>
              <w:rPr>
                <w:sz w:val="24"/>
              </w:rPr>
              <w:t xml:space="preserve">43.1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43.2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484" w:name="P39484"/>
          <w:bookmarkEnd w:id="39484"/>
          <w:p>
            <w:pPr>
              <w:pStyle w:val="0"/>
            </w:pPr>
            <w:r>
              <w:rPr>
                <w:sz w:val="24"/>
              </w:rPr>
              <w:t xml:space="preserve">44</w:t>
            </w:r>
          </w:p>
        </w:tc>
        <w:tc>
          <w:tcPr>
            <w:tcW w:w="2891" w:type="dxa"/>
          </w:tcPr>
          <w:p>
            <w:pPr>
              <w:pStyle w:val="0"/>
            </w:pPr>
            <w:r>
              <w:rPr>
                <w:sz w:val="24"/>
              </w:rPr>
              <w:t xml:space="preserve">Расходы по договорам страхования иного, чем страхования жизни, и выпущенным (принятым) договорам перестрахования иного, чем страхование жизни</w:t>
            </w:r>
          </w:p>
        </w:tc>
        <w:tc>
          <w:tcPr>
            <w:tcW w:w="1814" w:type="dxa"/>
          </w:tcPr>
          <w:p>
            <w:pPr>
              <w:pStyle w:val="0"/>
            </w:pPr>
            <w:r>
              <w:rPr>
                <w:sz w:val="24"/>
              </w:rPr>
            </w:r>
          </w:p>
        </w:tc>
        <w:tc>
          <w:tcPr>
            <w:tcW w:w="3402" w:type="dxa"/>
          </w:tcPr>
          <w:p>
            <w:pPr>
              <w:pStyle w:val="0"/>
            </w:pPr>
            <w:r>
              <w:rPr>
                <w:sz w:val="24"/>
              </w:rPr>
              <w:t xml:space="preserve">ins-dic:RasxPoDogStrInChZhIVypPrinDogPerestrInChZhRasshOFRSpod</w:t>
            </w:r>
          </w:p>
        </w:tc>
      </w:tr>
      <w:tr>
        <w:tc>
          <w:tcPr>
            <w:tcW w:w="964" w:type="dxa"/>
          </w:tcPr>
          <w:p>
            <w:pPr>
              <w:pStyle w:val="0"/>
            </w:pPr>
            <w:r>
              <w:rPr>
                <w:sz w:val="24"/>
              </w:rPr>
              <w:t xml:space="preserve">44.1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44.2</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496" w:name="P39496"/>
          <w:bookmarkEnd w:id="39496"/>
          <w:p>
            <w:pPr>
              <w:pStyle w:val="0"/>
            </w:pPr>
            <w:r>
              <w:rPr>
                <w:sz w:val="24"/>
              </w:rPr>
              <w:t xml:space="preserve">45</w:t>
            </w:r>
          </w:p>
        </w:tc>
        <w:tc>
          <w:tcPr>
            <w:tcW w:w="2891" w:type="dxa"/>
          </w:tcPr>
          <w:p>
            <w:pPr>
              <w:pStyle w:val="0"/>
            </w:pPr>
            <w:r>
              <w:rPr>
                <w:sz w:val="24"/>
              </w:rPr>
              <w:t xml:space="preserve">Дебиторская задолженность</w:t>
            </w:r>
          </w:p>
        </w:tc>
        <w:tc>
          <w:tcPr>
            <w:tcW w:w="1814" w:type="dxa"/>
          </w:tcPr>
          <w:p>
            <w:pPr>
              <w:pStyle w:val="0"/>
            </w:pPr>
            <w:r>
              <w:rPr>
                <w:sz w:val="24"/>
              </w:rPr>
            </w:r>
          </w:p>
        </w:tc>
        <w:tc>
          <w:tcPr>
            <w:tcW w:w="3402" w:type="dxa"/>
          </w:tcPr>
          <w:p>
            <w:pPr>
              <w:pStyle w:val="0"/>
            </w:pPr>
            <w:r>
              <w:rPr>
                <w:sz w:val="24"/>
              </w:rPr>
              <w:t xml:space="preserve">ins-dic:DebitorZadolzh_spod_RasshOFR</w:t>
            </w:r>
          </w:p>
        </w:tc>
      </w:tr>
      <w:tr>
        <w:tc>
          <w:tcPr>
            <w:tcW w:w="964" w:type="dxa"/>
          </w:tcPr>
          <w:p>
            <w:pPr>
              <w:pStyle w:val="0"/>
            </w:pPr>
            <w:r>
              <w:rPr>
                <w:sz w:val="24"/>
              </w:rPr>
              <w:t xml:space="preserve">45.1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45.2</w:t>
            </w:r>
          </w:p>
        </w:tc>
        <w:tc>
          <w:tcPr>
            <w:tcW w:w="2891" w:type="dxa"/>
          </w:tcPr>
          <w:p>
            <w:pPr>
              <w:pStyle w:val="0"/>
            </w:pPr>
            <w:r>
              <w:rPr>
                <w:sz w:val="24"/>
              </w:rPr>
            </w:r>
          </w:p>
        </w:tc>
        <w:tc>
          <w:tcPr>
            <w:tcW w:w="1814" w:type="dxa"/>
          </w:tcPr>
          <w:p>
            <w:pPr>
              <w:pStyle w:val="0"/>
            </w:pPr>
            <w:r>
              <w:rPr>
                <w:sz w:val="24"/>
              </w:rPr>
              <w:t xml:space="preserve">Вид задолженности по категориям</w:t>
            </w:r>
          </w:p>
        </w:tc>
        <w:tc>
          <w:tcPr>
            <w:tcW w:w="3402" w:type="dxa"/>
          </w:tcPr>
          <w:p>
            <w:pPr>
              <w:pStyle w:val="0"/>
            </w:pPr>
            <w:r>
              <w:rPr>
                <w:sz w:val="24"/>
              </w:rPr>
              <w:t xml:space="preserve">dim-int:VidZadolzhPoKategoriyamAxis</w:t>
            </w:r>
          </w:p>
        </w:tc>
      </w:tr>
      <w:tr>
        <w:tc>
          <w:tcPr>
            <w:tcW w:w="964" w:type="dxa"/>
          </w:tcPr>
          <w:p>
            <w:pPr>
              <w:pStyle w:val="0"/>
            </w:pPr>
            <w:r>
              <w:rPr>
                <w:sz w:val="24"/>
              </w:rPr>
              <w:t xml:space="preserve">45.3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r>
        <w:tc>
          <w:tcPr>
            <w:tcW w:w="964" w:type="dxa"/>
          </w:tcPr>
          <w:bookmarkStart w:id="39512" w:name="P39512"/>
          <w:bookmarkEnd w:id="39512"/>
          <w:p>
            <w:pPr>
              <w:pStyle w:val="0"/>
            </w:pPr>
            <w:r>
              <w:rPr>
                <w:sz w:val="24"/>
              </w:rPr>
              <w:t xml:space="preserve">46</w:t>
            </w:r>
          </w:p>
        </w:tc>
        <w:tc>
          <w:tcPr>
            <w:tcW w:w="2891" w:type="dxa"/>
          </w:tcPr>
          <w:p>
            <w:pPr>
              <w:pStyle w:val="0"/>
            </w:pPr>
            <w:r>
              <w:rPr>
                <w:sz w:val="24"/>
              </w:rPr>
              <w:t xml:space="preserve">Кредиторская задолженность</w:t>
            </w:r>
          </w:p>
        </w:tc>
        <w:tc>
          <w:tcPr>
            <w:tcW w:w="1814" w:type="dxa"/>
          </w:tcPr>
          <w:p>
            <w:pPr>
              <w:pStyle w:val="0"/>
            </w:pPr>
            <w:r>
              <w:rPr>
                <w:sz w:val="24"/>
              </w:rPr>
            </w:r>
          </w:p>
        </w:tc>
        <w:tc>
          <w:tcPr>
            <w:tcW w:w="3402" w:type="dxa"/>
          </w:tcPr>
          <w:p>
            <w:pPr>
              <w:pStyle w:val="0"/>
            </w:pPr>
            <w:r>
              <w:rPr>
                <w:sz w:val="24"/>
              </w:rPr>
              <w:t xml:space="preserve">ins-dic:KreditorZadolzh_spod_RasshOFR</w:t>
            </w:r>
          </w:p>
        </w:tc>
      </w:tr>
      <w:tr>
        <w:tc>
          <w:tcPr>
            <w:tcW w:w="964" w:type="dxa"/>
          </w:tcPr>
          <w:p>
            <w:pPr>
              <w:pStyle w:val="0"/>
            </w:pPr>
            <w:r>
              <w:rPr>
                <w:sz w:val="24"/>
              </w:rPr>
              <w:t xml:space="preserve">46.1</w:t>
            </w:r>
          </w:p>
        </w:tc>
        <w:tc>
          <w:tcPr>
            <w:tcW w:w="2891" w:type="dxa"/>
          </w:tcPr>
          <w:p>
            <w:pPr>
              <w:pStyle w:val="0"/>
            </w:pPr>
            <w:r>
              <w:rPr>
                <w:sz w:val="24"/>
              </w:rPr>
            </w:r>
          </w:p>
        </w:tc>
        <w:tc>
          <w:tcPr>
            <w:tcW w:w="1814" w:type="dxa"/>
          </w:tcPr>
          <w:p>
            <w:pPr>
              <w:pStyle w:val="0"/>
            </w:pPr>
            <w:r>
              <w:rPr>
                <w:sz w:val="24"/>
              </w:rPr>
              <w:t xml:space="preserve">Валюта Российской Федерации или рублевый эквивалент</w:t>
            </w:r>
          </w:p>
        </w:tc>
        <w:tc>
          <w:tcPr>
            <w:tcW w:w="3402" w:type="dxa"/>
          </w:tcPr>
          <w:p>
            <w:pPr>
              <w:pStyle w:val="0"/>
            </w:pPr>
            <w:r>
              <w:rPr>
                <w:sz w:val="24"/>
              </w:rPr>
              <w:t xml:space="preserve">dim-int:NaczVal_RubEkvAxis</w:t>
            </w:r>
          </w:p>
        </w:tc>
      </w:tr>
      <w:tr>
        <w:tc>
          <w:tcPr>
            <w:tcW w:w="964" w:type="dxa"/>
          </w:tcPr>
          <w:p>
            <w:pPr>
              <w:pStyle w:val="0"/>
            </w:pPr>
            <w:r>
              <w:rPr>
                <w:sz w:val="24"/>
              </w:rPr>
              <w:t xml:space="preserve">46.2</w:t>
            </w:r>
          </w:p>
        </w:tc>
        <w:tc>
          <w:tcPr>
            <w:tcW w:w="2891" w:type="dxa"/>
          </w:tcPr>
          <w:p>
            <w:pPr>
              <w:pStyle w:val="0"/>
            </w:pPr>
            <w:r>
              <w:rPr>
                <w:sz w:val="24"/>
              </w:rPr>
            </w:r>
          </w:p>
        </w:tc>
        <w:tc>
          <w:tcPr>
            <w:tcW w:w="1814" w:type="dxa"/>
          </w:tcPr>
          <w:p>
            <w:pPr>
              <w:pStyle w:val="0"/>
            </w:pPr>
            <w:r>
              <w:rPr>
                <w:sz w:val="24"/>
              </w:rPr>
              <w:t xml:space="preserve">Вид задолженности по категориям</w:t>
            </w:r>
          </w:p>
        </w:tc>
        <w:tc>
          <w:tcPr>
            <w:tcW w:w="3402" w:type="dxa"/>
          </w:tcPr>
          <w:p>
            <w:pPr>
              <w:pStyle w:val="0"/>
            </w:pPr>
            <w:r>
              <w:rPr>
                <w:sz w:val="24"/>
              </w:rPr>
              <w:t xml:space="preserve">dim-int:VidZadolzhPoKategoriyamAxis</w:t>
            </w:r>
          </w:p>
        </w:tc>
      </w:tr>
      <w:tr>
        <w:tc>
          <w:tcPr>
            <w:tcW w:w="964" w:type="dxa"/>
          </w:tcPr>
          <w:p>
            <w:pPr>
              <w:pStyle w:val="0"/>
            </w:pPr>
            <w:r>
              <w:rPr>
                <w:sz w:val="24"/>
              </w:rPr>
              <w:t xml:space="preserve">46.3</w:t>
            </w:r>
          </w:p>
        </w:tc>
        <w:tc>
          <w:tcPr>
            <w:tcW w:w="2891" w:type="dxa"/>
          </w:tcPr>
          <w:p>
            <w:pPr>
              <w:pStyle w:val="0"/>
            </w:pPr>
            <w:r>
              <w:rPr>
                <w:sz w:val="24"/>
              </w:rPr>
            </w:r>
          </w:p>
        </w:tc>
        <w:tc>
          <w:tcPr>
            <w:tcW w:w="1814" w:type="dxa"/>
          </w:tcPr>
          <w:p>
            <w:pPr>
              <w:pStyle w:val="0"/>
            </w:pPr>
            <w:r>
              <w:rPr>
                <w:sz w:val="24"/>
              </w:rPr>
              <w:t xml:space="preserve">Тип контрагента, сектор (подсектор) экономики</w:t>
            </w:r>
          </w:p>
        </w:tc>
        <w:tc>
          <w:tcPr>
            <w:tcW w:w="3402" w:type="dxa"/>
          </w:tcPr>
          <w:p>
            <w:pPr>
              <w:pStyle w:val="0"/>
            </w:pPr>
            <w:r>
              <w:rPr>
                <w:sz w:val="24"/>
              </w:rPr>
              <w:t xml:space="preserve">dim-int:Tip_KontragentaAxis</w:t>
            </w:r>
          </w:p>
        </w:tc>
      </w:tr>
    </w:tbl>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0420172 "Расшифровка</w:t>
      </w:r>
    </w:p>
    <w:p>
      <w:pPr>
        <w:pStyle w:val="0"/>
        <w:jc w:val="center"/>
      </w:pPr>
      <w:r>
        <w:rPr>
          <w:sz w:val="24"/>
        </w:rPr>
        <w:t xml:space="preserve">отдельных показателей деятельности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8909" w:tooltip="Отчетность по форме 0420172">
        <w:r>
          <w:rPr>
            <w:sz w:val="24"/>
            <w:color w:val="0000ff"/>
          </w:rPr>
          <w:t xml:space="preserve">форме 0420172</w:t>
        </w:r>
      </w:hyperlink>
      <w:r>
        <w:rPr>
          <w:sz w:val="24"/>
        </w:rPr>
        <w:t xml:space="preserve"> "Расшифровка отдельных показателей деятельности страховщика" (далее - отчетность по форме 0420172) составляется страховщиком (за исключением иностранной страховой организации) посредством формирования предусмотренных в ней показателей за I квартал, первое полугодие, 9 месяцев, год (далее - отчетный период) нарастающим итогом с начала года по состоянию на последний календарный день отчетного периода включительно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 </w:t>
      </w:r>
      <w:hyperlink w:history="0" w:anchor="P54285" w:tooltip="3. Понятия &quot;резидент&quot; и &quot;нерезидент&quot; используются в значениях, установленных пунктами 6 и 7 части 1 статьи 1 Федерального закона от 10 декабря 2003 года N 173-ФЗ &quot;О валютном регулировании и валютном контроле&quot;.">
        <w:r>
          <w:rPr>
            <w:sz w:val="24"/>
            <w:color w:val="0000ff"/>
          </w:rPr>
          <w:t xml:space="preserve">3</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Информация по событиям, подтверждающим условия, существовавшие на 31 декабря календарного года, отраженным в бухгалтерском учете страховщика после окончания года, за который составляется годовая бухгалтерская (финансовая) отчетность страховщика, в период до даты составления годовой бухгалтерской (финансовой) отчетности страховщика, включается страховщиком в показатели </w:t>
      </w:r>
      <w:hyperlink w:history="0" w:anchor="P39260" w:tooltip="26">
        <w:r>
          <w:rPr>
            <w:sz w:val="24"/>
            <w:color w:val="0000ff"/>
          </w:rPr>
          <w:t xml:space="preserve">строк 26</w:t>
        </w:r>
      </w:hyperlink>
      <w:r>
        <w:rPr>
          <w:sz w:val="24"/>
        </w:rPr>
        <w:t xml:space="preserve"> - </w:t>
      </w:r>
      <w:hyperlink w:history="0" w:anchor="P39512" w:tooltip="46">
        <w:r>
          <w:rPr>
            <w:sz w:val="24"/>
            <w:color w:val="0000ff"/>
          </w:rPr>
          <w:t xml:space="preserve">46</w:t>
        </w:r>
      </w:hyperlink>
      <w:r>
        <w:rPr>
          <w:sz w:val="24"/>
        </w:rPr>
        <w:t xml:space="preserve"> отчетности по форме 0420172, которые должны содержать только указанную информацию. По показателям </w:t>
      </w:r>
      <w:hyperlink w:history="0" w:anchor="P38924" w:tooltip="1">
        <w:r>
          <w:rPr>
            <w:sz w:val="24"/>
            <w:color w:val="0000ff"/>
          </w:rPr>
          <w:t xml:space="preserve">строк 1</w:t>
        </w:r>
      </w:hyperlink>
      <w:r>
        <w:rPr>
          <w:sz w:val="24"/>
        </w:rPr>
        <w:t xml:space="preserve"> - </w:t>
      </w:r>
      <w:hyperlink w:history="0" w:anchor="P39156" w:tooltip="19">
        <w:r>
          <w:rPr>
            <w:sz w:val="24"/>
            <w:color w:val="0000ff"/>
          </w:rPr>
          <w:t xml:space="preserve">19</w:t>
        </w:r>
      </w:hyperlink>
      <w:r>
        <w:rPr>
          <w:sz w:val="24"/>
        </w:rPr>
        <w:t xml:space="preserve">, </w:t>
      </w:r>
      <w:hyperlink w:history="0" w:anchor="P39228" w:tooltip="24">
        <w:r>
          <w:rPr>
            <w:sz w:val="24"/>
            <w:color w:val="0000ff"/>
          </w:rPr>
          <w:t xml:space="preserve">24</w:t>
        </w:r>
      </w:hyperlink>
      <w:r>
        <w:rPr>
          <w:sz w:val="24"/>
        </w:rPr>
        <w:t xml:space="preserve">, </w:t>
      </w:r>
      <w:hyperlink w:history="0" w:anchor="P39244" w:tooltip="25">
        <w:r>
          <w:rPr>
            <w:sz w:val="24"/>
            <w:color w:val="0000ff"/>
          </w:rPr>
          <w:t xml:space="preserve">25</w:t>
        </w:r>
      </w:hyperlink>
      <w:r>
        <w:rPr>
          <w:sz w:val="24"/>
        </w:rPr>
        <w:t xml:space="preserve"> отчетности по форме 0420172 информация по указанным событиям не раскрывается.</w:t>
      </w:r>
    </w:p>
    <w:p>
      <w:pPr>
        <w:pStyle w:val="0"/>
        <w:spacing w:before="240" w:lineRule="auto"/>
        <w:ind w:firstLine="540"/>
        <w:jc w:val="both"/>
      </w:pPr>
      <w:r>
        <w:rPr>
          <w:sz w:val="24"/>
        </w:rPr>
        <w:t xml:space="preserve">2. По всем показателям отчетности по </w:t>
      </w:r>
      <w:hyperlink w:history="0" w:anchor="P38909" w:tooltip="Отчетность по форме 0420172">
        <w:r>
          <w:rPr>
            <w:sz w:val="24"/>
            <w:color w:val="0000ff"/>
          </w:rPr>
          <w:t xml:space="preserve">форме 0420172</w:t>
        </w:r>
      </w:hyperlink>
      <w:r>
        <w:rPr>
          <w:sz w:val="24"/>
        </w:rPr>
        <w:t xml:space="preserve"> доходы (расходы) указываются общими суммами, а также с выделением:</w:t>
      </w:r>
    </w:p>
    <w:p>
      <w:pPr>
        <w:pStyle w:val="0"/>
        <w:spacing w:before="240" w:lineRule="auto"/>
        <w:ind w:firstLine="540"/>
        <w:jc w:val="both"/>
      </w:pPr>
      <w:r>
        <w:rPr>
          <w:sz w:val="24"/>
        </w:rPr>
        <w:t xml:space="preserve">сумм доходов (расходов), полученных (осуществленных) в рублях (по аналитическому признаку "В валюте Российской Федерации" группы аналитических признаков "Валюта Российской Федерации или рублевый эквивалент");</w:t>
      </w:r>
    </w:p>
    <w:p>
      <w:pPr>
        <w:pStyle w:val="0"/>
        <w:spacing w:before="240" w:lineRule="auto"/>
        <w:ind w:firstLine="540"/>
        <w:jc w:val="both"/>
      </w:pPr>
      <w:r>
        <w:rPr>
          <w:sz w:val="24"/>
        </w:rPr>
        <w:t xml:space="preserve">сумм доходов (расходов) на дату их получения (осуществления), полученных (осуществленных) в иностранной валюте в рублевом эквиваленте, определяемом по официальному курсу иностранной валюты по отношению к рублю, установленному Банком России в соответствии с </w:t>
      </w:r>
      <w:hyperlink w:history="0" r:id="rId663"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пунктом 15 статьи 4</w:t>
        </w:r>
      </w:hyperlink>
      <w:r>
        <w:rPr>
          <w:sz w:val="24"/>
        </w:rPr>
        <w:t xml:space="preserve"> Федерального закона от 10 июля 2002 года N 86-ФЗ "О Центральном банке Российской Федерации (Банке России)" (по аналитическому признаку "В иностранной валюте и драгоценных металлах в рублевом эквиваленте" группы аналитических признаков "Валюта Российской Федерации или рублевый эквивалент").</w:t>
      </w:r>
    </w:p>
    <w:p>
      <w:pPr>
        <w:pStyle w:val="0"/>
        <w:spacing w:before="240" w:lineRule="auto"/>
        <w:ind w:firstLine="540"/>
        <w:jc w:val="both"/>
      </w:pPr>
      <w:r>
        <w:rPr>
          <w:sz w:val="24"/>
        </w:rPr>
        <w:t xml:space="preserve">По аналитическим признакам "В валюте Российской Федерации" и "В иностранной валюте и драгоценных металлах в рублевом эквиваленте" группы аналитических признаков "Валюта Российской Федерации или рублевый эквивалент" значения показателей должны соответствовать значениям сумм по указанным в наименованиях показателей символам доходов и расходов отчета о финансовых результатах, предусмотренным </w:t>
      </w:r>
      <w:hyperlink w:history="0" r:id="rId664" w:tooltip="Положение Банка России от 01.08.2022 N 803-П (ред. от 10.10.2025) &quot;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quot; (Зарегистрировано в Минюсте России 20.09.2022 N 70158) {КонсультантПлюс}">
        <w:r>
          <w:rPr>
            <w:sz w:val="24"/>
            <w:color w:val="0000ff"/>
          </w:rPr>
          <w:t xml:space="preserve">частью VI приложения 2</w:t>
        </w:r>
      </w:hyperlink>
      <w:r>
        <w:rPr>
          <w:sz w:val="24"/>
        </w:rPr>
        <w:t xml:space="preserve"> к Положению Банка России от 1 августа 2022 года N 803-П "О Плане счетов бухгалтерского учета для некредитных финансовых организаций, бюро кредитных историй, кредитных рейтинговых агентств и порядке его применения" &lt;1&gt;, а также должны быть равны значениям сумм по соответствующим символам отчетности по </w:t>
      </w:r>
      <w:hyperlink w:history="0" w:anchor="P37485" w:tooltip="Отчетность по форме 0420165">
        <w:r>
          <w:rPr>
            <w:sz w:val="24"/>
            <w:color w:val="0000ff"/>
          </w:rPr>
          <w:t xml:space="preserve">форме 0420165</w:t>
        </w:r>
      </w:hyperlink>
      <w:r>
        <w:rPr>
          <w:sz w:val="24"/>
        </w:rPr>
        <w:t xml:space="preserve"> "Отчет о финансовых результатах страховщика (по символам доходов и расходов)".</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20 сентября 2022 года, регистрационный N 70158, с изменениями, внесенными Указаниями Банка России от 10 января 2024 года N 6665-У (зарегистрировано Минюстом России 12 февраля 2024 года, регистрационный N 77223), от 21 мая 2024 года N 6729-У (зарегистрировано Минюстом России 20 июня 2024 года, регистрационный N 78625).</w:t>
      </w:r>
    </w:p>
    <w:p>
      <w:pPr>
        <w:pStyle w:val="0"/>
        <w:ind w:firstLine="540"/>
        <w:jc w:val="both"/>
      </w:pPr>
      <w:r>
        <w:rPr>
          <w:sz w:val="24"/>
        </w:rPr>
      </w:r>
    </w:p>
    <w:p>
      <w:pPr>
        <w:pStyle w:val="0"/>
        <w:ind w:firstLine="540"/>
        <w:jc w:val="both"/>
      </w:pPr>
      <w:r>
        <w:rPr>
          <w:sz w:val="24"/>
        </w:rPr>
        <w:t xml:space="preserve">3. По группе аналитических признаков "Тип контрагента, сектор (подсектор) экономики" данные указываются по резидентам в разрезе секторов (подсекторов) экономики и нерезидентам.</w:t>
      </w:r>
    </w:p>
    <w:p>
      <w:pPr>
        <w:pStyle w:val="0"/>
        <w:spacing w:before="240" w:lineRule="auto"/>
        <w:ind w:firstLine="540"/>
        <w:jc w:val="both"/>
      </w:pPr>
      <w:r>
        <w:rPr>
          <w:sz w:val="24"/>
        </w:rPr>
        <w:t xml:space="preserve">В целях составления отчетности по </w:t>
      </w:r>
      <w:hyperlink w:history="0" w:anchor="P38909" w:tooltip="Отчетность по форме 0420172">
        <w:r>
          <w:rPr>
            <w:sz w:val="24"/>
            <w:color w:val="0000ff"/>
          </w:rPr>
          <w:t xml:space="preserve">форме 0420172</w:t>
        </w:r>
      </w:hyperlink>
      <w:r>
        <w:rPr>
          <w:sz w:val="24"/>
        </w:rPr>
        <w:t xml:space="preserve"> при отнесении резидентов к секторам и подсекторам экономики следует руководствоваться приведенными в настоящем пункте положениями.</w:t>
      </w:r>
    </w:p>
    <w:p>
      <w:pPr>
        <w:pStyle w:val="0"/>
        <w:spacing w:before="240" w:lineRule="auto"/>
        <w:ind w:firstLine="540"/>
        <w:jc w:val="both"/>
      </w:pPr>
      <w:r>
        <w:rPr>
          <w:sz w:val="24"/>
        </w:rPr>
        <w:t xml:space="preserve">3.1. Сектор "государственное управление" включает в себя:</w:t>
      </w:r>
    </w:p>
    <w:p>
      <w:pPr>
        <w:pStyle w:val="0"/>
        <w:spacing w:before="240" w:lineRule="auto"/>
        <w:ind w:firstLine="540"/>
        <w:jc w:val="both"/>
      </w:pPr>
      <w:r>
        <w:rPr>
          <w:sz w:val="24"/>
        </w:rPr>
        <w:t xml:space="preserve">федеральные органы государственной власти Российской Федерации (организации, выполняющие функции государственного управления на федеральном уровне);</w:t>
      </w:r>
    </w:p>
    <w:p>
      <w:pPr>
        <w:pStyle w:val="0"/>
        <w:spacing w:before="240" w:lineRule="auto"/>
        <w:ind w:firstLine="540"/>
        <w:jc w:val="both"/>
      </w:pPr>
      <w:r>
        <w:rPr>
          <w:sz w:val="24"/>
        </w:rPr>
        <w:t xml:space="preserve">органы государственной власти субъектов Российской Федерации (организации, выполняющие функции государственного управления на уровне субъектов Российской Федерации);</w:t>
      </w:r>
    </w:p>
    <w:p>
      <w:pPr>
        <w:pStyle w:val="0"/>
        <w:spacing w:before="240" w:lineRule="auto"/>
        <w:ind w:firstLine="540"/>
        <w:jc w:val="both"/>
      </w:pPr>
      <w:r>
        <w:rPr>
          <w:sz w:val="24"/>
        </w:rPr>
        <w:t xml:space="preserve">органы местного самоуправления (организации, выполняющие функции государственного управления на уровне муниципальных образований);</w:t>
      </w:r>
    </w:p>
    <w:p>
      <w:pPr>
        <w:pStyle w:val="0"/>
        <w:spacing w:before="240" w:lineRule="auto"/>
        <w:ind w:firstLine="540"/>
        <w:jc w:val="both"/>
      </w:pPr>
      <w:r>
        <w:rPr>
          <w:sz w:val="24"/>
        </w:rPr>
        <w:t xml:space="preserve">казенные, бюджетные и автономные учреждения, финансируемые и контролируемые на федеральном уровне, на уровне субъектов Российской Федерации и на уровне органов местного самоуправления (в том числе государственные бюджетные учреждения здравоохранения, государственные бюджетные образовательные учреждения);</w:t>
      </w:r>
    </w:p>
    <w:p>
      <w:pPr>
        <w:pStyle w:val="0"/>
        <w:spacing w:before="240" w:lineRule="auto"/>
        <w:ind w:firstLine="540"/>
        <w:jc w:val="both"/>
      </w:pPr>
      <w:r>
        <w:rPr>
          <w:sz w:val="24"/>
        </w:rPr>
        <w:t xml:space="preserve">государственные внебюджетные фонды, государственные территориальные внебюджетные фонды (Фонд пенсионного и социального страхования Российской Федерации, Федеральный фонд обязательного медицинского страхования, территориальные фонды обязательного медицинского страхования);</w:t>
      </w:r>
    </w:p>
    <w:p>
      <w:pPr>
        <w:pStyle w:val="0"/>
        <w:spacing w:before="240" w:lineRule="auto"/>
        <w:ind w:firstLine="540"/>
        <w:jc w:val="both"/>
      </w:pPr>
      <w:r>
        <w:rPr>
          <w:sz w:val="24"/>
        </w:rPr>
        <w:t xml:space="preserve">акционерное общество "РОСНАНО", государственную компанию "Российские автомобильные дороги" и некоммерческие организации, финансируемые и контролируемые органами государственной власти субъектов Российской Федерации и органами местного самоуправления.</w:t>
      </w:r>
    </w:p>
    <w:p>
      <w:pPr>
        <w:pStyle w:val="0"/>
        <w:spacing w:before="240" w:lineRule="auto"/>
        <w:ind w:firstLine="540"/>
        <w:jc w:val="both"/>
      </w:pPr>
      <w:r>
        <w:rPr>
          <w:sz w:val="24"/>
        </w:rPr>
        <w:t xml:space="preserve">3.2. Сектор финансовых организаций включает в себя организации, осуществляющие на основании лицензии финансовые услуги, а также организации, осуществляющие нелицензируемые виды финансовой деятельности (деятельность, связанная с привлечением и использованием денежных средств юридических и физических лиц).</w:t>
      </w:r>
    </w:p>
    <w:p>
      <w:pPr>
        <w:pStyle w:val="0"/>
        <w:spacing w:before="240" w:lineRule="auto"/>
        <w:ind w:firstLine="540"/>
        <w:jc w:val="both"/>
      </w:pPr>
      <w:r>
        <w:rPr>
          <w:sz w:val="24"/>
        </w:rPr>
        <w:t xml:space="preserve">К подсектору "кредитные организации" относятся банки и небанковские кредитные организации, имеющие лицензии Банка России на осуществление банковских операций.</w:t>
      </w:r>
    </w:p>
    <w:p>
      <w:pPr>
        <w:pStyle w:val="0"/>
        <w:spacing w:before="240" w:lineRule="auto"/>
        <w:ind w:firstLine="540"/>
        <w:jc w:val="both"/>
      </w:pPr>
      <w:r>
        <w:rPr>
          <w:sz w:val="24"/>
        </w:rPr>
        <w:t xml:space="preserve">К подсектору "паевые инвестиционные фонды" относятся обособленные имущественные комплексы, состоящие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w:t>
      </w:r>
    </w:p>
    <w:p>
      <w:pPr>
        <w:pStyle w:val="0"/>
        <w:spacing w:before="240" w:lineRule="auto"/>
        <w:ind w:firstLine="540"/>
        <w:jc w:val="both"/>
      </w:pPr>
      <w:r>
        <w:rPr>
          <w:sz w:val="24"/>
        </w:rPr>
        <w:t xml:space="preserve">К подсектору "акционерные инвестиционные фонды" относятся акционерные общества, исключительным предметом деятельности которых является инвестирование имущества в ценные бумаги и иные объекты.</w:t>
      </w:r>
    </w:p>
    <w:p>
      <w:pPr>
        <w:pStyle w:val="0"/>
        <w:spacing w:before="240" w:lineRule="auto"/>
        <w:ind w:firstLine="540"/>
        <w:jc w:val="both"/>
      </w:pPr>
      <w:r>
        <w:rPr>
          <w:sz w:val="24"/>
        </w:rPr>
        <w:t xml:space="preserve">К подсектору "страховщики" относятся страховые организации и общества взаимного страхования.</w:t>
      </w:r>
    </w:p>
    <w:p>
      <w:pPr>
        <w:pStyle w:val="0"/>
        <w:spacing w:before="240" w:lineRule="auto"/>
        <w:ind w:firstLine="540"/>
        <w:jc w:val="both"/>
      </w:pPr>
      <w:r>
        <w:rPr>
          <w:sz w:val="24"/>
        </w:rPr>
        <w:t xml:space="preserve">К подсектору "негосударственные пенсионные фонды" относятся организации, имеющие лицензию на осуществление деятельности по пенсионному обеспечению и пенсионному страхованию.</w:t>
      </w:r>
    </w:p>
    <w:p>
      <w:pPr>
        <w:pStyle w:val="0"/>
        <w:spacing w:before="240" w:lineRule="auto"/>
        <w:ind w:firstLine="540"/>
        <w:jc w:val="both"/>
      </w:pPr>
      <w:r>
        <w:rPr>
          <w:sz w:val="24"/>
        </w:rPr>
        <w:t xml:space="preserve">К подсектору "другие финансовые организации" относятся инвестиционные компании, управляющие компании, специализированные депозитарии, организаторы торговли, профессиональные участники рынка ценных бумаг (не являющиеся кредитными организациями), кредитные потребительские кооперативы, микрофинансовые организации, лизинговые компании, организации, предоставляющие факторинговые услуги, ломбарды, саморегулируемые организации в сфере финансового рынка, страховые агенты и страховые брокеры, являющиеся юридическими лицами, и другие финансовые посредники. В подсектор "другие финансовые организации" также включаются государственная корпорация развития "ВЭБ.РФ" и государственная корпорация "Агентство по страхованию вкладов".</w:t>
      </w:r>
    </w:p>
    <w:p>
      <w:pPr>
        <w:pStyle w:val="0"/>
        <w:spacing w:before="240" w:lineRule="auto"/>
        <w:ind w:firstLine="540"/>
        <w:jc w:val="both"/>
      </w:pPr>
      <w:r>
        <w:rPr>
          <w:sz w:val="24"/>
        </w:rPr>
        <w:t xml:space="preserve">Источником информации для определения принадлежности юридического лица к сектору финансовых организаций является перечень организаций финансового сектора (для формирования показателей макроэкономической статистики и для использования респондентами при составлении отчетности, содержащей данные в секторальном разрезе), размещаемый на официальном сайте Банка России в информационно-телекоммуникационной сети "Интернет" в соответствии с </w:t>
      </w:r>
      <w:hyperlink w:history="0" r:id="rId665" w:tooltip="Указание Банка России от 03.09.2024 N 6836-У (ред. от 26.05.2025) &quot;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 {КонсультантПлюс}">
        <w:r>
          <w:rPr>
            <w:sz w:val="24"/>
            <w:color w:val="0000ff"/>
          </w:rPr>
          <w:t xml:space="preserve">абзацем третьим пункта 1.3</w:t>
        </w:r>
      </w:hyperlink>
      <w:r>
        <w:rPr>
          <w:sz w:val="24"/>
        </w:rPr>
        <w:t xml:space="preserve"> Указания Банка России от 3 сентября 2024 года N 6836-У "О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кабинета" &lt;2&gt;.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Зарегистрировано Минюстом России 3 октября 2024 года, регистрационный N 79699, с изменениями, внесенными Указанием Банка России от 26 мая 2025 года N 7064-У (зарегистрировано Минюстом России 3 июля 2025 года, регистрационный N 82807).</w:t>
      </w:r>
    </w:p>
    <w:p>
      <w:pPr>
        <w:pStyle w:val="0"/>
        <w:ind w:firstLine="540"/>
        <w:jc w:val="both"/>
      </w:pPr>
      <w:r>
        <w:rPr>
          <w:sz w:val="24"/>
        </w:rPr>
      </w:r>
    </w:p>
    <w:p>
      <w:pPr>
        <w:pStyle w:val="0"/>
        <w:ind w:firstLine="540"/>
        <w:jc w:val="both"/>
      </w:pPr>
      <w:r>
        <w:rPr>
          <w:sz w:val="24"/>
        </w:rPr>
        <w:t xml:space="preserve">3.3. Сектор "нефинансовые организации" включает в себя организации, занимающиеся производством товаров и оказанием нефинансовых услуг по рыночным ценам независимо от формы собственности и организационно-правовой формы, а также включает унитарные предприятия и сельскохозяйственные потребительские кооперативы (кроме кредитных и страховых), производственные кооперативы.</w:t>
      </w:r>
    </w:p>
    <w:p>
      <w:pPr>
        <w:pStyle w:val="0"/>
        <w:spacing w:before="240" w:lineRule="auto"/>
        <w:ind w:firstLine="540"/>
        <w:jc w:val="both"/>
      </w:pPr>
      <w:r>
        <w:rPr>
          <w:sz w:val="24"/>
        </w:rPr>
        <w:t xml:space="preserve">3.4. Секторы "население, кроме индивидуальных предпринимателей" и "индивидуальные предприниматели" включают в себя институциональные единицы, состоящие из одного лица или группы лиц, проживающих в одном и том же жилище, объединяющих частично или полностью свои доходы и имущество, потребляющих коллективно некоторые виды товаров и услуг, в основном жилищные услуги и продукты питания. В сектор "население, кроме индивидуальных предпринимателей" включаются физические лица и потребительские общества граждан, в сектор "индивидуальные предприниматели" - индивидуальные предприниматели.</w:t>
      </w:r>
    </w:p>
    <w:p>
      <w:pPr>
        <w:pStyle w:val="0"/>
        <w:spacing w:before="240" w:lineRule="auto"/>
        <w:ind w:firstLine="540"/>
        <w:jc w:val="both"/>
      </w:pPr>
      <w:r>
        <w:rPr>
          <w:sz w:val="24"/>
        </w:rPr>
        <w:t xml:space="preserve">3.5. Сектор "некоммерческие организации, обслуживающие население" включает в себя некоммерческие организации, за исключением некоммерческих организаций, относящихся к секторам "государственное управление", "нефинансовые организации" и сектору финансовых организаций, в том числе общественные и религиозные организации, фонды, страховых агентов, являющихся физическими лицами и индивидуальными предпринимателями, и страховых брокеров, являющихся индивидуальными предпринимателями.</w:t>
      </w:r>
    </w:p>
    <w:p>
      <w:pPr>
        <w:pStyle w:val="0"/>
        <w:spacing w:before="240" w:lineRule="auto"/>
        <w:ind w:firstLine="540"/>
        <w:jc w:val="both"/>
      </w:pPr>
      <w:r>
        <w:rPr>
          <w:sz w:val="24"/>
        </w:rPr>
        <w:t xml:space="preserve">4. В целях составления отчетности по </w:t>
      </w:r>
      <w:hyperlink w:history="0" w:anchor="P38909" w:tooltip="Отчетность по форме 0420172">
        <w:r>
          <w:rPr>
            <w:sz w:val="24"/>
            <w:color w:val="0000ff"/>
          </w:rPr>
          <w:t xml:space="preserve">форме 0420172</w:t>
        </w:r>
      </w:hyperlink>
      <w:r>
        <w:rPr>
          <w:sz w:val="24"/>
        </w:rPr>
        <w:t xml:space="preserve"> по группе аналитических признаков "Вид контрагента" указывается вид посредника, получающего вознаграждение за заключение договоров страхования, сострахования (далее при совместном упоминании - договоры страхования), оказание услуг, связанных с их заключением, с использованием следующих кодов:</w:t>
      </w:r>
    </w:p>
    <w:p>
      <w:pPr>
        <w:pStyle w:val="0"/>
        <w:spacing w:before="240" w:lineRule="auto"/>
        <w:ind w:firstLine="540"/>
        <w:jc w:val="both"/>
      </w:pPr>
      <w:r>
        <w:rPr>
          <w:sz w:val="24"/>
        </w:rPr>
        <w:t xml:space="preserve">"ФЛ - физическое лицо", если посредники являются физическими лицами, кроме индивидуальных предпринимателей;</w:t>
      </w:r>
    </w:p>
    <w:p>
      <w:pPr>
        <w:pStyle w:val="0"/>
        <w:spacing w:before="240" w:lineRule="auto"/>
        <w:ind w:firstLine="540"/>
        <w:jc w:val="both"/>
      </w:pPr>
      <w:r>
        <w:rPr>
          <w:sz w:val="24"/>
        </w:rPr>
        <w:t xml:space="preserve">"ИП - индивидуальный предприниматель", если посредники являются индивидуальными предпринимателями;</w:t>
      </w:r>
    </w:p>
    <w:p>
      <w:pPr>
        <w:pStyle w:val="0"/>
        <w:spacing w:before="240" w:lineRule="auto"/>
        <w:ind w:firstLine="540"/>
        <w:jc w:val="both"/>
      </w:pPr>
      <w:r>
        <w:rPr>
          <w:sz w:val="24"/>
        </w:rPr>
        <w:t xml:space="preserve">"ЮЛ - юридическое лицо", если посредники являются юридическими лицами.</w:t>
      </w:r>
    </w:p>
    <w:p>
      <w:pPr>
        <w:pStyle w:val="0"/>
        <w:spacing w:before="240" w:lineRule="auto"/>
        <w:ind w:firstLine="540"/>
        <w:jc w:val="both"/>
      </w:pPr>
      <w:r>
        <w:rPr>
          <w:sz w:val="24"/>
        </w:rPr>
        <w:t xml:space="preserve">5. По группе аналитических признаков "Вид договора страхования, перестрахования" договоры страхования и перестрахования разделяются по следующим аналитическим признакам: "Договор страхования, сострахования, перестрахования относится к страхованию жизни" и "Договор страхования, сострахования, перестрахования относится к страхованию иному, чем страхование жизни".</w:t>
      </w:r>
    </w:p>
    <w:p>
      <w:pPr>
        <w:pStyle w:val="0"/>
        <w:spacing w:before="240" w:lineRule="auto"/>
        <w:ind w:firstLine="540"/>
        <w:jc w:val="both"/>
      </w:pPr>
      <w:r>
        <w:rPr>
          <w:sz w:val="24"/>
        </w:rPr>
        <w:t xml:space="preserve">6. По группе аналитических признаков "Вид имущества" доходы и расходы арендатора по договорам аренды и доходы арендодателя от сдачи имущества в операционную аренду разделяются на доходы и расходы от сдачи (получения) в аренду земли и на доходы и расходы от сдачи (получения) в аренду прочего имущества.</w:t>
      </w:r>
    </w:p>
    <w:p>
      <w:pPr>
        <w:pStyle w:val="0"/>
        <w:spacing w:before="240" w:lineRule="auto"/>
        <w:ind w:firstLine="540"/>
        <w:jc w:val="both"/>
      </w:pPr>
      <w:r>
        <w:rPr>
          <w:sz w:val="24"/>
        </w:rPr>
        <w:t xml:space="preserve">7. По группе аналитических признаков "Тип налогов" расходы на уплату налогов и сборов, относимые на расходы в соответствии с законодательством Российской Федерации о налогах и сборах, разделяются на расходы на уплату налога на добавленную стоимость (далее - НДС) и на расходы на уплату прочих налогов, не являющихся НДС.</w:t>
      </w:r>
    </w:p>
    <w:p>
      <w:pPr>
        <w:pStyle w:val="0"/>
        <w:spacing w:before="240" w:lineRule="auto"/>
        <w:ind w:firstLine="540"/>
        <w:jc w:val="both"/>
      </w:pPr>
      <w:r>
        <w:rPr>
          <w:sz w:val="24"/>
        </w:rPr>
        <w:t xml:space="preserve">8. По группе аналитических признаков "Тип расходов на служебные командировки" расходы на служебные командировки разделяются на расходы на суточные и на прочие расходы на служебные командировки, не являющиеся расходами на суточные.</w:t>
      </w:r>
    </w:p>
    <w:p>
      <w:pPr>
        <w:pStyle w:val="0"/>
        <w:spacing w:before="240" w:lineRule="auto"/>
        <w:ind w:firstLine="540"/>
        <w:jc w:val="both"/>
      </w:pPr>
      <w:r>
        <w:rPr>
          <w:sz w:val="24"/>
        </w:rPr>
        <w:t xml:space="preserve">9. По группе аналитических признаков "Тип процентных доходов" процентные доходы по прочим средствам разделяются на процентные доходы по аренде и на прочие процентные доходы, не являющиеся процентными доходами по аренде.</w:t>
      </w:r>
    </w:p>
    <w:p>
      <w:pPr>
        <w:pStyle w:val="0"/>
        <w:spacing w:before="240" w:lineRule="auto"/>
        <w:ind w:firstLine="540"/>
        <w:jc w:val="both"/>
      </w:pPr>
      <w:r>
        <w:rPr>
          <w:sz w:val="24"/>
        </w:rPr>
        <w:t xml:space="preserve">10. По группе аналитических признаков "Тип процентных расходов" процентные расходы по привлеченным средствам разделяются на процентные расходы по аренде и на прочие процентные расходы, не являющиеся процентными расходами по аренде.</w:t>
      </w:r>
    </w:p>
    <w:p>
      <w:pPr>
        <w:pStyle w:val="0"/>
        <w:spacing w:before="240" w:lineRule="auto"/>
        <w:ind w:firstLine="540"/>
        <w:jc w:val="both"/>
      </w:pPr>
      <w:r>
        <w:rPr>
          <w:sz w:val="24"/>
        </w:rPr>
        <w:t xml:space="preserve">11. По группе аналитических признаков "Вид задолженности по категориям" дебиторская и кредиторская задолженности страховщика разделяются в зависимости от отнесения указанных задолженностей к сумме задолженностей по страховой деятельности, включая задолженности по договорам страхования, задолженности по выпущенным (принятым) или удерживаемым (переданным) договорам перестрахования и задолженности по прямому возмещению убытков по обязательному страхованию гражданской ответственности владельцев транспортных средств (данные отражаются по аналитическому признаку "Задолженность по договорам страхования, сострахования и перестрахования"), или к сумме прочих задолженностей (данные отражаются по аналитическому признаку "Прочая задолженность").</w:t>
      </w:r>
    </w:p>
    <w:p>
      <w:pPr>
        <w:pStyle w:val="0"/>
        <w:spacing w:before="240" w:lineRule="auto"/>
        <w:ind w:firstLine="540"/>
        <w:jc w:val="both"/>
      </w:pPr>
      <w:r>
        <w:rPr>
          <w:sz w:val="24"/>
        </w:rPr>
        <w:t xml:space="preserve">Дебиторская и кредиторская задолженности, отраженные по аналитическому признаку "Прочая задолженность" группы аналитических признаков "Вид задолженности по категориям", относятся к дебиторской и кредиторской задолженностям в части прочих дебиторов и прочих кредиторов, не относящимся к расчетам по договорам страхования, расчетам по выпущенным (принятым) или удерживаемым (переданным) договорам перестрахования и расчетам по прямому возмещению убытков по обязательному страхованию гражданской ответственности владельцев транспортных средств.</w:t>
      </w:r>
    </w:p>
    <w:p>
      <w:pPr>
        <w:pStyle w:val="0"/>
        <w:spacing w:before="240" w:lineRule="auto"/>
        <w:ind w:firstLine="540"/>
        <w:jc w:val="both"/>
      </w:pPr>
      <w:r>
        <w:rPr>
          <w:sz w:val="24"/>
        </w:rPr>
        <w:t xml:space="preserve">12. По показателю "Вознаграждение посредникам за заключение договоров страхования, оказание услуг, связанных с их заключением (фактически выплаченное)" </w:t>
      </w:r>
      <w:hyperlink w:history="0" w:anchor="P39168" w:tooltip="20">
        <w:r>
          <w:rPr>
            <w:sz w:val="24"/>
            <w:color w:val="0000ff"/>
          </w:rPr>
          <w:t xml:space="preserve">(строка 20)</w:t>
        </w:r>
      </w:hyperlink>
      <w:r>
        <w:rPr>
          <w:sz w:val="24"/>
        </w:rPr>
        <w:t xml:space="preserve"> указывается сумма фактически выплаченных страховщиком в отчетном периоде вознаграждений посредникам за заключение ими договоров страхования, оказание ими услуг, связанных с заключением договоров страхования.</w:t>
      </w:r>
    </w:p>
    <w:p>
      <w:pPr>
        <w:pStyle w:val="0"/>
        <w:spacing w:before="240" w:lineRule="auto"/>
        <w:ind w:firstLine="540"/>
        <w:jc w:val="both"/>
      </w:pPr>
      <w:r>
        <w:rPr>
          <w:sz w:val="24"/>
        </w:rPr>
        <w:t xml:space="preserve">13. По показателю "Страховые премии (взносы) по договорам страхования" </w:t>
      </w:r>
      <w:hyperlink w:history="0" w:anchor="P39180" w:tooltip="21">
        <w:r>
          <w:rPr>
            <w:sz w:val="24"/>
            <w:color w:val="0000ff"/>
          </w:rPr>
          <w:t xml:space="preserve">(строка 21)</w:t>
        </w:r>
      </w:hyperlink>
      <w:r>
        <w:rPr>
          <w:sz w:val="24"/>
        </w:rPr>
        <w:t xml:space="preserve"> указывается сумма страховых премий по договорам страхования, уплата, корректировка (увеличение или уменьшение) или возврат которых согласно условиям договоров страхования приходится на отчетный период.</w:t>
      </w:r>
    </w:p>
    <w:p>
      <w:pPr>
        <w:pStyle w:val="0"/>
        <w:spacing w:before="240" w:lineRule="auto"/>
        <w:ind w:firstLine="540"/>
        <w:jc w:val="both"/>
      </w:pPr>
      <w:r>
        <w:rPr>
          <w:sz w:val="24"/>
        </w:rPr>
        <w:t xml:space="preserve">Данные указываются по договорам страхования, заключенным страховщиком со страхователями в отчетном периоде и предыдущих отчетных периодах.</w:t>
      </w:r>
    </w:p>
    <w:p>
      <w:pPr>
        <w:pStyle w:val="0"/>
        <w:spacing w:before="240" w:lineRule="auto"/>
        <w:ind w:firstLine="540"/>
        <w:jc w:val="both"/>
      </w:pPr>
      <w:r>
        <w:rPr>
          <w:sz w:val="24"/>
        </w:rPr>
        <w:t xml:space="preserve">Значение показателя "Страховые премии (взносы) по договорам страхования" </w:t>
      </w:r>
      <w:hyperlink w:history="0" w:anchor="P39180" w:tooltip="21">
        <w:r>
          <w:rPr>
            <w:sz w:val="24"/>
            <w:color w:val="0000ff"/>
          </w:rPr>
          <w:t xml:space="preserve">(строка 21)</w:t>
        </w:r>
      </w:hyperlink>
      <w:r>
        <w:rPr>
          <w:sz w:val="24"/>
        </w:rPr>
        <w:t xml:space="preserve"> должно быть равно значению показателя "Страховые премии (взносы) по договорам страхования" </w:t>
      </w:r>
      <w:hyperlink w:history="0" w:anchor="P54371" w:tooltip="1">
        <w:r>
          <w:rPr>
            <w:sz w:val="24"/>
            <w:color w:val="0000ff"/>
          </w:rPr>
          <w:t xml:space="preserve">(строка 1)</w:t>
        </w:r>
      </w:hyperlink>
      <w:r>
        <w:rPr>
          <w:sz w:val="24"/>
        </w:rPr>
        <w:t xml:space="preserve"> отчетности по форме 0420162 "Сведения о деятельности страховщика" (далее - отчетность по форме 0420162).</w:t>
      </w:r>
    </w:p>
    <w:p>
      <w:pPr>
        <w:pStyle w:val="0"/>
        <w:spacing w:before="240" w:lineRule="auto"/>
        <w:ind w:firstLine="540"/>
        <w:jc w:val="both"/>
      </w:pPr>
      <w:r>
        <w:rPr>
          <w:sz w:val="24"/>
        </w:rPr>
        <w:t xml:space="preserve">14. По показателю "Страховые премии по договорам входящего перестрахования" </w:t>
      </w:r>
      <w:hyperlink w:history="0" w:anchor="P39196" w:tooltip="22">
        <w:r>
          <w:rPr>
            <w:sz w:val="24"/>
            <w:color w:val="0000ff"/>
          </w:rPr>
          <w:t xml:space="preserve">(строка 22)</w:t>
        </w:r>
      </w:hyperlink>
      <w:r>
        <w:rPr>
          <w:sz w:val="24"/>
        </w:rPr>
        <w:t xml:space="preserve"> указывается сумма страховых премий по договорам перестрахования, в которых страховщик выступает перестраховщиком (далее - договоры входящего перестрахования), уплата, корректировка (увеличение или уменьшение) или возврат которых согласно условиям договоров входящего перестрахования приходится на отчетный период.</w:t>
      </w:r>
    </w:p>
    <w:p>
      <w:pPr>
        <w:pStyle w:val="0"/>
        <w:spacing w:before="240" w:lineRule="auto"/>
        <w:ind w:firstLine="540"/>
        <w:jc w:val="both"/>
      </w:pPr>
      <w:r>
        <w:rPr>
          <w:sz w:val="24"/>
        </w:rPr>
        <w:t xml:space="preserve">Значение показателя "Страховые премии по договорам входящего перестрахования" </w:t>
      </w:r>
      <w:hyperlink w:history="0" w:anchor="P39196" w:tooltip="22">
        <w:r>
          <w:rPr>
            <w:sz w:val="24"/>
            <w:color w:val="0000ff"/>
          </w:rPr>
          <w:t xml:space="preserve">(строка 22)</w:t>
        </w:r>
      </w:hyperlink>
      <w:r>
        <w:rPr>
          <w:sz w:val="24"/>
        </w:rPr>
        <w:t xml:space="preserve"> должно быть равно значению показателя "Страховые премии по договорам входящего перестрахования" </w:t>
      </w:r>
      <w:hyperlink w:history="0" w:anchor="P56853" w:tooltip="108">
        <w:r>
          <w:rPr>
            <w:sz w:val="24"/>
            <w:color w:val="0000ff"/>
          </w:rPr>
          <w:t xml:space="preserve">(строка 108)</w:t>
        </w:r>
      </w:hyperlink>
      <w:r>
        <w:rPr>
          <w:sz w:val="24"/>
        </w:rPr>
        <w:t xml:space="preserve"> отчетности по форме 0420162.</w:t>
      </w:r>
    </w:p>
    <w:p>
      <w:pPr>
        <w:pStyle w:val="0"/>
        <w:spacing w:before="240" w:lineRule="auto"/>
        <w:ind w:firstLine="540"/>
        <w:jc w:val="both"/>
      </w:pPr>
      <w:r>
        <w:rPr>
          <w:sz w:val="24"/>
        </w:rPr>
        <w:t xml:space="preserve">15. По показателю "Страховые премии по договорам исходящего перестрахования" </w:t>
      </w:r>
      <w:hyperlink w:history="0" w:anchor="P39212" w:tooltip="23">
        <w:r>
          <w:rPr>
            <w:sz w:val="24"/>
            <w:color w:val="0000ff"/>
          </w:rPr>
          <w:t xml:space="preserve">(строка 23)</w:t>
        </w:r>
      </w:hyperlink>
      <w:r>
        <w:rPr>
          <w:sz w:val="24"/>
        </w:rPr>
        <w:t xml:space="preserve"> указывается сумма страховых премий по договорам перестрахования, в которых страховщик выступает перестрахователем (далее - договоры исходящего перестрахования), уплата, корректировка (увеличение или уменьшение) или возврат которых согласно условиям договоров исходящего перестрахования приходится на отчетный период.</w:t>
      </w:r>
    </w:p>
    <w:p>
      <w:pPr>
        <w:pStyle w:val="0"/>
        <w:spacing w:before="240" w:lineRule="auto"/>
        <w:ind w:firstLine="540"/>
        <w:jc w:val="both"/>
      </w:pPr>
      <w:r>
        <w:rPr>
          <w:sz w:val="24"/>
        </w:rPr>
        <w:t xml:space="preserve">Значение показателя "Страховые премии по договорам исходящего перестрахования" </w:t>
      </w:r>
      <w:hyperlink w:history="0" w:anchor="P39212" w:tooltip="23">
        <w:r>
          <w:rPr>
            <w:sz w:val="24"/>
            <w:color w:val="0000ff"/>
          </w:rPr>
          <w:t xml:space="preserve">(строка 23)</w:t>
        </w:r>
      </w:hyperlink>
      <w:r>
        <w:rPr>
          <w:sz w:val="24"/>
        </w:rPr>
        <w:t xml:space="preserve"> должно быть равно значению показателя "Страховые премии по договорам исходящего перестрахования" </w:t>
      </w:r>
      <w:hyperlink w:history="0" w:anchor="P57001" w:tooltip="112">
        <w:r>
          <w:rPr>
            <w:sz w:val="24"/>
            <w:color w:val="0000ff"/>
          </w:rPr>
          <w:t xml:space="preserve">(строка 112)</w:t>
        </w:r>
      </w:hyperlink>
      <w:r>
        <w:rPr>
          <w:sz w:val="24"/>
        </w:rPr>
        <w:t xml:space="preserve"> отчетности по форме 0420162.</w:t>
      </w:r>
    </w:p>
    <w:p>
      <w:pPr>
        <w:pStyle w:val="0"/>
        <w:spacing w:before="240" w:lineRule="auto"/>
        <w:ind w:firstLine="540"/>
        <w:jc w:val="both"/>
      </w:pPr>
      <w:r>
        <w:rPr>
          <w:sz w:val="24"/>
        </w:rPr>
        <w:t xml:space="preserve">16. По показателю "Дебиторская задолженность" (</w:t>
      </w:r>
      <w:hyperlink w:history="0" w:anchor="P39228" w:tooltip="24">
        <w:r>
          <w:rPr>
            <w:sz w:val="24"/>
            <w:color w:val="0000ff"/>
          </w:rPr>
          <w:t xml:space="preserve">строки 24</w:t>
        </w:r>
      </w:hyperlink>
      <w:r>
        <w:rPr>
          <w:sz w:val="24"/>
        </w:rPr>
        <w:t xml:space="preserve">, </w:t>
      </w:r>
      <w:hyperlink w:history="0" w:anchor="P39496" w:tooltip="45">
        <w:r>
          <w:rPr>
            <w:sz w:val="24"/>
            <w:color w:val="0000ff"/>
          </w:rPr>
          <w:t xml:space="preserve">45</w:t>
        </w:r>
      </w:hyperlink>
      <w:r>
        <w:rPr>
          <w:sz w:val="24"/>
        </w:rPr>
        <w:t xml:space="preserve">) указываются сумма задолженности по расчетам с дебиторами по договорам страхования и выпущенным (принятым) или удерживаемым (переданным) договорам перестрахования, сумма задолженности по прямому возмещению убытков по обязательному страхованию гражданской ответственности владельцев транспортных средств, а также сумма задолженности по расчетам со всеми прочими дебиторами на основании данных бухгалтерского учета страховщика, содержащихся в регистрах бухгалтерского учета. Сумма задолженности указывается до вычета резерва под обесценение, оценочного резерва под ожидаемые кредитные убытки.</w:t>
      </w:r>
    </w:p>
    <w:p>
      <w:pPr>
        <w:pStyle w:val="0"/>
        <w:spacing w:before="240" w:lineRule="auto"/>
        <w:ind w:firstLine="540"/>
        <w:jc w:val="both"/>
      </w:pPr>
      <w:r>
        <w:rPr>
          <w:sz w:val="24"/>
        </w:rPr>
        <w:t xml:space="preserve">Сумма задолженности, отраженная по показателю "Дебиторская задолженность" (</w:t>
      </w:r>
      <w:hyperlink w:history="0" w:anchor="P39228" w:tooltip="24">
        <w:r>
          <w:rPr>
            <w:sz w:val="24"/>
            <w:color w:val="0000ff"/>
          </w:rPr>
          <w:t xml:space="preserve">строки 24</w:t>
        </w:r>
      </w:hyperlink>
      <w:r>
        <w:rPr>
          <w:sz w:val="24"/>
        </w:rPr>
        <w:t xml:space="preserve">, </w:t>
      </w:r>
      <w:hyperlink w:history="0" w:anchor="P39496" w:tooltip="45">
        <w:r>
          <w:rPr>
            <w:sz w:val="24"/>
            <w:color w:val="0000ff"/>
          </w:rPr>
          <w:t xml:space="preserve">45</w:t>
        </w:r>
      </w:hyperlink>
      <w:r>
        <w:rPr>
          <w:sz w:val="24"/>
        </w:rPr>
        <w:t xml:space="preserve">), должна быть равна сумме остатка по счету второго порядка, отраженной на конец отчетного периода по показателю "Остаток по счету второго порядка" </w:t>
      </w:r>
      <w:hyperlink w:history="0" w:anchor="P37442" w:tooltip="3">
        <w:r>
          <w:rPr>
            <w:sz w:val="24"/>
            <w:color w:val="0000ff"/>
          </w:rPr>
          <w:t xml:space="preserve">(строка 3)</w:t>
        </w:r>
      </w:hyperlink>
      <w:r>
        <w:rPr>
          <w:sz w:val="24"/>
        </w:rPr>
        <w:t xml:space="preserve"> отчетности по форме 0420164 "Оборотная ведомость по счетам бухгалтерского учета страховщика" (далее - отчетность по форме 0420164) по аналитическим признакам группы аналитических признаков "Номер счета второго порядка", соответствующим номерам балансовых счетов второго порядка 47404, 47406, 47408, 47417, 47423, 47432, 47434, 47436, 47471, 47701, 47901, 47902, 47911, 48001, 48003, 48005, 48015, 48017, 48021, 48023, 48025, 48028, 48040, 48042, 48044, 48045, 48101, 48103, 48105, 48201, 48204, 48206, 60302, 60306, 60308, 60310, 60312, 60314, 60315, 60323, 60329, 60330, 60332, 60336, 60347, 60350.</w:t>
      </w:r>
    </w:p>
    <w:p>
      <w:pPr>
        <w:pStyle w:val="0"/>
        <w:spacing w:before="240" w:lineRule="auto"/>
        <w:ind w:firstLine="540"/>
        <w:jc w:val="both"/>
      </w:pPr>
      <w:r>
        <w:rPr>
          <w:sz w:val="24"/>
        </w:rPr>
        <w:t xml:space="preserve">17. По показателю "Кредиторская задолженность" (</w:t>
      </w:r>
      <w:hyperlink w:history="0" w:anchor="P39244" w:tooltip="25">
        <w:r>
          <w:rPr>
            <w:sz w:val="24"/>
            <w:color w:val="0000ff"/>
          </w:rPr>
          <w:t xml:space="preserve">строки 25</w:t>
        </w:r>
      </w:hyperlink>
      <w:r>
        <w:rPr>
          <w:sz w:val="24"/>
        </w:rPr>
        <w:t xml:space="preserve">, </w:t>
      </w:r>
      <w:hyperlink w:history="0" w:anchor="P39512" w:tooltip="46">
        <w:r>
          <w:rPr>
            <w:sz w:val="24"/>
            <w:color w:val="0000ff"/>
          </w:rPr>
          <w:t xml:space="preserve">46</w:t>
        </w:r>
      </w:hyperlink>
      <w:r>
        <w:rPr>
          <w:sz w:val="24"/>
        </w:rPr>
        <w:t xml:space="preserve">) указываются сумма задолженности по расчетам с кредиторами по договорам страхования и выпущенным (принятым) или удерживаемым (переданным) договорам перестрахования, сумма задолженности перед страховщиками по прямому возмещению убытков по обязательному страхованию гражданской ответственности владельцев транспортных средств, а также сумма задолженности по расчетам со всеми прочими кредиторами на основании данных бухгалтерского учета страховщика, содержащихся в регистрах бухгалтерского учета.</w:t>
      </w:r>
    </w:p>
    <w:p>
      <w:pPr>
        <w:pStyle w:val="0"/>
        <w:spacing w:before="240" w:lineRule="auto"/>
        <w:ind w:firstLine="540"/>
        <w:jc w:val="both"/>
      </w:pPr>
      <w:r>
        <w:rPr>
          <w:sz w:val="24"/>
        </w:rPr>
        <w:t xml:space="preserve">Сумма задолженности, отраженная по показателю "Кредиторская задолженность" (</w:t>
      </w:r>
      <w:hyperlink w:history="0" w:anchor="P39244" w:tooltip="25">
        <w:r>
          <w:rPr>
            <w:sz w:val="24"/>
            <w:color w:val="0000ff"/>
          </w:rPr>
          <w:t xml:space="preserve">строки 25</w:t>
        </w:r>
      </w:hyperlink>
      <w:r>
        <w:rPr>
          <w:sz w:val="24"/>
        </w:rPr>
        <w:t xml:space="preserve">, </w:t>
      </w:r>
      <w:hyperlink w:history="0" w:anchor="P39512" w:tooltip="46">
        <w:r>
          <w:rPr>
            <w:sz w:val="24"/>
            <w:color w:val="0000ff"/>
          </w:rPr>
          <w:t xml:space="preserve">46</w:t>
        </w:r>
      </w:hyperlink>
      <w:r>
        <w:rPr>
          <w:sz w:val="24"/>
        </w:rPr>
        <w:t xml:space="preserve">), должна быть равна сумме остатка по счету второго порядка, отраженной на конец отчетного периода по показателю "Остаток по счету второго порядка" </w:t>
      </w:r>
      <w:hyperlink w:history="0" w:anchor="P37442" w:tooltip="3">
        <w:r>
          <w:rPr>
            <w:sz w:val="24"/>
            <w:color w:val="0000ff"/>
          </w:rPr>
          <w:t xml:space="preserve">(строка 3)</w:t>
        </w:r>
      </w:hyperlink>
      <w:r>
        <w:rPr>
          <w:sz w:val="24"/>
        </w:rPr>
        <w:t xml:space="preserve"> отчетности по форме 0420164 по аналитическим признакам группы аналитических признаков "Номер счета второго порядка", соответствующим номерам балансовых счетов второго порядка 47403, 47405, 47407, 47416, 47422,47425, 47433, 47435, 47437, 47470, 47903, 48002, 48004, 48006, 48016, 48018, 48022, 48024, 48029, 48031, 48039, 48041, 48043, 48046, 48102, 48104, 48106, 48202, 48203, 48205, 60301, 60303, 60305, 60307, 60309, 60311, 60313, 60320, 60322, 60328, 60331, 60335, 60349.</w:t>
      </w:r>
    </w:p>
    <w:p>
      <w:pPr>
        <w:pStyle w:val="0"/>
        <w:spacing w:before="240" w:lineRule="auto"/>
        <w:ind w:firstLine="540"/>
        <w:jc w:val="both"/>
      </w:pPr>
      <w:r>
        <w:rPr>
          <w:sz w:val="24"/>
        </w:rPr>
        <w:t xml:space="preserve">18. Показатели отчетности по </w:t>
      </w:r>
      <w:hyperlink w:history="0" w:anchor="P38909" w:tooltip="Отчетность по форме 0420172">
        <w:r>
          <w:rPr>
            <w:sz w:val="24"/>
            <w:color w:val="0000ff"/>
          </w:rPr>
          <w:t xml:space="preserve">форме 0420172</w:t>
        </w:r>
      </w:hyperlink>
      <w:r>
        <w:rPr>
          <w:sz w:val="24"/>
        </w:rPr>
        <w:t xml:space="preserve"> в разрезе аналитических признаков группы аналитических признаков "Тип контрагента, сектор (подсектор) экономики" формируются следующим образом:</w:t>
      </w:r>
    </w:p>
    <w:p>
      <w:pPr>
        <w:pStyle w:val="0"/>
        <w:spacing w:before="240" w:lineRule="auto"/>
        <w:ind w:firstLine="540"/>
        <w:jc w:val="both"/>
      </w:pPr>
      <w:r>
        <w:rPr>
          <w:sz w:val="24"/>
        </w:rPr>
        <w:t xml:space="preserve">18.1. Значения показателя "Процентные доходы по займам, выданным юридическим лицам (31119)" (</w:t>
      </w:r>
      <w:hyperlink w:history="0" w:anchor="P38924" w:tooltip="1">
        <w:r>
          <w:rPr>
            <w:sz w:val="24"/>
            <w:color w:val="0000ff"/>
          </w:rPr>
          <w:t xml:space="preserve">строки 1</w:t>
        </w:r>
      </w:hyperlink>
      <w:r>
        <w:rPr>
          <w:sz w:val="24"/>
        </w:rPr>
        <w:t xml:space="preserve">, </w:t>
      </w:r>
      <w:hyperlink w:history="0" w:anchor="P39260" w:tooltip="26">
        <w:r>
          <w:rPr>
            <w:sz w:val="24"/>
            <w:color w:val="0000ff"/>
          </w:rPr>
          <w:t xml:space="preserve">26</w:t>
        </w:r>
      </w:hyperlink>
      <w:r>
        <w:rPr>
          <w:sz w:val="24"/>
        </w:rPr>
        <w:t xml:space="preserve">) указываются в разрезе аналитических признаков "Нерезиденты", "Государственное управление", "Кредитные организации", "Акционерные инвестиционные фонды", "Страховщики", "Негосударственные пенсионные фонды", "Другие финансовые организации", "Нефинансовые организации" и "Некоммерческие организации, обслуживающие население".</w:t>
      </w:r>
    </w:p>
    <w:p>
      <w:pPr>
        <w:pStyle w:val="0"/>
        <w:spacing w:before="240" w:lineRule="auto"/>
        <w:ind w:firstLine="540"/>
        <w:jc w:val="both"/>
      </w:pPr>
      <w:r>
        <w:rPr>
          <w:sz w:val="24"/>
        </w:rPr>
        <w:t xml:space="preserve">18.2. Значения показателей "Процентные доходы по вложениям в долговые ценные бумаги, оцениваемые по справедливой стоимости через прибыль или убыток (кроме векселей), прочих резидентов (31129)" (</w:t>
      </w:r>
      <w:hyperlink w:history="0" w:anchor="P38936" w:tooltip="2">
        <w:r>
          <w:rPr>
            <w:sz w:val="24"/>
            <w:color w:val="0000ff"/>
          </w:rPr>
          <w:t xml:space="preserve">строки 2</w:t>
        </w:r>
      </w:hyperlink>
      <w:r>
        <w:rPr>
          <w:sz w:val="24"/>
        </w:rPr>
        <w:t xml:space="preserve">, </w:t>
      </w:r>
      <w:hyperlink w:history="0" w:anchor="P39272" w:tooltip="27">
        <w:r>
          <w:rPr>
            <w:sz w:val="24"/>
            <w:color w:val="0000ff"/>
          </w:rPr>
          <w:t xml:space="preserve">27</w:t>
        </w:r>
      </w:hyperlink>
      <w:r>
        <w:rPr>
          <w:sz w:val="24"/>
        </w:rPr>
        <w:t xml:space="preserve">), "Процентные доходы по вложениям в долговые ценные бумаги, оцениваемые по справедливой стоимости через прочий совокупный доход (кроме векселей), прочих резидентов (31136)" (</w:t>
      </w:r>
      <w:hyperlink w:history="0" w:anchor="P38948" w:tooltip="3">
        <w:r>
          <w:rPr>
            <w:sz w:val="24"/>
            <w:color w:val="0000ff"/>
          </w:rPr>
          <w:t xml:space="preserve">строки 3</w:t>
        </w:r>
      </w:hyperlink>
      <w:r>
        <w:rPr>
          <w:sz w:val="24"/>
        </w:rPr>
        <w:t xml:space="preserve">, </w:t>
      </w:r>
      <w:hyperlink w:history="0" w:anchor="P39284" w:tooltip="28">
        <w:r>
          <w:rPr>
            <w:sz w:val="24"/>
            <w:color w:val="0000ff"/>
          </w:rPr>
          <w:t xml:space="preserve">28</w:t>
        </w:r>
      </w:hyperlink>
      <w:r>
        <w:rPr>
          <w:sz w:val="24"/>
        </w:rPr>
        <w:t xml:space="preserve">) и "Процентные доходы по вложениям в долговые ценные бумаги (кроме векселей), оцениваемые по амортизированной стоимости, прочих резидентов (31150)" (</w:t>
      </w:r>
      <w:hyperlink w:history="0" w:anchor="P38968" w:tooltip="4">
        <w:r>
          <w:rPr>
            <w:sz w:val="24"/>
            <w:color w:val="0000ff"/>
          </w:rPr>
          <w:t xml:space="preserve">строки 4</w:t>
        </w:r>
      </w:hyperlink>
      <w:r>
        <w:rPr>
          <w:sz w:val="24"/>
        </w:rPr>
        <w:t xml:space="preserve">, </w:t>
      </w:r>
      <w:hyperlink w:history="0" w:anchor="P39296" w:tooltip="29">
        <w:r>
          <w:rPr>
            <w:sz w:val="24"/>
            <w:color w:val="0000ff"/>
          </w:rPr>
          <w:t xml:space="preserve">29</w:t>
        </w:r>
      </w:hyperlink>
      <w:r>
        <w:rPr>
          <w:sz w:val="24"/>
        </w:rPr>
        <w:t xml:space="preserve">) указываются в разрезе аналитических признаков "Страховщики", "Негосударственные пенсионные фонды", "Другие финансовые организации" и "Нефинансовые организации".</w:t>
      </w:r>
    </w:p>
    <w:p>
      <w:pPr>
        <w:pStyle w:val="0"/>
        <w:spacing w:before="240" w:lineRule="auto"/>
        <w:ind w:firstLine="540"/>
        <w:jc w:val="both"/>
      </w:pPr>
      <w:r>
        <w:rPr>
          <w:sz w:val="24"/>
        </w:rPr>
        <w:t xml:space="preserve">18.3. Значения показателей "Процентные доходы по вложениям в учтенные векселя, оцениваемые по справедливой стоимости через прибыль или убыток, прочих резидентов (31157)" (</w:t>
      </w:r>
      <w:hyperlink w:history="0" w:anchor="P38980" w:tooltip="5">
        <w:r>
          <w:rPr>
            <w:sz w:val="24"/>
            <w:color w:val="0000ff"/>
          </w:rPr>
          <w:t xml:space="preserve">строки 5</w:t>
        </w:r>
      </w:hyperlink>
      <w:r>
        <w:rPr>
          <w:sz w:val="24"/>
        </w:rPr>
        <w:t xml:space="preserve">, </w:t>
      </w:r>
      <w:hyperlink w:history="0" w:anchor="P39308" w:tooltip="30">
        <w:r>
          <w:rPr>
            <w:sz w:val="24"/>
            <w:color w:val="0000ff"/>
          </w:rPr>
          <w:t xml:space="preserve">30</w:t>
        </w:r>
      </w:hyperlink>
      <w:r>
        <w:rPr>
          <w:sz w:val="24"/>
        </w:rPr>
        <w:t xml:space="preserve">), "Процентные доходы по вложениям в учтенные векселя, оцениваемые по справедливой стоимости через прочий совокупный доход, прочих резидентов (31164)" (</w:t>
      </w:r>
      <w:hyperlink w:history="0" w:anchor="P38992" w:tooltip="6">
        <w:r>
          <w:rPr>
            <w:sz w:val="24"/>
            <w:color w:val="0000ff"/>
          </w:rPr>
          <w:t xml:space="preserve">строки 6</w:t>
        </w:r>
      </w:hyperlink>
      <w:r>
        <w:rPr>
          <w:sz w:val="24"/>
        </w:rPr>
        <w:t xml:space="preserve">, </w:t>
      </w:r>
      <w:hyperlink w:history="0" w:anchor="P39320" w:tooltip="31">
        <w:r>
          <w:rPr>
            <w:sz w:val="24"/>
            <w:color w:val="0000ff"/>
          </w:rPr>
          <w:t xml:space="preserve">31</w:t>
        </w:r>
      </w:hyperlink>
      <w:r>
        <w:rPr>
          <w:sz w:val="24"/>
        </w:rPr>
        <w:t xml:space="preserve">) и "Процентные доходы по вложениям в учтенные векселя, оцениваемые по амортизированной стоимости, прочих резидентов (31178)" (</w:t>
      </w:r>
      <w:hyperlink w:history="0" w:anchor="P39004" w:tooltip="7">
        <w:r>
          <w:rPr>
            <w:sz w:val="24"/>
            <w:color w:val="0000ff"/>
          </w:rPr>
          <w:t xml:space="preserve">строки 7</w:t>
        </w:r>
      </w:hyperlink>
      <w:r>
        <w:rPr>
          <w:sz w:val="24"/>
        </w:rPr>
        <w:t xml:space="preserve">, </w:t>
      </w:r>
      <w:hyperlink w:history="0" w:anchor="P39332" w:tooltip="32">
        <w:r>
          <w:rPr>
            <w:sz w:val="24"/>
            <w:color w:val="0000ff"/>
          </w:rPr>
          <w:t xml:space="preserve">32</w:t>
        </w:r>
      </w:hyperlink>
      <w:r>
        <w:rPr>
          <w:sz w:val="24"/>
        </w:rPr>
        <w:t xml:space="preserve">) указываются в разрезе аналитических признаков "Страховщики", "Негосударственные пенсионные фонды", "Другие финансовые организации", "Нефинансовые организации", "Население, кроме индивидуальных предпринимателей", "Индивидуальные предприниматели" и "Некоммерческие организации, обслуживающие население".</w:t>
      </w:r>
    </w:p>
    <w:p>
      <w:pPr>
        <w:pStyle w:val="0"/>
        <w:spacing w:before="240" w:lineRule="auto"/>
        <w:ind w:firstLine="540"/>
        <w:jc w:val="both"/>
      </w:pPr>
      <w:r>
        <w:rPr>
          <w:sz w:val="24"/>
        </w:rPr>
        <w:t xml:space="preserve">18.4. Значение показателя "Дивиденды от вложений в акции и доходы от участия в хозяйственных обществах, кроме акционерных (34502 + 34602 + 34702 + 34802)" (</w:t>
      </w:r>
      <w:hyperlink w:history="0" w:anchor="P39016" w:tooltip="8">
        <w:r>
          <w:rPr>
            <w:sz w:val="24"/>
            <w:color w:val="0000ff"/>
          </w:rPr>
          <w:t xml:space="preserve">строки 8</w:t>
        </w:r>
      </w:hyperlink>
      <w:r>
        <w:rPr>
          <w:sz w:val="24"/>
        </w:rPr>
        <w:t xml:space="preserve">, </w:t>
      </w:r>
      <w:hyperlink w:history="0" w:anchor="P39344" w:tooltip="33">
        <w:r>
          <w:rPr>
            <w:sz w:val="24"/>
            <w:color w:val="0000ff"/>
          </w:rPr>
          <w:t xml:space="preserve">33</w:t>
        </w:r>
      </w:hyperlink>
      <w:r>
        <w:rPr>
          <w:sz w:val="24"/>
        </w:rPr>
        <w:t xml:space="preserve">) указывается в разрезе аналитических признаков "Паевые инвестиционные фонды", "Акционерные инвестиционные фонды", "Страховщики", "Негосударственные пенсионные фонды", "Другие финансовые организации", "Нефинансовые организации" и "Ипотечные сертификаты участия".</w:t>
      </w:r>
    </w:p>
    <w:p>
      <w:pPr>
        <w:pStyle w:val="0"/>
        <w:spacing w:before="240" w:lineRule="auto"/>
        <w:ind w:firstLine="540"/>
        <w:jc w:val="both"/>
      </w:pPr>
      <w:r>
        <w:rPr>
          <w:sz w:val="24"/>
        </w:rPr>
        <w:t xml:space="preserve">18.5. Значения показателей "Процентные доходы по прочим средствам (31101 + 31102 + 31103 + 31104 + 31105 + 31106 + 31107 + 31108 + 31109 + 31110 + 31111 + 31112 + 31113 + 31114 + 31115 + 31116 + 31117)" (</w:t>
      </w:r>
      <w:hyperlink w:history="0" w:anchor="P39088" w:tooltip="14">
        <w:r>
          <w:rPr>
            <w:sz w:val="24"/>
            <w:color w:val="0000ff"/>
          </w:rPr>
          <w:t xml:space="preserve">строки 14</w:t>
        </w:r>
      </w:hyperlink>
      <w:r>
        <w:rPr>
          <w:sz w:val="24"/>
        </w:rPr>
        <w:t xml:space="preserve">, </w:t>
      </w:r>
      <w:hyperlink w:history="0" w:anchor="P39416" w:tooltip="39">
        <w:r>
          <w:rPr>
            <w:sz w:val="24"/>
            <w:color w:val="0000ff"/>
          </w:rPr>
          <w:t xml:space="preserve">39</w:t>
        </w:r>
      </w:hyperlink>
      <w:r>
        <w:rPr>
          <w:sz w:val="24"/>
        </w:rPr>
        <w:t xml:space="preserve">) и "Процентные расходы по привлеченным средствам (44103 + 44104 + 44105 + 44106 + 44107 + 44108 + 44109 + 44110 + 44111 + 44112 + 44113 + 44114 + 44115 + 44116 + 44117 + 44118 + 44119)" (</w:t>
      </w:r>
      <w:hyperlink w:history="0" w:anchor="P39104" w:tooltip="15">
        <w:r>
          <w:rPr>
            <w:sz w:val="24"/>
            <w:color w:val="0000ff"/>
          </w:rPr>
          <w:t xml:space="preserve">строки 15</w:t>
        </w:r>
      </w:hyperlink>
      <w:r>
        <w:rPr>
          <w:sz w:val="24"/>
        </w:rPr>
        <w:t xml:space="preserve">, </w:t>
      </w:r>
      <w:hyperlink w:history="0" w:anchor="P39432" w:tooltip="40">
        <w:r>
          <w:rPr>
            <w:sz w:val="24"/>
            <w:color w:val="0000ff"/>
          </w:rPr>
          <w:t xml:space="preserve">40</w:t>
        </w:r>
      </w:hyperlink>
      <w:r>
        <w:rPr>
          <w:sz w:val="24"/>
        </w:rPr>
        <w:t xml:space="preserve">) указываются в разрезе аналитических признаков "Нерезиденты", "Государственное управление", "Кредитные организации", "Паевые инвестиционные фонды", "Акционерные инвестиционные фонды", "Страховщики", "Негосударственные пенсионные фонды", "Другие финансовые организации", "Нефинансовые организации", "Население, кроме индивидуальных предпринимателей", "Индивидуальные предприниматели", "Некоммерческие организации, обслуживающие население" и "Ипотечные сертификаты участия".</w:t>
      </w:r>
    </w:p>
    <w:p>
      <w:pPr>
        <w:pStyle w:val="0"/>
        <w:spacing w:before="240" w:lineRule="auto"/>
        <w:ind w:firstLine="540"/>
        <w:jc w:val="both"/>
      </w:pPr>
      <w:r>
        <w:rPr>
          <w:sz w:val="24"/>
        </w:rPr>
        <w:t xml:space="preserve">18.6. Значения показателей "Выручка по договорам страхования жизни и выпущенным (принятым) договорам перестрахования жизни" (</w:t>
      </w:r>
      <w:hyperlink w:history="0" w:anchor="P39120" w:tooltip="16">
        <w:r>
          <w:rPr>
            <w:sz w:val="24"/>
            <w:color w:val="0000ff"/>
          </w:rPr>
          <w:t xml:space="preserve">строки 16</w:t>
        </w:r>
      </w:hyperlink>
      <w:r>
        <w:rPr>
          <w:sz w:val="24"/>
        </w:rPr>
        <w:t xml:space="preserve">, </w:t>
      </w:r>
      <w:hyperlink w:history="0" w:anchor="P39448" w:tooltip="41">
        <w:r>
          <w:rPr>
            <w:sz w:val="24"/>
            <w:color w:val="0000ff"/>
          </w:rPr>
          <w:t xml:space="preserve">41</w:t>
        </w:r>
      </w:hyperlink>
      <w:r>
        <w:rPr>
          <w:sz w:val="24"/>
        </w:rPr>
        <w:t xml:space="preserve">), "Выручка по договорам страхования иного, чем страхования жизни, и выпущенным (принятым) договорам перестрахования иного, чем страхование жизни" (</w:t>
      </w:r>
      <w:hyperlink w:history="0" w:anchor="P39132" w:tooltip="17">
        <w:r>
          <w:rPr>
            <w:sz w:val="24"/>
            <w:color w:val="0000ff"/>
          </w:rPr>
          <w:t xml:space="preserve">строки 17</w:t>
        </w:r>
      </w:hyperlink>
      <w:r>
        <w:rPr>
          <w:sz w:val="24"/>
        </w:rPr>
        <w:t xml:space="preserve">, </w:t>
      </w:r>
      <w:hyperlink w:history="0" w:anchor="P39460" w:tooltip="42">
        <w:r>
          <w:rPr>
            <w:sz w:val="24"/>
            <w:color w:val="0000ff"/>
          </w:rPr>
          <w:t xml:space="preserve">42</w:t>
        </w:r>
      </w:hyperlink>
      <w:r>
        <w:rPr>
          <w:sz w:val="24"/>
        </w:rPr>
        <w:t xml:space="preserve">), "Расходы по договорам страхования жизни и выпущенным (принятым) договорам перестрахования жизни" (</w:t>
      </w:r>
      <w:hyperlink w:history="0" w:anchor="P39144" w:tooltip="18">
        <w:r>
          <w:rPr>
            <w:sz w:val="24"/>
            <w:color w:val="0000ff"/>
          </w:rPr>
          <w:t xml:space="preserve">строки 18</w:t>
        </w:r>
      </w:hyperlink>
      <w:r>
        <w:rPr>
          <w:sz w:val="24"/>
        </w:rPr>
        <w:t xml:space="preserve">, </w:t>
      </w:r>
      <w:hyperlink w:history="0" w:anchor="P39472" w:tooltip="43">
        <w:r>
          <w:rPr>
            <w:sz w:val="24"/>
            <w:color w:val="0000ff"/>
          </w:rPr>
          <w:t xml:space="preserve">43</w:t>
        </w:r>
      </w:hyperlink>
      <w:r>
        <w:rPr>
          <w:sz w:val="24"/>
        </w:rPr>
        <w:t xml:space="preserve">), "Расходы по договорам страхования иного, чем страхования жизни, и выпущенным (принятым) договорам перестрахования иного, чем страхование жизни" (</w:t>
      </w:r>
      <w:hyperlink w:history="0" w:anchor="P39156" w:tooltip="19">
        <w:r>
          <w:rPr>
            <w:sz w:val="24"/>
            <w:color w:val="0000ff"/>
          </w:rPr>
          <w:t xml:space="preserve">строки 19</w:t>
        </w:r>
      </w:hyperlink>
      <w:r>
        <w:rPr>
          <w:sz w:val="24"/>
        </w:rPr>
        <w:t xml:space="preserve">, </w:t>
      </w:r>
      <w:hyperlink w:history="0" w:anchor="P39484" w:tooltip="44">
        <w:r>
          <w:rPr>
            <w:sz w:val="24"/>
            <w:color w:val="0000ff"/>
          </w:rPr>
          <w:t xml:space="preserve">44</w:t>
        </w:r>
      </w:hyperlink>
      <w:r>
        <w:rPr>
          <w:sz w:val="24"/>
        </w:rPr>
        <w:t xml:space="preserve">), "Страховые премии (взносы) по договорам страхования" </w:t>
      </w:r>
      <w:hyperlink w:history="0" w:anchor="P39180" w:tooltip="21">
        <w:r>
          <w:rPr>
            <w:sz w:val="24"/>
            <w:color w:val="0000ff"/>
          </w:rPr>
          <w:t xml:space="preserve">(строка 21)</w:t>
        </w:r>
      </w:hyperlink>
      <w:r>
        <w:rPr>
          <w:sz w:val="24"/>
        </w:rPr>
        <w:t xml:space="preserve">, "Страховые премии по договорам входящего перестрахования" </w:t>
      </w:r>
      <w:hyperlink w:history="0" w:anchor="P39196" w:tooltip="22">
        <w:r>
          <w:rPr>
            <w:sz w:val="24"/>
            <w:color w:val="0000ff"/>
          </w:rPr>
          <w:t xml:space="preserve">(строка 22)</w:t>
        </w:r>
      </w:hyperlink>
      <w:r>
        <w:rPr>
          <w:sz w:val="24"/>
        </w:rPr>
        <w:t xml:space="preserve">, "Страховые премии по договорам исходящего перестрахования" </w:t>
      </w:r>
      <w:hyperlink w:history="0" w:anchor="P39212" w:tooltip="23">
        <w:r>
          <w:rPr>
            <w:sz w:val="24"/>
            <w:color w:val="0000ff"/>
          </w:rPr>
          <w:t xml:space="preserve">(строка 23)</w:t>
        </w:r>
      </w:hyperlink>
      <w:r>
        <w:rPr>
          <w:sz w:val="24"/>
        </w:rPr>
        <w:t xml:space="preserve">, "Дебиторская задолженность" (</w:t>
      </w:r>
      <w:hyperlink w:history="0" w:anchor="P39228" w:tooltip="24">
        <w:r>
          <w:rPr>
            <w:sz w:val="24"/>
            <w:color w:val="0000ff"/>
          </w:rPr>
          <w:t xml:space="preserve">строки 24</w:t>
        </w:r>
      </w:hyperlink>
      <w:r>
        <w:rPr>
          <w:sz w:val="24"/>
        </w:rPr>
        <w:t xml:space="preserve">, </w:t>
      </w:r>
      <w:hyperlink w:history="0" w:anchor="P39496" w:tooltip="45">
        <w:r>
          <w:rPr>
            <w:sz w:val="24"/>
            <w:color w:val="0000ff"/>
          </w:rPr>
          <w:t xml:space="preserve">45</w:t>
        </w:r>
      </w:hyperlink>
      <w:r>
        <w:rPr>
          <w:sz w:val="24"/>
        </w:rPr>
        <w:t xml:space="preserve">) и "Кредиторская задолженность" (</w:t>
      </w:r>
      <w:hyperlink w:history="0" w:anchor="P39244" w:tooltip="25">
        <w:r>
          <w:rPr>
            <w:sz w:val="24"/>
            <w:color w:val="0000ff"/>
          </w:rPr>
          <w:t xml:space="preserve">строки 25</w:t>
        </w:r>
      </w:hyperlink>
      <w:r>
        <w:rPr>
          <w:sz w:val="24"/>
        </w:rPr>
        <w:t xml:space="preserve">, </w:t>
      </w:r>
      <w:hyperlink w:history="0" w:anchor="P39512" w:tooltip="46">
        <w:r>
          <w:rPr>
            <w:sz w:val="24"/>
            <w:color w:val="0000ff"/>
          </w:rPr>
          <w:t xml:space="preserve">46</w:t>
        </w:r>
      </w:hyperlink>
      <w:r>
        <w:rPr>
          <w:sz w:val="24"/>
        </w:rPr>
        <w:t xml:space="preserve">) указываются в разрезе аналитических признаков "Нерезиденты", "Государственное управление", "Кредитные организации", "Паевые инвестиционные фонды", "Акционерные инвестиционные фонды", "Страховщики", "Негосударственные пенсионные фонды", "Другие финансовые организации", "Нефинансовые организации", "Население, кроме индивидуальных предпринимателей", "Индивидуальные предприниматели" и "Некоммерческие организации, обслуживающие население".</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9603" w:name="P39603"/>
    <w:bookmarkEnd w:id="39603"/>
    <w:p>
      <w:pPr>
        <w:pStyle w:val="0"/>
        <w:jc w:val="center"/>
      </w:pPr>
      <w:r>
        <w:rPr>
          <w:sz w:val="24"/>
        </w:rPr>
        <w:t xml:space="preserve">Отчетность по форме 0420173</w:t>
      </w:r>
    </w:p>
    <w:p>
      <w:pPr>
        <w:pStyle w:val="0"/>
        <w:jc w:val="center"/>
      </w:pPr>
      <w:r>
        <w:rPr>
          <w:sz w:val="24"/>
        </w:rPr>
        <w:t xml:space="preserve">"Сведения о договоре об оказании услуг специализированного</w:t>
      </w:r>
    </w:p>
    <w:p>
      <w:pPr>
        <w:pStyle w:val="0"/>
        <w:jc w:val="center"/>
      </w:pPr>
      <w:r>
        <w:rPr>
          <w:sz w:val="24"/>
        </w:rPr>
        <w:t xml:space="preserve">депозитария страховщика"</w:t>
      </w:r>
    </w:p>
    <w:p>
      <w:pPr>
        <w:pStyle w:val="0"/>
        <w:ind w:firstLine="540"/>
        <w:jc w:val="both"/>
      </w:pPr>
      <w:r>
        <w:rPr>
          <w:sz w:val="24"/>
        </w:rPr>
      </w:r>
    </w:p>
    <w:p>
      <w:pPr>
        <w:pStyle w:val="0"/>
        <w:jc w:val="right"/>
      </w:pPr>
      <w:r>
        <w:rPr>
          <w:sz w:val="24"/>
        </w:rPr>
        <w:t xml:space="preserve">Код формы по </w:t>
      </w:r>
      <w:hyperlink w:history="0" r:id="rId66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9669" w:tooltip="&lt;1&gt; Общероссийский классификатор управленческой документации.">
        <w:r>
          <w:rPr>
            <w:sz w:val="24"/>
            <w:color w:val="0000ff"/>
          </w:rPr>
          <w:t xml:space="preserve">&lt;1&gt;</w:t>
        </w:r>
      </w:hyperlink>
      <w:r>
        <w:rPr>
          <w:sz w:val="24"/>
        </w:rPr>
        <w:t xml:space="preserve"> 0420173</w:t>
      </w:r>
    </w:p>
    <w:p>
      <w:pPr>
        <w:pStyle w:val="0"/>
        <w:ind w:firstLine="540"/>
        <w:jc w:val="both"/>
      </w:pPr>
      <w:r>
        <w:rPr>
          <w:sz w:val="24"/>
        </w:rPr>
      </w:r>
    </w:p>
    <w:p>
      <w:pPr>
        <w:pStyle w:val="0"/>
        <w:jc w:val="right"/>
      </w:pPr>
      <w:r>
        <w:rPr>
          <w:sz w:val="24"/>
        </w:rPr>
        <w:t xml:space="preserve">На нерегулярной основе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39619" w:name="P39619"/>
          <w:bookmarkEnd w:id="39619"/>
          <w:p>
            <w:pPr>
              <w:pStyle w:val="0"/>
            </w:pPr>
            <w:r>
              <w:rPr>
                <w:sz w:val="24"/>
              </w:rPr>
              <w:t xml:space="preserve">1</w:t>
            </w:r>
          </w:p>
        </w:tc>
        <w:tc>
          <w:tcPr>
            <w:tcW w:w="2608" w:type="dxa"/>
          </w:tcPr>
          <w:p>
            <w:pPr>
              <w:pStyle w:val="0"/>
            </w:pPr>
            <w:r>
              <w:rPr>
                <w:sz w:val="24"/>
              </w:rPr>
              <w:t xml:space="preserve">Полное фирменное наименование</w:t>
            </w:r>
          </w:p>
        </w:tc>
        <w:tc>
          <w:tcPr>
            <w:tcW w:w="2608" w:type="dxa"/>
          </w:tcPr>
          <w:p>
            <w:pPr>
              <w:pStyle w:val="0"/>
            </w:pPr>
            <w:r>
              <w:rPr>
                <w:sz w:val="24"/>
              </w:rPr>
            </w:r>
          </w:p>
        </w:tc>
        <w:tc>
          <w:tcPr>
            <w:tcW w:w="2948" w:type="dxa"/>
          </w:tcPr>
          <w:p>
            <w:pPr>
              <w:pStyle w:val="0"/>
            </w:pPr>
            <w:r>
              <w:rPr>
                <w:sz w:val="24"/>
              </w:rPr>
              <w:t xml:space="preserve">ins-dic:PolnNaimSpeczDep</w:t>
            </w:r>
          </w:p>
        </w:tc>
      </w:tr>
      <w:tr>
        <w:tc>
          <w:tcPr>
            <w:tcW w:w="907" w:type="dxa"/>
          </w:tcPr>
          <w:bookmarkStart w:id="39623" w:name="P39623"/>
          <w:bookmarkEnd w:id="39623"/>
          <w:p>
            <w:pPr>
              <w:pStyle w:val="0"/>
            </w:pPr>
            <w:r>
              <w:rPr>
                <w:sz w:val="24"/>
              </w:rPr>
              <w:t xml:space="preserve">2</w:t>
            </w:r>
          </w:p>
        </w:tc>
        <w:tc>
          <w:tcPr>
            <w:tcW w:w="2608" w:type="dxa"/>
          </w:tcPr>
          <w:p>
            <w:pPr>
              <w:pStyle w:val="0"/>
            </w:pPr>
            <w:r>
              <w:rPr>
                <w:sz w:val="24"/>
              </w:rPr>
              <w:t xml:space="preserve">Идентификационный номер налогоплательщика (ИНН)</w:t>
            </w:r>
          </w:p>
        </w:tc>
        <w:tc>
          <w:tcPr>
            <w:tcW w:w="2608" w:type="dxa"/>
          </w:tcPr>
          <w:p>
            <w:pPr>
              <w:pStyle w:val="0"/>
            </w:pPr>
            <w:r>
              <w:rPr>
                <w:sz w:val="24"/>
              </w:rPr>
            </w:r>
          </w:p>
        </w:tc>
        <w:tc>
          <w:tcPr>
            <w:tcW w:w="2948" w:type="dxa"/>
          </w:tcPr>
          <w:p>
            <w:pPr>
              <w:pStyle w:val="0"/>
            </w:pPr>
            <w:r>
              <w:rPr>
                <w:sz w:val="24"/>
              </w:rPr>
              <w:t xml:space="preserve">nfo-dic:INN</w:t>
            </w:r>
          </w:p>
        </w:tc>
      </w:tr>
      <w:tr>
        <w:tc>
          <w:tcPr>
            <w:tcW w:w="907" w:type="dxa"/>
          </w:tcPr>
          <w:bookmarkStart w:id="39627" w:name="P39627"/>
          <w:bookmarkEnd w:id="39627"/>
          <w:p>
            <w:pPr>
              <w:pStyle w:val="0"/>
            </w:pPr>
            <w:r>
              <w:rPr>
                <w:sz w:val="24"/>
              </w:rPr>
              <w:t xml:space="preserve">3</w:t>
            </w:r>
          </w:p>
        </w:tc>
        <w:tc>
          <w:tcPr>
            <w:tcW w:w="2608" w:type="dxa"/>
          </w:tcPr>
          <w:p>
            <w:pPr>
              <w:pStyle w:val="0"/>
            </w:pPr>
            <w:r>
              <w:rPr>
                <w:sz w:val="24"/>
              </w:rPr>
              <w:t xml:space="preserve">Основной государственный регистрационный номер (ОГРН)</w:t>
            </w:r>
          </w:p>
        </w:tc>
        <w:tc>
          <w:tcPr>
            <w:tcW w:w="2608" w:type="dxa"/>
          </w:tcPr>
          <w:p>
            <w:pPr>
              <w:pStyle w:val="0"/>
            </w:pPr>
            <w:r>
              <w:rPr>
                <w:sz w:val="24"/>
              </w:rPr>
            </w:r>
          </w:p>
        </w:tc>
        <w:tc>
          <w:tcPr>
            <w:tcW w:w="2948" w:type="dxa"/>
          </w:tcPr>
          <w:p>
            <w:pPr>
              <w:pStyle w:val="0"/>
            </w:pPr>
            <w:r>
              <w:rPr>
                <w:sz w:val="24"/>
              </w:rPr>
              <w:t xml:space="preserve">ins-dic:OGRNSpeczDep</w:t>
            </w:r>
          </w:p>
        </w:tc>
      </w:tr>
      <w:tr>
        <w:tc>
          <w:tcPr>
            <w:tcW w:w="907" w:type="dxa"/>
          </w:tcPr>
          <w:bookmarkStart w:id="39631" w:name="P39631"/>
          <w:bookmarkEnd w:id="39631"/>
          <w:p>
            <w:pPr>
              <w:pStyle w:val="0"/>
            </w:pPr>
            <w:r>
              <w:rPr>
                <w:sz w:val="24"/>
              </w:rPr>
              <w:t xml:space="preserve">4</w:t>
            </w:r>
          </w:p>
        </w:tc>
        <w:tc>
          <w:tcPr>
            <w:tcW w:w="2608" w:type="dxa"/>
          </w:tcPr>
          <w:p>
            <w:pPr>
              <w:pStyle w:val="0"/>
            </w:pPr>
            <w:r>
              <w:rPr>
                <w:sz w:val="24"/>
              </w:rPr>
              <w:t xml:space="preserve">Адрес в пределах места нахождения</w:t>
            </w:r>
          </w:p>
        </w:tc>
        <w:tc>
          <w:tcPr>
            <w:tcW w:w="2608" w:type="dxa"/>
          </w:tcPr>
          <w:p>
            <w:pPr>
              <w:pStyle w:val="0"/>
            </w:pPr>
            <w:r>
              <w:rPr>
                <w:sz w:val="24"/>
              </w:rPr>
            </w:r>
          </w:p>
        </w:tc>
        <w:tc>
          <w:tcPr>
            <w:tcW w:w="2948" w:type="dxa"/>
          </w:tcPr>
          <w:p>
            <w:pPr>
              <w:pStyle w:val="0"/>
            </w:pPr>
            <w:r>
              <w:rPr>
                <w:sz w:val="24"/>
              </w:rPr>
              <w:t xml:space="preserve">nfo-dic:Mesto_Naxozhd_Yul</w:t>
            </w:r>
          </w:p>
        </w:tc>
      </w:tr>
      <w:tr>
        <w:tc>
          <w:tcPr>
            <w:tcW w:w="907" w:type="dxa"/>
          </w:tcPr>
          <w:bookmarkStart w:id="39635" w:name="P39635"/>
          <w:bookmarkEnd w:id="39635"/>
          <w:p>
            <w:pPr>
              <w:pStyle w:val="0"/>
            </w:pPr>
            <w:r>
              <w:rPr>
                <w:sz w:val="24"/>
              </w:rPr>
              <w:t xml:space="preserve">5</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nfo-dic:Kat_SvyazstoronyEnumerator</w:t>
            </w:r>
          </w:p>
        </w:tc>
      </w:tr>
      <w:tr>
        <w:tc>
          <w:tcPr>
            <w:tcW w:w="907" w:type="dxa"/>
          </w:tcPr>
          <w:bookmarkStart w:id="39639" w:name="P39639"/>
          <w:bookmarkEnd w:id="39639"/>
          <w:p>
            <w:pPr>
              <w:pStyle w:val="0"/>
            </w:pPr>
            <w:r>
              <w:rPr>
                <w:sz w:val="24"/>
              </w:rPr>
              <w:t xml:space="preserve">6</w:t>
            </w:r>
          </w:p>
        </w:tc>
        <w:tc>
          <w:tcPr>
            <w:tcW w:w="2608" w:type="dxa"/>
          </w:tcPr>
          <w:p>
            <w:pPr>
              <w:pStyle w:val="0"/>
            </w:pPr>
            <w:r>
              <w:rPr>
                <w:sz w:val="24"/>
              </w:rPr>
              <w:t xml:space="preserve">Номер договора</w:t>
            </w:r>
          </w:p>
        </w:tc>
        <w:tc>
          <w:tcPr>
            <w:tcW w:w="2608" w:type="dxa"/>
          </w:tcPr>
          <w:p>
            <w:pPr>
              <w:pStyle w:val="0"/>
            </w:pPr>
            <w:r>
              <w:rPr>
                <w:sz w:val="24"/>
              </w:rPr>
            </w:r>
          </w:p>
        </w:tc>
        <w:tc>
          <w:tcPr>
            <w:tcW w:w="2948" w:type="dxa"/>
          </w:tcPr>
          <w:p>
            <w:pPr>
              <w:pStyle w:val="0"/>
            </w:pPr>
            <w:r>
              <w:rPr>
                <w:sz w:val="24"/>
              </w:rPr>
              <w:t xml:space="preserve">ins-dic:Nomer_Dog</w:t>
            </w:r>
          </w:p>
        </w:tc>
      </w:tr>
      <w:tr>
        <w:tc>
          <w:tcPr>
            <w:tcW w:w="907" w:type="dxa"/>
          </w:tcPr>
          <w:bookmarkStart w:id="39643" w:name="P39643"/>
          <w:bookmarkEnd w:id="39643"/>
          <w:p>
            <w:pPr>
              <w:pStyle w:val="0"/>
            </w:pPr>
            <w:r>
              <w:rPr>
                <w:sz w:val="24"/>
              </w:rPr>
              <w:t xml:space="preserve">7</w:t>
            </w:r>
          </w:p>
        </w:tc>
        <w:tc>
          <w:tcPr>
            <w:tcW w:w="2608" w:type="dxa"/>
          </w:tcPr>
          <w:p>
            <w:pPr>
              <w:pStyle w:val="0"/>
            </w:pPr>
            <w:r>
              <w:rPr>
                <w:sz w:val="24"/>
              </w:rPr>
              <w:t xml:space="preserve">Дата заключения договора</w:t>
            </w:r>
          </w:p>
        </w:tc>
        <w:tc>
          <w:tcPr>
            <w:tcW w:w="2608" w:type="dxa"/>
          </w:tcPr>
          <w:p>
            <w:pPr>
              <w:pStyle w:val="0"/>
            </w:pPr>
            <w:r>
              <w:rPr>
                <w:sz w:val="24"/>
              </w:rPr>
            </w:r>
          </w:p>
        </w:tc>
        <w:tc>
          <w:tcPr>
            <w:tcW w:w="2948" w:type="dxa"/>
          </w:tcPr>
          <w:p>
            <w:pPr>
              <w:pStyle w:val="0"/>
            </w:pPr>
            <w:r>
              <w:rPr>
                <w:sz w:val="24"/>
              </w:rPr>
              <w:t xml:space="preserve">ins-dic:Data_Zakl_Dog</w:t>
            </w:r>
          </w:p>
        </w:tc>
      </w:tr>
      <w:tr>
        <w:tc>
          <w:tcPr>
            <w:tcW w:w="907" w:type="dxa"/>
          </w:tcPr>
          <w:bookmarkStart w:id="39647" w:name="P39647"/>
          <w:bookmarkEnd w:id="39647"/>
          <w:p>
            <w:pPr>
              <w:pStyle w:val="0"/>
            </w:pPr>
            <w:r>
              <w:rPr>
                <w:sz w:val="24"/>
              </w:rPr>
              <w:t xml:space="preserve">8</w:t>
            </w:r>
          </w:p>
        </w:tc>
        <w:tc>
          <w:tcPr>
            <w:tcW w:w="2608" w:type="dxa"/>
          </w:tcPr>
          <w:p>
            <w:pPr>
              <w:pStyle w:val="0"/>
            </w:pPr>
            <w:r>
              <w:rPr>
                <w:sz w:val="24"/>
              </w:rPr>
              <w:t xml:space="preserve">Дата заключения дополнительного соглашения к договору</w:t>
            </w:r>
          </w:p>
        </w:tc>
        <w:tc>
          <w:tcPr>
            <w:tcW w:w="2608" w:type="dxa"/>
          </w:tcPr>
          <w:p>
            <w:pPr>
              <w:pStyle w:val="0"/>
            </w:pPr>
            <w:r>
              <w:rPr>
                <w:sz w:val="24"/>
              </w:rPr>
            </w:r>
          </w:p>
        </w:tc>
        <w:tc>
          <w:tcPr>
            <w:tcW w:w="2948" w:type="dxa"/>
          </w:tcPr>
          <w:p>
            <w:pPr>
              <w:pStyle w:val="0"/>
            </w:pPr>
            <w:r>
              <w:rPr>
                <w:sz w:val="24"/>
              </w:rPr>
              <w:t xml:space="preserve">ins-dic:DataZaklDopSoglDog</w:t>
            </w:r>
          </w:p>
        </w:tc>
      </w:tr>
      <w:tr>
        <w:tc>
          <w:tcPr>
            <w:tcW w:w="907" w:type="dxa"/>
          </w:tcPr>
          <w:bookmarkStart w:id="39651" w:name="P39651"/>
          <w:bookmarkEnd w:id="39651"/>
          <w:p>
            <w:pPr>
              <w:pStyle w:val="0"/>
            </w:pPr>
            <w:r>
              <w:rPr>
                <w:sz w:val="24"/>
              </w:rPr>
              <w:t xml:space="preserve">9</w:t>
            </w:r>
          </w:p>
        </w:tc>
        <w:tc>
          <w:tcPr>
            <w:tcW w:w="2608" w:type="dxa"/>
          </w:tcPr>
          <w:p>
            <w:pPr>
              <w:pStyle w:val="0"/>
            </w:pPr>
            <w:r>
              <w:rPr>
                <w:sz w:val="24"/>
              </w:rPr>
              <w:t xml:space="preserve">Дата начала предоставления услуг</w:t>
            </w:r>
          </w:p>
        </w:tc>
        <w:tc>
          <w:tcPr>
            <w:tcW w:w="2608" w:type="dxa"/>
          </w:tcPr>
          <w:p>
            <w:pPr>
              <w:pStyle w:val="0"/>
            </w:pPr>
            <w:r>
              <w:rPr>
                <w:sz w:val="24"/>
              </w:rPr>
            </w:r>
          </w:p>
        </w:tc>
        <w:tc>
          <w:tcPr>
            <w:tcW w:w="2948" w:type="dxa"/>
          </w:tcPr>
          <w:p>
            <w:pPr>
              <w:pStyle w:val="0"/>
            </w:pPr>
            <w:r>
              <w:rPr>
                <w:sz w:val="24"/>
              </w:rPr>
              <w:t xml:space="preserve">ins-dic:Data_Nach_Uslugi</w:t>
            </w:r>
          </w:p>
        </w:tc>
      </w:tr>
      <w:tr>
        <w:tc>
          <w:tcPr>
            <w:tcW w:w="907" w:type="dxa"/>
          </w:tcPr>
          <w:bookmarkStart w:id="39655" w:name="P39655"/>
          <w:bookmarkEnd w:id="39655"/>
          <w:p>
            <w:pPr>
              <w:pStyle w:val="0"/>
            </w:pPr>
            <w:r>
              <w:rPr>
                <w:sz w:val="24"/>
              </w:rPr>
              <w:t xml:space="preserve">10</w:t>
            </w:r>
          </w:p>
        </w:tc>
        <w:tc>
          <w:tcPr>
            <w:tcW w:w="2608" w:type="dxa"/>
          </w:tcPr>
          <w:p>
            <w:pPr>
              <w:pStyle w:val="0"/>
            </w:pPr>
            <w:r>
              <w:rPr>
                <w:sz w:val="24"/>
              </w:rPr>
              <w:t xml:space="preserve">Дата окончания предоставления услуг</w:t>
            </w:r>
          </w:p>
        </w:tc>
        <w:tc>
          <w:tcPr>
            <w:tcW w:w="2608" w:type="dxa"/>
          </w:tcPr>
          <w:p>
            <w:pPr>
              <w:pStyle w:val="0"/>
            </w:pPr>
            <w:r>
              <w:rPr>
                <w:sz w:val="24"/>
              </w:rPr>
            </w:r>
          </w:p>
        </w:tc>
        <w:tc>
          <w:tcPr>
            <w:tcW w:w="2948" w:type="dxa"/>
          </w:tcPr>
          <w:p>
            <w:pPr>
              <w:pStyle w:val="0"/>
            </w:pPr>
            <w:r>
              <w:rPr>
                <w:sz w:val="24"/>
              </w:rPr>
              <w:t xml:space="preserve">ins-dic:Data_Okonch_Uslugi</w:t>
            </w:r>
          </w:p>
        </w:tc>
      </w:tr>
      <w:tr>
        <w:tc>
          <w:tcPr>
            <w:tcW w:w="907" w:type="dxa"/>
          </w:tcPr>
          <w:bookmarkStart w:id="39659" w:name="P39659"/>
          <w:bookmarkEnd w:id="39659"/>
          <w:p>
            <w:pPr>
              <w:pStyle w:val="0"/>
            </w:pPr>
            <w:r>
              <w:rPr>
                <w:sz w:val="24"/>
              </w:rPr>
              <w:t xml:space="preserve">11</w:t>
            </w:r>
          </w:p>
        </w:tc>
        <w:tc>
          <w:tcPr>
            <w:tcW w:w="2608" w:type="dxa"/>
          </w:tcPr>
          <w:p>
            <w:pPr>
              <w:pStyle w:val="0"/>
            </w:pPr>
            <w:r>
              <w:rPr>
                <w:sz w:val="24"/>
              </w:rPr>
              <w:t xml:space="preserve">Описание изменений, внесенных в договор</w:t>
            </w:r>
          </w:p>
        </w:tc>
        <w:tc>
          <w:tcPr>
            <w:tcW w:w="2608" w:type="dxa"/>
          </w:tcPr>
          <w:p>
            <w:pPr>
              <w:pStyle w:val="0"/>
            </w:pPr>
            <w:r>
              <w:rPr>
                <w:sz w:val="24"/>
              </w:rPr>
            </w:r>
          </w:p>
        </w:tc>
        <w:tc>
          <w:tcPr>
            <w:tcW w:w="2948" w:type="dxa"/>
          </w:tcPr>
          <w:p>
            <w:pPr>
              <w:pStyle w:val="0"/>
            </w:pPr>
            <w:r>
              <w:rPr>
                <w:sz w:val="24"/>
              </w:rPr>
              <w:t xml:space="preserve">ins-dic:OpisanIzmDog</w:t>
            </w:r>
          </w:p>
        </w:tc>
      </w:tr>
      <w:tr>
        <w:tc>
          <w:tcPr>
            <w:tcW w:w="907" w:type="dxa"/>
          </w:tcPr>
          <w:bookmarkStart w:id="39663" w:name="P39663"/>
          <w:bookmarkEnd w:id="39663"/>
          <w:p>
            <w:pPr>
              <w:pStyle w:val="0"/>
            </w:pPr>
            <w:r>
              <w:rPr>
                <w:sz w:val="24"/>
              </w:rPr>
              <w:t xml:space="preserve">12</w:t>
            </w:r>
          </w:p>
        </w:tc>
        <w:tc>
          <w:tcPr>
            <w:tcW w:w="2608" w:type="dxa"/>
          </w:tcPr>
          <w:p>
            <w:pPr>
              <w:pStyle w:val="0"/>
            </w:pPr>
            <w:r>
              <w:rPr>
                <w:sz w:val="24"/>
              </w:rPr>
              <w:t xml:space="preserve">Описание причин прекращения договора</w:t>
            </w:r>
          </w:p>
        </w:tc>
        <w:tc>
          <w:tcPr>
            <w:tcW w:w="2608" w:type="dxa"/>
          </w:tcPr>
          <w:p>
            <w:pPr>
              <w:pStyle w:val="0"/>
            </w:pPr>
            <w:r>
              <w:rPr>
                <w:sz w:val="24"/>
              </w:rPr>
            </w:r>
          </w:p>
        </w:tc>
        <w:tc>
          <w:tcPr>
            <w:tcW w:w="2948" w:type="dxa"/>
          </w:tcPr>
          <w:p>
            <w:pPr>
              <w:pStyle w:val="0"/>
            </w:pPr>
            <w:r>
              <w:rPr>
                <w:sz w:val="24"/>
              </w:rPr>
              <w:t xml:space="preserve">ins-dic:OpisanPrichPrekrDog</w:t>
            </w:r>
          </w:p>
        </w:tc>
      </w:tr>
    </w:tbl>
    <w:p>
      <w:pPr>
        <w:pStyle w:val="0"/>
        <w:ind w:firstLine="540"/>
        <w:jc w:val="both"/>
      </w:pPr>
      <w:r>
        <w:rPr>
          <w:sz w:val="24"/>
        </w:rPr>
      </w:r>
    </w:p>
    <w:p>
      <w:pPr>
        <w:pStyle w:val="0"/>
        <w:ind w:firstLine="540"/>
        <w:jc w:val="both"/>
      </w:pPr>
      <w:r>
        <w:rPr>
          <w:sz w:val="24"/>
        </w:rPr>
        <w:t xml:space="preserve">--------------------------------</w:t>
      </w:r>
    </w:p>
    <w:bookmarkStart w:id="39669" w:name="P39669"/>
    <w:bookmarkEnd w:id="39669"/>
    <w:p>
      <w:pPr>
        <w:pStyle w:val="0"/>
        <w:spacing w:before="240" w:lineRule="auto"/>
        <w:ind w:firstLine="540"/>
        <w:jc w:val="both"/>
      </w:pPr>
      <w:r>
        <w:rPr>
          <w:sz w:val="24"/>
        </w:rPr>
        <w:t xml:space="preserve">&lt;1&gt; Общероссийский </w:t>
      </w:r>
      <w:hyperlink w:history="0" r:id="rId667"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0420173 "Сведения</w:t>
      </w:r>
    </w:p>
    <w:p>
      <w:pPr>
        <w:pStyle w:val="0"/>
        <w:jc w:val="center"/>
      </w:pPr>
      <w:r>
        <w:rPr>
          <w:sz w:val="24"/>
        </w:rPr>
        <w:t xml:space="preserve">о договоре об оказании услуг специализированного</w:t>
      </w:r>
    </w:p>
    <w:p>
      <w:pPr>
        <w:pStyle w:val="0"/>
        <w:jc w:val="center"/>
      </w:pPr>
      <w:r>
        <w:rPr>
          <w:sz w:val="24"/>
        </w:rPr>
        <w:t xml:space="preserve">депозитария страховщика"</w:t>
      </w:r>
    </w:p>
    <w:p>
      <w:pPr>
        <w:pStyle w:val="0"/>
        <w:ind w:firstLine="540"/>
        <w:jc w:val="both"/>
      </w:pPr>
      <w:r>
        <w:rPr>
          <w:sz w:val="24"/>
        </w:rPr>
      </w:r>
    </w:p>
    <w:p>
      <w:pPr>
        <w:pStyle w:val="0"/>
        <w:ind w:firstLine="540"/>
        <w:jc w:val="both"/>
      </w:pPr>
      <w:r>
        <w:rPr>
          <w:sz w:val="24"/>
        </w:rPr>
        <w:t xml:space="preserve">1. Отчетность по </w:t>
      </w:r>
      <w:hyperlink w:history="0" w:anchor="P39603" w:tooltip="Отчетность по форме 0420173">
        <w:r>
          <w:rPr>
            <w:sz w:val="24"/>
            <w:color w:val="0000ff"/>
          </w:rPr>
          <w:t xml:space="preserve">форме 0420173</w:t>
        </w:r>
      </w:hyperlink>
      <w:r>
        <w:rPr>
          <w:sz w:val="24"/>
        </w:rPr>
        <w:t xml:space="preserve"> "Сведения о договоре об оказании услуг специализированного депозитария страховщика" составляется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 </w:t>
      </w:r>
      <w:hyperlink w:history="0" w:anchor="P54294" w:tooltip="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
        <w:r>
          <w:rPr>
            <w:sz w:val="24"/>
            <w:color w:val="0000ff"/>
          </w:rPr>
          <w:t xml:space="preserve">6</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 в случаях заключения страховщиком договора об оказании услуг специализированного депозитария, его изменения (заключения дополнительного соглашения к договору об оказании услуг специализированного депозитария) или прекращения его действия по состоянию на дату заключения, изменения или прекращения действия договора об оказании услуг специализированного депозитария.</w:t>
      </w:r>
    </w:p>
    <w:p>
      <w:pPr>
        <w:pStyle w:val="0"/>
        <w:spacing w:before="240" w:lineRule="auto"/>
        <w:ind w:firstLine="540"/>
        <w:jc w:val="both"/>
      </w:pPr>
      <w:r>
        <w:rPr>
          <w:sz w:val="24"/>
        </w:rPr>
        <w:t xml:space="preserve">2. По показателю "Полное фирменное наименование" </w:t>
      </w:r>
      <w:hyperlink w:history="0" w:anchor="P39619" w:tooltip="1">
        <w:r>
          <w:rPr>
            <w:sz w:val="24"/>
            <w:color w:val="0000ff"/>
          </w:rPr>
          <w:t xml:space="preserve">(строка 1)</w:t>
        </w:r>
      </w:hyperlink>
      <w:r>
        <w:rPr>
          <w:sz w:val="24"/>
        </w:rPr>
        <w:t xml:space="preserve"> указывается полное фирменное наименование специализированного депозитария.</w:t>
      </w:r>
    </w:p>
    <w:p>
      <w:pPr>
        <w:pStyle w:val="0"/>
        <w:spacing w:before="240" w:lineRule="auto"/>
        <w:ind w:firstLine="540"/>
        <w:jc w:val="both"/>
      </w:pPr>
      <w:r>
        <w:rPr>
          <w:sz w:val="24"/>
        </w:rPr>
        <w:t xml:space="preserve">3. По показателю "Идентификационный номер налогоплательщика (ИНН)" </w:t>
      </w:r>
      <w:hyperlink w:history="0" w:anchor="P39623" w:tooltip="2">
        <w:r>
          <w:rPr>
            <w:sz w:val="24"/>
            <w:color w:val="0000ff"/>
          </w:rPr>
          <w:t xml:space="preserve">(строка 2)</w:t>
        </w:r>
      </w:hyperlink>
      <w:r>
        <w:rPr>
          <w:sz w:val="24"/>
        </w:rPr>
        <w:t xml:space="preserve"> указывается идентификационный номер налогоплательщика специализированного депозитария.</w:t>
      </w:r>
    </w:p>
    <w:p>
      <w:pPr>
        <w:pStyle w:val="0"/>
        <w:spacing w:before="240" w:lineRule="auto"/>
        <w:ind w:firstLine="540"/>
        <w:jc w:val="both"/>
      </w:pPr>
      <w:r>
        <w:rPr>
          <w:sz w:val="24"/>
        </w:rPr>
        <w:t xml:space="preserve">4. По показателю "Основной государственный регистрационный номер (ОГРН)" </w:t>
      </w:r>
      <w:hyperlink w:history="0" w:anchor="P39627" w:tooltip="3">
        <w:r>
          <w:rPr>
            <w:sz w:val="24"/>
            <w:color w:val="0000ff"/>
          </w:rPr>
          <w:t xml:space="preserve">(строка 3)</w:t>
        </w:r>
      </w:hyperlink>
      <w:r>
        <w:rPr>
          <w:sz w:val="24"/>
        </w:rPr>
        <w:t xml:space="preserve"> указывается основной государственный регистрационный номер специализированного депозитария.</w:t>
      </w:r>
    </w:p>
    <w:p>
      <w:pPr>
        <w:pStyle w:val="0"/>
        <w:spacing w:before="240" w:lineRule="auto"/>
        <w:ind w:firstLine="540"/>
        <w:jc w:val="both"/>
      </w:pPr>
      <w:r>
        <w:rPr>
          <w:sz w:val="24"/>
        </w:rPr>
        <w:t xml:space="preserve">5. По показателю "Адрес в пределах места нахождения" </w:t>
      </w:r>
      <w:hyperlink w:history="0" w:anchor="P39631" w:tooltip="4">
        <w:r>
          <w:rPr>
            <w:sz w:val="24"/>
            <w:color w:val="0000ff"/>
          </w:rPr>
          <w:t xml:space="preserve">(строка 4)</w:t>
        </w:r>
      </w:hyperlink>
      <w:r>
        <w:rPr>
          <w:sz w:val="24"/>
        </w:rPr>
        <w:t xml:space="preserve"> указывается адрес специализированного депозитария в пределах места нахождения специализированного депозитария, указанный в едином государственном реестре юридических лиц.</w:t>
      </w:r>
    </w:p>
    <w:p>
      <w:pPr>
        <w:pStyle w:val="0"/>
        <w:spacing w:before="240" w:lineRule="auto"/>
        <w:ind w:firstLine="540"/>
        <w:jc w:val="both"/>
      </w:pPr>
      <w:r>
        <w:rPr>
          <w:sz w:val="24"/>
        </w:rPr>
        <w:t xml:space="preserve">6. В случае если специализированный депозитарий является связанной стороной страховщика, по показателю "Категория связанной стороны" </w:t>
      </w:r>
      <w:hyperlink w:history="0" w:anchor="P39635" w:tooltip="5">
        <w:r>
          <w:rPr>
            <w:sz w:val="24"/>
            <w:color w:val="0000ff"/>
          </w:rPr>
          <w:t xml:space="preserve">(строка 5)</w:t>
        </w:r>
      </w:hyperlink>
      <w:r>
        <w:rPr>
          <w:sz w:val="24"/>
        </w:rPr>
        <w:t xml:space="preserve"> указывается одна из следующих категорий связанной стороны: "Материнское предприятие", "Дочернее предприятие", "Совместно контролируемое предприятие", "Ассоциированное предприятие", "Ключевой управленческий персонал", "Компания под общим контролем", "Прочее".</w:t>
      </w:r>
    </w:p>
    <w:p>
      <w:pPr>
        <w:pStyle w:val="0"/>
        <w:spacing w:before="240" w:lineRule="auto"/>
        <w:ind w:firstLine="540"/>
        <w:jc w:val="both"/>
      </w:pPr>
      <w:r>
        <w:rPr>
          <w:sz w:val="24"/>
        </w:rPr>
        <w:t xml:space="preserve">В случае если специализированный депозитарий не является связанной стороной страховщика, по показателю "Категория связанной стороны" </w:t>
      </w:r>
      <w:hyperlink w:history="0" w:anchor="P39635" w:tooltip="5">
        <w:r>
          <w:rPr>
            <w:sz w:val="24"/>
            <w:color w:val="0000ff"/>
          </w:rPr>
          <w:t xml:space="preserve">(строка 5)</w:t>
        </w:r>
      </w:hyperlink>
      <w:r>
        <w:rPr>
          <w:sz w:val="24"/>
        </w:rPr>
        <w:t xml:space="preserve"> указывается значение "Не является связанной стороной".</w:t>
      </w:r>
    </w:p>
    <w:p>
      <w:pPr>
        <w:pStyle w:val="0"/>
        <w:spacing w:before="240" w:lineRule="auto"/>
        <w:ind w:firstLine="540"/>
        <w:jc w:val="both"/>
      </w:pPr>
      <w:r>
        <w:rPr>
          <w:sz w:val="24"/>
        </w:rPr>
        <w:t xml:space="preserve">Основания признания страховщиком лица связанной стороной, в том числе основания для включения лица в состав ключевого управленческого персонала, определяются страховщиком самостоятельно в соответствии с Международным </w:t>
      </w:r>
      <w:hyperlink w:history="0" r:id="rId668" w:tooltip="&quot;Международный стандарт финансовой отчетности (IAS) 24 &quot;Раскрытие информации о связанных сторонах&quot; (введен в действие на территории Российской Федерации Приказом Минфина России от 28.12.2015 N 217н) {КонсультантПлюс}">
        <w:r>
          <w:rPr>
            <w:sz w:val="24"/>
            <w:color w:val="0000ff"/>
          </w:rPr>
          <w:t xml:space="preserve">стандартом</w:t>
        </w:r>
      </w:hyperlink>
      <w:r>
        <w:rPr>
          <w:sz w:val="24"/>
        </w:rPr>
        <w:t xml:space="preserve"> финансовой отчетности (IAS) 24 "Раскрытие информации о связанных сторонах" &lt;1&gt;.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Введен в действие на территории Российской Федерации </w:t>
      </w:r>
      <w:hyperlink w:history="0" r:id="rId669" w:tooltip="Приказ Минфина России от 28.12.2015 N 217н (ред. от 17.09.2024) &quot;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утратившими силу некоторых приказов (отдельных положений приказов) Министерства финансов Российской Федерации&quot; (Зарегистрировано в Минюсте России 02.02.2016 N 40940) {КонсультантПлюс}">
        <w:r>
          <w:rPr>
            <w:sz w:val="24"/>
            <w:color w:val="0000ff"/>
          </w:rPr>
          <w:t xml:space="preserve">приказом</w:t>
        </w:r>
      </w:hyperlink>
      <w:r>
        <w:rPr>
          <w:sz w:val="24"/>
        </w:rPr>
        <w:t xml:space="preserve"> Минфина России от 28 декабря 2015 года N 217н "О введении Международных стандартов финансовой отчетности и Разъяснений Международных стандартов финансовой отчетности в действие на территории Российской Федерации и о признании утратившими силу некоторых приказов (отдельных положений приказов) Министерства финансов Российской Федерации" (зарегистрирован Минюстом России 2 февраля 2016 года, регистрационный N 40940) с изменениями, внесенными приказами Минфина России от 11 июля 2016 года N 111н (зарегистрирован Минюстом России 1 августа 2016 года, регистрационный N 43044), от 17 сентября 2024 года N 127н (зарегистрирован Минюстом России 2 декабря 2024 года, регистрационный N 80431).</w:t>
      </w:r>
    </w:p>
    <w:p>
      <w:pPr>
        <w:pStyle w:val="0"/>
        <w:ind w:firstLine="540"/>
        <w:jc w:val="both"/>
      </w:pPr>
      <w:r>
        <w:rPr>
          <w:sz w:val="24"/>
        </w:rPr>
      </w:r>
    </w:p>
    <w:p>
      <w:pPr>
        <w:pStyle w:val="0"/>
        <w:ind w:firstLine="540"/>
        <w:jc w:val="both"/>
      </w:pPr>
      <w:r>
        <w:rPr>
          <w:sz w:val="24"/>
        </w:rPr>
        <w:t xml:space="preserve">7. По показателю "Номер договора" </w:t>
      </w:r>
      <w:hyperlink w:history="0" w:anchor="P39639" w:tooltip="6">
        <w:r>
          <w:rPr>
            <w:sz w:val="24"/>
            <w:color w:val="0000ff"/>
          </w:rPr>
          <w:t xml:space="preserve">(строка 6)</w:t>
        </w:r>
      </w:hyperlink>
      <w:r>
        <w:rPr>
          <w:sz w:val="24"/>
        </w:rPr>
        <w:t xml:space="preserve"> указывается номер договора об оказании услуг специализированного депозитария (в случае его отсутствия указывается значение "б/н" (без номера).</w:t>
      </w:r>
    </w:p>
    <w:p>
      <w:pPr>
        <w:pStyle w:val="0"/>
        <w:spacing w:before="240" w:lineRule="auto"/>
        <w:ind w:firstLine="540"/>
        <w:jc w:val="both"/>
      </w:pPr>
      <w:r>
        <w:rPr>
          <w:sz w:val="24"/>
        </w:rPr>
        <w:t xml:space="preserve">8. По показателю "Дата заключения договора" </w:t>
      </w:r>
      <w:hyperlink w:history="0" w:anchor="P39643" w:tooltip="7">
        <w:r>
          <w:rPr>
            <w:sz w:val="24"/>
            <w:color w:val="0000ff"/>
          </w:rPr>
          <w:t xml:space="preserve">(строка 7)</w:t>
        </w:r>
      </w:hyperlink>
      <w:r>
        <w:rPr>
          <w:sz w:val="24"/>
        </w:rPr>
        <w:t xml:space="preserve"> указывается дата заключения договора об оказании услуг специализированного депозитария.</w:t>
      </w:r>
    </w:p>
    <w:p>
      <w:pPr>
        <w:pStyle w:val="0"/>
        <w:spacing w:before="240" w:lineRule="auto"/>
        <w:ind w:firstLine="540"/>
        <w:jc w:val="both"/>
      </w:pPr>
      <w:r>
        <w:rPr>
          <w:sz w:val="24"/>
        </w:rPr>
        <w:t xml:space="preserve">9. По показателю "Дата заключения дополнительного соглашения к договору" </w:t>
      </w:r>
      <w:hyperlink w:history="0" w:anchor="P39647" w:tooltip="8">
        <w:r>
          <w:rPr>
            <w:sz w:val="24"/>
            <w:color w:val="0000ff"/>
          </w:rPr>
          <w:t xml:space="preserve">(строка 8)</w:t>
        </w:r>
      </w:hyperlink>
      <w:r>
        <w:rPr>
          <w:sz w:val="24"/>
        </w:rPr>
        <w:t xml:space="preserve"> указывается дата заключения дополнительного соглашения к договору об оказании услуг специализированного депозитария (показатель формируется в случае заключения дополнительного соглашения к договору об оказании услуг специализированного депозитария, дата заключения которого указана по показателю "Дата заключения договора" </w:t>
      </w:r>
      <w:hyperlink w:history="0" w:anchor="P39643" w:tooltip="7">
        <w:r>
          <w:rPr>
            <w:sz w:val="24"/>
            <w:color w:val="0000ff"/>
          </w:rPr>
          <w:t xml:space="preserve">(строка 7)</w:t>
        </w:r>
      </w:hyperlink>
      <w:r>
        <w:rPr>
          <w:sz w:val="24"/>
        </w:rPr>
        <w:t xml:space="preserve">.</w:t>
      </w:r>
    </w:p>
    <w:p>
      <w:pPr>
        <w:pStyle w:val="0"/>
        <w:spacing w:before="240" w:lineRule="auto"/>
        <w:ind w:firstLine="540"/>
        <w:jc w:val="both"/>
      </w:pPr>
      <w:r>
        <w:rPr>
          <w:sz w:val="24"/>
        </w:rPr>
        <w:t xml:space="preserve">10. По показателям "Дата начала предоставления услуг" </w:t>
      </w:r>
      <w:hyperlink w:history="0" w:anchor="P39651" w:tooltip="9">
        <w:r>
          <w:rPr>
            <w:sz w:val="24"/>
            <w:color w:val="0000ff"/>
          </w:rPr>
          <w:t xml:space="preserve">(строка 9)</w:t>
        </w:r>
      </w:hyperlink>
      <w:r>
        <w:rPr>
          <w:sz w:val="24"/>
        </w:rPr>
        <w:t xml:space="preserve"> и "Дата окончания предоставления услуг" </w:t>
      </w:r>
      <w:hyperlink w:history="0" w:anchor="P39655" w:tooltip="10">
        <w:r>
          <w:rPr>
            <w:sz w:val="24"/>
            <w:color w:val="0000ff"/>
          </w:rPr>
          <w:t xml:space="preserve">(строка 10)</w:t>
        </w:r>
      </w:hyperlink>
      <w:r>
        <w:rPr>
          <w:sz w:val="24"/>
        </w:rPr>
        <w:t xml:space="preserve"> указываются соответственно дата начала и дата окончания предоставления услуг по договору об оказании услуг специализированного депозитария.</w:t>
      </w:r>
    </w:p>
    <w:p>
      <w:pPr>
        <w:pStyle w:val="0"/>
        <w:spacing w:before="240" w:lineRule="auto"/>
        <w:ind w:firstLine="540"/>
        <w:jc w:val="both"/>
      </w:pPr>
      <w:r>
        <w:rPr>
          <w:sz w:val="24"/>
        </w:rPr>
        <w:t xml:space="preserve">11. По показателю "Описание изменений, внесенных в договор" </w:t>
      </w:r>
      <w:hyperlink w:history="0" w:anchor="P39659" w:tooltip="11">
        <w:r>
          <w:rPr>
            <w:sz w:val="24"/>
            <w:color w:val="0000ff"/>
          </w:rPr>
          <w:t xml:space="preserve">(строка 11)</w:t>
        </w:r>
      </w:hyperlink>
      <w:r>
        <w:rPr>
          <w:sz w:val="24"/>
        </w:rPr>
        <w:t xml:space="preserve"> приводится описание изменений, которые внесены в договор об оказании услуг специализированного депозитария в соответствии с дополнительным соглашением к указанному договору, дата заключения которого указана по показателю "Дата заключения дополнительного соглашения к договору" </w:t>
      </w:r>
      <w:hyperlink w:history="0" w:anchor="P39647" w:tooltip="8">
        <w:r>
          <w:rPr>
            <w:sz w:val="24"/>
            <w:color w:val="0000ff"/>
          </w:rPr>
          <w:t xml:space="preserve">(строка 8)</w:t>
        </w:r>
      </w:hyperlink>
      <w:r>
        <w:rPr>
          <w:sz w:val="24"/>
        </w:rPr>
        <w:t xml:space="preserve">.</w:t>
      </w:r>
    </w:p>
    <w:p>
      <w:pPr>
        <w:pStyle w:val="0"/>
        <w:spacing w:before="240" w:lineRule="auto"/>
        <w:ind w:firstLine="540"/>
        <w:jc w:val="both"/>
      </w:pPr>
      <w:r>
        <w:rPr>
          <w:sz w:val="24"/>
        </w:rPr>
        <w:t xml:space="preserve">12. По показателю "Описание причин прекращения договора" </w:t>
      </w:r>
      <w:hyperlink w:history="0" w:anchor="P39663" w:tooltip="12">
        <w:r>
          <w:rPr>
            <w:sz w:val="24"/>
            <w:color w:val="0000ff"/>
          </w:rPr>
          <w:t xml:space="preserve">(строка 12)</w:t>
        </w:r>
      </w:hyperlink>
      <w:r>
        <w:rPr>
          <w:sz w:val="24"/>
        </w:rPr>
        <w:t xml:space="preserve"> приводится описание причин прекращения договора об оказании услуг специализированного депозитария в соответствии с положениями, указанными в </w:t>
      </w:r>
      <w:hyperlink w:history="0" r:id="rId67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пункте 5 статьи 26.2</w:t>
        </w:r>
      </w:hyperlink>
      <w:r>
        <w:rPr>
          <w:sz w:val="24"/>
        </w:rPr>
        <w:t xml:space="preserve"> Закона Российской Федерации от 27 ноября 1992 года N 4015-I "Об организации страхового дела в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39700" w:name="P39700"/>
    <w:bookmarkEnd w:id="39700"/>
    <w:p>
      <w:pPr>
        <w:pStyle w:val="0"/>
        <w:jc w:val="center"/>
      </w:pPr>
      <w:r>
        <w:rPr>
          <w:sz w:val="24"/>
        </w:rPr>
        <w:t xml:space="preserve">Отчетность по форме 0420174</w:t>
      </w:r>
    </w:p>
    <w:p>
      <w:pPr>
        <w:pStyle w:val="0"/>
        <w:jc w:val="center"/>
      </w:pPr>
      <w:r>
        <w:rPr>
          <w:sz w:val="24"/>
        </w:rPr>
        <w:t xml:space="preserve">"Сведения о показателях операционной надежности страховой</w:t>
      </w:r>
    </w:p>
    <w:p>
      <w:pPr>
        <w:pStyle w:val="0"/>
        <w:jc w:val="center"/>
      </w:pPr>
      <w:r>
        <w:rPr>
          <w:sz w:val="24"/>
        </w:rPr>
        <w:t xml:space="preserve">организации и применяемых ею информационных технологиях"</w:t>
      </w:r>
    </w:p>
    <w:p>
      <w:pPr>
        <w:pStyle w:val="0"/>
        <w:ind w:firstLine="540"/>
        <w:jc w:val="both"/>
      </w:pPr>
      <w:r>
        <w:rPr>
          <w:sz w:val="24"/>
        </w:rPr>
      </w:r>
    </w:p>
    <w:p>
      <w:pPr>
        <w:pStyle w:val="0"/>
        <w:jc w:val="right"/>
      </w:pPr>
      <w:r>
        <w:rPr>
          <w:sz w:val="24"/>
        </w:rPr>
        <w:t xml:space="preserve">Код формы по </w:t>
      </w:r>
      <w:hyperlink w:history="0" r:id="rId67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40078" w:tooltip="&lt;1&gt; Общероссийский классификатор управленческой документации.">
        <w:r>
          <w:rPr>
            <w:sz w:val="24"/>
            <w:color w:val="0000ff"/>
          </w:rPr>
          <w:t xml:space="preserve">&lt;1&gt;</w:t>
        </w:r>
      </w:hyperlink>
      <w:r>
        <w:rPr>
          <w:sz w:val="24"/>
        </w:rPr>
        <w:t xml:space="preserve"> 0420174</w:t>
      </w:r>
    </w:p>
    <w:p>
      <w:pPr>
        <w:pStyle w:val="0"/>
        <w:ind w:firstLine="540"/>
        <w:jc w:val="both"/>
      </w:pPr>
      <w:r>
        <w:rPr>
          <w:sz w:val="24"/>
        </w:rPr>
      </w:r>
    </w:p>
    <w:p>
      <w:pPr>
        <w:pStyle w:val="0"/>
        <w:jc w:val="right"/>
      </w:pPr>
      <w:r>
        <w:rPr>
          <w:sz w:val="24"/>
        </w:rPr>
        <w:t xml:space="preserve">Квартальная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9"/>
        <w:gridCol w:w="2339"/>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176" w:type="dxa"/>
            <w:tcBorders>
              <w:left w:val="single" w:sz="4"/>
            </w:tcBorders>
          </w:tcPr>
          <w:bookmarkStart w:id="39716" w:name="P39716"/>
          <w:bookmarkEnd w:id="39716"/>
          <w:p>
            <w:pPr>
              <w:pStyle w:val="0"/>
              <w:outlineLvl w:val="3"/>
            </w:pPr>
            <w:r>
              <w:rPr>
                <w:sz w:val="24"/>
              </w:rPr>
              <w:t xml:space="preserve">Раздел 1.</w:t>
            </w:r>
          </w:p>
        </w:tc>
        <w:tc>
          <w:tcPr>
            <w:gridSpan w:val="3"/>
            <w:tcW w:w="7895" w:type="dxa"/>
            <w:tcBorders>
              <w:right w:val="single" w:sz="4"/>
            </w:tcBorders>
          </w:tcPr>
          <w:p>
            <w:pPr>
              <w:pStyle w:val="0"/>
            </w:pPr>
            <w:r>
              <w:rPr>
                <w:sz w:val="24"/>
              </w:rPr>
              <w:t xml:space="preserve">Сведения о технологических процессах</w:t>
            </w:r>
          </w:p>
        </w:tc>
      </w:tr>
      <w:tr>
        <w:tc>
          <w:tcPr>
            <w:tcW w:w="907" w:type="dxa"/>
          </w:tcPr>
          <w:bookmarkStart w:id="39718" w:name="P39718"/>
          <w:bookmarkEnd w:id="39718"/>
          <w:p>
            <w:pPr>
              <w:pStyle w:val="0"/>
            </w:pPr>
            <w:r>
              <w:rPr>
                <w:sz w:val="24"/>
              </w:rPr>
              <w:t xml:space="preserve">1</w:t>
            </w:r>
          </w:p>
        </w:tc>
        <w:tc>
          <w:tcPr>
            <w:gridSpan w:val="2"/>
            <w:tcW w:w="2608" w:type="dxa"/>
          </w:tcPr>
          <w:p>
            <w:pPr>
              <w:pStyle w:val="0"/>
            </w:pPr>
            <w:r>
              <w:rPr>
                <w:sz w:val="24"/>
              </w:rPr>
              <w:t xml:space="preserve">Описание технологического процесса</w:t>
            </w:r>
          </w:p>
        </w:tc>
        <w:tc>
          <w:tcPr>
            <w:tcW w:w="2608" w:type="dxa"/>
          </w:tcPr>
          <w:p>
            <w:pPr>
              <w:pStyle w:val="0"/>
            </w:pPr>
            <w:r>
              <w:rPr>
                <w:sz w:val="24"/>
              </w:rPr>
            </w:r>
          </w:p>
        </w:tc>
        <w:tc>
          <w:tcPr>
            <w:tcW w:w="2948" w:type="dxa"/>
          </w:tcPr>
          <w:p>
            <w:pPr>
              <w:pStyle w:val="0"/>
            </w:pPr>
            <w:r>
              <w:rPr>
                <w:sz w:val="24"/>
              </w:rPr>
              <w:t xml:space="preserve">nfo-dic:OpisanieTexnologicheskogoProczessa</w:t>
            </w:r>
          </w:p>
        </w:tc>
      </w:tr>
      <w:tr>
        <w:tc>
          <w:tcPr>
            <w:tcW w:w="907" w:type="dxa"/>
          </w:tcPr>
          <w:p>
            <w:pPr>
              <w:pStyle w:val="0"/>
            </w:pPr>
            <w:r>
              <w:rPr>
                <w:sz w:val="24"/>
              </w:rPr>
              <w:t xml:space="preserve">1.1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bookmarkStart w:id="39726" w:name="P39726"/>
          <w:bookmarkEnd w:id="39726"/>
          <w:p>
            <w:pPr>
              <w:pStyle w:val="0"/>
            </w:pPr>
            <w:r>
              <w:rPr>
                <w:sz w:val="24"/>
              </w:rPr>
              <w:t xml:space="preserve">2</w:t>
            </w:r>
          </w:p>
        </w:tc>
        <w:tc>
          <w:tcPr>
            <w:gridSpan w:val="2"/>
            <w:tcW w:w="2608" w:type="dxa"/>
          </w:tcPr>
          <w:p>
            <w:pPr>
              <w:pStyle w:val="0"/>
            </w:pPr>
            <w:r>
              <w:rPr>
                <w:sz w:val="24"/>
              </w:rPr>
              <w:t xml:space="preserve">Продолжительность времени работы (функционирования) технологического процесса</w:t>
            </w:r>
          </w:p>
        </w:tc>
        <w:tc>
          <w:tcPr>
            <w:tcW w:w="2608" w:type="dxa"/>
          </w:tcPr>
          <w:p>
            <w:pPr>
              <w:pStyle w:val="0"/>
            </w:pPr>
            <w:r>
              <w:rPr>
                <w:sz w:val="24"/>
              </w:rPr>
            </w:r>
          </w:p>
        </w:tc>
        <w:tc>
          <w:tcPr>
            <w:tcW w:w="2948" w:type="dxa"/>
          </w:tcPr>
          <w:p>
            <w:pPr>
              <w:pStyle w:val="0"/>
            </w:pPr>
            <w:r>
              <w:rPr>
                <w:sz w:val="24"/>
              </w:rPr>
              <w:t xml:space="preserve">nfo-dic:ProdolzhitVremRaboty_Funkczionir_TexnProczessa</w:t>
            </w:r>
          </w:p>
        </w:tc>
      </w:tr>
      <w:tr>
        <w:tc>
          <w:tcPr>
            <w:tcW w:w="907" w:type="dxa"/>
          </w:tcPr>
          <w:p>
            <w:pPr>
              <w:pStyle w:val="0"/>
            </w:pPr>
            <w:r>
              <w:rPr>
                <w:sz w:val="24"/>
              </w:rPr>
              <w:t xml:space="preserve">2.1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blPrEx>
          <w:tblBorders>
            <w:insideV w:val="nil"/>
          </w:tblBorders>
        </w:tblPrEx>
        <w:tc>
          <w:tcPr>
            <w:gridSpan w:val="2"/>
            <w:tcW w:w="1176" w:type="dxa"/>
            <w:tcBorders>
              <w:left w:val="single" w:sz="4"/>
            </w:tcBorders>
          </w:tcPr>
          <w:bookmarkStart w:id="39734" w:name="P39734"/>
          <w:bookmarkEnd w:id="39734"/>
          <w:p>
            <w:pPr>
              <w:pStyle w:val="0"/>
              <w:outlineLvl w:val="3"/>
            </w:pPr>
            <w:r>
              <w:rPr>
                <w:sz w:val="24"/>
              </w:rPr>
              <w:t xml:space="preserve">Раздел 2.</w:t>
            </w:r>
          </w:p>
        </w:tc>
        <w:tc>
          <w:tcPr>
            <w:gridSpan w:val="3"/>
            <w:tcW w:w="7895" w:type="dxa"/>
            <w:tcBorders>
              <w:right w:val="single" w:sz="4"/>
            </w:tcBorders>
          </w:tcPr>
          <w:p>
            <w:pPr>
              <w:pStyle w:val="0"/>
            </w:pPr>
            <w:r>
              <w:rPr>
                <w:sz w:val="24"/>
              </w:rPr>
              <w:t xml:space="preserve">Показатели операционной надежности в рамках технологических процессов</w:t>
            </w:r>
          </w:p>
        </w:tc>
      </w:tr>
      <w:tr>
        <w:tc>
          <w:tcPr>
            <w:tcW w:w="907" w:type="dxa"/>
          </w:tcPr>
          <w:bookmarkStart w:id="39736" w:name="P39736"/>
          <w:bookmarkEnd w:id="39736"/>
          <w:p>
            <w:pPr>
              <w:pStyle w:val="0"/>
            </w:pPr>
            <w:r>
              <w:rPr>
                <w:sz w:val="24"/>
              </w:rPr>
              <w:t xml:space="preserve">3</w:t>
            </w:r>
          </w:p>
        </w:tc>
        <w:tc>
          <w:tcPr>
            <w:gridSpan w:val="2"/>
            <w:tcW w:w="2608" w:type="dxa"/>
          </w:tcPr>
          <w:p>
            <w:pPr>
              <w:pStyle w:val="0"/>
            </w:pPr>
            <w:r>
              <w:rPr>
                <w:sz w:val="24"/>
              </w:rPr>
              <w:t xml:space="preserve">Допустимое время простоя и (или) деградации технологического процесса</w:t>
            </w:r>
          </w:p>
        </w:tc>
        <w:tc>
          <w:tcPr>
            <w:tcW w:w="2608" w:type="dxa"/>
          </w:tcPr>
          <w:p>
            <w:pPr>
              <w:pStyle w:val="0"/>
            </w:pPr>
            <w:r>
              <w:rPr>
                <w:sz w:val="24"/>
              </w:rPr>
            </w:r>
          </w:p>
        </w:tc>
        <w:tc>
          <w:tcPr>
            <w:tcW w:w="2948" w:type="dxa"/>
          </w:tcPr>
          <w:p>
            <w:pPr>
              <w:pStyle w:val="0"/>
            </w:pPr>
            <w:r>
              <w:rPr>
                <w:sz w:val="24"/>
              </w:rPr>
              <w:t xml:space="preserve">nfo-dic:DopustimVremyaProstoya_DegradacziiTexnProczessa</w:t>
            </w:r>
          </w:p>
        </w:tc>
      </w:tr>
      <w:tr>
        <w:tc>
          <w:tcPr>
            <w:tcW w:w="907" w:type="dxa"/>
          </w:tcPr>
          <w:p>
            <w:pPr>
              <w:pStyle w:val="0"/>
            </w:pPr>
            <w:r>
              <w:rPr>
                <w:sz w:val="24"/>
              </w:rPr>
              <w:t xml:space="preserve">3.1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bookmarkStart w:id="39744" w:name="P39744"/>
          <w:bookmarkEnd w:id="39744"/>
          <w:p>
            <w:pPr>
              <w:pStyle w:val="0"/>
            </w:pPr>
            <w:r>
              <w:rPr>
                <w:sz w:val="24"/>
              </w:rPr>
              <w:t xml:space="preserve">4</w:t>
            </w:r>
          </w:p>
        </w:tc>
        <w:tc>
          <w:tcPr>
            <w:gridSpan w:val="2"/>
            <w:tcW w:w="2608" w:type="dxa"/>
          </w:tcPr>
          <w:p>
            <w:pPr>
              <w:pStyle w:val="0"/>
            </w:pPr>
            <w:r>
              <w:rPr>
                <w:sz w:val="24"/>
              </w:rPr>
              <w:t xml:space="preserve">Допустимая доля деградации технологического процесса</w:t>
            </w:r>
          </w:p>
        </w:tc>
        <w:tc>
          <w:tcPr>
            <w:tcW w:w="2608" w:type="dxa"/>
          </w:tcPr>
          <w:p>
            <w:pPr>
              <w:pStyle w:val="0"/>
            </w:pPr>
            <w:r>
              <w:rPr>
                <w:sz w:val="24"/>
              </w:rPr>
            </w:r>
          </w:p>
        </w:tc>
        <w:tc>
          <w:tcPr>
            <w:tcW w:w="2948" w:type="dxa"/>
          </w:tcPr>
          <w:p>
            <w:pPr>
              <w:pStyle w:val="0"/>
            </w:pPr>
            <w:r>
              <w:rPr>
                <w:sz w:val="24"/>
              </w:rPr>
              <w:t xml:space="preserve">nfo-dic:DopustimDolyaDegradacziiTexnProczessa</w:t>
            </w:r>
          </w:p>
        </w:tc>
      </w:tr>
      <w:tr>
        <w:tc>
          <w:tcPr>
            <w:tcW w:w="907" w:type="dxa"/>
          </w:tcPr>
          <w:p>
            <w:pPr>
              <w:pStyle w:val="0"/>
            </w:pPr>
            <w:r>
              <w:rPr>
                <w:sz w:val="24"/>
              </w:rPr>
              <w:t xml:space="preserve">4.1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bookmarkStart w:id="39752" w:name="P39752"/>
          <w:bookmarkEnd w:id="39752"/>
          <w:p>
            <w:pPr>
              <w:pStyle w:val="0"/>
            </w:pPr>
            <w:r>
              <w:rPr>
                <w:sz w:val="24"/>
              </w:rPr>
              <w:t xml:space="preserve">5</w:t>
            </w:r>
          </w:p>
        </w:tc>
        <w:tc>
          <w:tcPr>
            <w:gridSpan w:val="2"/>
            <w:tcW w:w="2608" w:type="dxa"/>
          </w:tcPr>
          <w:p>
            <w:pPr>
              <w:pStyle w:val="0"/>
            </w:pPr>
            <w:r>
              <w:rPr>
                <w:sz w:val="24"/>
              </w:rPr>
              <w:t xml:space="preserve">Допустимое суммарное время простоя и (или) деградации технологического процесса</w:t>
            </w:r>
          </w:p>
        </w:tc>
        <w:tc>
          <w:tcPr>
            <w:tcW w:w="2608" w:type="dxa"/>
          </w:tcPr>
          <w:p>
            <w:pPr>
              <w:pStyle w:val="0"/>
            </w:pPr>
            <w:r>
              <w:rPr>
                <w:sz w:val="24"/>
              </w:rPr>
            </w:r>
          </w:p>
        </w:tc>
        <w:tc>
          <w:tcPr>
            <w:tcW w:w="2948" w:type="dxa"/>
          </w:tcPr>
          <w:p>
            <w:pPr>
              <w:pStyle w:val="0"/>
            </w:pPr>
            <w:r>
              <w:rPr>
                <w:sz w:val="24"/>
              </w:rPr>
              <w:t xml:space="preserve">nfo-dic:DopustSumVremyaProstoyaDegrTexPrObespDeyatNFO</w:t>
            </w:r>
          </w:p>
        </w:tc>
      </w:tr>
      <w:tr>
        <w:tc>
          <w:tcPr>
            <w:tcW w:w="907" w:type="dxa"/>
          </w:tcPr>
          <w:p>
            <w:pPr>
              <w:pStyle w:val="0"/>
            </w:pPr>
            <w:r>
              <w:rPr>
                <w:sz w:val="24"/>
              </w:rPr>
              <w:t xml:space="preserve">5.1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bookmarkStart w:id="39760" w:name="P39760"/>
          <w:bookmarkEnd w:id="39760"/>
          <w:p>
            <w:pPr>
              <w:pStyle w:val="0"/>
            </w:pPr>
            <w:r>
              <w:rPr>
                <w:sz w:val="24"/>
              </w:rPr>
              <w:t xml:space="preserve">6</w:t>
            </w:r>
          </w:p>
        </w:tc>
        <w:tc>
          <w:tcPr>
            <w:gridSpan w:val="2"/>
            <w:tcW w:w="2608" w:type="dxa"/>
          </w:tcPr>
          <w:p>
            <w:pPr>
              <w:pStyle w:val="0"/>
            </w:pPr>
            <w:r>
              <w:rPr>
                <w:sz w:val="24"/>
              </w:rPr>
              <w:t xml:space="preserve">Суммарное время простоя и (или) деградации технологического процесса</w:t>
            </w:r>
          </w:p>
        </w:tc>
        <w:tc>
          <w:tcPr>
            <w:tcW w:w="2608" w:type="dxa"/>
          </w:tcPr>
          <w:p>
            <w:pPr>
              <w:pStyle w:val="0"/>
            </w:pPr>
            <w:r>
              <w:rPr>
                <w:sz w:val="24"/>
              </w:rPr>
            </w:r>
          </w:p>
        </w:tc>
        <w:tc>
          <w:tcPr>
            <w:tcW w:w="2948" w:type="dxa"/>
          </w:tcPr>
          <w:p>
            <w:pPr>
              <w:pStyle w:val="0"/>
            </w:pPr>
            <w:r>
              <w:rPr>
                <w:sz w:val="24"/>
              </w:rPr>
              <w:t xml:space="preserve">nfo-dic:SumVremyaProstoyaIDegrTexPrObespDeyatNFO</w:t>
            </w:r>
          </w:p>
        </w:tc>
      </w:tr>
      <w:tr>
        <w:tc>
          <w:tcPr>
            <w:tcW w:w="907" w:type="dxa"/>
          </w:tcPr>
          <w:p>
            <w:pPr>
              <w:pStyle w:val="0"/>
            </w:pPr>
            <w:r>
              <w:rPr>
                <w:sz w:val="24"/>
              </w:rPr>
              <w:t xml:space="preserve">6.1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blPrEx>
          <w:tblBorders>
            <w:insideV w:val="nil"/>
          </w:tblBorders>
        </w:tblPrEx>
        <w:tc>
          <w:tcPr>
            <w:gridSpan w:val="2"/>
            <w:tcW w:w="1176" w:type="dxa"/>
            <w:tcBorders>
              <w:left w:val="single" w:sz="4"/>
            </w:tcBorders>
          </w:tcPr>
          <w:bookmarkStart w:id="39768" w:name="P39768"/>
          <w:bookmarkEnd w:id="39768"/>
          <w:p>
            <w:pPr>
              <w:pStyle w:val="0"/>
              <w:outlineLvl w:val="3"/>
            </w:pPr>
            <w:r>
              <w:rPr>
                <w:sz w:val="24"/>
              </w:rPr>
              <w:t xml:space="preserve">Раздел 3.</w:t>
            </w:r>
          </w:p>
        </w:tc>
        <w:tc>
          <w:tcPr>
            <w:gridSpan w:val="3"/>
            <w:tcW w:w="7895" w:type="dxa"/>
            <w:tcBorders>
              <w:right w:val="single" w:sz="4"/>
            </w:tcBorders>
          </w:tcPr>
          <w:p>
            <w:pPr>
              <w:pStyle w:val="0"/>
            </w:pPr>
            <w:r>
              <w:rPr>
                <w:sz w:val="24"/>
              </w:rPr>
              <w:t xml:space="preserve">Сведения об объектах информатизации </w:t>
            </w:r>
            <w:hyperlink w:history="0" w:anchor="P40079" w:tooltip="&lt;2&gt; В соответствии с пунктом 3.6 национального стандарта Российской Федерации ГОСТ Р 57580.1-2017 &quot;Безопасность финансовых (банковских) операций. Защита информации финансовых организаций. Базовый состав организационных и технических мер&quot;, утвержденного приказом Федерального агентства по техническому регулированию и метрологии от 8 августа 2017 года N 822-ст (М., ФГУП &quot;Стандартинформ&quot;, 2017) и введенного в действие 1 января 2018 года.">
              <w:r>
                <w:rPr>
                  <w:sz w:val="24"/>
                  <w:color w:val="0000ff"/>
                </w:rPr>
                <w:t xml:space="preserve">&lt;2&gt;</w:t>
              </w:r>
            </w:hyperlink>
            <w:r>
              <w:rPr>
                <w:sz w:val="24"/>
              </w:rPr>
              <w:t xml:space="preserve"> в рамках технологических процессов</w:t>
            </w:r>
          </w:p>
        </w:tc>
      </w:tr>
      <w:tr>
        <w:tc>
          <w:tcPr>
            <w:tcW w:w="907" w:type="dxa"/>
          </w:tcPr>
          <w:bookmarkStart w:id="39770" w:name="P39770"/>
          <w:bookmarkEnd w:id="39770"/>
          <w:p>
            <w:pPr>
              <w:pStyle w:val="0"/>
            </w:pPr>
            <w:r>
              <w:rPr>
                <w:sz w:val="24"/>
              </w:rPr>
              <w:t xml:space="preserve">7</w:t>
            </w:r>
          </w:p>
        </w:tc>
        <w:tc>
          <w:tcPr>
            <w:gridSpan w:val="2"/>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связи</w:t>
            </w:r>
          </w:p>
        </w:tc>
        <w:tc>
          <w:tcPr>
            <w:tcW w:w="2608" w:type="dxa"/>
          </w:tcPr>
          <w:p>
            <w:pPr>
              <w:pStyle w:val="0"/>
            </w:pPr>
            <w:r>
              <w:rPr>
                <w:sz w:val="24"/>
              </w:rPr>
            </w:r>
          </w:p>
        </w:tc>
        <w:tc>
          <w:tcPr>
            <w:tcW w:w="2948" w:type="dxa"/>
          </w:tcPr>
          <w:p>
            <w:pPr>
              <w:pStyle w:val="0"/>
            </w:pPr>
            <w:r>
              <w:rPr>
                <w:sz w:val="24"/>
              </w:rPr>
              <w:t xml:space="preserve">nfo-dic:PolnNaim</w:t>
            </w:r>
          </w:p>
        </w:tc>
      </w:tr>
      <w:tr>
        <w:tc>
          <w:tcPr>
            <w:tcW w:w="907" w:type="dxa"/>
          </w:tcPr>
          <w:p>
            <w:pPr>
              <w:pStyle w:val="0"/>
            </w:pPr>
            <w:r>
              <w:rPr>
                <w:sz w:val="24"/>
              </w:rPr>
              <w:t xml:space="preserve">7.1</w:t>
            </w:r>
          </w:p>
        </w:tc>
        <w:tc>
          <w:tcPr>
            <w:gridSpan w:val="2"/>
            <w:tcW w:w="2608" w:type="dxa"/>
          </w:tcPr>
          <w:p>
            <w:pPr>
              <w:pStyle w:val="0"/>
            </w:pPr>
            <w:r>
              <w:rPr>
                <w:sz w:val="24"/>
              </w:rPr>
            </w:r>
          </w:p>
        </w:tc>
        <w:tc>
          <w:tcPr>
            <w:tcW w:w="2608" w:type="dxa"/>
          </w:tcPr>
          <w:p>
            <w:pPr>
              <w:pStyle w:val="0"/>
            </w:pPr>
            <w:r>
              <w:rPr>
                <w:sz w:val="24"/>
              </w:rPr>
              <w:t xml:space="preserve">Идентификатор оператора связи</w:t>
            </w:r>
          </w:p>
        </w:tc>
        <w:tc>
          <w:tcPr>
            <w:tcW w:w="2948" w:type="dxa"/>
          </w:tcPr>
          <w:p>
            <w:pPr>
              <w:pStyle w:val="0"/>
            </w:pPr>
            <w:r>
              <w:rPr>
                <w:sz w:val="24"/>
              </w:rPr>
              <w:t xml:space="preserve">dim-mt:IdentifikatorOperatoraSvyaziTaxis</w:t>
            </w:r>
          </w:p>
        </w:tc>
      </w:tr>
      <w:tr>
        <w:tc>
          <w:tcPr>
            <w:tcW w:w="907" w:type="dxa"/>
          </w:tcPr>
          <w:bookmarkStart w:id="39778" w:name="P39778"/>
          <w:bookmarkEnd w:id="39778"/>
          <w:p>
            <w:pPr>
              <w:pStyle w:val="0"/>
            </w:pPr>
            <w:r>
              <w:rPr>
                <w:sz w:val="24"/>
              </w:rPr>
              <w:t xml:space="preserve">8</w:t>
            </w:r>
          </w:p>
        </w:tc>
        <w:tc>
          <w:tcPr>
            <w:gridSpan w:val="2"/>
            <w:tcW w:w="2608" w:type="dxa"/>
          </w:tcPr>
          <w:p>
            <w:pPr>
              <w:pStyle w:val="0"/>
            </w:pPr>
            <w:r>
              <w:rPr>
                <w:sz w:val="24"/>
              </w:rPr>
              <w:t xml:space="preserve">Идентификационный номер налогоплательщика (ИНН)</w:t>
            </w:r>
          </w:p>
        </w:tc>
        <w:tc>
          <w:tcPr>
            <w:tcW w:w="2608" w:type="dxa"/>
          </w:tcPr>
          <w:p>
            <w:pPr>
              <w:pStyle w:val="0"/>
            </w:pPr>
            <w:r>
              <w:rPr>
                <w:sz w:val="24"/>
              </w:rPr>
            </w:r>
          </w:p>
        </w:tc>
        <w:tc>
          <w:tcPr>
            <w:tcW w:w="2948" w:type="dxa"/>
          </w:tcPr>
          <w:p>
            <w:pPr>
              <w:pStyle w:val="0"/>
            </w:pPr>
            <w:r>
              <w:rPr>
                <w:sz w:val="24"/>
              </w:rPr>
              <w:t xml:space="preserve">nfo-dic:INN</w:t>
            </w:r>
          </w:p>
        </w:tc>
      </w:tr>
      <w:tr>
        <w:tc>
          <w:tcPr>
            <w:tcW w:w="907" w:type="dxa"/>
          </w:tcPr>
          <w:p>
            <w:pPr>
              <w:pStyle w:val="0"/>
            </w:pPr>
            <w:r>
              <w:rPr>
                <w:sz w:val="24"/>
              </w:rPr>
              <w:t xml:space="preserve">8.1</w:t>
            </w:r>
          </w:p>
        </w:tc>
        <w:tc>
          <w:tcPr>
            <w:gridSpan w:val="2"/>
            <w:tcW w:w="2608" w:type="dxa"/>
          </w:tcPr>
          <w:p>
            <w:pPr>
              <w:pStyle w:val="0"/>
            </w:pPr>
            <w:r>
              <w:rPr>
                <w:sz w:val="24"/>
              </w:rPr>
            </w:r>
          </w:p>
        </w:tc>
        <w:tc>
          <w:tcPr>
            <w:tcW w:w="2608" w:type="dxa"/>
          </w:tcPr>
          <w:p>
            <w:pPr>
              <w:pStyle w:val="0"/>
            </w:pPr>
            <w:r>
              <w:rPr>
                <w:sz w:val="24"/>
              </w:rPr>
              <w:t xml:space="preserve">Идентификатор оператора связи</w:t>
            </w:r>
          </w:p>
        </w:tc>
        <w:tc>
          <w:tcPr>
            <w:tcW w:w="2948" w:type="dxa"/>
          </w:tcPr>
          <w:p>
            <w:pPr>
              <w:pStyle w:val="0"/>
            </w:pPr>
            <w:r>
              <w:rPr>
                <w:sz w:val="24"/>
              </w:rPr>
              <w:t xml:space="preserve">dim-int:IdentifikatorOperatoraSvyaziTaxis</w:t>
            </w:r>
          </w:p>
        </w:tc>
      </w:tr>
      <w:tr>
        <w:tc>
          <w:tcPr>
            <w:tcW w:w="907" w:type="dxa"/>
          </w:tcPr>
          <w:bookmarkStart w:id="39786" w:name="P39786"/>
          <w:bookmarkEnd w:id="39786"/>
          <w:p>
            <w:pPr>
              <w:pStyle w:val="0"/>
            </w:pPr>
            <w:r>
              <w:rPr>
                <w:sz w:val="24"/>
              </w:rPr>
              <w:t xml:space="preserve">9</w:t>
            </w:r>
          </w:p>
        </w:tc>
        <w:tc>
          <w:tcPr>
            <w:gridSpan w:val="2"/>
            <w:tcW w:w="2608" w:type="dxa"/>
          </w:tcPr>
          <w:p>
            <w:pPr>
              <w:pStyle w:val="0"/>
            </w:pPr>
            <w:r>
              <w:rPr>
                <w:sz w:val="24"/>
              </w:rPr>
              <w:t xml:space="preserve">TIN</w:t>
            </w:r>
          </w:p>
        </w:tc>
        <w:tc>
          <w:tcPr>
            <w:tcW w:w="2608" w:type="dxa"/>
          </w:tcPr>
          <w:p>
            <w:pPr>
              <w:pStyle w:val="0"/>
            </w:pPr>
            <w:r>
              <w:rPr>
                <w:sz w:val="24"/>
              </w:rPr>
            </w:r>
          </w:p>
        </w:tc>
        <w:tc>
          <w:tcPr>
            <w:tcW w:w="2948" w:type="dxa"/>
          </w:tcPr>
          <w:p>
            <w:pPr>
              <w:pStyle w:val="0"/>
            </w:pPr>
            <w:r>
              <w:rPr>
                <w:sz w:val="24"/>
              </w:rPr>
              <w:t xml:space="preserve">nfo-dic:TIN</w:t>
            </w:r>
          </w:p>
        </w:tc>
      </w:tr>
      <w:tr>
        <w:tc>
          <w:tcPr>
            <w:tcW w:w="907" w:type="dxa"/>
          </w:tcPr>
          <w:p>
            <w:pPr>
              <w:pStyle w:val="0"/>
            </w:pPr>
            <w:r>
              <w:rPr>
                <w:sz w:val="24"/>
              </w:rPr>
              <w:t xml:space="preserve">9.1</w:t>
            </w:r>
          </w:p>
        </w:tc>
        <w:tc>
          <w:tcPr>
            <w:gridSpan w:val="2"/>
            <w:tcW w:w="2608" w:type="dxa"/>
          </w:tcPr>
          <w:p>
            <w:pPr>
              <w:pStyle w:val="0"/>
            </w:pPr>
            <w:r>
              <w:rPr>
                <w:sz w:val="24"/>
              </w:rPr>
            </w:r>
          </w:p>
        </w:tc>
        <w:tc>
          <w:tcPr>
            <w:tcW w:w="2608" w:type="dxa"/>
          </w:tcPr>
          <w:p>
            <w:pPr>
              <w:pStyle w:val="0"/>
            </w:pPr>
            <w:r>
              <w:rPr>
                <w:sz w:val="24"/>
              </w:rPr>
              <w:t xml:space="preserve">Идентификатор оператора связи</w:t>
            </w:r>
          </w:p>
        </w:tc>
        <w:tc>
          <w:tcPr>
            <w:tcW w:w="2948" w:type="dxa"/>
          </w:tcPr>
          <w:p>
            <w:pPr>
              <w:pStyle w:val="0"/>
            </w:pPr>
            <w:r>
              <w:rPr>
                <w:sz w:val="24"/>
              </w:rPr>
              <w:t xml:space="preserve">dim-int:IdentifikatorOperatoraSvyaziTaxis</w:t>
            </w:r>
          </w:p>
        </w:tc>
      </w:tr>
      <w:tr>
        <w:tc>
          <w:tcPr>
            <w:tcW w:w="907" w:type="dxa"/>
          </w:tcPr>
          <w:bookmarkStart w:id="39794" w:name="P39794"/>
          <w:bookmarkEnd w:id="39794"/>
          <w:p>
            <w:pPr>
              <w:pStyle w:val="0"/>
            </w:pPr>
            <w:r>
              <w:rPr>
                <w:sz w:val="24"/>
              </w:rPr>
              <w:t xml:space="preserve">10</w:t>
            </w:r>
          </w:p>
        </w:tc>
        <w:tc>
          <w:tcPr>
            <w:gridSpan w:val="2"/>
            <w:tcW w:w="2608" w:type="dxa"/>
          </w:tcPr>
          <w:p>
            <w:pPr>
              <w:pStyle w:val="0"/>
            </w:pPr>
            <w:r>
              <w:rPr>
                <w:sz w:val="24"/>
              </w:rPr>
              <w:t xml:space="preserve">IP-адрес или пул IP-адресов в формате протокола IPv4</w:t>
            </w:r>
          </w:p>
        </w:tc>
        <w:tc>
          <w:tcPr>
            <w:tcW w:w="2608" w:type="dxa"/>
          </w:tcPr>
          <w:p>
            <w:pPr>
              <w:pStyle w:val="0"/>
            </w:pPr>
            <w:r>
              <w:rPr>
                <w:sz w:val="24"/>
              </w:rPr>
            </w:r>
          </w:p>
        </w:tc>
        <w:tc>
          <w:tcPr>
            <w:tcW w:w="2948" w:type="dxa"/>
          </w:tcPr>
          <w:p>
            <w:pPr>
              <w:pStyle w:val="0"/>
            </w:pPr>
            <w:r>
              <w:rPr>
                <w:sz w:val="24"/>
              </w:rPr>
              <w:t xml:space="preserve">nfo-dic:IP_AdresPulIP_AdresovObektaInformatizaczii_IPv4</w:t>
            </w:r>
          </w:p>
        </w:tc>
      </w:tr>
      <w:tr>
        <w:tc>
          <w:tcPr>
            <w:tcW w:w="907" w:type="dxa"/>
          </w:tcPr>
          <w:p>
            <w:pPr>
              <w:pStyle w:val="0"/>
            </w:pPr>
            <w:r>
              <w:rPr>
                <w:sz w:val="24"/>
              </w:rPr>
              <w:t xml:space="preserve">10.1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10.2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10.3</w:t>
            </w:r>
          </w:p>
        </w:tc>
        <w:tc>
          <w:tcPr>
            <w:gridSpan w:val="2"/>
            <w:tcW w:w="2608" w:type="dxa"/>
          </w:tcPr>
          <w:p>
            <w:pPr>
              <w:pStyle w:val="0"/>
            </w:pPr>
            <w:r>
              <w:rPr>
                <w:sz w:val="24"/>
              </w:rPr>
            </w:r>
          </w:p>
        </w:tc>
        <w:tc>
          <w:tcPr>
            <w:tcW w:w="2608" w:type="dxa"/>
          </w:tcPr>
          <w:p>
            <w:pPr>
              <w:pStyle w:val="0"/>
            </w:pPr>
            <w:r>
              <w:rPr>
                <w:sz w:val="24"/>
              </w:rPr>
              <w:t xml:space="preserve">Наименование объекта информатизации</w:t>
            </w:r>
          </w:p>
        </w:tc>
        <w:tc>
          <w:tcPr>
            <w:tcW w:w="2948" w:type="dxa"/>
          </w:tcPr>
          <w:p>
            <w:pPr>
              <w:pStyle w:val="0"/>
            </w:pPr>
            <w:r>
              <w:rPr>
                <w:sz w:val="24"/>
              </w:rPr>
              <w:t xml:space="preserve">dim-int:NaimenovanieObektaInformatizacziiTaxis</w:t>
            </w:r>
          </w:p>
        </w:tc>
      </w:tr>
      <w:tr>
        <w:tc>
          <w:tcPr>
            <w:tcW w:w="907" w:type="dxa"/>
          </w:tcPr>
          <w:bookmarkStart w:id="39810" w:name="P39810"/>
          <w:bookmarkEnd w:id="39810"/>
          <w:p>
            <w:pPr>
              <w:pStyle w:val="0"/>
            </w:pPr>
            <w:r>
              <w:rPr>
                <w:sz w:val="24"/>
              </w:rPr>
              <w:t xml:space="preserve">11</w:t>
            </w:r>
          </w:p>
        </w:tc>
        <w:tc>
          <w:tcPr>
            <w:gridSpan w:val="2"/>
            <w:tcW w:w="2608" w:type="dxa"/>
          </w:tcPr>
          <w:p>
            <w:pPr>
              <w:pStyle w:val="0"/>
            </w:pPr>
            <w:r>
              <w:rPr>
                <w:sz w:val="24"/>
              </w:rPr>
              <w:t xml:space="preserve">IP-адрес или пул IP-адресов в формате протокола IPv6</w:t>
            </w:r>
          </w:p>
        </w:tc>
        <w:tc>
          <w:tcPr>
            <w:tcW w:w="2608" w:type="dxa"/>
          </w:tcPr>
          <w:p>
            <w:pPr>
              <w:pStyle w:val="0"/>
            </w:pPr>
            <w:r>
              <w:rPr>
                <w:sz w:val="24"/>
              </w:rPr>
            </w:r>
          </w:p>
        </w:tc>
        <w:tc>
          <w:tcPr>
            <w:tcW w:w="2948" w:type="dxa"/>
          </w:tcPr>
          <w:p>
            <w:pPr>
              <w:pStyle w:val="0"/>
            </w:pPr>
            <w:r>
              <w:rPr>
                <w:sz w:val="24"/>
              </w:rPr>
              <w:t xml:space="preserve">nfo-dic:IP_AdresPullP_AdresovObektaInformatizaczii_IPv6</w:t>
            </w:r>
          </w:p>
        </w:tc>
      </w:tr>
      <w:tr>
        <w:tc>
          <w:tcPr>
            <w:tcW w:w="907" w:type="dxa"/>
          </w:tcPr>
          <w:p>
            <w:pPr>
              <w:pStyle w:val="0"/>
            </w:pPr>
            <w:r>
              <w:rPr>
                <w:sz w:val="24"/>
              </w:rPr>
              <w:t xml:space="preserve">11.1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11.2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11.3</w:t>
            </w:r>
          </w:p>
        </w:tc>
        <w:tc>
          <w:tcPr>
            <w:gridSpan w:val="2"/>
            <w:tcW w:w="2608" w:type="dxa"/>
          </w:tcPr>
          <w:p>
            <w:pPr>
              <w:pStyle w:val="0"/>
            </w:pPr>
            <w:r>
              <w:rPr>
                <w:sz w:val="24"/>
              </w:rPr>
            </w:r>
          </w:p>
        </w:tc>
        <w:tc>
          <w:tcPr>
            <w:tcW w:w="2608" w:type="dxa"/>
          </w:tcPr>
          <w:p>
            <w:pPr>
              <w:pStyle w:val="0"/>
            </w:pPr>
            <w:r>
              <w:rPr>
                <w:sz w:val="24"/>
              </w:rPr>
              <w:t xml:space="preserve">Наименование объекта информатизации</w:t>
            </w:r>
          </w:p>
        </w:tc>
        <w:tc>
          <w:tcPr>
            <w:tcW w:w="2948" w:type="dxa"/>
          </w:tcPr>
          <w:p>
            <w:pPr>
              <w:pStyle w:val="0"/>
            </w:pPr>
            <w:r>
              <w:rPr>
                <w:sz w:val="24"/>
              </w:rPr>
              <w:t xml:space="preserve">dim-int:NaimenovanieObektaInformatizacziiTaxis</w:t>
            </w:r>
          </w:p>
        </w:tc>
      </w:tr>
      <w:tr>
        <w:tc>
          <w:tcPr>
            <w:tcW w:w="907" w:type="dxa"/>
          </w:tcPr>
          <w:bookmarkStart w:id="39826" w:name="P39826"/>
          <w:bookmarkEnd w:id="39826"/>
          <w:p>
            <w:pPr>
              <w:pStyle w:val="0"/>
            </w:pPr>
            <w:r>
              <w:rPr>
                <w:sz w:val="24"/>
              </w:rPr>
              <w:t xml:space="preserve">12</w:t>
            </w:r>
          </w:p>
        </w:tc>
        <w:tc>
          <w:tcPr>
            <w:gridSpan w:val="2"/>
            <w:tcW w:w="2608" w:type="dxa"/>
          </w:tcPr>
          <w:p>
            <w:pPr>
              <w:pStyle w:val="0"/>
            </w:pPr>
            <w:r>
              <w:rPr>
                <w:sz w:val="24"/>
              </w:rPr>
              <w:t xml:space="preserve">Номер автономной системы</w:t>
            </w:r>
          </w:p>
        </w:tc>
        <w:tc>
          <w:tcPr>
            <w:tcW w:w="2608" w:type="dxa"/>
          </w:tcPr>
          <w:p>
            <w:pPr>
              <w:pStyle w:val="0"/>
            </w:pPr>
            <w:r>
              <w:rPr>
                <w:sz w:val="24"/>
              </w:rPr>
            </w:r>
          </w:p>
        </w:tc>
        <w:tc>
          <w:tcPr>
            <w:tcW w:w="2948" w:type="dxa"/>
          </w:tcPr>
          <w:p>
            <w:pPr>
              <w:pStyle w:val="0"/>
            </w:pPr>
            <w:r>
              <w:rPr>
                <w:sz w:val="24"/>
              </w:rPr>
              <w:t xml:space="preserve">nfo-dic:NomerAvtonomnojSistemy</w:t>
            </w:r>
          </w:p>
        </w:tc>
      </w:tr>
      <w:tr>
        <w:tc>
          <w:tcPr>
            <w:tcW w:w="907" w:type="dxa"/>
          </w:tcPr>
          <w:p>
            <w:pPr>
              <w:pStyle w:val="0"/>
            </w:pPr>
            <w:r>
              <w:rPr>
                <w:sz w:val="24"/>
              </w:rPr>
              <w:t xml:space="preserve">12.1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12.2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12.3</w:t>
            </w:r>
          </w:p>
        </w:tc>
        <w:tc>
          <w:tcPr>
            <w:gridSpan w:val="2"/>
            <w:tcW w:w="2608" w:type="dxa"/>
          </w:tcPr>
          <w:p>
            <w:pPr>
              <w:pStyle w:val="0"/>
            </w:pPr>
            <w:r>
              <w:rPr>
                <w:sz w:val="24"/>
              </w:rPr>
            </w:r>
          </w:p>
        </w:tc>
        <w:tc>
          <w:tcPr>
            <w:tcW w:w="2608" w:type="dxa"/>
          </w:tcPr>
          <w:p>
            <w:pPr>
              <w:pStyle w:val="0"/>
            </w:pPr>
            <w:r>
              <w:rPr>
                <w:sz w:val="24"/>
              </w:rPr>
              <w:t xml:space="preserve">Наименование объекта информатизации</w:t>
            </w:r>
          </w:p>
        </w:tc>
        <w:tc>
          <w:tcPr>
            <w:tcW w:w="2948" w:type="dxa"/>
          </w:tcPr>
          <w:p>
            <w:pPr>
              <w:pStyle w:val="0"/>
            </w:pPr>
            <w:r>
              <w:rPr>
                <w:sz w:val="24"/>
              </w:rPr>
              <w:t xml:space="preserve">dim-int:NaimenovanieObektaInformatizacziiTaxis</w:t>
            </w:r>
          </w:p>
        </w:tc>
      </w:tr>
      <w:tr>
        <w:tblPrEx>
          <w:tblBorders>
            <w:insideV w:val="nil"/>
          </w:tblBorders>
        </w:tblPrEx>
        <w:tc>
          <w:tcPr>
            <w:gridSpan w:val="2"/>
            <w:tcW w:w="1176" w:type="dxa"/>
            <w:tcBorders>
              <w:left w:val="single" w:sz="4"/>
            </w:tcBorders>
          </w:tcPr>
          <w:bookmarkStart w:id="39842" w:name="P39842"/>
          <w:bookmarkEnd w:id="39842"/>
          <w:p>
            <w:pPr>
              <w:pStyle w:val="0"/>
              <w:outlineLvl w:val="3"/>
            </w:pPr>
            <w:r>
              <w:rPr>
                <w:sz w:val="24"/>
              </w:rPr>
              <w:t xml:space="preserve">Раздел 4.</w:t>
            </w:r>
          </w:p>
        </w:tc>
        <w:tc>
          <w:tcPr>
            <w:gridSpan w:val="3"/>
            <w:tcW w:w="7895" w:type="dxa"/>
            <w:tcBorders>
              <w:right w:val="single" w:sz="4"/>
            </w:tcBorders>
          </w:tcPr>
          <w:p>
            <w:pPr>
              <w:pStyle w:val="0"/>
            </w:pPr>
            <w:r>
              <w:rPr>
                <w:sz w:val="24"/>
              </w:rPr>
              <w:t xml:space="preserve">Электронные адреса веб-сервисов (информационных ресурсов) и номера телефонов</w:t>
            </w:r>
          </w:p>
        </w:tc>
      </w:tr>
      <w:tr>
        <w:tc>
          <w:tcPr>
            <w:tcW w:w="907" w:type="dxa"/>
          </w:tcPr>
          <w:bookmarkStart w:id="39844" w:name="P39844"/>
          <w:bookmarkEnd w:id="39844"/>
          <w:p>
            <w:pPr>
              <w:pStyle w:val="0"/>
            </w:pPr>
            <w:r>
              <w:rPr>
                <w:sz w:val="24"/>
              </w:rPr>
              <w:t xml:space="preserve">13</w:t>
            </w:r>
          </w:p>
        </w:tc>
        <w:tc>
          <w:tcPr>
            <w:gridSpan w:val="2"/>
            <w:tcW w:w="2608" w:type="dxa"/>
          </w:tcPr>
          <w:p>
            <w:pPr>
              <w:pStyle w:val="0"/>
            </w:pPr>
            <w:r>
              <w:rPr>
                <w:sz w:val="24"/>
              </w:rPr>
              <w:t xml:space="preserve">IP-адрес или пул IP-адресов в формате протокола IPv4</w:t>
            </w:r>
          </w:p>
        </w:tc>
        <w:tc>
          <w:tcPr>
            <w:tcW w:w="2608" w:type="dxa"/>
          </w:tcPr>
          <w:p>
            <w:pPr>
              <w:pStyle w:val="0"/>
            </w:pPr>
            <w:r>
              <w:rPr>
                <w:sz w:val="24"/>
              </w:rPr>
            </w:r>
          </w:p>
        </w:tc>
        <w:tc>
          <w:tcPr>
            <w:tcW w:w="2948" w:type="dxa"/>
          </w:tcPr>
          <w:p>
            <w:pPr>
              <w:pStyle w:val="0"/>
            </w:pPr>
            <w:r>
              <w:rPr>
                <w:sz w:val="24"/>
              </w:rPr>
              <w:t xml:space="preserve">nfo-dic:IP_AdresPulIP_AdresovObektaInformatizaczii_IPv4</w:t>
            </w:r>
          </w:p>
        </w:tc>
      </w:tr>
      <w:tr>
        <w:tc>
          <w:tcPr>
            <w:tcW w:w="907" w:type="dxa"/>
          </w:tcPr>
          <w:p>
            <w:pPr>
              <w:pStyle w:val="0"/>
            </w:pPr>
            <w:r>
              <w:rPr>
                <w:sz w:val="24"/>
              </w:rPr>
              <w:t xml:space="preserve">13.1</w:t>
            </w:r>
          </w:p>
        </w:tc>
        <w:tc>
          <w:tcPr>
            <w:gridSpan w:val="2"/>
            <w:tcW w:w="2608" w:type="dxa"/>
          </w:tcPr>
          <w:p>
            <w:pPr>
              <w:pStyle w:val="0"/>
            </w:pPr>
            <w:r>
              <w:rPr>
                <w:sz w:val="24"/>
              </w:rPr>
            </w:r>
          </w:p>
        </w:tc>
        <w:tc>
          <w:tcPr>
            <w:tcW w:w="2608" w:type="dxa"/>
          </w:tcPr>
          <w:p>
            <w:pPr>
              <w:pStyle w:val="0"/>
            </w:pPr>
            <w:r>
              <w:rPr>
                <w:sz w:val="24"/>
              </w:rPr>
              <w:t xml:space="preserve">Доменное имя электронного адреса информационного ресурса</w:t>
            </w:r>
          </w:p>
        </w:tc>
        <w:tc>
          <w:tcPr>
            <w:tcW w:w="2948" w:type="dxa"/>
          </w:tcPr>
          <w:p>
            <w:pPr>
              <w:pStyle w:val="0"/>
            </w:pPr>
            <w:r>
              <w:rPr>
                <w:sz w:val="24"/>
              </w:rPr>
              <w:t xml:space="preserve">dim-int:DomennoeImyaElektronAdresaInformacResursaTaxis</w:t>
            </w:r>
          </w:p>
        </w:tc>
      </w:tr>
      <w:tr>
        <w:tc>
          <w:tcPr>
            <w:tcW w:w="907" w:type="dxa"/>
          </w:tcPr>
          <w:p>
            <w:pPr>
              <w:pStyle w:val="0"/>
            </w:pPr>
            <w:r>
              <w:rPr>
                <w:sz w:val="24"/>
              </w:rPr>
              <w:t xml:space="preserve">13.2</w:t>
            </w:r>
          </w:p>
        </w:tc>
        <w:tc>
          <w:tcPr>
            <w:gridSpan w:val="2"/>
            <w:tcW w:w="2608" w:type="dxa"/>
          </w:tcPr>
          <w:p>
            <w:pPr>
              <w:pStyle w:val="0"/>
            </w:pPr>
            <w:r>
              <w:rPr>
                <w:sz w:val="24"/>
              </w:rPr>
            </w:r>
          </w:p>
        </w:tc>
        <w:tc>
          <w:tcPr>
            <w:tcW w:w="2608" w:type="dxa"/>
          </w:tcPr>
          <w:p>
            <w:pPr>
              <w:pStyle w:val="0"/>
            </w:pPr>
            <w:r>
              <w:rPr>
                <w:sz w:val="24"/>
              </w:rPr>
              <w:t xml:space="preserve">Унифицированный идентификатор информационного ресурса (URI-адрес)</w:t>
            </w:r>
          </w:p>
        </w:tc>
        <w:tc>
          <w:tcPr>
            <w:tcW w:w="2948" w:type="dxa"/>
          </w:tcPr>
          <w:p>
            <w:pPr>
              <w:pStyle w:val="0"/>
            </w:pPr>
            <w:r>
              <w:rPr>
                <w:sz w:val="24"/>
              </w:rPr>
              <w:t xml:space="preserve">dim-int:UnificIdentifikatorInformResursaUriAdresTaxis</w:t>
            </w:r>
          </w:p>
        </w:tc>
      </w:tr>
      <w:tr>
        <w:tc>
          <w:tcPr>
            <w:tcW w:w="907" w:type="dxa"/>
          </w:tcPr>
          <w:bookmarkStart w:id="39856" w:name="P39856"/>
          <w:bookmarkEnd w:id="39856"/>
          <w:p>
            <w:pPr>
              <w:pStyle w:val="0"/>
            </w:pPr>
            <w:r>
              <w:rPr>
                <w:sz w:val="24"/>
              </w:rPr>
              <w:t xml:space="preserve">14</w:t>
            </w:r>
          </w:p>
        </w:tc>
        <w:tc>
          <w:tcPr>
            <w:gridSpan w:val="2"/>
            <w:tcW w:w="2608" w:type="dxa"/>
          </w:tcPr>
          <w:p>
            <w:pPr>
              <w:pStyle w:val="0"/>
            </w:pPr>
            <w:r>
              <w:rPr>
                <w:sz w:val="24"/>
              </w:rPr>
              <w:t xml:space="preserve">IP-адрес или пул IP-адресов в формате протокола IPv6</w:t>
            </w:r>
          </w:p>
        </w:tc>
        <w:tc>
          <w:tcPr>
            <w:tcW w:w="2608" w:type="dxa"/>
          </w:tcPr>
          <w:p>
            <w:pPr>
              <w:pStyle w:val="0"/>
            </w:pPr>
            <w:r>
              <w:rPr>
                <w:sz w:val="24"/>
              </w:rPr>
            </w:r>
          </w:p>
        </w:tc>
        <w:tc>
          <w:tcPr>
            <w:tcW w:w="2948" w:type="dxa"/>
          </w:tcPr>
          <w:p>
            <w:pPr>
              <w:pStyle w:val="0"/>
            </w:pPr>
            <w:r>
              <w:rPr>
                <w:sz w:val="24"/>
              </w:rPr>
              <w:t xml:space="preserve">nfo-dic:IP_AdresPul_IP_AdresovObektaInformatizaczii_IPv6</w:t>
            </w:r>
          </w:p>
        </w:tc>
      </w:tr>
      <w:tr>
        <w:tc>
          <w:tcPr>
            <w:tcW w:w="907" w:type="dxa"/>
          </w:tcPr>
          <w:p>
            <w:pPr>
              <w:pStyle w:val="0"/>
            </w:pPr>
            <w:r>
              <w:rPr>
                <w:sz w:val="24"/>
              </w:rPr>
              <w:t xml:space="preserve">14.1</w:t>
            </w:r>
          </w:p>
        </w:tc>
        <w:tc>
          <w:tcPr>
            <w:gridSpan w:val="2"/>
            <w:tcW w:w="2608" w:type="dxa"/>
          </w:tcPr>
          <w:p>
            <w:pPr>
              <w:pStyle w:val="0"/>
            </w:pPr>
            <w:r>
              <w:rPr>
                <w:sz w:val="24"/>
              </w:rPr>
            </w:r>
          </w:p>
        </w:tc>
        <w:tc>
          <w:tcPr>
            <w:tcW w:w="2608" w:type="dxa"/>
          </w:tcPr>
          <w:p>
            <w:pPr>
              <w:pStyle w:val="0"/>
            </w:pPr>
            <w:r>
              <w:rPr>
                <w:sz w:val="24"/>
              </w:rPr>
              <w:t xml:space="preserve">Доменное имя электронного адреса информационного ресурса</w:t>
            </w:r>
          </w:p>
        </w:tc>
        <w:tc>
          <w:tcPr>
            <w:tcW w:w="2948" w:type="dxa"/>
          </w:tcPr>
          <w:p>
            <w:pPr>
              <w:pStyle w:val="0"/>
            </w:pPr>
            <w:r>
              <w:rPr>
                <w:sz w:val="24"/>
              </w:rPr>
              <w:t xml:space="preserve">dim-int:DomennoeImyaElektronAdresaInformacResursaTaxis</w:t>
            </w:r>
          </w:p>
        </w:tc>
      </w:tr>
      <w:tr>
        <w:tc>
          <w:tcPr>
            <w:tcW w:w="907" w:type="dxa"/>
          </w:tcPr>
          <w:p>
            <w:pPr>
              <w:pStyle w:val="0"/>
            </w:pPr>
            <w:r>
              <w:rPr>
                <w:sz w:val="24"/>
              </w:rPr>
              <w:t xml:space="preserve">14.2</w:t>
            </w:r>
          </w:p>
        </w:tc>
        <w:tc>
          <w:tcPr>
            <w:gridSpan w:val="2"/>
            <w:tcW w:w="2608" w:type="dxa"/>
          </w:tcPr>
          <w:p>
            <w:pPr>
              <w:pStyle w:val="0"/>
            </w:pPr>
            <w:r>
              <w:rPr>
                <w:sz w:val="24"/>
              </w:rPr>
            </w:r>
          </w:p>
        </w:tc>
        <w:tc>
          <w:tcPr>
            <w:tcW w:w="2608" w:type="dxa"/>
          </w:tcPr>
          <w:p>
            <w:pPr>
              <w:pStyle w:val="0"/>
            </w:pPr>
            <w:r>
              <w:rPr>
                <w:sz w:val="24"/>
              </w:rPr>
              <w:t xml:space="preserve">Унифицированный идентификатор информационного ресурса (URI-адрес)</w:t>
            </w:r>
          </w:p>
        </w:tc>
        <w:tc>
          <w:tcPr>
            <w:tcW w:w="2948" w:type="dxa"/>
          </w:tcPr>
          <w:p>
            <w:pPr>
              <w:pStyle w:val="0"/>
            </w:pPr>
            <w:r>
              <w:rPr>
                <w:sz w:val="24"/>
              </w:rPr>
              <w:t xml:space="preserve">dim-int:UnificIdentifikatorInformResursaUriAdresTaxis</w:t>
            </w:r>
          </w:p>
        </w:tc>
      </w:tr>
      <w:tr>
        <w:tc>
          <w:tcPr>
            <w:tcW w:w="907" w:type="dxa"/>
          </w:tcPr>
          <w:bookmarkStart w:id="39868" w:name="P39868"/>
          <w:bookmarkEnd w:id="39868"/>
          <w:p>
            <w:pPr>
              <w:pStyle w:val="0"/>
            </w:pPr>
            <w:r>
              <w:rPr>
                <w:sz w:val="24"/>
              </w:rPr>
              <w:t xml:space="preserve">15</w:t>
            </w:r>
          </w:p>
        </w:tc>
        <w:tc>
          <w:tcPr>
            <w:gridSpan w:val="2"/>
            <w:tcW w:w="2608" w:type="dxa"/>
          </w:tcPr>
          <w:p>
            <w:pPr>
              <w:pStyle w:val="0"/>
            </w:pPr>
            <w:r>
              <w:rPr>
                <w:sz w:val="24"/>
              </w:rPr>
              <w:t xml:space="preserve">Номера телефонов, используемые отчитывающейся организацией для взаимодействия с клиентами</w:t>
            </w:r>
          </w:p>
        </w:tc>
        <w:tc>
          <w:tcPr>
            <w:tcW w:w="2608" w:type="dxa"/>
          </w:tcPr>
          <w:p>
            <w:pPr>
              <w:pStyle w:val="0"/>
            </w:pPr>
            <w:r>
              <w:rPr>
                <w:sz w:val="24"/>
              </w:rPr>
            </w:r>
          </w:p>
        </w:tc>
        <w:tc>
          <w:tcPr>
            <w:tcW w:w="2948" w:type="dxa"/>
          </w:tcPr>
          <w:p>
            <w:pPr>
              <w:pStyle w:val="0"/>
            </w:pPr>
            <w:r>
              <w:rPr>
                <w:sz w:val="24"/>
              </w:rPr>
              <w:t xml:space="preserve">nfo-dic:NomKontTel</w:t>
            </w:r>
          </w:p>
        </w:tc>
      </w:tr>
      <w:tr>
        <w:tblPrEx>
          <w:tblBorders>
            <w:insideV w:val="nil"/>
          </w:tblBorders>
        </w:tblPrEx>
        <w:tc>
          <w:tcPr>
            <w:gridSpan w:val="2"/>
            <w:tcW w:w="1176" w:type="dxa"/>
            <w:tcBorders>
              <w:left w:val="single" w:sz="4"/>
            </w:tcBorders>
          </w:tcPr>
          <w:bookmarkStart w:id="39872" w:name="P39872"/>
          <w:bookmarkEnd w:id="39872"/>
          <w:p>
            <w:pPr>
              <w:pStyle w:val="0"/>
              <w:outlineLvl w:val="3"/>
            </w:pPr>
            <w:r>
              <w:rPr>
                <w:sz w:val="24"/>
              </w:rPr>
              <w:t xml:space="preserve">Раздел 5.</w:t>
            </w:r>
          </w:p>
        </w:tc>
        <w:tc>
          <w:tcPr>
            <w:gridSpan w:val="3"/>
            <w:tcW w:w="7895" w:type="dxa"/>
            <w:tcBorders>
              <w:right w:val="single" w:sz="4"/>
            </w:tcBorders>
          </w:tcPr>
          <w:p>
            <w:pPr>
              <w:pStyle w:val="0"/>
            </w:pPr>
            <w:r>
              <w:rPr>
                <w:sz w:val="24"/>
              </w:rPr>
              <w:t xml:space="preserve">Сведения об автоматизированных системах и приложениях</w:t>
            </w:r>
          </w:p>
        </w:tc>
      </w:tr>
      <w:tr>
        <w:tc>
          <w:tcPr>
            <w:tcW w:w="907" w:type="dxa"/>
          </w:tcPr>
          <w:bookmarkStart w:id="39874" w:name="P39874"/>
          <w:bookmarkEnd w:id="39874"/>
          <w:p>
            <w:pPr>
              <w:pStyle w:val="0"/>
            </w:pPr>
            <w:r>
              <w:rPr>
                <w:sz w:val="24"/>
              </w:rPr>
              <w:t xml:space="preserve">16</w:t>
            </w:r>
          </w:p>
        </w:tc>
        <w:tc>
          <w:tcPr>
            <w:gridSpan w:val="2"/>
            <w:tcW w:w="2608" w:type="dxa"/>
          </w:tcPr>
          <w:p>
            <w:pPr>
              <w:pStyle w:val="0"/>
            </w:pPr>
            <w:r>
              <w:rPr>
                <w:sz w:val="24"/>
              </w:rPr>
              <w:t xml:space="preserve">Информация об автоматизированных системах и приложениях</w:t>
            </w:r>
          </w:p>
        </w:tc>
        <w:tc>
          <w:tcPr>
            <w:tcW w:w="2608" w:type="dxa"/>
          </w:tcPr>
          <w:p>
            <w:pPr>
              <w:pStyle w:val="0"/>
            </w:pPr>
            <w:r>
              <w:rPr>
                <w:sz w:val="24"/>
              </w:rPr>
            </w:r>
          </w:p>
        </w:tc>
        <w:tc>
          <w:tcPr>
            <w:tcW w:w="2948" w:type="dxa"/>
          </w:tcPr>
          <w:p>
            <w:pPr>
              <w:pStyle w:val="0"/>
            </w:pPr>
            <w:r>
              <w:rPr>
                <w:sz w:val="24"/>
              </w:rPr>
              <w:t xml:space="preserve">nfo-dic:InformacziyaObAvtomatizirovannyxSistemaxIPrilozheniyax</w:t>
            </w:r>
          </w:p>
        </w:tc>
      </w:tr>
      <w:tr>
        <w:tc>
          <w:tcPr>
            <w:tcW w:w="907" w:type="dxa"/>
          </w:tcPr>
          <w:p>
            <w:pPr>
              <w:pStyle w:val="0"/>
            </w:pPr>
            <w:r>
              <w:rPr>
                <w:sz w:val="24"/>
              </w:rPr>
              <w:t xml:space="preserve">16.1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16.2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16.3</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blPrEx>
          <w:tblBorders>
            <w:insideV w:val="nil"/>
          </w:tblBorders>
        </w:tblPrEx>
        <w:tc>
          <w:tcPr>
            <w:gridSpan w:val="2"/>
            <w:tcW w:w="1176" w:type="dxa"/>
            <w:tcBorders>
              <w:left w:val="single" w:sz="4"/>
            </w:tcBorders>
          </w:tcPr>
          <w:bookmarkStart w:id="39890" w:name="P39890"/>
          <w:bookmarkEnd w:id="39890"/>
          <w:p>
            <w:pPr>
              <w:pStyle w:val="0"/>
              <w:outlineLvl w:val="3"/>
            </w:pPr>
            <w:r>
              <w:rPr>
                <w:sz w:val="24"/>
              </w:rPr>
              <w:t xml:space="preserve">Раздел 6.</w:t>
            </w:r>
          </w:p>
        </w:tc>
        <w:tc>
          <w:tcPr>
            <w:gridSpan w:val="3"/>
            <w:tcW w:w="7895" w:type="dxa"/>
            <w:tcBorders>
              <w:right w:val="single" w:sz="4"/>
            </w:tcBorders>
          </w:tcPr>
          <w:p>
            <w:pPr>
              <w:pStyle w:val="0"/>
            </w:pPr>
            <w:r>
              <w:rPr>
                <w:sz w:val="24"/>
              </w:rPr>
              <w:t xml:space="preserve">Сведения об облачных решениях, предоставляемых поставщиками услуг</w:t>
            </w:r>
          </w:p>
        </w:tc>
      </w:tr>
      <w:tr>
        <w:tc>
          <w:tcPr>
            <w:tcW w:w="907" w:type="dxa"/>
          </w:tcPr>
          <w:bookmarkStart w:id="39892" w:name="P39892"/>
          <w:bookmarkEnd w:id="39892"/>
          <w:p>
            <w:pPr>
              <w:pStyle w:val="0"/>
            </w:pPr>
            <w:r>
              <w:rPr>
                <w:sz w:val="24"/>
              </w:rPr>
              <w:t xml:space="preserve">17</w:t>
            </w:r>
          </w:p>
        </w:tc>
        <w:tc>
          <w:tcPr>
            <w:gridSpan w:val="2"/>
            <w:tcW w:w="2608" w:type="dxa"/>
          </w:tcPr>
          <w:p>
            <w:pPr>
              <w:pStyle w:val="0"/>
            </w:pPr>
            <w:r>
              <w:rPr>
                <w:sz w:val="24"/>
              </w:rPr>
              <w:t xml:space="preserve">Код функциональности (возможностей), получаемой (получаемых) отчитывающейся организацией в рамках облачных решений, предоставляемых поставщиком услуг</w:t>
            </w:r>
          </w:p>
        </w:tc>
        <w:tc>
          <w:tcPr>
            <w:tcW w:w="2608" w:type="dxa"/>
          </w:tcPr>
          <w:p>
            <w:pPr>
              <w:pStyle w:val="0"/>
            </w:pPr>
            <w:r>
              <w:rPr>
                <w:sz w:val="24"/>
              </w:rPr>
            </w:r>
          </w:p>
        </w:tc>
        <w:tc>
          <w:tcPr>
            <w:tcW w:w="2948" w:type="dxa"/>
          </w:tcPr>
          <w:p>
            <w:pPr>
              <w:pStyle w:val="0"/>
            </w:pPr>
            <w:r>
              <w:rPr>
                <w:sz w:val="24"/>
              </w:rPr>
              <w:t xml:space="preserve">nfo-dic:KodFunkcznalPoluchVRamOblachReshPredostPostUslEnumerator</w:t>
            </w:r>
          </w:p>
        </w:tc>
      </w:tr>
      <w:tr>
        <w:tc>
          <w:tcPr>
            <w:tcW w:w="907" w:type="dxa"/>
          </w:tcPr>
          <w:p>
            <w:pPr>
              <w:pStyle w:val="0"/>
            </w:pPr>
            <w:r>
              <w:rPr>
                <w:sz w:val="24"/>
              </w:rPr>
              <w:t xml:space="preserve">17.1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17.2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17.3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17.4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39912" w:name="P39912"/>
          <w:bookmarkEnd w:id="39912"/>
          <w:p>
            <w:pPr>
              <w:pStyle w:val="0"/>
            </w:pPr>
            <w:r>
              <w:rPr>
                <w:sz w:val="24"/>
              </w:rPr>
              <w:t xml:space="preserve">18</w:t>
            </w:r>
          </w:p>
        </w:tc>
        <w:tc>
          <w:tcPr>
            <w:gridSpan w:val="2"/>
            <w:tcW w:w="2608" w:type="dxa"/>
          </w:tcPr>
          <w:p>
            <w:pPr>
              <w:pStyle w:val="0"/>
            </w:pPr>
            <w:r>
              <w:rPr>
                <w:sz w:val="24"/>
              </w:rPr>
              <w:t xml:space="preserve">Код категории облачных решений, предоставляемых поставщиком услуг</w:t>
            </w:r>
          </w:p>
        </w:tc>
        <w:tc>
          <w:tcPr>
            <w:tcW w:w="2608" w:type="dxa"/>
          </w:tcPr>
          <w:p>
            <w:pPr>
              <w:pStyle w:val="0"/>
            </w:pPr>
            <w:r>
              <w:rPr>
                <w:sz w:val="24"/>
              </w:rPr>
            </w:r>
          </w:p>
        </w:tc>
        <w:tc>
          <w:tcPr>
            <w:tcW w:w="2948" w:type="dxa"/>
          </w:tcPr>
          <w:p>
            <w:pPr>
              <w:pStyle w:val="0"/>
            </w:pPr>
            <w:r>
              <w:rPr>
                <w:sz w:val="24"/>
              </w:rPr>
              <w:t xml:space="preserve">nfo-dic:KodKategoriiOblachReshenPredostPostavshhUslugEnumerator</w:t>
            </w:r>
          </w:p>
        </w:tc>
      </w:tr>
      <w:tr>
        <w:tc>
          <w:tcPr>
            <w:tcW w:w="907" w:type="dxa"/>
          </w:tcPr>
          <w:p>
            <w:pPr>
              <w:pStyle w:val="0"/>
            </w:pPr>
            <w:r>
              <w:rPr>
                <w:sz w:val="24"/>
              </w:rPr>
              <w:t xml:space="preserve">18.1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18.2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18.3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18.4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39932" w:name="P39932"/>
          <w:bookmarkEnd w:id="39932"/>
          <w:p>
            <w:pPr>
              <w:pStyle w:val="0"/>
            </w:pPr>
            <w:r>
              <w:rPr>
                <w:sz w:val="24"/>
              </w:rPr>
              <w:t xml:space="preserve">19</w:t>
            </w:r>
          </w:p>
        </w:tc>
        <w:tc>
          <w:tcPr>
            <w:gridSpan w:val="2"/>
            <w:tcW w:w="2608" w:type="dxa"/>
          </w:tcPr>
          <w:p>
            <w:pPr>
              <w:pStyle w:val="0"/>
            </w:pPr>
            <w:r>
              <w:rPr>
                <w:sz w:val="24"/>
              </w:rPr>
              <w:t xml:space="preserve">Адрес фактического нахождения центра обработки данных, предоставляющего услуги отчитывающейся организации</w:t>
            </w:r>
          </w:p>
        </w:tc>
        <w:tc>
          <w:tcPr>
            <w:tcW w:w="2608" w:type="dxa"/>
          </w:tcPr>
          <w:p>
            <w:pPr>
              <w:pStyle w:val="0"/>
            </w:pPr>
            <w:r>
              <w:rPr>
                <w:sz w:val="24"/>
              </w:rPr>
            </w:r>
          </w:p>
        </w:tc>
        <w:tc>
          <w:tcPr>
            <w:tcW w:w="2948" w:type="dxa"/>
          </w:tcPr>
          <w:p>
            <w:pPr>
              <w:pStyle w:val="0"/>
            </w:pPr>
            <w:r>
              <w:rPr>
                <w:sz w:val="24"/>
              </w:rPr>
              <w:t xml:space="preserve">nfo-dic:FaktAdr</w:t>
            </w:r>
          </w:p>
        </w:tc>
      </w:tr>
      <w:tr>
        <w:tc>
          <w:tcPr>
            <w:tcW w:w="907" w:type="dxa"/>
          </w:tcPr>
          <w:p>
            <w:pPr>
              <w:pStyle w:val="0"/>
            </w:pPr>
            <w:r>
              <w:rPr>
                <w:sz w:val="24"/>
              </w:rPr>
              <w:t xml:space="preserve">19.1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19.2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19.3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19.4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39952" w:name="P39952"/>
          <w:bookmarkEnd w:id="39952"/>
          <w:p>
            <w:pPr>
              <w:pStyle w:val="0"/>
            </w:pPr>
            <w:r>
              <w:rPr>
                <w:sz w:val="24"/>
              </w:rPr>
              <w:t xml:space="preserve">20</w:t>
            </w:r>
          </w:p>
        </w:tc>
        <w:tc>
          <w:tcPr>
            <w:gridSpan w:val="2"/>
            <w:tcW w:w="2608" w:type="dxa"/>
          </w:tcPr>
          <w:p>
            <w:pPr>
              <w:pStyle w:val="0"/>
            </w:pPr>
            <w:r>
              <w:rPr>
                <w:sz w:val="24"/>
              </w:rPr>
              <w:t xml:space="preserve">Идентификационный номер налогоплательщика (ИНН)</w:t>
            </w:r>
          </w:p>
        </w:tc>
        <w:tc>
          <w:tcPr>
            <w:tcW w:w="2608" w:type="dxa"/>
          </w:tcPr>
          <w:p>
            <w:pPr>
              <w:pStyle w:val="0"/>
            </w:pPr>
            <w:r>
              <w:rPr>
                <w:sz w:val="24"/>
              </w:rPr>
            </w:r>
          </w:p>
        </w:tc>
        <w:tc>
          <w:tcPr>
            <w:tcW w:w="2948" w:type="dxa"/>
          </w:tcPr>
          <w:p>
            <w:pPr>
              <w:pStyle w:val="0"/>
            </w:pPr>
            <w:r>
              <w:rPr>
                <w:sz w:val="24"/>
              </w:rPr>
              <w:t xml:space="preserve">nfo-dic:INN</w:t>
            </w:r>
          </w:p>
        </w:tc>
      </w:tr>
      <w:tr>
        <w:tc>
          <w:tcPr>
            <w:tcW w:w="907" w:type="dxa"/>
          </w:tcPr>
          <w:p>
            <w:pPr>
              <w:pStyle w:val="0"/>
            </w:pPr>
            <w:r>
              <w:rPr>
                <w:sz w:val="24"/>
              </w:rPr>
              <w:t xml:space="preserve">20.1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20.2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20.3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20.4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39972" w:name="P39972"/>
          <w:bookmarkEnd w:id="39972"/>
          <w:p>
            <w:pPr>
              <w:pStyle w:val="0"/>
            </w:pPr>
            <w:r>
              <w:rPr>
                <w:sz w:val="24"/>
              </w:rPr>
              <w:t xml:space="preserve">21</w:t>
            </w:r>
          </w:p>
        </w:tc>
        <w:tc>
          <w:tcPr>
            <w:gridSpan w:val="2"/>
            <w:tcW w:w="2608" w:type="dxa"/>
          </w:tcPr>
          <w:p>
            <w:pPr>
              <w:pStyle w:val="0"/>
            </w:pPr>
            <w:r>
              <w:rPr>
                <w:sz w:val="24"/>
              </w:rPr>
              <w:t xml:space="preserve">TIN</w:t>
            </w:r>
          </w:p>
        </w:tc>
        <w:tc>
          <w:tcPr>
            <w:tcW w:w="2608" w:type="dxa"/>
          </w:tcPr>
          <w:p>
            <w:pPr>
              <w:pStyle w:val="0"/>
            </w:pPr>
            <w:r>
              <w:rPr>
                <w:sz w:val="24"/>
              </w:rPr>
            </w:r>
          </w:p>
        </w:tc>
        <w:tc>
          <w:tcPr>
            <w:tcW w:w="2948" w:type="dxa"/>
          </w:tcPr>
          <w:p>
            <w:pPr>
              <w:pStyle w:val="0"/>
            </w:pPr>
            <w:r>
              <w:rPr>
                <w:sz w:val="24"/>
              </w:rPr>
              <w:t xml:space="preserve">nfo-dic:TIN</w:t>
            </w:r>
          </w:p>
        </w:tc>
      </w:tr>
      <w:tr>
        <w:tc>
          <w:tcPr>
            <w:tcW w:w="907" w:type="dxa"/>
          </w:tcPr>
          <w:p>
            <w:pPr>
              <w:pStyle w:val="0"/>
            </w:pPr>
            <w:r>
              <w:rPr>
                <w:sz w:val="24"/>
              </w:rPr>
              <w:t xml:space="preserve">21.1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21.2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21.3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21.4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39992" w:name="P39992"/>
          <w:bookmarkEnd w:id="39992"/>
          <w:p>
            <w:pPr>
              <w:pStyle w:val="0"/>
            </w:pPr>
            <w:r>
              <w:rPr>
                <w:sz w:val="24"/>
              </w:rPr>
              <w:t xml:space="preserve">22</w:t>
            </w:r>
          </w:p>
        </w:tc>
        <w:tc>
          <w:tcPr>
            <w:gridSpan w:val="2"/>
            <w:tcW w:w="2608" w:type="dxa"/>
          </w:tcPr>
          <w:p>
            <w:pPr>
              <w:pStyle w:val="0"/>
            </w:pPr>
            <w:r>
              <w:rPr>
                <w:sz w:val="24"/>
              </w:rPr>
              <w:t xml:space="preserve">Сведения о наличии у центра обработки данных сертификации</w:t>
            </w:r>
          </w:p>
        </w:tc>
        <w:tc>
          <w:tcPr>
            <w:tcW w:w="2608" w:type="dxa"/>
          </w:tcPr>
          <w:p>
            <w:pPr>
              <w:pStyle w:val="0"/>
            </w:pPr>
            <w:r>
              <w:rPr>
                <w:sz w:val="24"/>
              </w:rPr>
            </w:r>
          </w:p>
        </w:tc>
        <w:tc>
          <w:tcPr>
            <w:tcW w:w="2948" w:type="dxa"/>
          </w:tcPr>
          <w:p>
            <w:pPr>
              <w:pStyle w:val="0"/>
            </w:pPr>
            <w:r>
              <w:rPr>
                <w:sz w:val="24"/>
              </w:rPr>
              <w:t xml:space="preserve">nfo-dic:SvedONalichUCZODSertifikaczii</w:t>
            </w:r>
          </w:p>
        </w:tc>
      </w:tr>
      <w:tr>
        <w:tc>
          <w:tcPr>
            <w:tcW w:w="907" w:type="dxa"/>
          </w:tcPr>
          <w:p>
            <w:pPr>
              <w:pStyle w:val="0"/>
            </w:pPr>
            <w:r>
              <w:rPr>
                <w:sz w:val="24"/>
              </w:rPr>
              <w:t xml:space="preserve">22.1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22.2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22.3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22.4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40012" w:name="P40012"/>
          <w:bookmarkEnd w:id="40012"/>
          <w:p>
            <w:pPr>
              <w:pStyle w:val="0"/>
            </w:pPr>
            <w:r>
              <w:rPr>
                <w:sz w:val="24"/>
              </w:rPr>
              <w:t xml:space="preserve">23</w:t>
            </w:r>
          </w:p>
        </w:tc>
        <w:tc>
          <w:tcPr>
            <w:gridSpan w:val="2"/>
            <w:tcW w:w="2608" w:type="dxa"/>
          </w:tcPr>
          <w:p>
            <w:pPr>
              <w:pStyle w:val="0"/>
            </w:pPr>
            <w:r>
              <w:rPr>
                <w:sz w:val="24"/>
              </w:rPr>
              <w:t xml:space="preserve">Информация о наличии соглашения, определяющего требования, предъявляемые к уровню качества предоставляемых сервисов, между отчитывающейся организацией и оператором центра обработки данных</w:t>
            </w:r>
          </w:p>
        </w:tc>
        <w:tc>
          <w:tcPr>
            <w:tcW w:w="2608" w:type="dxa"/>
          </w:tcPr>
          <w:p>
            <w:pPr>
              <w:pStyle w:val="0"/>
            </w:pPr>
            <w:r>
              <w:rPr>
                <w:sz w:val="24"/>
              </w:rPr>
            </w:r>
          </w:p>
        </w:tc>
        <w:tc>
          <w:tcPr>
            <w:tcW w:w="2948" w:type="dxa"/>
          </w:tcPr>
          <w:p>
            <w:pPr>
              <w:pStyle w:val="0"/>
            </w:pPr>
            <w:r>
              <w:rPr>
                <w:sz w:val="24"/>
              </w:rPr>
              <w:t xml:space="preserve">nfo-dic:InformacziyaONalichiiSoglasheniyaSLAEnumerator</w:t>
            </w:r>
          </w:p>
        </w:tc>
      </w:tr>
      <w:tr>
        <w:tc>
          <w:tcPr>
            <w:tcW w:w="907" w:type="dxa"/>
          </w:tcPr>
          <w:p>
            <w:pPr>
              <w:pStyle w:val="0"/>
            </w:pPr>
            <w:r>
              <w:rPr>
                <w:sz w:val="24"/>
              </w:rPr>
              <w:t xml:space="preserve">23.1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23.2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23.3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23.4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40032" w:name="P40032"/>
          <w:bookmarkEnd w:id="40032"/>
          <w:p>
            <w:pPr>
              <w:pStyle w:val="0"/>
            </w:pPr>
            <w:r>
              <w:rPr>
                <w:sz w:val="24"/>
              </w:rPr>
              <w:t xml:space="preserve">24</w:t>
            </w:r>
          </w:p>
        </w:tc>
        <w:tc>
          <w:tcPr>
            <w:gridSpan w:val="2"/>
            <w:tcW w:w="2608" w:type="dxa"/>
          </w:tcPr>
          <w:p>
            <w:pPr>
              <w:pStyle w:val="0"/>
            </w:pPr>
            <w:r>
              <w:rPr>
                <w:sz w:val="24"/>
              </w:rPr>
              <w:t xml:space="preserve">Параметры надежности и отказоустойчивости, согласованные между отчитывающейся организацией и оператором центра обработки данных</w:t>
            </w:r>
          </w:p>
        </w:tc>
        <w:tc>
          <w:tcPr>
            <w:tcW w:w="2608" w:type="dxa"/>
          </w:tcPr>
          <w:p>
            <w:pPr>
              <w:pStyle w:val="0"/>
            </w:pPr>
            <w:r>
              <w:rPr>
                <w:sz w:val="24"/>
              </w:rPr>
            </w:r>
          </w:p>
        </w:tc>
        <w:tc>
          <w:tcPr>
            <w:tcW w:w="2948" w:type="dxa"/>
          </w:tcPr>
          <w:p>
            <w:pPr>
              <w:pStyle w:val="0"/>
            </w:pPr>
            <w:r>
              <w:rPr>
                <w:sz w:val="24"/>
              </w:rPr>
              <w:t xml:space="preserve">nfo-dic:ParamNadezhOtkazoustojchSoglasovNFOIOperatoromCZOD</w:t>
            </w:r>
          </w:p>
        </w:tc>
      </w:tr>
      <w:tr>
        <w:tc>
          <w:tcPr>
            <w:tcW w:w="907" w:type="dxa"/>
          </w:tcPr>
          <w:p>
            <w:pPr>
              <w:pStyle w:val="0"/>
            </w:pPr>
            <w:r>
              <w:rPr>
                <w:sz w:val="24"/>
              </w:rPr>
              <w:t xml:space="preserve">24.1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24.2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24.3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24.4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40052" w:name="P40052"/>
          <w:bookmarkEnd w:id="40052"/>
          <w:p>
            <w:pPr>
              <w:pStyle w:val="0"/>
            </w:pPr>
            <w:r>
              <w:rPr>
                <w:sz w:val="24"/>
              </w:rPr>
              <w:t xml:space="preserve">25</w:t>
            </w:r>
          </w:p>
        </w:tc>
        <w:tc>
          <w:tcPr>
            <w:gridSpan w:val="2"/>
            <w:tcW w:w="2608" w:type="dxa"/>
          </w:tcPr>
          <w:p>
            <w:pPr>
              <w:pStyle w:val="0"/>
            </w:pPr>
            <w:r>
              <w:rPr>
                <w:sz w:val="24"/>
              </w:rPr>
              <w:t xml:space="preserve">Информация об автоматизированных системах и приложениях</w:t>
            </w:r>
          </w:p>
        </w:tc>
        <w:tc>
          <w:tcPr>
            <w:tcW w:w="2608" w:type="dxa"/>
          </w:tcPr>
          <w:p>
            <w:pPr>
              <w:pStyle w:val="0"/>
            </w:pPr>
            <w:r>
              <w:rPr>
                <w:sz w:val="24"/>
              </w:rPr>
            </w:r>
          </w:p>
        </w:tc>
        <w:tc>
          <w:tcPr>
            <w:tcW w:w="2948" w:type="dxa"/>
          </w:tcPr>
          <w:p>
            <w:pPr>
              <w:pStyle w:val="0"/>
            </w:pPr>
            <w:r>
              <w:rPr>
                <w:sz w:val="24"/>
              </w:rPr>
              <w:t xml:space="preserve">nfo-dic:InformacziyaObAvtomatizirovannyxSistemaxIPrilozheniyax</w:t>
            </w:r>
          </w:p>
        </w:tc>
      </w:tr>
      <w:tr>
        <w:tc>
          <w:tcPr>
            <w:tcW w:w="907" w:type="dxa"/>
          </w:tcPr>
          <w:p>
            <w:pPr>
              <w:pStyle w:val="0"/>
            </w:pPr>
            <w:r>
              <w:rPr>
                <w:sz w:val="24"/>
              </w:rPr>
              <w:t xml:space="preserve">25.1</w:t>
            </w:r>
          </w:p>
        </w:tc>
        <w:tc>
          <w:tcPr>
            <w:gridSpan w:val="2"/>
            <w:tcW w:w="2608" w:type="dxa"/>
          </w:tcPr>
          <w:p>
            <w:pPr>
              <w:pStyle w:val="0"/>
            </w:pPr>
            <w:r>
              <w:rPr>
                <w:sz w:val="24"/>
              </w:rPr>
            </w:r>
          </w:p>
        </w:tc>
        <w:tc>
          <w:tcPr>
            <w:tcW w:w="2608" w:type="dxa"/>
          </w:tcPr>
          <w:p>
            <w:pPr>
              <w:pStyle w:val="0"/>
            </w:pPr>
            <w:r>
              <w:rPr>
                <w:sz w:val="24"/>
              </w:rPr>
              <w:t xml:space="preserve">Код технологического процесса</w:t>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25.2</w:t>
            </w:r>
          </w:p>
        </w:tc>
        <w:tc>
          <w:tcPr>
            <w:gridSpan w:val="2"/>
            <w:tcW w:w="2608" w:type="dxa"/>
          </w:tcPr>
          <w:p>
            <w:pPr>
              <w:pStyle w:val="0"/>
            </w:pPr>
            <w:r>
              <w:rPr>
                <w:sz w:val="24"/>
              </w:rPr>
            </w:r>
          </w:p>
        </w:tc>
        <w:tc>
          <w:tcPr>
            <w:tcW w:w="2608" w:type="dxa"/>
          </w:tcPr>
          <w:p>
            <w:pPr>
              <w:pStyle w:val="0"/>
            </w:pPr>
            <w:r>
              <w:rPr>
                <w:sz w:val="24"/>
              </w:rPr>
              <w:t xml:space="preserve">Код технологического участка</w:t>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25.3</w:t>
            </w:r>
          </w:p>
        </w:tc>
        <w:tc>
          <w:tcPr>
            <w:gridSpan w:val="2"/>
            <w:tcW w:w="2608" w:type="dxa"/>
          </w:tcPr>
          <w:p>
            <w:pPr>
              <w:pStyle w:val="0"/>
            </w:pPr>
            <w:r>
              <w:rPr>
                <w:sz w:val="24"/>
              </w:rPr>
            </w:r>
          </w:p>
        </w:tc>
        <w:tc>
          <w:tcPr>
            <w:tcW w:w="2608" w:type="dxa"/>
          </w:tcPr>
          <w:p>
            <w:pPr>
              <w:pStyle w:val="0"/>
            </w:pPr>
            <w:r>
              <w:rPr>
                <w:sz w:val="24"/>
              </w:rPr>
              <w:t xml:space="preserve">Полное наименование (полное фирменное наименование) или фамилия, имя, отчество (при наличии) оператора центра обработки данных</w:t>
            </w:r>
          </w:p>
        </w:tc>
        <w:tc>
          <w:tcPr>
            <w:tcW w:w="2948" w:type="dxa"/>
          </w:tcPr>
          <w:p>
            <w:pPr>
              <w:pStyle w:val="0"/>
            </w:pPr>
            <w:r>
              <w:rPr>
                <w:sz w:val="24"/>
              </w:rPr>
              <w:t xml:space="preserve">dim-int:PolnFirmNaimenOperatoraCZentraObrabotkiDannyxTaxis</w:t>
            </w:r>
          </w:p>
        </w:tc>
      </w:tr>
      <w:tr>
        <w:tc>
          <w:tcPr>
            <w:tcW w:w="907" w:type="dxa"/>
          </w:tcPr>
          <w:p>
            <w:pPr>
              <w:pStyle w:val="0"/>
            </w:pPr>
            <w:r>
              <w:rPr>
                <w:sz w:val="24"/>
              </w:rPr>
              <w:t xml:space="preserve">25.4</w:t>
            </w:r>
          </w:p>
        </w:tc>
        <w:tc>
          <w:tcPr>
            <w:gridSpan w:val="2"/>
            <w:tcW w:w="2608" w:type="dxa"/>
          </w:tcPr>
          <w:p>
            <w:pPr>
              <w:pStyle w:val="0"/>
            </w:pPr>
            <w:r>
              <w:rPr>
                <w:sz w:val="24"/>
              </w:rPr>
            </w:r>
          </w:p>
        </w:tc>
        <w:tc>
          <w:tcPr>
            <w:tcW w:w="2608" w:type="dxa"/>
          </w:tcPr>
          <w:p>
            <w:pPr>
              <w:pStyle w:val="0"/>
            </w:pPr>
            <w:r>
              <w:rPr>
                <w:sz w:val="24"/>
              </w:rPr>
              <w:t xml:space="preserve">Идентификатор автоматизированных систем и приложений</w:t>
            </w:r>
          </w:p>
        </w:tc>
        <w:tc>
          <w:tcPr>
            <w:tcW w:w="2948" w:type="dxa"/>
          </w:tcPr>
          <w:p>
            <w:pPr>
              <w:pStyle w:val="0"/>
            </w:pPr>
            <w:r>
              <w:rPr>
                <w:sz w:val="24"/>
              </w:rPr>
              <w:t xml:space="preserve">dim-int:IDAvtomatizSistemIPrilozhTaxis</w:t>
            </w:r>
          </w:p>
        </w:tc>
      </w:tr>
      <w:tr>
        <w:tc>
          <w:tcPr>
            <w:tcW w:w="907" w:type="dxa"/>
          </w:tcPr>
          <w:bookmarkStart w:id="40072" w:name="P40072"/>
          <w:bookmarkEnd w:id="40072"/>
          <w:p>
            <w:pPr>
              <w:pStyle w:val="0"/>
            </w:pPr>
            <w:r>
              <w:rPr>
                <w:sz w:val="24"/>
              </w:rPr>
              <w:t xml:space="preserve">26</w:t>
            </w:r>
          </w:p>
        </w:tc>
        <w:tc>
          <w:tcPr>
            <w:gridSpan w:val="2"/>
            <w:tcW w:w="2608" w:type="dxa"/>
          </w:tcPr>
          <w:p>
            <w:pPr>
              <w:pStyle w:val="0"/>
            </w:pPr>
            <w:r>
              <w:rPr>
                <w:sz w:val="24"/>
              </w:rPr>
              <w:t xml:space="preserve">Примечание</w:t>
            </w:r>
          </w:p>
        </w:tc>
        <w:tc>
          <w:tcPr>
            <w:tcW w:w="2608" w:type="dxa"/>
          </w:tcPr>
          <w:p>
            <w:pPr>
              <w:pStyle w:val="0"/>
            </w:pPr>
            <w:r>
              <w:rPr>
                <w:sz w:val="24"/>
              </w:rPr>
            </w:r>
          </w:p>
        </w:tc>
        <w:tc>
          <w:tcPr>
            <w:tcW w:w="2948" w:type="dxa"/>
          </w:tcPr>
          <w:p>
            <w:pPr>
              <w:pStyle w:val="0"/>
            </w:pPr>
            <w:r>
              <w:rPr>
                <w:sz w:val="24"/>
              </w:rPr>
              <w:t xml:space="preserve">nfo-dic:Primechanie</w:t>
            </w:r>
          </w:p>
        </w:tc>
      </w:tr>
    </w:tbl>
    <w:p>
      <w:pPr>
        <w:pStyle w:val="0"/>
        <w:ind w:firstLine="540"/>
        <w:jc w:val="both"/>
      </w:pPr>
      <w:r>
        <w:rPr>
          <w:sz w:val="24"/>
        </w:rPr>
      </w:r>
    </w:p>
    <w:p>
      <w:pPr>
        <w:pStyle w:val="0"/>
        <w:ind w:firstLine="540"/>
        <w:jc w:val="both"/>
      </w:pPr>
      <w:r>
        <w:rPr>
          <w:sz w:val="24"/>
        </w:rPr>
        <w:t xml:space="preserve">--------------------------------</w:t>
      </w:r>
    </w:p>
    <w:bookmarkStart w:id="40078" w:name="P40078"/>
    <w:bookmarkEnd w:id="40078"/>
    <w:p>
      <w:pPr>
        <w:pStyle w:val="0"/>
        <w:spacing w:before="240" w:lineRule="auto"/>
        <w:ind w:firstLine="540"/>
        <w:jc w:val="both"/>
      </w:pPr>
      <w:r>
        <w:rPr>
          <w:sz w:val="24"/>
        </w:rPr>
        <w:t xml:space="preserve">&lt;1&gt; Общероссийский </w:t>
      </w:r>
      <w:hyperlink w:history="0" r:id="rId672"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bookmarkStart w:id="40079" w:name="P40079"/>
    <w:bookmarkEnd w:id="40079"/>
    <w:p>
      <w:pPr>
        <w:pStyle w:val="0"/>
        <w:spacing w:before="240" w:lineRule="auto"/>
        <w:ind w:firstLine="540"/>
        <w:jc w:val="both"/>
      </w:pPr>
      <w:r>
        <w:rPr>
          <w:sz w:val="24"/>
        </w:rPr>
        <w:t xml:space="preserve">&lt;2&gt; В соответствии с </w:t>
      </w:r>
      <w:hyperlink w:history="0" r:id="rId673" w:tooltip="&quot;ГОСТ Р 57580.1-2017. Национальный стандарт Российской Федерации. Безопасность финансовых (банковских) операций. Защита информации финансовых организаций. Базовый состав организационных и технических мер&quot; (утв. и введен в действие Приказом Росстандарта от 08.08.2017 N 822-ст) {КонсультантПлюс}">
        <w:r>
          <w:rPr>
            <w:sz w:val="24"/>
            <w:color w:val="0000ff"/>
          </w:rPr>
          <w:t xml:space="preserve">пунктом 3.6</w:t>
        </w:r>
      </w:hyperlink>
      <w:r>
        <w:rPr>
          <w:sz w:val="24"/>
        </w:rPr>
        <w:t xml:space="preserve"> национального стандарта Российской Федерации ГОСТ Р 57580.1-2017 "Безопасность финансовых (банковских) операций. Защита информации финансовых организаций. Базовый состав организационных и технических мер", утвержденного </w:t>
      </w:r>
      <w:hyperlink w:history="0" r:id="rId674" w:tooltip="Приказ Росстандарта от 08.08.2017 N 822-ст &quot;Об утверждении национального стандарта Российской Федерации&quot; {КонсультантПлюс}">
        <w:r>
          <w:rPr>
            <w:sz w:val="24"/>
            <w:color w:val="0000ff"/>
          </w:rPr>
          <w:t xml:space="preserve">приказом</w:t>
        </w:r>
      </w:hyperlink>
      <w:r>
        <w:rPr>
          <w:sz w:val="24"/>
        </w:rPr>
        <w:t xml:space="preserve"> Федерального агентства по техническому регулированию и метрологии от 8 августа 2017 года N 822-ст (М., ФГУП "Стандартинформ", 2017) и введенного в действие 1 января 2018 года.</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0420174 "Сведения</w:t>
      </w:r>
    </w:p>
    <w:p>
      <w:pPr>
        <w:pStyle w:val="0"/>
        <w:jc w:val="center"/>
      </w:pPr>
      <w:r>
        <w:rPr>
          <w:sz w:val="24"/>
        </w:rPr>
        <w:t xml:space="preserve">о показателях операционной надежности страховой организации</w:t>
      </w:r>
    </w:p>
    <w:p>
      <w:pPr>
        <w:pStyle w:val="0"/>
        <w:jc w:val="center"/>
      </w:pPr>
      <w:r>
        <w:rPr>
          <w:sz w:val="24"/>
        </w:rPr>
        <w:t xml:space="preserve">и применяемых ею информационных технологиях"</w:t>
      </w:r>
    </w:p>
    <w:p>
      <w:pPr>
        <w:pStyle w:val="0"/>
        <w:ind w:firstLine="540"/>
        <w:jc w:val="both"/>
      </w:pPr>
      <w:r>
        <w:rPr>
          <w:sz w:val="24"/>
        </w:rPr>
      </w:r>
    </w:p>
    <w:p>
      <w:pPr>
        <w:pStyle w:val="0"/>
        <w:ind w:firstLine="540"/>
        <w:jc w:val="both"/>
      </w:pPr>
      <w:r>
        <w:rPr>
          <w:sz w:val="24"/>
        </w:rPr>
        <w:t xml:space="preserve">1. Отчетность по </w:t>
      </w:r>
      <w:hyperlink w:history="0" w:anchor="P39700" w:tooltip="Отчетность по форме 0420174">
        <w:r>
          <w:rPr>
            <w:sz w:val="24"/>
            <w:color w:val="0000ff"/>
          </w:rPr>
          <w:t xml:space="preserve">форме 0420174</w:t>
        </w:r>
      </w:hyperlink>
      <w:r>
        <w:rPr>
          <w:sz w:val="24"/>
        </w:rPr>
        <w:t xml:space="preserve"> "Сведения о показателях операционной надежности страховой организации и применяемых ею информационных технологиях" (далее - отчетность по форме 0420174) составляется страховыми организациями, указанными в </w:t>
      </w:r>
      <w:hyperlink w:history="0" r:id="rId675"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абзаце пятом подпункта 1.4.3</w:t>
        </w:r>
      </w:hyperlink>
      <w:r>
        <w:rPr>
          <w:sz w:val="24"/>
        </w:rPr>
        <w:t xml:space="preserve"> и </w:t>
      </w:r>
      <w:hyperlink w:history="0" r:id="rId676"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абзаце девятом подпункта 1.4.4 пункта 1.4</w:t>
        </w:r>
      </w:hyperlink>
      <w:r>
        <w:rPr>
          <w:sz w:val="24"/>
        </w:rPr>
        <w:t xml:space="preserve"> Положения Банка России от 20 апреля 2021 года N 757-П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&lt;1&gt;, посредством формирования предусмотренных в ней показателей за I, II, III и IV кварталы (далее - отчетный период) по состоянию на последний календарный день отчетного периода включительно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 </w:t>
      </w:r>
      <w:hyperlink w:history="0" w:anchor="P54291" w:tooltip="5. Для резидентов указывается идентификационный номер налогоплательщика (далее - ИНН): десятизначный для юридических лиц и двенадцатизначный для физических лиц (в том числе индивидуальных предпринимателей).">
        <w:r>
          <w:rPr>
            <w:sz w:val="24"/>
            <w:color w:val="0000ff"/>
          </w:rPr>
          <w:t xml:space="preserve">5</w:t>
        </w:r>
      </w:hyperlink>
      <w:r>
        <w:rPr>
          <w:sz w:val="24"/>
        </w:rPr>
        <w:t xml:space="preserve">, </w:t>
      </w:r>
      <w:hyperlink w:history="0" w:anchor="P54302" w:tooltip="8. При указании адресов юридических лиц и физических лиц на территории Российской Федерации используется определенная последовательность написания адреса, соответствующая последовательности адресообразующих элементов в структуре адреса, предусмотренной пунктом 44 Правил присвоения, изменения и аннулирования адресов, утвержденных постановлением Правительства Российской Федерации от 19 ноября 2014 года N 1221. Адресообразующие элементы указываются через символ &quot;,&quot; (запятая) с отступом (пробелом).">
        <w:r>
          <w:rPr>
            <w:sz w:val="24"/>
            <w:color w:val="0000ff"/>
          </w:rPr>
          <w:t xml:space="preserve">8</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15 июня 2021 года, регистрационный N 63880.</w:t>
      </w:r>
    </w:p>
    <w:p>
      <w:pPr>
        <w:pStyle w:val="0"/>
        <w:ind w:firstLine="540"/>
        <w:jc w:val="both"/>
      </w:pPr>
      <w:r>
        <w:rPr>
          <w:sz w:val="24"/>
        </w:rPr>
      </w:r>
    </w:p>
    <w:p>
      <w:pPr>
        <w:pStyle w:val="0"/>
        <w:ind w:firstLine="540"/>
        <w:jc w:val="both"/>
      </w:pPr>
      <w:r>
        <w:rPr>
          <w:sz w:val="24"/>
        </w:rPr>
        <w:t xml:space="preserve">В отчетности по </w:t>
      </w:r>
      <w:hyperlink w:history="0" w:anchor="P39700" w:tooltip="Отчетность по форме 0420174">
        <w:r>
          <w:rPr>
            <w:sz w:val="24"/>
            <w:color w:val="0000ff"/>
          </w:rPr>
          <w:t xml:space="preserve">форме 0420174</w:t>
        </w:r>
      </w:hyperlink>
      <w:r>
        <w:rPr>
          <w:sz w:val="24"/>
        </w:rPr>
        <w:t xml:space="preserve"> за I, II и III кварталы указываются значения следующих показателей:</w:t>
      </w:r>
    </w:p>
    <w:p>
      <w:pPr>
        <w:pStyle w:val="0"/>
        <w:spacing w:before="240" w:lineRule="auto"/>
        <w:ind w:firstLine="540"/>
        <w:jc w:val="both"/>
      </w:pPr>
      <w:r>
        <w:rPr>
          <w:sz w:val="24"/>
        </w:rPr>
        <w:t xml:space="preserve">показателя "Продолжительность времени работы (функционирования) технологического процесса" </w:t>
      </w:r>
      <w:hyperlink w:history="0" w:anchor="P39726" w:tooltip="2">
        <w:r>
          <w:rPr>
            <w:sz w:val="24"/>
            <w:color w:val="0000ff"/>
          </w:rPr>
          <w:t xml:space="preserve">(строка 2)</w:t>
        </w:r>
      </w:hyperlink>
      <w:r>
        <w:rPr>
          <w:sz w:val="24"/>
        </w:rPr>
        <w:t xml:space="preserve">;</w:t>
      </w:r>
    </w:p>
    <w:p>
      <w:pPr>
        <w:pStyle w:val="0"/>
        <w:spacing w:before="240" w:lineRule="auto"/>
        <w:ind w:firstLine="540"/>
        <w:jc w:val="both"/>
      </w:pPr>
      <w:r>
        <w:rPr>
          <w:sz w:val="24"/>
        </w:rPr>
        <w:t xml:space="preserve">показателя "Суммарное время простоя и (или) деградации технологического процесса" </w:t>
      </w:r>
      <w:hyperlink w:history="0" w:anchor="P39760" w:tooltip="6">
        <w:r>
          <w:rPr>
            <w:sz w:val="24"/>
            <w:color w:val="0000ff"/>
          </w:rPr>
          <w:t xml:space="preserve">(строка 6)</w:t>
        </w:r>
      </w:hyperlink>
      <w:r>
        <w:rPr>
          <w:sz w:val="24"/>
        </w:rPr>
        <w:t xml:space="preserve">;</w:t>
      </w:r>
    </w:p>
    <w:p>
      <w:pPr>
        <w:pStyle w:val="0"/>
        <w:spacing w:before="240" w:lineRule="auto"/>
        <w:ind w:firstLine="540"/>
        <w:jc w:val="both"/>
      </w:pPr>
      <w:r>
        <w:rPr>
          <w:sz w:val="24"/>
        </w:rPr>
        <w:t xml:space="preserve">показателей </w:t>
      </w:r>
      <w:hyperlink w:history="0" w:anchor="P39716" w:tooltip="Раздел 1.">
        <w:r>
          <w:rPr>
            <w:sz w:val="24"/>
            <w:color w:val="0000ff"/>
          </w:rPr>
          <w:t xml:space="preserve">разделов 1</w:t>
        </w:r>
      </w:hyperlink>
      <w:r>
        <w:rPr>
          <w:sz w:val="24"/>
        </w:rPr>
        <w:t xml:space="preserve"> - </w:t>
      </w:r>
      <w:hyperlink w:history="0" w:anchor="P39890" w:tooltip="Раздел 6.">
        <w:r>
          <w:rPr>
            <w:sz w:val="24"/>
            <w:color w:val="0000ff"/>
          </w:rPr>
          <w:t xml:space="preserve">6</w:t>
        </w:r>
      </w:hyperlink>
      <w:r>
        <w:rPr>
          <w:sz w:val="24"/>
        </w:rPr>
        <w:t xml:space="preserve">, за исключением показателей "Продолжительность времени работы (функционирования) технологического процесса" </w:t>
      </w:r>
      <w:hyperlink w:history="0" w:anchor="P39726" w:tooltip="2">
        <w:r>
          <w:rPr>
            <w:sz w:val="24"/>
            <w:color w:val="0000ff"/>
          </w:rPr>
          <w:t xml:space="preserve">(строка 2)</w:t>
        </w:r>
      </w:hyperlink>
      <w:r>
        <w:rPr>
          <w:sz w:val="24"/>
        </w:rPr>
        <w:t xml:space="preserve"> и "Суммарное время простоя и (или) деградации технологического процесса" </w:t>
      </w:r>
      <w:hyperlink w:history="0" w:anchor="P39760" w:tooltip="6">
        <w:r>
          <w:rPr>
            <w:sz w:val="24"/>
            <w:color w:val="0000ff"/>
          </w:rPr>
          <w:t xml:space="preserve">(строка 6)</w:t>
        </w:r>
      </w:hyperlink>
      <w:r>
        <w:rPr>
          <w:sz w:val="24"/>
        </w:rPr>
        <w:t xml:space="preserve">, - в случае изменения значений таких показателей, представленных за период, предшествующий отчетному периоду.</w:t>
      </w:r>
    </w:p>
    <w:p>
      <w:pPr>
        <w:pStyle w:val="0"/>
        <w:spacing w:before="240" w:lineRule="auto"/>
        <w:ind w:firstLine="540"/>
        <w:jc w:val="both"/>
      </w:pPr>
      <w:r>
        <w:rPr>
          <w:sz w:val="24"/>
        </w:rPr>
        <w:t xml:space="preserve">В отчетности по </w:t>
      </w:r>
      <w:hyperlink w:history="0" w:anchor="P39700" w:tooltip="Отчетность по форме 0420174">
        <w:r>
          <w:rPr>
            <w:sz w:val="24"/>
            <w:color w:val="0000ff"/>
          </w:rPr>
          <w:t xml:space="preserve">форме 0420174</w:t>
        </w:r>
      </w:hyperlink>
      <w:r>
        <w:rPr>
          <w:sz w:val="24"/>
        </w:rPr>
        <w:t xml:space="preserve"> за IV квартал значения показателей указываются в полном объеме.</w:t>
      </w:r>
    </w:p>
    <w:bookmarkStart w:id="40095" w:name="P40095"/>
    <w:bookmarkEnd w:id="40095"/>
    <w:p>
      <w:pPr>
        <w:pStyle w:val="0"/>
        <w:spacing w:before="240" w:lineRule="auto"/>
        <w:ind w:firstLine="540"/>
        <w:jc w:val="both"/>
      </w:pPr>
      <w:r>
        <w:rPr>
          <w:sz w:val="24"/>
        </w:rPr>
        <w:t xml:space="preserve">2. Информация по показателям </w:t>
      </w:r>
      <w:hyperlink w:history="0" w:anchor="P39716" w:tooltip="Раздел 1.">
        <w:r>
          <w:rPr>
            <w:sz w:val="24"/>
            <w:color w:val="0000ff"/>
          </w:rPr>
          <w:t xml:space="preserve">раздела 1</w:t>
        </w:r>
      </w:hyperlink>
      <w:r>
        <w:rPr>
          <w:sz w:val="24"/>
        </w:rPr>
        <w:t xml:space="preserve"> отчетности по форме 0420174 раскрывается страховой организацией по аналитическим признакам группы аналитических признаков "Код технологического процесса" по всем технологическим процессам, обеспечивающим осуществление деятельности страховой организации в сфере финансовых рынков (далее - технологические процессы), в соответствии со следующими кодами:</w:t>
      </w:r>
    </w:p>
    <w:p>
      <w:pPr>
        <w:pStyle w:val="0"/>
        <w:spacing w:before="240" w:lineRule="auto"/>
        <w:ind w:firstLine="540"/>
        <w:jc w:val="both"/>
      </w:pPr>
      <w:r>
        <w:rPr>
          <w:sz w:val="24"/>
        </w:rPr>
        <w:t xml:space="preserve">ТПрНФО31 - технологический процесс, обеспечивающий учет страховых случаев;</w:t>
      </w:r>
    </w:p>
    <w:p>
      <w:pPr>
        <w:pStyle w:val="0"/>
        <w:spacing w:before="240" w:lineRule="auto"/>
        <w:ind w:firstLine="540"/>
        <w:jc w:val="both"/>
      </w:pPr>
      <w:r>
        <w:rPr>
          <w:sz w:val="24"/>
        </w:rPr>
        <w:t xml:space="preserve">ТПрНФО32 - технологический процесс, обеспечивающий возврат страховой премии;</w:t>
      </w:r>
    </w:p>
    <w:p>
      <w:pPr>
        <w:pStyle w:val="0"/>
        <w:spacing w:before="240" w:lineRule="auto"/>
        <w:ind w:firstLine="540"/>
        <w:jc w:val="both"/>
      </w:pPr>
      <w:r>
        <w:rPr>
          <w:sz w:val="24"/>
        </w:rPr>
        <w:t xml:space="preserve">ТПрНФО33 - технологический процесс, обеспечивающий работу сайтов в части размещения информации, предусмотренной </w:t>
      </w:r>
      <w:hyperlink w:history="0" r:id="rId677"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6 статьи 6</w:t>
        </w:r>
      </w:hyperlink>
      <w:r>
        <w:rPr>
          <w:sz w:val="24"/>
        </w:rPr>
        <w:t xml:space="preserve"> Закона Российской Федерации от 27 ноября 1992 года N 4015-I "Об организации страхового дела в Российской Федерации".</w:t>
      </w:r>
    </w:p>
    <w:p>
      <w:pPr>
        <w:pStyle w:val="0"/>
        <w:spacing w:before="240" w:lineRule="auto"/>
        <w:ind w:firstLine="540"/>
        <w:jc w:val="both"/>
      </w:pPr>
      <w:r>
        <w:rPr>
          <w:sz w:val="24"/>
        </w:rPr>
        <w:t xml:space="preserve">Информация по показателям </w:t>
      </w:r>
      <w:hyperlink w:history="0" w:anchor="P39716" w:tooltip="Раздел 1.">
        <w:r>
          <w:rPr>
            <w:sz w:val="24"/>
            <w:color w:val="0000ff"/>
          </w:rPr>
          <w:t xml:space="preserve">раздела 1</w:t>
        </w:r>
      </w:hyperlink>
      <w:r>
        <w:rPr>
          <w:sz w:val="24"/>
        </w:rPr>
        <w:t xml:space="preserve"> отчетности по форме 0420174 раскрывается страховой организацией, имеющей лицензию на осуществление добровольного страхования жизни и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при осуществлении деятельности по доверительному управлению паевыми инвестиционными фондами по аналитическим признакам группы аналитических признаков "Код технологического процесса" в соответствии со следующими кодами:</w:t>
      </w:r>
    </w:p>
    <w:p>
      <w:pPr>
        <w:pStyle w:val="0"/>
        <w:spacing w:before="240" w:lineRule="auto"/>
        <w:ind w:firstLine="540"/>
        <w:jc w:val="both"/>
      </w:pPr>
      <w:r>
        <w:rPr>
          <w:sz w:val="24"/>
        </w:rPr>
        <w:t xml:space="preserve">ТПрНФО25 - технологический процесс, обеспечивающий доверительное управление имуществом паевых инвестиционных фондов, в том числе осуществление прав, удостоверенных ценными бумагами, составляющими имущество паевых инвестиционных фондов;</w:t>
      </w:r>
    </w:p>
    <w:p>
      <w:pPr>
        <w:pStyle w:val="0"/>
        <w:spacing w:before="240" w:lineRule="auto"/>
        <w:ind w:firstLine="540"/>
        <w:jc w:val="both"/>
      </w:pPr>
      <w:r>
        <w:rPr>
          <w:sz w:val="24"/>
        </w:rPr>
        <w:t xml:space="preserve">ТПрНФО26 - технологический процесс, обеспечивающий реализацию прав владельцев инвестиционных паев;</w:t>
      </w:r>
    </w:p>
    <w:p>
      <w:pPr>
        <w:pStyle w:val="0"/>
        <w:spacing w:before="240" w:lineRule="auto"/>
        <w:ind w:firstLine="540"/>
        <w:jc w:val="both"/>
      </w:pPr>
      <w:r>
        <w:rPr>
          <w:sz w:val="24"/>
        </w:rPr>
        <w:t xml:space="preserve">ТПрНФО27 - технологический процесс, обеспечивающий осуществление учета имущества паевых инвестиционных фондов и контроля за распоряжением им, в том числе процесс взаимодействия со специализированным депозитарием.</w:t>
      </w:r>
    </w:p>
    <w:p>
      <w:pPr>
        <w:pStyle w:val="0"/>
        <w:spacing w:before="240" w:lineRule="auto"/>
        <w:ind w:firstLine="540"/>
        <w:jc w:val="both"/>
      </w:pPr>
      <w:r>
        <w:rPr>
          <w:sz w:val="24"/>
        </w:rPr>
        <w:t xml:space="preserve">В </w:t>
      </w:r>
      <w:hyperlink w:history="0" w:anchor="P39716" w:tooltip="Раздел 1.">
        <w:r>
          <w:rPr>
            <w:sz w:val="24"/>
            <w:color w:val="0000ff"/>
          </w:rPr>
          <w:t xml:space="preserve">разделе 1</w:t>
        </w:r>
      </w:hyperlink>
      <w:r>
        <w:rPr>
          <w:sz w:val="24"/>
        </w:rPr>
        <w:t xml:space="preserve"> отчетности по форме 0420174 указываются сведения обо всех технологических процессах, коды для которых предусмотрены настоящим пунктом.</w:t>
      </w:r>
    </w:p>
    <w:p>
      <w:pPr>
        <w:pStyle w:val="0"/>
        <w:spacing w:before="240" w:lineRule="auto"/>
        <w:ind w:firstLine="540"/>
        <w:jc w:val="both"/>
      </w:pPr>
      <w:r>
        <w:rPr>
          <w:sz w:val="24"/>
        </w:rPr>
        <w:t xml:space="preserve">2.1. По показателю "Описание технологического процесса" </w:t>
      </w:r>
      <w:hyperlink w:history="0" w:anchor="P39718" w:tooltip="1">
        <w:r>
          <w:rPr>
            <w:sz w:val="24"/>
            <w:color w:val="0000ff"/>
          </w:rPr>
          <w:t xml:space="preserve">(строка 1)</w:t>
        </w:r>
      </w:hyperlink>
      <w:r>
        <w:rPr>
          <w:sz w:val="24"/>
        </w:rPr>
        <w:t xml:space="preserve"> приводится описание технологического процесса, в рамках которого осуществляется эксплуатация объектов информационной инфраструктуры, применяемых страховой организацией, в случае необходимости его детализации и уточнения.</w:t>
      </w:r>
    </w:p>
    <w:p>
      <w:pPr>
        <w:pStyle w:val="0"/>
        <w:spacing w:before="240" w:lineRule="auto"/>
        <w:ind w:firstLine="540"/>
        <w:jc w:val="both"/>
      </w:pPr>
      <w:r>
        <w:rPr>
          <w:sz w:val="24"/>
        </w:rPr>
        <w:t xml:space="preserve">2.2. По показателю "Продолжительность времени работы (функционирования) технологического процесса" </w:t>
      </w:r>
      <w:hyperlink w:history="0" w:anchor="P39726" w:tooltip="2">
        <w:r>
          <w:rPr>
            <w:sz w:val="24"/>
            <w:color w:val="0000ff"/>
          </w:rPr>
          <w:t xml:space="preserve">(строка 2)</w:t>
        </w:r>
      </w:hyperlink>
      <w:r>
        <w:rPr>
          <w:sz w:val="24"/>
        </w:rPr>
        <w:t xml:space="preserve"> указывается планируемое страховой организацией общее количество минут функционирования технологического процесса в следующем отчетном периоде с учетом установленного режима работы (времени начала, времени окончания, продолжительности и последовательности процедур в рамках данного технологического процесса), в том числе выходных и нерабочих праздничных дней, признаваемых таковыми в соответствии со </w:t>
      </w:r>
      <w:hyperlink w:history="0" r:id="rId678" w:tooltip="&quot;Трудовой кодекс Российской Федерации&quot; от 30.12.2001 N 197-ФЗ (ред. от 28.12.2025) {КонсультантПлюс}">
        <w:r>
          <w:rPr>
            <w:sz w:val="24"/>
            <w:color w:val="0000ff"/>
          </w:rPr>
          <w:t xml:space="preserve">статьями 111</w:t>
        </w:r>
      </w:hyperlink>
      <w:r>
        <w:rPr>
          <w:sz w:val="24"/>
        </w:rPr>
        <w:t xml:space="preserve"> и </w:t>
      </w:r>
      <w:hyperlink w:history="0" r:id="rId679" w:tooltip="&quot;Трудовой кодекс Российской Федерации&quot; от 30.12.2001 N 197-ФЗ (ред. от 28.12.2025) {КонсультантПлюс}">
        <w:r>
          <w:rPr>
            <w:sz w:val="24"/>
            <w:color w:val="0000ff"/>
          </w:rPr>
          <w:t xml:space="preserve">112</w:t>
        </w:r>
      </w:hyperlink>
      <w:r>
        <w:rPr>
          <w:sz w:val="24"/>
        </w:rPr>
        <w:t xml:space="preserve"> Трудового кодекса Российской Федерации (информация по показателю указывается в минутах).</w:t>
      </w:r>
    </w:p>
    <w:p>
      <w:pPr>
        <w:pStyle w:val="0"/>
        <w:spacing w:before="240" w:lineRule="auto"/>
        <w:ind w:firstLine="540"/>
        <w:jc w:val="both"/>
      </w:pPr>
      <w:r>
        <w:rPr>
          <w:sz w:val="24"/>
        </w:rPr>
        <w:t xml:space="preserve">2.3. Сведения о не осуществляемом страховой организацией технологическом процессе указываются по показателю "Описание технологического процесса" </w:t>
      </w:r>
      <w:hyperlink w:history="0" w:anchor="P39718" w:tooltip="1">
        <w:r>
          <w:rPr>
            <w:sz w:val="24"/>
            <w:color w:val="0000ff"/>
          </w:rPr>
          <w:t xml:space="preserve">(строка 1)</w:t>
        </w:r>
      </w:hyperlink>
      <w:r>
        <w:rPr>
          <w:sz w:val="24"/>
        </w:rPr>
        <w:t xml:space="preserve"> по аналитическому признаку группы аналитических признаков "Код технологического процесса", соответствующему указанному технологическому процессу; по показателю "Продолжительность времени работы (функционирования) технологического процесса" </w:t>
      </w:r>
      <w:hyperlink w:history="0" w:anchor="P39726" w:tooltip="2">
        <w:r>
          <w:rPr>
            <w:sz w:val="24"/>
            <w:color w:val="0000ff"/>
          </w:rPr>
          <w:t xml:space="preserve">(строка 2)</w:t>
        </w:r>
      </w:hyperlink>
      <w:r>
        <w:rPr>
          <w:sz w:val="24"/>
        </w:rPr>
        <w:t xml:space="preserve"> по указанному аналитическому признаку группы аналитических признаков "Код технологического процесса" указывается значение 0 (ноль).</w:t>
      </w:r>
    </w:p>
    <w:p>
      <w:pPr>
        <w:pStyle w:val="0"/>
        <w:spacing w:before="240" w:lineRule="auto"/>
        <w:ind w:firstLine="540"/>
        <w:jc w:val="both"/>
      </w:pPr>
      <w:r>
        <w:rPr>
          <w:sz w:val="24"/>
        </w:rPr>
        <w:t xml:space="preserve">В </w:t>
      </w:r>
      <w:hyperlink w:history="0" w:anchor="P39734" w:tooltip="Раздел 2.">
        <w:r>
          <w:rPr>
            <w:sz w:val="24"/>
            <w:color w:val="0000ff"/>
          </w:rPr>
          <w:t xml:space="preserve">разделах 2</w:t>
        </w:r>
      </w:hyperlink>
      <w:r>
        <w:rPr>
          <w:sz w:val="24"/>
        </w:rPr>
        <w:t xml:space="preserve"> - </w:t>
      </w:r>
      <w:hyperlink w:history="0" w:anchor="P39890" w:tooltip="Раздел 6.">
        <w:r>
          <w:rPr>
            <w:sz w:val="24"/>
            <w:color w:val="0000ff"/>
          </w:rPr>
          <w:t xml:space="preserve">6</w:t>
        </w:r>
      </w:hyperlink>
      <w:r>
        <w:rPr>
          <w:sz w:val="24"/>
        </w:rPr>
        <w:t xml:space="preserve"> отчетности по форме 0420174 при раскрытии информации в разрезе группы аналитических признаков "Код технологического процесса" аналитический признак группы аналитических признаков "Код технологического процесса", соответствующий не осуществляемому страховой организацией технологическому процессу, не указывается.</w:t>
      </w:r>
    </w:p>
    <w:p>
      <w:pPr>
        <w:pStyle w:val="0"/>
        <w:spacing w:before="240" w:lineRule="auto"/>
        <w:ind w:firstLine="540"/>
        <w:jc w:val="both"/>
      </w:pPr>
      <w:r>
        <w:rPr>
          <w:sz w:val="24"/>
        </w:rPr>
        <w:t xml:space="preserve">3. По показателям </w:t>
      </w:r>
      <w:hyperlink w:history="0" w:anchor="P39734" w:tooltip="Раздел 2.">
        <w:r>
          <w:rPr>
            <w:sz w:val="24"/>
            <w:color w:val="0000ff"/>
          </w:rPr>
          <w:t xml:space="preserve">раздела 2</w:t>
        </w:r>
      </w:hyperlink>
      <w:r>
        <w:rPr>
          <w:sz w:val="24"/>
        </w:rPr>
        <w:t xml:space="preserve"> отчетности по форме 0420174 раскрываются сведения о показателях операционной надежности в рамках технологических процессов.</w:t>
      </w:r>
    </w:p>
    <w:p>
      <w:pPr>
        <w:pStyle w:val="0"/>
        <w:spacing w:before="240" w:lineRule="auto"/>
        <w:ind w:firstLine="540"/>
        <w:jc w:val="both"/>
      </w:pPr>
      <w:r>
        <w:rPr>
          <w:sz w:val="24"/>
        </w:rPr>
        <w:t xml:space="preserve">3.1. По показателю "Допустимое время простоя и (или) деградации технологического процесса" </w:t>
      </w:r>
      <w:hyperlink w:history="0" w:anchor="P39736" w:tooltip="3">
        <w:r>
          <w:rPr>
            <w:sz w:val="24"/>
            <w:color w:val="0000ff"/>
          </w:rPr>
          <w:t xml:space="preserve">(строка 3)</w:t>
        </w:r>
      </w:hyperlink>
      <w:r>
        <w:rPr>
          <w:sz w:val="24"/>
        </w:rPr>
        <w:t xml:space="preserve"> указывается предельно допустимое для страховой организации время простоя и (или) деградации технологического процесса, определенное в соответствии с </w:t>
      </w:r>
      <w:hyperlink w:history="0" r:id="rId680" w:tooltip="Положение Банка России от 15.11.2021 N 779-П &quot;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quot;О Центральном банке Российской Федерации (Банке России)&quot;, в целях обеспечения непрерывности оказания финансовых услуг (за исключением банковских услуг)&quot; (Зарегистрировано в Минюсте России 28.03.2022 N 67961) {КонсультантПлюс}">
        <w:r>
          <w:rPr>
            <w:sz w:val="24"/>
            <w:color w:val="0000ff"/>
          </w:rPr>
          <w:t xml:space="preserve">абзацем третьим пункта 1.3</w:t>
        </w:r>
      </w:hyperlink>
      <w:r>
        <w:rPr>
          <w:sz w:val="24"/>
        </w:rPr>
        <w:t xml:space="preserve"> Положения Банка России от 15 ноября 2021 года N 779-П "Об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"О Центральном банке Российской Федерации (Банке России)", в целях обеспечения непрерывности оказания финансовых услуг (за исключением банковских услуг)" &lt;2&gt; (далее - Положение Банка России N 779-П) (информация по показателю указывается в минутах).</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Зарегистрировано Минюстом России 28 марта 2022 года, регистрационный N 67961.</w:t>
      </w:r>
    </w:p>
    <w:p>
      <w:pPr>
        <w:pStyle w:val="0"/>
        <w:ind w:firstLine="540"/>
        <w:jc w:val="both"/>
      </w:pPr>
      <w:r>
        <w:rPr>
          <w:sz w:val="24"/>
        </w:rPr>
      </w:r>
    </w:p>
    <w:p>
      <w:pPr>
        <w:pStyle w:val="0"/>
        <w:ind w:firstLine="540"/>
        <w:jc w:val="both"/>
      </w:pPr>
      <w:r>
        <w:rPr>
          <w:sz w:val="24"/>
        </w:rPr>
        <w:t xml:space="preserve">3.2. По показателю "Допустимая доля деградации технологического процесса" </w:t>
      </w:r>
      <w:hyperlink w:history="0" w:anchor="P39744" w:tooltip="4">
        <w:r>
          <w:rPr>
            <w:sz w:val="24"/>
            <w:color w:val="0000ff"/>
          </w:rPr>
          <w:t xml:space="preserve">(строка 4)</w:t>
        </w:r>
      </w:hyperlink>
      <w:r>
        <w:rPr>
          <w:sz w:val="24"/>
        </w:rPr>
        <w:t xml:space="preserve"> указывается допустимая доля деградации технологического процесса, определенная страховой организацией в соответствии с </w:t>
      </w:r>
      <w:hyperlink w:history="0" r:id="rId681" w:tooltip="Положение Банка России от 15.11.2021 N 779-П &quot;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quot;О Центральном банке Российской Федерации (Банке России)&quot;, в целях обеспечения непрерывности оказания финансовых услуг (за исключением банковских услуг)&quot; (Зарегистрировано в Минюсте России 28.03.2022 N 67961) {КонсультантПлюс}">
        <w:r>
          <w:rPr>
            <w:sz w:val="24"/>
            <w:color w:val="0000ff"/>
          </w:rPr>
          <w:t xml:space="preserve">абзацем вторым пункта 1.3</w:t>
        </w:r>
      </w:hyperlink>
      <w:r>
        <w:rPr>
          <w:sz w:val="24"/>
        </w:rPr>
        <w:t xml:space="preserve"> Положения Банка России N 779-П (информация по показателю указывается в долях с точностью до шести знаков после запятой).</w:t>
      </w:r>
    </w:p>
    <w:p>
      <w:pPr>
        <w:pStyle w:val="0"/>
        <w:spacing w:before="240" w:lineRule="auto"/>
        <w:ind w:firstLine="540"/>
        <w:jc w:val="both"/>
      </w:pPr>
      <w:r>
        <w:rPr>
          <w:sz w:val="24"/>
        </w:rPr>
        <w:t xml:space="preserve">3.3. По показателю "Допустимое суммарное время простоя и (или) деградации технологического процесса" </w:t>
      </w:r>
      <w:hyperlink w:history="0" w:anchor="P39752" w:tooltip="5">
        <w:r>
          <w:rPr>
            <w:sz w:val="24"/>
            <w:color w:val="0000ff"/>
          </w:rPr>
          <w:t xml:space="preserve">(строка 5)</w:t>
        </w:r>
      </w:hyperlink>
      <w:r>
        <w:rPr>
          <w:sz w:val="24"/>
        </w:rPr>
        <w:t xml:space="preserve"> указывается предельно допустимое для страховой организации суммарное время простоя и (или) деградации технологического процесса, определенное в соответствии с </w:t>
      </w:r>
      <w:hyperlink w:history="0" r:id="rId682" w:tooltip="Положение Банка России от 15.11.2021 N 779-П &quot;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quot;О Центральном банке Российской Федерации (Банке России)&quot;, в целях обеспечения непрерывности оказания финансовых услуг (за исключением банковских услуг)&quot; (Зарегистрировано в Минюсте России 28.03.2022 N 67961) {КонсультантПлюс}">
        <w:r>
          <w:rPr>
            <w:sz w:val="24"/>
            <w:color w:val="0000ff"/>
          </w:rPr>
          <w:t xml:space="preserve">абзацем четвертым пункта 1.3</w:t>
        </w:r>
      </w:hyperlink>
      <w:r>
        <w:rPr>
          <w:sz w:val="24"/>
        </w:rPr>
        <w:t xml:space="preserve"> Положения Банка России N 779-П (информация по показателю указывается в минутах).</w:t>
      </w:r>
    </w:p>
    <w:bookmarkStart w:id="40115" w:name="P40115"/>
    <w:bookmarkEnd w:id="40115"/>
    <w:p>
      <w:pPr>
        <w:pStyle w:val="0"/>
        <w:spacing w:before="240" w:lineRule="auto"/>
        <w:ind w:firstLine="540"/>
        <w:jc w:val="both"/>
      </w:pPr>
      <w:r>
        <w:rPr>
          <w:sz w:val="24"/>
        </w:rPr>
        <w:t xml:space="preserve">3.4. По показателю "Суммарное время простоя и (или) деградации технологического процесса" </w:t>
      </w:r>
      <w:hyperlink w:history="0" w:anchor="P39760" w:tooltip="6">
        <w:r>
          <w:rPr>
            <w:sz w:val="24"/>
            <w:color w:val="0000ff"/>
          </w:rPr>
          <w:t xml:space="preserve">(строка 6)</w:t>
        </w:r>
      </w:hyperlink>
      <w:r>
        <w:rPr>
          <w:sz w:val="24"/>
        </w:rPr>
        <w:t xml:space="preserve"> указывается общее количество минут фактического времени простоя и (или) деградации технологического процесса за последние 12 календарных месяцев, предшествующих дате окончания отчетного периода (информация по показателю указывается в минутах).</w:t>
      </w:r>
    </w:p>
    <w:p>
      <w:pPr>
        <w:pStyle w:val="0"/>
        <w:spacing w:before="240" w:lineRule="auto"/>
        <w:ind w:firstLine="540"/>
        <w:jc w:val="both"/>
      </w:pPr>
      <w:r>
        <w:rPr>
          <w:sz w:val="24"/>
        </w:rPr>
        <w:t xml:space="preserve">При отсутствии за указанный в </w:t>
      </w:r>
      <w:hyperlink w:history="0" w:anchor="P40115" w:tooltip="3.4. По показателю &quot;Суммарное время простоя и (или) деградации технологического процесса&quot; (строка 6) указывается общее количество минут фактического времени простоя и (или) деградации технологического процесса за последние 12 календарных месяцев, предшествующих дате окончания отчетного периода (информация по показателю указывается в минутах).">
        <w:r>
          <w:rPr>
            <w:sz w:val="24"/>
            <w:color w:val="0000ff"/>
          </w:rPr>
          <w:t xml:space="preserve">абзаце первом</w:t>
        </w:r>
      </w:hyperlink>
      <w:r>
        <w:rPr>
          <w:sz w:val="24"/>
        </w:rPr>
        <w:t xml:space="preserve"> настоящего подпункта период фактов простоя и (или) деградации технологического процесса по показателю "Суммарное время простоя и (или) деградации технологического процесса" </w:t>
      </w:r>
      <w:hyperlink w:history="0" w:anchor="P39760" w:tooltip="6">
        <w:r>
          <w:rPr>
            <w:sz w:val="24"/>
            <w:color w:val="0000ff"/>
          </w:rPr>
          <w:t xml:space="preserve">(строка 6)</w:t>
        </w:r>
      </w:hyperlink>
      <w:r>
        <w:rPr>
          <w:sz w:val="24"/>
        </w:rPr>
        <w:t xml:space="preserve"> указывается значение 0 (ноль).</w:t>
      </w:r>
    </w:p>
    <w:bookmarkStart w:id="40117" w:name="P40117"/>
    <w:bookmarkEnd w:id="40117"/>
    <w:p>
      <w:pPr>
        <w:pStyle w:val="0"/>
        <w:spacing w:before="240" w:lineRule="auto"/>
        <w:ind w:firstLine="540"/>
        <w:jc w:val="both"/>
      </w:pPr>
      <w:r>
        <w:rPr>
          <w:sz w:val="24"/>
        </w:rPr>
        <w:t xml:space="preserve">4. По показателям "IP-адрес или пул IP-адресов в формате протокола IPv4" </w:t>
      </w:r>
      <w:hyperlink w:history="0" w:anchor="P39794" w:tooltip="10">
        <w:r>
          <w:rPr>
            <w:sz w:val="24"/>
            <w:color w:val="0000ff"/>
          </w:rPr>
          <w:t xml:space="preserve">(строка 10)</w:t>
        </w:r>
      </w:hyperlink>
      <w:r>
        <w:rPr>
          <w:sz w:val="24"/>
        </w:rPr>
        <w:t xml:space="preserve">, "IP-адрес или пул IP-адресов в формате протокола IPv6" </w:t>
      </w:r>
      <w:hyperlink w:history="0" w:anchor="P39810" w:tooltip="11">
        <w:r>
          <w:rPr>
            <w:sz w:val="24"/>
            <w:color w:val="0000ff"/>
          </w:rPr>
          <w:t xml:space="preserve">(строка 11)</w:t>
        </w:r>
      </w:hyperlink>
      <w:r>
        <w:rPr>
          <w:sz w:val="24"/>
        </w:rPr>
        <w:t xml:space="preserve">, "Номер автономной системы" </w:t>
      </w:r>
      <w:hyperlink w:history="0" w:anchor="P39826" w:tooltip="12">
        <w:r>
          <w:rPr>
            <w:sz w:val="24"/>
            <w:color w:val="0000ff"/>
          </w:rPr>
          <w:t xml:space="preserve">(строка 12)</w:t>
        </w:r>
      </w:hyperlink>
      <w:r>
        <w:rPr>
          <w:sz w:val="24"/>
        </w:rPr>
        <w:t xml:space="preserve"> раздела 3 отчетности по форме 0420174 отражаются сведения об объектах информатизации основных системных уровней информационной инфраструктуры, предусмотренных </w:t>
      </w:r>
      <w:hyperlink w:history="0" r:id="rId683" w:tooltip="&quot;ГОСТ Р 57580.1-2017. Национальный стандарт Российской Федерации. Безопасность финансовых (банковских) операций. Защита информации финансовых организаций. Базовый состав организационных и технических мер&quot; (утв. и введен в действие Приказом Росстандарта от 08.08.2017 N 822-ст) {КонсультантПлюс}">
        <w:r>
          <w:rPr>
            <w:sz w:val="24"/>
            <w:color w:val="0000ff"/>
          </w:rPr>
          <w:t xml:space="preserve">подпунктом "а" пункта 6.2</w:t>
        </w:r>
      </w:hyperlink>
      <w:r>
        <w:rPr>
          <w:sz w:val="24"/>
        </w:rPr>
        <w:t xml:space="preserve"> национального стандарта Российской Федерации ГОСТ Р 57580.1-2017 "Безопасность финансовых (банковских) операций. Защита информации финансовых организаций. Базовый состав организационных и технических мер" &lt;3&gt; (далее соответственно - ГОСТ Р 57580.1-2017, объекты информатизации), применяемых страховой организацией для взаимодействия в информационно-телекоммуникационной сети "Интернет" (далее - сеть "Интернет") с ее клиентами и контрагентами при осуществлении деятельности в сфере финансовых рынков, в разрезе кодов технологических процессов, предусмотренных </w:t>
      </w:r>
      <w:hyperlink w:history="0" w:anchor="P40095" w:tooltip="2. Информация по показателям раздела 1 отчетности по форме 0420174 раскрывается страховой организацией по аналитическим признакам группы аналитических признаков &quot;Код технологического процесса&quot; по всем технологическим процессам, обеспечивающим осуществление деятельности страховой организации в сфере финансовых рынков (далее - технологические процессы), в соответствии со следующими кодами:">
        <w:r>
          <w:rPr>
            <w:sz w:val="24"/>
            <w:color w:val="0000ff"/>
          </w:rPr>
          <w:t xml:space="preserve">пунктом 2</w:t>
        </w:r>
      </w:hyperlink>
      <w:r>
        <w:rPr>
          <w:sz w:val="24"/>
        </w:rPr>
        <w:t xml:space="preserve"> настоящих Порядка и сроков, и в разрезе наименований объектов информатизации, за исключением сведений, представляемых в </w:t>
      </w:r>
      <w:hyperlink w:history="0" w:anchor="P39872" w:tooltip="Раздел 5.">
        <w:r>
          <w:rPr>
            <w:sz w:val="24"/>
            <w:color w:val="0000ff"/>
          </w:rPr>
          <w:t xml:space="preserve">разделе 5</w:t>
        </w:r>
      </w:hyperlink>
      <w:r>
        <w:rPr>
          <w:sz w:val="24"/>
        </w:rPr>
        <w:t xml:space="preserve"> отчетности по форме 0420174.</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Утвержден </w:t>
      </w:r>
      <w:hyperlink w:history="0" r:id="rId684" w:tooltip="Приказ Росстандарта от 08.08.2017 N 822-ст &quot;Об утверждении национального стандарта Российской Федерации&quot; {КонсультантПлюс}">
        <w:r>
          <w:rPr>
            <w:sz w:val="24"/>
            <w:color w:val="0000ff"/>
          </w:rPr>
          <w:t xml:space="preserve">приказом</w:t>
        </w:r>
      </w:hyperlink>
      <w:r>
        <w:rPr>
          <w:sz w:val="24"/>
        </w:rPr>
        <w:t xml:space="preserve"> Федерального агентства по техническому регулированию и метрологии от 8 августа 2017 года N 822-ст (М., ФГУП "Стандартинформ", 2017) и введен в действие 1 января 2018 года.</w:t>
      </w:r>
    </w:p>
    <w:p>
      <w:pPr>
        <w:pStyle w:val="0"/>
        <w:ind w:firstLine="540"/>
        <w:jc w:val="both"/>
      </w:pPr>
      <w:r>
        <w:rPr>
          <w:sz w:val="24"/>
        </w:rPr>
      </w:r>
    </w:p>
    <w:p>
      <w:pPr>
        <w:pStyle w:val="0"/>
        <w:ind w:firstLine="540"/>
        <w:jc w:val="both"/>
      </w:pPr>
      <w:r>
        <w:rPr>
          <w:sz w:val="24"/>
        </w:rPr>
        <w:t xml:space="preserve">Информация по указанным в </w:t>
      </w:r>
      <w:hyperlink w:history="0" w:anchor="P40117" w:tooltip="4. По показателям &quot;IP-адрес или пул IP-адресов в формате протокола IPv4&quot; (строка 10), &quot;IP-адрес или пул IP-адресов в формате протокола IPv6&quot; (строка 11), &quot;Номер автономной системы&quot; (строка 12) раздела 3 отчетности по форме 0420174 отражаются сведения об объектах информатизации основных системных уровней информационной инфраструктуры, предусмотренных подпунктом &quot;а&quot; пункта 6.2 национального стандарта Российской Федерации ГОСТ Р 57580.1-2017 &quot;Безопасность финансовых (банковских) операций. Защита информации ...">
        <w:r>
          <w:rPr>
            <w:sz w:val="24"/>
            <w:color w:val="0000ff"/>
          </w:rPr>
          <w:t xml:space="preserve">абзаце первом</w:t>
        </w:r>
      </w:hyperlink>
      <w:r>
        <w:rPr>
          <w:sz w:val="24"/>
        </w:rPr>
        <w:t xml:space="preserve"> настоящего пункта показателям </w:t>
      </w:r>
      <w:hyperlink w:history="0" w:anchor="P39768" w:tooltip="Раздел 3.">
        <w:r>
          <w:rPr>
            <w:sz w:val="24"/>
            <w:color w:val="0000ff"/>
          </w:rPr>
          <w:t xml:space="preserve">раздела 3</w:t>
        </w:r>
      </w:hyperlink>
      <w:r>
        <w:rPr>
          <w:sz w:val="24"/>
        </w:rPr>
        <w:t xml:space="preserve"> отчетности по форме 0420174 также раскрывается в разрезе технологических участков, в рамках которых применяется объект информатизации при осуществлении страховой организацией деятельности в сфере финансовых рынков (далее - технологические участки), в соответствии со следующими кодами:</w:t>
      </w:r>
    </w:p>
    <w:p>
      <w:pPr>
        <w:pStyle w:val="0"/>
        <w:spacing w:before="240" w:lineRule="auto"/>
        <w:ind w:firstLine="540"/>
        <w:jc w:val="both"/>
      </w:pPr>
      <w:r>
        <w:rPr>
          <w:sz w:val="24"/>
        </w:rPr>
        <w:t xml:space="preserve">ИАА - идентификация, аутентификация и авторизация клиентов в целях осуществления финансовых операций;</w:t>
      </w:r>
    </w:p>
    <w:p>
      <w:pPr>
        <w:pStyle w:val="0"/>
        <w:spacing w:before="240" w:lineRule="auto"/>
        <w:ind w:firstLine="540"/>
        <w:jc w:val="both"/>
      </w:pPr>
      <w:r>
        <w:rPr>
          <w:sz w:val="24"/>
        </w:rPr>
        <w:t xml:space="preserve">ФПП - формирование (подготовка), передача и прием электронных сообщений;</w:t>
      </w:r>
    </w:p>
    <w:p>
      <w:pPr>
        <w:pStyle w:val="0"/>
        <w:spacing w:before="240" w:lineRule="auto"/>
        <w:ind w:firstLine="540"/>
        <w:jc w:val="both"/>
      </w:pPr>
      <w:r>
        <w:rPr>
          <w:sz w:val="24"/>
        </w:rPr>
        <w:t xml:space="preserve">УП - удостоверение права клиентов распоряжаться денежными средствами, ценными бумагами или иным имуществом;</w:t>
      </w:r>
    </w:p>
    <w:p>
      <w:pPr>
        <w:pStyle w:val="0"/>
        <w:spacing w:before="240" w:lineRule="auto"/>
        <w:ind w:firstLine="540"/>
        <w:jc w:val="both"/>
      </w:pPr>
      <w:r>
        <w:rPr>
          <w:sz w:val="24"/>
        </w:rPr>
        <w:t xml:space="preserve">ОУ - осуществление финансовой операции, учет результатов ее осуществления (при наличии учета);</w:t>
      </w:r>
    </w:p>
    <w:p>
      <w:pPr>
        <w:pStyle w:val="0"/>
        <w:spacing w:before="240" w:lineRule="auto"/>
        <w:ind w:firstLine="540"/>
        <w:jc w:val="both"/>
      </w:pPr>
      <w:r>
        <w:rPr>
          <w:sz w:val="24"/>
        </w:rPr>
        <w:t xml:space="preserve">ХИ - хранение электронных сообщений и информации об осуществленных финансовых операциях.</w:t>
      </w:r>
    </w:p>
    <w:p>
      <w:pPr>
        <w:pStyle w:val="0"/>
        <w:spacing w:before="240" w:lineRule="auto"/>
        <w:ind w:firstLine="540"/>
        <w:jc w:val="both"/>
      </w:pPr>
      <w:r>
        <w:rPr>
          <w:sz w:val="24"/>
        </w:rPr>
        <w:t xml:space="preserve">По группе аналитических признаков "Наименование объекта информатизации" указывается наименование объекта информатизации.</w:t>
      </w:r>
    </w:p>
    <w:p>
      <w:pPr>
        <w:pStyle w:val="0"/>
        <w:spacing w:before="240" w:lineRule="auto"/>
        <w:ind w:firstLine="540"/>
        <w:jc w:val="both"/>
      </w:pPr>
      <w:r>
        <w:rPr>
          <w:sz w:val="24"/>
        </w:rPr>
        <w:t xml:space="preserve">В случае отсутствия у страховой организации объектов информатизации показатели </w:t>
      </w:r>
      <w:hyperlink w:history="0" w:anchor="P39768" w:tooltip="Раздел 3.">
        <w:r>
          <w:rPr>
            <w:sz w:val="24"/>
            <w:color w:val="0000ff"/>
          </w:rPr>
          <w:t xml:space="preserve">раздела 3</w:t>
        </w:r>
      </w:hyperlink>
      <w:r>
        <w:rPr>
          <w:sz w:val="24"/>
        </w:rPr>
        <w:t xml:space="preserve"> отчетности по форме 0420174 не формируются.</w:t>
      </w:r>
    </w:p>
    <w:p>
      <w:pPr>
        <w:pStyle w:val="0"/>
        <w:spacing w:before="240" w:lineRule="auto"/>
        <w:ind w:firstLine="540"/>
        <w:jc w:val="both"/>
      </w:pPr>
      <w:r>
        <w:rPr>
          <w:sz w:val="24"/>
        </w:rPr>
        <w:t xml:space="preserve">4.1. По показателю "Полное наименование (полное фирменное наименование) или фамилия, имя, отчество (при наличии) оператора связи" </w:t>
      </w:r>
      <w:hyperlink w:history="0" w:anchor="P39770" w:tooltip="7">
        <w:r>
          <w:rPr>
            <w:sz w:val="24"/>
            <w:color w:val="0000ff"/>
          </w:rPr>
          <w:t xml:space="preserve">(строка 7)</w:t>
        </w:r>
      </w:hyperlink>
      <w:r>
        <w:rPr>
          <w:sz w:val="24"/>
        </w:rPr>
        <w:t xml:space="preserve"> указываются полное наименование (для некоммерческой организации), или полное фирменное наименование (для коммерческой организации), или фамилия, имя, отчество (при наличии) (для индивидуального предпринимателя) оператора связи, с которым страховой организацией заключен договор об оказании услуг связи в целях взаимодействия в сети "Интернет" с ее клиентами и контрагентами (далее - оператор связи).</w:t>
      </w:r>
    </w:p>
    <w:p>
      <w:pPr>
        <w:pStyle w:val="0"/>
        <w:spacing w:before="240" w:lineRule="auto"/>
        <w:ind w:firstLine="540"/>
        <w:jc w:val="both"/>
      </w:pPr>
      <w:r>
        <w:rPr>
          <w:sz w:val="24"/>
        </w:rPr>
        <w:t xml:space="preserve">4.2. По показателю "Идентификационный номер налогоплательщика (ИНН)" </w:t>
      </w:r>
      <w:hyperlink w:history="0" w:anchor="P39778" w:tooltip="8">
        <w:r>
          <w:rPr>
            <w:sz w:val="24"/>
            <w:color w:val="0000ff"/>
          </w:rPr>
          <w:t xml:space="preserve">(строка 8)</w:t>
        </w:r>
      </w:hyperlink>
      <w:r>
        <w:rPr>
          <w:sz w:val="24"/>
        </w:rPr>
        <w:t xml:space="preserve"> указывается идентификационный номер налогоплательщика (далее - ИНН) оператора связи, являющегося резидентом.</w:t>
      </w:r>
    </w:p>
    <w:p>
      <w:pPr>
        <w:pStyle w:val="0"/>
        <w:spacing w:before="240" w:lineRule="auto"/>
        <w:ind w:firstLine="540"/>
        <w:jc w:val="both"/>
      </w:pPr>
      <w:r>
        <w:rPr>
          <w:sz w:val="24"/>
        </w:rPr>
        <w:t xml:space="preserve">4.3. По показателю "TIN" </w:t>
      </w:r>
      <w:hyperlink w:history="0" w:anchor="P39786" w:tooltip="9">
        <w:r>
          <w:rPr>
            <w:sz w:val="24"/>
            <w:color w:val="0000ff"/>
          </w:rPr>
          <w:t xml:space="preserve">(строка 9)</w:t>
        </w:r>
      </w:hyperlink>
      <w:r>
        <w:rPr>
          <w:sz w:val="24"/>
        </w:rPr>
        <w:t xml:space="preserve"> указывается идентификационный номер налогоплательщика - иностранной организации в стране регистрации (Tax Identification Number) (далее - TIN) или его аналог оператора связи, являющегося нерезидентом.</w:t>
      </w:r>
    </w:p>
    <w:p>
      <w:pPr>
        <w:pStyle w:val="0"/>
        <w:spacing w:before="240" w:lineRule="auto"/>
        <w:ind w:firstLine="540"/>
        <w:jc w:val="both"/>
      </w:pPr>
      <w:r>
        <w:rPr>
          <w:sz w:val="24"/>
        </w:rPr>
        <w:t xml:space="preserve">4.4. Показатели "Полное наименование (полное фирменное наименование) или фамилия, имя, отчество (при наличии) оператора связи" </w:t>
      </w:r>
      <w:hyperlink w:history="0" w:anchor="P39770" w:tooltip="7">
        <w:r>
          <w:rPr>
            <w:sz w:val="24"/>
            <w:color w:val="0000ff"/>
          </w:rPr>
          <w:t xml:space="preserve">(строка 7)</w:t>
        </w:r>
      </w:hyperlink>
      <w:r>
        <w:rPr>
          <w:sz w:val="24"/>
        </w:rPr>
        <w:t xml:space="preserve">, "Идентификационный номер налогоплательщика (ИНН)" </w:t>
      </w:r>
      <w:hyperlink w:history="0" w:anchor="P39778" w:tooltip="8">
        <w:r>
          <w:rPr>
            <w:sz w:val="24"/>
            <w:color w:val="0000ff"/>
          </w:rPr>
          <w:t xml:space="preserve">(строка 8)</w:t>
        </w:r>
      </w:hyperlink>
      <w:r>
        <w:rPr>
          <w:sz w:val="24"/>
        </w:rPr>
        <w:t xml:space="preserve">, "TIN" </w:t>
      </w:r>
      <w:hyperlink w:history="0" w:anchor="P39786" w:tooltip="9">
        <w:r>
          <w:rPr>
            <w:sz w:val="24"/>
            <w:color w:val="0000ff"/>
          </w:rPr>
          <w:t xml:space="preserve">(строка 9)</w:t>
        </w:r>
      </w:hyperlink>
      <w:r>
        <w:rPr>
          <w:sz w:val="24"/>
        </w:rPr>
        <w:t xml:space="preserve"> раскрываются по группе аналитических признаков "Идентификатор оператора связи" по каждому оператору связи.</w:t>
      </w:r>
    </w:p>
    <w:p>
      <w:pPr>
        <w:pStyle w:val="0"/>
        <w:spacing w:before="240" w:lineRule="auto"/>
        <w:ind w:firstLine="540"/>
        <w:jc w:val="both"/>
      </w:pPr>
      <w:r>
        <w:rPr>
          <w:sz w:val="24"/>
        </w:rPr>
        <w:t xml:space="preserve">По группе аналитических признаков "Идентификатор оператора связи" указывается идентификатор оператора связи, позволяющий выделить одного оператора связи из других операторов связи, отраженных в </w:t>
      </w:r>
      <w:hyperlink w:history="0" w:anchor="P39768" w:tooltip="Раздел 3.">
        <w:r>
          <w:rPr>
            <w:sz w:val="24"/>
            <w:color w:val="0000ff"/>
          </w:rPr>
          <w:t xml:space="preserve">разделе 3</w:t>
        </w:r>
      </w:hyperlink>
      <w:r>
        <w:rPr>
          <w:sz w:val="24"/>
        </w:rPr>
        <w:t xml:space="preserve"> отчетности по форме 0420174. Значения идентификаторов операторов связи формируются страховой организацией самостоятельно.</w:t>
      </w:r>
    </w:p>
    <w:p>
      <w:pPr>
        <w:pStyle w:val="0"/>
        <w:spacing w:before="240" w:lineRule="auto"/>
        <w:ind w:firstLine="540"/>
        <w:jc w:val="both"/>
      </w:pPr>
      <w:r>
        <w:rPr>
          <w:sz w:val="24"/>
        </w:rPr>
        <w:t xml:space="preserve">4.5. По показателю "IP-адрес или пул IP-адресов в формате протокола IPv4" </w:t>
      </w:r>
      <w:hyperlink w:history="0" w:anchor="P39794" w:tooltip="10">
        <w:r>
          <w:rPr>
            <w:sz w:val="24"/>
            <w:color w:val="0000ff"/>
          </w:rPr>
          <w:t xml:space="preserve">(строка 10)</w:t>
        </w:r>
      </w:hyperlink>
      <w:r>
        <w:rPr>
          <w:sz w:val="24"/>
        </w:rPr>
        <w:t xml:space="preserve"> указывается маршрутизируемый IP-адрес или пул IP-адресов в формате протокола IPv4 с указанием подсети в формате CIDR &lt;4&gt;, внешние по отношению к объекту информатизации, применяемому страховой организацией для взаимодействия в сети "Интернет" с ее клиентами и контрагентами.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&lt;4&gt; Механизм бесклассовой внутренней маршрутизации (Classless Inter-Domian Routing, CIDR).</w:t>
      </w:r>
    </w:p>
    <w:p>
      <w:pPr>
        <w:pStyle w:val="0"/>
        <w:ind w:firstLine="540"/>
        <w:jc w:val="both"/>
      </w:pPr>
      <w:r>
        <w:rPr>
          <w:sz w:val="24"/>
        </w:rPr>
      </w:r>
    </w:p>
    <w:p>
      <w:pPr>
        <w:pStyle w:val="0"/>
        <w:ind w:firstLine="540"/>
        <w:jc w:val="both"/>
      </w:pPr>
      <w:r>
        <w:rPr>
          <w:sz w:val="24"/>
        </w:rPr>
        <w:t xml:space="preserve">4.6. По показателю "IP-адрес или пул IP-адресов в формате протокола IPv6" </w:t>
      </w:r>
      <w:hyperlink w:history="0" w:anchor="P39810" w:tooltip="11">
        <w:r>
          <w:rPr>
            <w:sz w:val="24"/>
            <w:color w:val="0000ff"/>
          </w:rPr>
          <w:t xml:space="preserve">(строка 11)</w:t>
        </w:r>
      </w:hyperlink>
      <w:r>
        <w:rPr>
          <w:sz w:val="24"/>
        </w:rPr>
        <w:t xml:space="preserve"> указывается маршрутизируемый IP-адрес или пул IP-адресов в формате протокола IPv6 с указанием префикса, внешние по отношению к объекту информатизации, применяемому страховой организацией для взаимодействия в сети "Интернет" с ее клиентами и контрагентами.</w:t>
      </w:r>
    </w:p>
    <w:p>
      <w:pPr>
        <w:pStyle w:val="0"/>
        <w:spacing w:before="240" w:lineRule="auto"/>
        <w:ind w:firstLine="540"/>
        <w:jc w:val="both"/>
      </w:pPr>
      <w:r>
        <w:rPr>
          <w:sz w:val="24"/>
        </w:rPr>
        <w:t xml:space="preserve">4.7. По показателю "Номер автономной системы" </w:t>
      </w:r>
      <w:hyperlink w:history="0" w:anchor="P39826" w:tooltip="12">
        <w:r>
          <w:rPr>
            <w:sz w:val="24"/>
            <w:color w:val="0000ff"/>
          </w:rPr>
          <w:t xml:space="preserve">(строка 12)</w:t>
        </w:r>
      </w:hyperlink>
      <w:r>
        <w:rPr>
          <w:sz w:val="24"/>
        </w:rPr>
        <w:t xml:space="preserve"> указывается номер автономной системы, применяемой страховой организацией для взаимодействия в сети "Интернет" с ее клиентами и контрагентами, если номер присвоен оператором связи, обеспечивающим функционирование автономной системы. В ином случае показатель не формируется.</w:t>
      </w:r>
    </w:p>
    <w:p>
      <w:pPr>
        <w:pStyle w:val="0"/>
        <w:spacing w:before="240" w:lineRule="auto"/>
        <w:ind w:firstLine="540"/>
        <w:jc w:val="both"/>
      </w:pPr>
      <w:r>
        <w:rPr>
          <w:sz w:val="24"/>
        </w:rPr>
        <w:t xml:space="preserve">5. По показателям </w:t>
      </w:r>
      <w:hyperlink w:history="0" w:anchor="P39842" w:tooltip="Раздел 4.">
        <w:r>
          <w:rPr>
            <w:sz w:val="24"/>
            <w:color w:val="0000ff"/>
          </w:rPr>
          <w:t xml:space="preserve">раздела 4</w:t>
        </w:r>
      </w:hyperlink>
      <w:r>
        <w:rPr>
          <w:sz w:val="24"/>
        </w:rPr>
        <w:t xml:space="preserve"> отчетности по форме 0420174 раскрываются сведения об электронных адресах веб-сервисов (информационных ресурсов) и номерах телефонов, используемых страховой организацией для взаимодействия с ее клиентами и контрагентами, в разрезе доменного имени электронного адреса информационного ресурса и унифицированных идентификаторов информационного ресурса (URI-адрес), применяемых страховой организацией для взаимодействия в сети "Интернет" с ее клиентами и контрагентами (по группам аналитических признаков "Доменное имя электронного адреса информационного ресурса" и "Унифицированный идентификатор информационного ресурса (URI-адрес)").</w:t>
      </w:r>
    </w:p>
    <w:p>
      <w:pPr>
        <w:pStyle w:val="0"/>
        <w:spacing w:before="240" w:lineRule="auto"/>
        <w:ind w:firstLine="540"/>
        <w:jc w:val="both"/>
      </w:pPr>
      <w:r>
        <w:rPr>
          <w:sz w:val="24"/>
        </w:rPr>
        <w:t xml:space="preserve">5.1. По показателю "IP-адрес или пул IP-адресов в формате протокола IPv4" </w:t>
      </w:r>
      <w:hyperlink w:history="0" w:anchor="P39844" w:tooltip="13">
        <w:r>
          <w:rPr>
            <w:sz w:val="24"/>
            <w:color w:val="0000ff"/>
          </w:rPr>
          <w:t xml:space="preserve">(строка 13)</w:t>
        </w:r>
      </w:hyperlink>
      <w:r>
        <w:rPr>
          <w:sz w:val="24"/>
        </w:rPr>
        <w:t xml:space="preserve"> указывается маршрутизируемый IP-адрес или пул IP-адресов информационного ресурса в формате протокола IPv4 с указанием подсети в формате CIDR, применяемые страховой организацией для взаимодействия в сети "Интернет" с ее клиентами и контрагентами.</w:t>
      </w:r>
    </w:p>
    <w:p>
      <w:pPr>
        <w:pStyle w:val="0"/>
        <w:spacing w:before="240" w:lineRule="auto"/>
        <w:ind w:firstLine="540"/>
        <w:jc w:val="both"/>
      </w:pPr>
      <w:r>
        <w:rPr>
          <w:sz w:val="24"/>
        </w:rPr>
        <w:t xml:space="preserve">5.2. По показателю "IP-адрес или пул IP-адресов в формате протокола IPv6" </w:t>
      </w:r>
      <w:hyperlink w:history="0" w:anchor="P39856" w:tooltip="14">
        <w:r>
          <w:rPr>
            <w:sz w:val="24"/>
            <w:color w:val="0000ff"/>
          </w:rPr>
          <w:t xml:space="preserve">(строка 14)</w:t>
        </w:r>
      </w:hyperlink>
      <w:r>
        <w:rPr>
          <w:sz w:val="24"/>
        </w:rPr>
        <w:t xml:space="preserve"> указывается маршрутизируемый IP-адрес или пул IP-адресов информационного ресурса в формате протокола IPv6 с указанием префикса, применяемые страховой организацией для взаимодействия в сети "Интернет" с ее клиентами и контрагентами.</w:t>
      </w:r>
    </w:p>
    <w:p>
      <w:pPr>
        <w:pStyle w:val="0"/>
        <w:spacing w:before="240" w:lineRule="auto"/>
        <w:ind w:firstLine="540"/>
        <w:jc w:val="both"/>
      </w:pPr>
      <w:r>
        <w:rPr>
          <w:sz w:val="24"/>
        </w:rPr>
        <w:t xml:space="preserve">5.3. По показателю "Номера телефонов, используемые отчитывающейся организацией для взаимодействия с клиентами" </w:t>
      </w:r>
      <w:hyperlink w:history="0" w:anchor="P39868" w:tooltip="15">
        <w:r>
          <w:rPr>
            <w:sz w:val="24"/>
            <w:color w:val="0000ff"/>
          </w:rPr>
          <w:t xml:space="preserve">(строка 15)</w:t>
        </w:r>
      </w:hyperlink>
      <w:r>
        <w:rPr>
          <w:sz w:val="24"/>
        </w:rPr>
        <w:t xml:space="preserve"> указывается номер телефона, используемый страховой организацией для взаимодействия с ее клиентами и контрагентами и размещенный на официальном сайте страховой организации в сети "Интернет".</w:t>
      </w:r>
    </w:p>
    <w:p>
      <w:pPr>
        <w:pStyle w:val="0"/>
        <w:spacing w:before="240" w:lineRule="auto"/>
        <w:ind w:firstLine="540"/>
        <w:jc w:val="both"/>
      </w:pPr>
      <w:r>
        <w:rPr>
          <w:sz w:val="24"/>
        </w:rPr>
        <w:t xml:space="preserve">При наличии нескольких номеров телефонов страховой организации они указываются через символ ";" (точка с запятой) с отступом (пробелом).</w:t>
      </w:r>
    </w:p>
    <w:p>
      <w:pPr>
        <w:pStyle w:val="0"/>
        <w:spacing w:before="240" w:lineRule="auto"/>
        <w:ind w:firstLine="540"/>
        <w:jc w:val="both"/>
      </w:pPr>
      <w:r>
        <w:rPr>
          <w:sz w:val="24"/>
        </w:rPr>
        <w:t xml:space="preserve">6. В </w:t>
      </w:r>
      <w:hyperlink w:history="0" w:anchor="P39872" w:tooltip="Раздел 5.">
        <w:r>
          <w:rPr>
            <w:sz w:val="24"/>
            <w:color w:val="0000ff"/>
          </w:rPr>
          <w:t xml:space="preserve">разделе 5</w:t>
        </w:r>
      </w:hyperlink>
      <w:r>
        <w:rPr>
          <w:sz w:val="24"/>
        </w:rPr>
        <w:t xml:space="preserve"> отчетности по форме 0420174 указываются сведения об автоматизированных системах и приложениях, предусмотренных </w:t>
      </w:r>
      <w:hyperlink w:history="0" r:id="rId685" w:tooltip="&quot;ГОСТ Р 57580.1-2017. Национальный стандарт Российской Федерации. Безопасность финансовых (банковских) операций. Защита информации финансовых организаций. Базовый состав организационных и технических мер&quot; (утв. и введен в действие Приказом Росстандарта от 08.08.2017 N 822-ст) {КонсультантПлюс}">
        <w:r>
          <w:rPr>
            <w:sz w:val="24"/>
            <w:color w:val="0000ff"/>
          </w:rPr>
          <w:t xml:space="preserve">подпунктом "б" пункта 6.2</w:t>
        </w:r>
      </w:hyperlink>
      <w:r>
        <w:rPr>
          <w:sz w:val="24"/>
        </w:rPr>
        <w:t xml:space="preserve"> ГОСТ Р 57580.1-2017, применяемых страховой организацией при осуществлении деятельности в сфере финансовых рынков (далее - автоматизированные системы и приложения), воздействие на которые или нарушение функционирования которых может привести к событию операционного риска, указанному в </w:t>
      </w:r>
      <w:hyperlink w:history="0" r:id="rId686" w:tooltip="Положение Банка России от 15.11.2021 N 779-П &quot;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quot;О Центральном банке Российской Федерации (Банке России)&quot;, в целях обеспечения непрерывности оказания финансовых услуг (за исключением банковских услуг)&quot; (Зарегистрировано в Минюсте России 28.03.2022 N 67961) {КонсультантПлюс}">
        <w:r>
          <w:rPr>
            <w:sz w:val="24"/>
            <w:color w:val="0000ff"/>
          </w:rPr>
          <w:t xml:space="preserve">абзаце втором пункта 1.3</w:t>
        </w:r>
      </w:hyperlink>
      <w:r>
        <w:rPr>
          <w:sz w:val="24"/>
        </w:rPr>
        <w:t xml:space="preserve"> Положения Банка России N 779-П (далее - событие операционного риска), за исключением сведений, представляемых в </w:t>
      </w:r>
      <w:hyperlink w:history="0" w:anchor="P39890" w:tooltip="Раздел 6.">
        <w:r>
          <w:rPr>
            <w:sz w:val="24"/>
            <w:color w:val="0000ff"/>
          </w:rPr>
          <w:t xml:space="preserve">разделе 6</w:t>
        </w:r>
      </w:hyperlink>
      <w:r>
        <w:rPr>
          <w:sz w:val="24"/>
        </w:rPr>
        <w:t xml:space="preserve"> отчетности по форме 0420174.</w:t>
      </w:r>
    </w:p>
    <w:p>
      <w:pPr>
        <w:pStyle w:val="0"/>
        <w:spacing w:before="240" w:lineRule="auto"/>
        <w:ind w:firstLine="540"/>
        <w:jc w:val="both"/>
      </w:pPr>
      <w:r>
        <w:rPr>
          <w:sz w:val="24"/>
        </w:rPr>
        <w:t xml:space="preserve">По показателю "Информация об автоматизированных системах и приложениях" </w:t>
      </w:r>
      <w:hyperlink w:history="0" w:anchor="P39874" w:tooltip="16">
        <w:r>
          <w:rPr>
            <w:sz w:val="24"/>
            <w:color w:val="0000ff"/>
          </w:rPr>
          <w:t xml:space="preserve">(строка 16)</w:t>
        </w:r>
      </w:hyperlink>
      <w:r>
        <w:rPr>
          <w:sz w:val="24"/>
        </w:rPr>
        <w:t xml:space="preserve"> указывается информация обо всех автоматизированных системах и приложениях в разрезе кодов технологических процессов, указанных в </w:t>
      </w:r>
      <w:hyperlink w:history="0" w:anchor="P40095" w:tooltip="2. Информация по показателям раздела 1 отчетности по форме 0420174 раскрывается страховой организацией по аналитическим признакам группы аналитических признаков &quot;Код технологического процесса&quot; по всем технологическим процессам, обеспечивающим осуществление деятельности страховой организации в сфере финансовых рынков (далее - технологические процессы), в соответствии со следующими кодами:">
        <w:r>
          <w:rPr>
            <w:sz w:val="24"/>
            <w:color w:val="0000ff"/>
          </w:rPr>
          <w:t xml:space="preserve">пункте 2</w:t>
        </w:r>
      </w:hyperlink>
      <w:r>
        <w:rPr>
          <w:sz w:val="24"/>
        </w:rPr>
        <w:t xml:space="preserve"> настоящих Порядка и сроков, кодов технологических участков, указанных в </w:t>
      </w:r>
      <w:hyperlink w:history="0" w:anchor="P40117" w:tooltip="4. По показателям &quot;IP-адрес или пул IP-адресов в формате протокола IPv4&quot; (строка 10), &quot;IP-адрес или пул IP-адресов в формате протокола IPv6&quot; (строка 11), &quot;Номер автономной системы&quot; (строка 12) раздела 3 отчетности по форме 0420174 отражаются сведения об объектах информатизации основных системных уровней информационной инфраструктуры, предусмотренных подпунктом &quot;а&quot; пункта 6.2 национального стандарта Российской Федерации ГОСТ Р 57580.1-2017 &quot;Безопасность финансовых (банковских) операций. Защита информации ...">
        <w:r>
          <w:rPr>
            <w:sz w:val="24"/>
            <w:color w:val="0000ff"/>
          </w:rPr>
          <w:t xml:space="preserve">пункте 4</w:t>
        </w:r>
      </w:hyperlink>
      <w:r>
        <w:rPr>
          <w:sz w:val="24"/>
        </w:rPr>
        <w:t xml:space="preserve"> настоящих Порядка и сроков, и идентификаторов автоматизированных систем и приложений. Значения идентификаторов автоматизированных систем и приложений, позволяющие выделить одни автоматизированные системы и приложения из других автоматизированных систем и приложений, отраженных в </w:t>
      </w:r>
      <w:hyperlink w:history="0" w:anchor="P39872" w:tooltip="Раздел 5.">
        <w:r>
          <w:rPr>
            <w:sz w:val="24"/>
            <w:color w:val="0000ff"/>
          </w:rPr>
          <w:t xml:space="preserve">разделе 5</w:t>
        </w:r>
      </w:hyperlink>
      <w:r>
        <w:rPr>
          <w:sz w:val="24"/>
        </w:rPr>
        <w:t xml:space="preserve"> отчетности по форме 0420174, формируются страховой организацией самостоятельно.</w:t>
      </w:r>
    </w:p>
    <w:p>
      <w:pPr>
        <w:pStyle w:val="0"/>
        <w:spacing w:before="240" w:lineRule="auto"/>
        <w:ind w:firstLine="540"/>
        <w:jc w:val="both"/>
      </w:pPr>
      <w:r>
        <w:rPr>
          <w:sz w:val="24"/>
        </w:rPr>
        <w:t xml:space="preserve">По показателю "Информация об автоматизированных системах и приложениях" </w:t>
      </w:r>
      <w:hyperlink w:history="0" w:anchor="P39874" w:tooltip="16">
        <w:r>
          <w:rPr>
            <w:sz w:val="24"/>
            <w:color w:val="0000ff"/>
          </w:rPr>
          <w:t xml:space="preserve">(строка 16)</w:t>
        </w:r>
      </w:hyperlink>
      <w:r>
        <w:rPr>
          <w:sz w:val="24"/>
        </w:rPr>
        <w:t xml:space="preserve"> указываются сведения об автоматизированных системах и приложениях, учет которых осуществляется в соответствии с </w:t>
      </w:r>
      <w:hyperlink w:history="0" r:id="rId687" w:tooltip="Положение Банка России от 15.11.2021 N 779-П &quot;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quot;О Центральном банке Российской Федерации (Банке России)&quot;, в целях обеспечения непрерывности оказания финансовых услуг (за исключением банковских услуг)&quot; (Зарегистрировано в Минюсте России 28.03.2022 N 67961) {КонсультантПлюс}">
        <w:r>
          <w:rPr>
            <w:sz w:val="24"/>
            <w:color w:val="0000ff"/>
          </w:rPr>
          <w:t xml:space="preserve">абзацем четвертым пункта 1.4</w:t>
        </w:r>
      </w:hyperlink>
      <w:r>
        <w:rPr>
          <w:sz w:val="24"/>
        </w:rPr>
        <w:t xml:space="preserve"> Положения Банка России N 779-П.</w:t>
      </w:r>
    </w:p>
    <w:p>
      <w:pPr>
        <w:pStyle w:val="0"/>
        <w:spacing w:before="240" w:lineRule="auto"/>
        <w:ind w:firstLine="540"/>
        <w:jc w:val="both"/>
      </w:pPr>
      <w:r>
        <w:rPr>
          <w:sz w:val="24"/>
        </w:rPr>
        <w:t xml:space="preserve">В случае отсутствия у страховой организации автоматизированных систем и приложений показатель "Информация об автоматизированных системах и приложениях" </w:t>
      </w:r>
      <w:hyperlink w:history="0" w:anchor="P39874" w:tooltip="16">
        <w:r>
          <w:rPr>
            <w:sz w:val="24"/>
            <w:color w:val="0000ff"/>
          </w:rPr>
          <w:t xml:space="preserve">(строка 16)</w:t>
        </w:r>
      </w:hyperlink>
      <w:r>
        <w:rPr>
          <w:sz w:val="24"/>
        </w:rPr>
        <w:t xml:space="preserve"> не формируется.</w:t>
      </w:r>
    </w:p>
    <w:p>
      <w:pPr>
        <w:pStyle w:val="0"/>
        <w:spacing w:before="240" w:lineRule="auto"/>
        <w:ind w:firstLine="540"/>
        <w:jc w:val="both"/>
      </w:pPr>
      <w:r>
        <w:rPr>
          <w:sz w:val="24"/>
        </w:rPr>
        <w:t xml:space="preserve">7. По показателям </w:t>
      </w:r>
      <w:hyperlink w:history="0" w:anchor="P39890" w:tooltip="Раздел 6.">
        <w:r>
          <w:rPr>
            <w:sz w:val="24"/>
            <w:color w:val="0000ff"/>
          </w:rPr>
          <w:t xml:space="preserve">раздела 6</w:t>
        </w:r>
      </w:hyperlink>
      <w:r>
        <w:rPr>
          <w:sz w:val="24"/>
        </w:rPr>
        <w:t xml:space="preserve"> отчетности по форме 0420174 указываются сведения о применении страховой организацией облачных решений, предоставляемых страховой организации поставщиками услуг, предусмотренными </w:t>
      </w:r>
      <w:hyperlink w:history="0" r:id="rId688" w:tooltip="Положение Банка России от 15.11.2021 N 779-П &quot;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quot;О Центральном банке Российской Федерации (Банке России)&quot;, в целях обеспечения непрерывности оказания финансовых услуг (за исключением банковских услуг)&quot; (Зарегистрировано в Минюсте России 28.03.2022 N 67961) {КонсультантПлюс}">
        <w:r>
          <w:rPr>
            <w:sz w:val="24"/>
            <w:color w:val="0000ff"/>
          </w:rPr>
          <w:t xml:space="preserve">абзацем шестым пункта 1.4</w:t>
        </w:r>
      </w:hyperlink>
      <w:r>
        <w:rPr>
          <w:sz w:val="24"/>
        </w:rPr>
        <w:t xml:space="preserve"> Положения Банка России N 779-П (далее - поставщики услуг), в рамках технологических процессов, воздействие на которые или нарушение функционирования которых может привести к событиям операционного риска.</w:t>
      </w:r>
    </w:p>
    <w:p>
      <w:pPr>
        <w:pStyle w:val="0"/>
        <w:spacing w:before="240" w:lineRule="auto"/>
        <w:ind w:firstLine="540"/>
        <w:jc w:val="both"/>
      </w:pPr>
      <w:r>
        <w:rPr>
          <w:sz w:val="24"/>
        </w:rPr>
        <w:t xml:space="preserve">Информация по показателям </w:t>
      </w:r>
      <w:hyperlink w:history="0" w:anchor="P39890" w:tooltip="Раздел 6.">
        <w:r>
          <w:rPr>
            <w:sz w:val="24"/>
            <w:color w:val="0000ff"/>
          </w:rPr>
          <w:t xml:space="preserve">раздела 6</w:t>
        </w:r>
      </w:hyperlink>
      <w:r>
        <w:rPr>
          <w:sz w:val="24"/>
        </w:rPr>
        <w:t xml:space="preserve"> отчетности по форме 0420174 (кроме показателя "Примечание") раскрывается в разрезе кодов технологических процессов, указанных в </w:t>
      </w:r>
      <w:hyperlink w:history="0" w:anchor="P40095" w:tooltip="2. Информация по показателям раздела 1 отчетности по форме 0420174 раскрывается страховой организацией по аналитическим признакам группы аналитических признаков &quot;Код технологического процесса&quot; по всем технологическим процессам, обеспечивающим осуществление деятельности страховой организации в сфере финансовых рынков (далее - технологические процессы), в соответствии со следующими кодами:">
        <w:r>
          <w:rPr>
            <w:sz w:val="24"/>
            <w:color w:val="0000ff"/>
          </w:rPr>
          <w:t xml:space="preserve">пункте 2</w:t>
        </w:r>
      </w:hyperlink>
      <w:r>
        <w:rPr>
          <w:sz w:val="24"/>
        </w:rPr>
        <w:t xml:space="preserve"> настоящих Порядка и сроков, кодов технологических участков, указанных в </w:t>
      </w:r>
      <w:hyperlink w:history="0" w:anchor="P40117" w:tooltip="4. По показателям &quot;IP-адрес или пул IP-адресов в формате протокола IPv4&quot; (строка 10), &quot;IP-адрес или пул IP-адресов в формате протокола IPv6&quot; (строка 11), &quot;Номер автономной системы&quot; (строка 12) раздела 3 отчетности по форме 0420174 отражаются сведения об объектах информатизации основных системных уровней информационной инфраструктуры, предусмотренных подпунктом &quot;а&quot; пункта 6.2 национального стандарта Российской Федерации ГОСТ Р 57580.1-2017 &quot;Безопасность финансовых (банковских) операций. Защита информации ...">
        <w:r>
          <w:rPr>
            <w:sz w:val="24"/>
            <w:color w:val="0000ff"/>
          </w:rPr>
          <w:t xml:space="preserve">пункте 4</w:t>
        </w:r>
      </w:hyperlink>
      <w:r>
        <w:rPr>
          <w:sz w:val="24"/>
        </w:rPr>
        <w:t xml:space="preserve"> настоящих Порядка и сроков, полного наименования (полного фирменного наименования) или фамилии, имени, отчества (при наличии) оператора центра обработки данных, оказывающего услуги страховой организации (далее - центр обработки данных) (по группе аналитических признаков "Полное наименование (полное фирменное наименование) или фамилия, имя, отчество (при наличии) оператора центра обработки данных"), и в разрезе идентификаторов автоматизированных систем и приложений. Значения идентификаторов автоматизированных систем и приложений, позволяющие выделить одни автоматизированные системы и приложения из других автоматизированных систем и приложений, отраженных в </w:t>
      </w:r>
      <w:hyperlink w:history="0" w:anchor="P39890" w:tooltip="Раздел 6.">
        <w:r>
          <w:rPr>
            <w:sz w:val="24"/>
            <w:color w:val="0000ff"/>
          </w:rPr>
          <w:t xml:space="preserve">разделе 6</w:t>
        </w:r>
      </w:hyperlink>
      <w:r>
        <w:rPr>
          <w:sz w:val="24"/>
        </w:rPr>
        <w:t xml:space="preserve"> отчетности по форме 0420174, формируются страховой организацией самостоятельно.</w:t>
      </w:r>
    </w:p>
    <w:p>
      <w:pPr>
        <w:pStyle w:val="0"/>
        <w:spacing w:before="240" w:lineRule="auto"/>
        <w:ind w:firstLine="540"/>
        <w:jc w:val="both"/>
      </w:pPr>
      <w:r>
        <w:rPr>
          <w:sz w:val="24"/>
        </w:rPr>
        <w:t xml:space="preserve">По группе аналитических признаков "Полное наименование (полное фирменное наименование) или фамилия, имя, отчество (при наличии) оператора центра обработки данных" указывается полное наименование оператора центра обработки данных (для некоммерческой организации), или полное фирменное наименование оператора центра обработки данных (для коммерческой организации), или фамилия, имя, отчество (при наличии) оператора центра обработки данных (для индивидуального предпринимателя).</w:t>
      </w:r>
    </w:p>
    <w:bookmarkStart w:id="40152" w:name="P40152"/>
    <w:bookmarkEnd w:id="40152"/>
    <w:p>
      <w:pPr>
        <w:pStyle w:val="0"/>
        <w:spacing w:before="240" w:lineRule="auto"/>
        <w:ind w:firstLine="540"/>
        <w:jc w:val="both"/>
      </w:pPr>
      <w:r>
        <w:rPr>
          <w:sz w:val="24"/>
        </w:rPr>
        <w:t xml:space="preserve">7.1. По показателю "Код функциональности (возможностей), получаемой (получаемых) отчитывающейся организацией в рамках облачных решений, предоставляемых поставщиком услуг" </w:t>
      </w:r>
      <w:hyperlink w:history="0" w:anchor="P39892" w:tooltip="17">
        <w:r>
          <w:rPr>
            <w:sz w:val="24"/>
            <w:color w:val="0000ff"/>
          </w:rPr>
          <w:t xml:space="preserve">(строка 17)</w:t>
        </w:r>
      </w:hyperlink>
      <w:r>
        <w:rPr>
          <w:sz w:val="24"/>
        </w:rPr>
        <w:t xml:space="preserve"> указывается один из следующих кодов функциональности (возможностей), получаемой (получаемых) страховой организацией в рамках облачных решений:</w:t>
      </w:r>
    </w:p>
    <w:p>
      <w:pPr>
        <w:pStyle w:val="0"/>
        <w:spacing w:before="240" w:lineRule="auto"/>
        <w:ind w:firstLine="540"/>
        <w:jc w:val="both"/>
      </w:pPr>
      <w:r>
        <w:rPr>
          <w:sz w:val="24"/>
        </w:rPr>
        <w:t xml:space="preserve">ФПр - функциональность приложений (предоставляет страховой организации возможность использовать приложения поставщика услуг в сфере облачных решений);</w:t>
      </w:r>
    </w:p>
    <w:p>
      <w:pPr>
        <w:pStyle w:val="0"/>
        <w:spacing w:before="240" w:lineRule="auto"/>
        <w:ind w:firstLine="540"/>
        <w:jc w:val="both"/>
      </w:pPr>
      <w:r>
        <w:rPr>
          <w:sz w:val="24"/>
        </w:rPr>
        <w:t xml:space="preserve">ФИИ - функциональность информационной инфраструктуры (предоставляет страховой организации возможность получать и использовать вычислительные ресурсы, ресурсы для хранения данных или сетевые ресурсы поставщика услуг в сфере облачных решений);</w:t>
      </w:r>
    </w:p>
    <w:p>
      <w:pPr>
        <w:pStyle w:val="0"/>
        <w:spacing w:before="240" w:lineRule="auto"/>
        <w:ind w:firstLine="540"/>
        <w:jc w:val="both"/>
      </w:pPr>
      <w:r>
        <w:rPr>
          <w:sz w:val="24"/>
        </w:rPr>
        <w:t xml:space="preserve">ФПл - функциональность платформы (предоставляет страховой организации возможность использовать приложения, созданные или приобретенные ею, с использованием одного или нескольких языков программирования и одной или более сред выполнения, поддерживаемых поставщиком услуг в сфере облачных решений).</w:t>
      </w:r>
    </w:p>
    <w:p>
      <w:pPr>
        <w:pStyle w:val="0"/>
        <w:spacing w:before="240" w:lineRule="auto"/>
        <w:ind w:firstLine="540"/>
        <w:jc w:val="both"/>
      </w:pPr>
      <w:r>
        <w:rPr>
          <w:sz w:val="24"/>
        </w:rPr>
        <w:t xml:space="preserve">7.2. По показателю "Код категории облачных решений, предоставляемых поставщиком услуг" </w:t>
      </w:r>
      <w:hyperlink w:history="0" w:anchor="P39912" w:tooltip="18">
        <w:r>
          <w:rPr>
            <w:sz w:val="24"/>
            <w:color w:val="0000ff"/>
          </w:rPr>
          <w:t xml:space="preserve">(строка 18)</w:t>
        </w:r>
      </w:hyperlink>
      <w:r>
        <w:rPr>
          <w:sz w:val="24"/>
        </w:rPr>
        <w:t xml:space="preserve"> указывается один из следующих кодов категорий облачных решений, предоставляемых поставщиком услуг:</w:t>
      </w:r>
    </w:p>
    <w:bookmarkStart w:id="40157" w:name="P40157"/>
    <w:bookmarkEnd w:id="40157"/>
    <w:p>
      <w:pPr>
        <w:pStyle w:val="0"/>
        <w:spacing w:before="240" w:lineRule="auto"/>
        <w:ind w:firstLine="540"/>
        <w:jc w:val="both"/>
      </w:pPr>
      <w:r>
        <w:rPr>
          <w:sz w:val="24"/>
        </w:rPr>
        <w:t xml:space="preserve">ОИ - категория облачных решений, предоставляемых поставщиком услуг, в которых страховой организации предоставляются возможности, связанные со взаимодействием в режиме реального времени и с совместной работой;</w:t>
      </w:r>
    </w:p>
    <w:p>
      <w:pPr>
        <w:pStyle w:val="0"/>
        <w:spacing w:before="240" w:lineRule="auto"/>
        <w:ind w:firstLine="540"/>
        <w:jc w:val="both"/>
      </w:pPr>
      <w:r>
        <w:rPr>
          <w:sz w:val="24"/>
        </w:rPr>
        <w:t xml:space="preserve">Вычисления - категория облачных решений, предоставляемых поставщиком услуг, в которых страховой организации предоставляются возможности, связанные с получением и использованием вычислительных ресурсов, необходимых для развертывания и выполнения прикладного программного обеспечения;</w:t>
      </w:r>
    </w:p>
    <w:p>
      <w:pPr>
        <w:pStyle w:val="0"/>
        <w:spacing w:before="240" w:lineRule="auto"/>
        <w:ind w:firstLine="540"/>
        <w:jc w:val="both"/>
      </w:pPr>
      <w:r>
        <w:rPr>
          <w:sz w:val="24"/>
        </w:rPr>
        <w:t xml:space="preserve">ХД - категория облачных решений, предоставляемых поставщиком услуг, в которых страховой организации предоставляются возможности, связанные с предоставлением и использованием ресурсов для хранения данных;</w:t>
      </w:r>
    </w:p>
    <w:p>
      <w:pPr>
        <w:pStyle w:val="0"/>
        <w:spacing w:before="240" w:lineRule="auto"/>
        <w:ind w:firstLine="540"/>
        <w:jc w:val="both"/>
      </w:pPr>
      <w:r>
        <w:rPr>
          <w:sz w:val="24"/>
        </w:rPr>
        <w:t xml:space="preserve">ИИ - категория облачных решений, предоставляемых поставщиком услуг, в которых страховой организации предоставляются возможности, связанные с функциональностью информационной инфраструктуры;</w:t>
      </w:r>
    </w:p>
    <w:p>
      <w:pPr>
        <w:pStyle w:val="0"/>
        <w:spacing w:before="240" w:lineRule="auto"/>
        <w:ind w:firstLine="540"/>
        <w:jc w:val="both"/>
      </w:pPr>
      <w:r>
        <w:rPr>
          <w:sz w:val="24"/>
        </w:rPr>
        <w:t xml:space="preserve">Сеть - категория облачных решений, предоставляемых поставщиком услуг, в которых страховой организации предоставляются возможности, связанные с транспортной связностью, и связанные с ней сетевые возможности;</w:t>
      </w:r>
    </w:p>
    <w:p>
      <w:pPr>
        <w:pStyle w:val="0"/>
        <w:spacing w:before="240" w:lineRule="auto"/>
        <w:ind w:firstLine="540"/>
        <w:jc w:val="both"/>
      </w:pPr>
      <w:r>
        <w:rPr>
          <w:sz w:val="24"/>
        </w:rPr>
        <w:t xml:space="preserve">Платформа - категория облачных решений, предоставляемых поставщиком услуг, в которых страховой организации предоставляются возможности, связанные с функциональностью платформы;</w:t>
      </w:r>
    </w:p>
    <w:p>
      <w:pPr>
        <w:pStyle w:val="0"/>
        <w:spacing w:before="240" w:lineRule="auto"/>
        <w:ind w:firstLine="540"/>
        <w:jc w:val="both"/>
      </w:pPr>
      <w:r>
        <w:rPr>
          <w:sz w:val="24"/>
        </w:rPr>
        <w:t xml:space="preserve">ППО - категория облачных решений, предоставляемых поставщиком услуг, в которых страховой организации предоставляются возможности, связанные с функциональностью автоматизированных систем и приложений;</w:t>
      </w:r>
    </w:p>
    <w:bookmarkStart w:id="40164" w:name="P40164"/>
    <w:bookmarkEnd w:id="40164"/>
    <w:p>
      <w:pPr>
        <w:pStyle w:val="0"/>
        <w:spacing w:before="240" w:lineRule="auto"/>
        <w:ind w:firstLine="540"/>
        <w:jc w:val="both"/>
      </w:pPr>
      <w:r>
        <w:rPr>
          <w:sz w:val="24"/>
        </w:rPr>
        <w:t xml:space="preserve">БД - категория облачных решений, предоставляемых поставщиком услуг, в которых страховой организации предоставляются возможности, связанные с функциональностью базы данных, когда установка и обслуживание баз данных выполняются поставщиком услуг в сфере облачных решений;</w:t>
      </w:r>
    </w:p>
    <w:p>
      <w:pPr>
        <w:pStyle w:val="0"/>
        <w:spacing w:before="240" w:lineRule="auto"/>
        <w:ind w:firstLine="540"/>
        <w:jc w:val="both"/>
      </w:pPr>
      <w:r>
        <w:rPr>
          <w:sz w:val="24"/>
        </w:rPr>
        <w:t xml:space="preserve">Иное - иная категория облачных решений, предоставляемых поставщиком услуг, кроме указанных в </w:t>
      </w:r>
      <w:hyperlink w:history="0" w:anchor="P40157" w:tooltip="ОИ - категория облачных решений, предоставляемых поставщиком услуг, в которых страховой организации предоставляются возможности, связанные со взаимодействием в режиме реального времени и с совместной работой;">
        <w:r>
          <w:rPr>
            <w:sz w:val="24"/>
            <w:color w:val="0000ff"/>
          </w:rPr>
          <w:t xml:space="preserve">абзацах втором</w:t>
        </w:r>
      </w:hyperlink>
      <w:r>
        <w:rPr>
          <w:sz w:val="24"/>
        </w:rPr>
        <w:t xml:space="preserve"> - </w:t>
      </w:r>
      <w:hyperlink w:history="0" w:anchor="P40164" w:tooltip="БД - категория облачных решений, предоставляемых поставщиком услуг, в которых страховой организации предоставляются возможности, связанные с функциональностью базы данных, когда установка и обслуживание баз данных выполняются поставщиком услуг в сфере облачных решений;">
        <w:r>
          <w:rPr>
            <w:sz w:val="24"/>
            <w:color w:val="0000ff"/>
          </w:rPr>
          <w:t xml:space="preserve">девятом</w:t>
        </w:r>
      </w:hyperlink>
      <w:r>
        <w:rPr>
          <w:sz w:val="24"/>
        </w:rPr>
        <w:t xml:space="preserve"> настоящего подпункта.</w:t>
      </w:r>
    </w:p>
    <w:p>
      <w:pPr>
        <w:pStyle w:val="0"/>
        <w:spacing w:before="240" w:lineRule="auto"/>
        <w:ind w:firstLine="540"/>
        <w:jc w:val="both"/>
      </w:pPr>
      <w:r>
        <w:rPr>
          <w:sz w:val="24"/>
        </w:rPr>
        <w:t xml:space="preserve">7.3. По показателю "Адрес фактического нахождения центра обработки данных, предоставляющего услуги отчитывающейся организации" </w:t>
      </w:r>
      <w:hyperlink w:history="0" w:anchor="P39932" w:tooltip="19">
        <w:r>
          <w:rPr>
            <w:sz w:val="24"/>
            <w:color w:val="0000ff"/>
          </w:rPr>
          <w:t xml:space="preserve">(строка 19)</w:t>
        </w:r>
      </w:hyperlink>
      <w:r>
        <w:rPr>
          <w:sz w:val="24"/>
        </w:rPr>
        <w:t xml:space="preserve"> указывается адрес центра обработки данных в пределах места нахождения центра обработки данных или адрес фактического нахождения центра обработки данных, в случае если он не совпадает с адресом центра обработки данных в пределах места нахождения центра обработки данных.</w:t>
      </w:r>
    </w:p>
    <w:p>
      <w:pPr>
        <w:pStyle w:val="0"/>
        <w:spacing w:before="240" w:lineRule="auto"/>
        <w:ind w:firstLine="540"/>
        <w:jc w:val="both"/>
      </w:pPr>
      <w:r>
        <w:rPr>
          <w:sz w:val="24"/>
        </w:rPr>
        <w:t xml:space="preserve">В случае использования страховой организацией собственного центра обработки данных, сведения об адресе в пределах места нахождения или адресе фактического нахождения центра обработки данных отражаются по показателю "Информация об автоматизированных системах и приложениях" </w:t>
      </w:r>
      <w:hyperlink w:history="0" w:anchor="P39874" w:tooltip="16">
        <w:r>
          <w:rPr>
            <w:sz w:val="24"/>
            <w:color w:val="0000ff"/>
          </w:rPr>
          <w:t xml:space="preserve">(строка 16)</w:t>
        </w:r>
      </w:hyperlink>
      <w:r>
        <w:rPr>
          <w:sz w:val="24"/>
        </w:rPr>
        <w:t xml:space="preserve">.</w:t>
      </w:r>
    </w:p>
    <w:p>
      <w:pPr>
        <w:pStyle w:val="0"/>
        <w:spacing w:before="240" w:lineRule="auto"/>
        <w:ind w:firstLine="540"/>
        <w:jc w:val="both"/>
      </w:pPr>
      <w:r>
        <w:rPr>
          <w:sz w:val="24"/>
        </w:rPr>
        <w:t xml:space="preserve">7.4. По показателю "Идентификационный номер налогоплательщика (ИНН)" </w:t>
      </w:r>
      <w:hyperlink w:history="0" w:anchor="P39952" w:tooltip="20">
        <w:r>
          <w:rPr>
            <w:sz w:val="24"/>
            <w:color w:val="0000ff"/>
          </w:rPr>
          <w:t xml:space="preserve">(строка 20)</w:t>
        </w:r>
      </w:hyperlink>
      <w:r>
        <w:rPr>
          <w:sz w:val="24"/>
        </w:rPr>
        <w:t xml:space="preserve"> указывается ИНН оператора центра обработки данных, являющегося резидентом.</w:t>
      </w:r>
    </w:p>
    <w:p>
      <w:pPr>
        <w:pStyle w:val="0"/>
        <w:spacing w:before="240" w:lineRule="auto"/>
        <w:ind w:firstLine="540"/>
        <w:jc w:val="both"/>
      </w:pPr>
      <w:r>
        <w:rPr>
          <w:sz w:val="24"/>
        </w:rPr>
        <w:t xml:space="preserve">7.5. По показателю "TIN" </w:t>
      </w:r>
      <w:hyperlink w:history="0" w:anchor="P39972" w:tooltip="21">
        <w:r>
          <w:rPr>
            <w:sz w:val="24"/>
            <w:color w:val="0000ff"/>
          </w:rPr>
          <w:t xml:space="preserve">(строка 21)</w:t>
        </w:r>
      </w:hyperlink>
      <w:r>
        <w:rPr>
          <w:sz w:val="24"/>
        </w:rPr>
        <w:t xml:space="preserve"> указывается TIN или его аналог оператора центра обработки данных, являющегося нерезидентом.</w:t>
      </w:r>
    </w:p>
    <w:p>
      <w:pPr>
        <w:pStyle w:val="0"/>
        <w:spacing w:before="240" w:lineRule="auto"/>
        <w:ind w:firstLine="540"/>
        <w:jc w:val="both"/>
      </w:pPr>
      <w:r>
        <w:rPr>
          <w:sz w:val="24"/>
        </w:rPr>
        <w:t xml:space="preserve">7.6. По показателю "Сведения о наличии у центра обработки данных сертификации" </w:t>
      </w:r>
      <w:hyperlink w:history="0" w:anchor="P39992" w:tooltip="22">
        <w:r>
          <w:rPr>
            <w:sz w:val="24"/>
            <w:color w:val="0000ff"/>
          </w:rPr>
          <w:t xml:space="preserve">(строка 22)</w:t>
        </w:r>
      </w:hyperlink>
      <w:r>
        <w:rPr>
          <w:sz w:val="24"/>
        </w:rPr>
        <w:t xml:space="preserve"> указывается уровень сертификации центра обработки данных на соответствие требованиям, предъявляемым к уровню качества сервисов, предоставляемых центром обработки данных, и требованиям к инфраструктуре центра обработки данных. В случае если центр обработки данных не проходил сертификацию, по показателю "Сведения о наличии у центра обработки данных сертификации" </w:t>
      </w:r>
      <w:hyperlink w:history="0" w:anchor="P39992" w:tooltip="22">
        <w:r>
          <w:rPr>
            <w:sz w:val="24"/>
            <w:color w:val="0000ff"/>
          </w:rPr>
          <w:t xml:space="preserve">(строка 22)</w:t>
        </w:r>
      </w:hyperlink>
      <w:r>
        <w:rPr>
          <w:sz w:val="24"/>
        </w:rPr>
        <w:t xml:space="preserve"> указывается значение "Отсутствует".</w:t>
      </w:r>
    </w:p>
    <w:p>
      <w:pPr>
        <w:pStyle w:val="0"/>
        <w:spacing w:before="240" w:lineRule="auto"/>
        <w:ind w:firstLine="540"/>
        <w:jc w:val="both"/>
      </w:pPr>
      <w:r>
        <w:rPr>
          <w:sz w:val="24"/>
        </w:rPr>
        <w:t xml:space="preserve">7.7. По показателю "Информация о наличии соглашения, определяющего требования, предъявляемые к уровню качества предоставляемых сервисов, между отчитывающейся организацией и оператором центра обработки данных" </w:t>
      </w:r>
      <w:hyperlink w:history="0" w:anchor="P40012" w:tooltip="23">
        <w:r>
          <w:rPr>
            <w:sz w:val="24"/>
            <w:color w:val="0000ff"/>
          </w:rPr>
          <w:t xml:space="preserve">(строка 23)</w:t>
        </w:r>
      </w:hyperlink>
      <w:r>
        <w:rPr>
          <w:sz w:val="24"/>
        </w:rPr>
        <w:t xml:space="preserve"> в случае наличия соглашения между страховой организацией и оператором центра обработки данных, определяющего требования, предъявляемые к уровню качества предоставляемых сервисов (далее - соглашение), указывается значение "Да", в ином случае по данному показателю указывается значение "Нет".</w:t>
      </w:r>
    </w:p>
    <w:p>
      <w:pPr>
        <w:pStyle w:val="0"/>
        <w:spacing w:before="240" w:lineRule="auto"/>
        <w:ind w:firstLine="540"/>
        <w:jc w:val="both"/>
      </w:pPr>
      <w:r>
        <w:rPr>
          <w:sz w:val="24"/>
        </w:rPr>
        <w:t xml:space="preserve">7.8. По показателю "Параметры надежности и отказоустойчивости, согласованные между отчитывающейся организацией и оператором центра обработки данных" </w:t>
      </w:r>
      <w:hyperlink w:history="0" w:anchor="P40032" w:tooltip="24">
        <w:r>
          <w:rPr>
            <w:sz w:val="24"/>
            <w:color w:val="0000ff"/>
          </w:rPr>
          <w:t xml:space="preserve">(строка 24)</w:t>
        </w:r>
      </w:hyperlink>
      <w:r>
        <w:rPr>
          <w:sz w:val="24"/>
        </w:rPr>
        <w:t xml:space="preserve"> в случае наличия соглашения указываются параметры надежности и отказоустойчивости, предусмотренные соглашением.</w:t>
      </w:r>
    </w:p>
    <w:p>
      <w:pPr>
        <w:pStyle w:val="0"/>
        <w:spacing w:before="240" w:lineRule="auto"/>
        <w:ind w:firstLine="540"/>
        <w:jc w:val="both"/>
      </w:pPr>
      <w:r>
        <w:rPr>
          <w:sz w:val="24"/>
        </w:rPr>
        <w:t xml:space="preserve">В случае использования страховой организацией собственного центра обработки данных параметры надежности и отказоустойчивости работы серверных ресурсов указанного центра обработки данных отражаются по показателю "Информация об автоматизированных системах и приложениях" </w:t>
      </w:r>
      <w:hyperlink w:history="0" w:anchor="P39874" w:tooltip="16">
        <w:r>
          <w:rPr>
            <w:sz w:val="24"/>
            <w:color w:val="0000ff"/>
          </w:rPr>
          <w:t xml:space="preserve">(строка 16)</w:t>
        </w:r>
      </w:hyperlink>
      <w:r>
        <w:rPr>
          <w:sz w:val="24"/>
        </w:rPr>
        <w:t xml:space="preserve">.</w:t>
      </w:r>
    </w:p>
    <w:bookmarkStart w:id="40174" w:name="P40174"/>
    <w:bookmarkEnd w:id="40174"/>
    <w:p>
      <w:pPr>
        <w:pStyle w:val="0"/>
        <w:spacing w:before="240" w:lineRule="auto"/>
        <w:ind w:firstLine="540"/>
        <w:jc w:val="both"/>
      </w:pPr>
      <w:r>
        <w:rPr>
          <w:sz w:val="24"/>
        </w:rPr>
        <w:t xml:space="preserve">7.9. По показателю "Информация об автоматизированных системах и приложениях" </w:t>
      </w:r>
      <w:hyperlink w:history="0" w:anchor="P40052" w:tooltip="25">
        <w:r>
          <w:rPr>
            <w:sz w:val="24"/>
            <w:color w:val="0000ff"/>
          </w:rPr>
          <w:t xml:space="preserve">(строка 25)</w:t>
        </w:r>
      </w:hyperlink>
      <w:r>
        <w:rPr>
          <w:sz w:val="24"/>
        </w:rPr>
        <w:t xml:space="preserve"> указываются сведения об автоматизированных системах и приложениях (при наличии), применяемых страховой организацией в рамках облачных решений при осуществлении деятельности в сфере финансовых рынков, учет которых осуществляется в соответствии с </w:t>
      </w:r>
      <w:hyperlink w:history="0" r:id="rId689" w:tooltip="Положение Банка России от 15.11.2021 N 779-П &quot;Об установлении обязательных для некредитных финансовых организаций требований к операционной надежности при осуществлении видов деятельности, предусмотренных частью первой статьи 76.1 Федерального закона от 10 июля 2002 года N 86-ФЗ &quot;О Центральном банке Российской Федерации (Банке России)&quot;, в целях обеспечения непрерывности оказания финансовых услуг (за исключением банковских услуг)&quot; (Зарегистрировано в Минюсте России 28.03.2022 N 67961) {КонсультантПлюс}">
        <w:r>
          <w:rPr>
            <w:sz w:val="24"/>
            <w:color w:val="0000ff"/>
          </w:rPr>
          <w:t xml:space="preserve">абзацем четвертым пункта 1.4</w:t>
        </w:r>
      </w:hyperlink>
      <w:r>
        <w:rPr>
          <w:sz w:val="24"/>
        </w:rPr>
        <w:t xml:space="preserve"> Положения Банка России N 779-П.</w:t>
      </w:r>
    </w:p>
    <w:p>
      <w:pPr>
        <w:pStyle w:val="0"/>
        <w:spacing w:before="240" w:lineRule="auto"/>
        <w:ind w:firstLine="540"/>
        <w:jc w:val="both"/>
      </w:pPr>
      <w:r>
        <w:rPr>
          <w:sz w:val="24"/>
        </w:rPr>
        <w:t xml:space="preserve">7.10. По показателю "Примечание" </w:t>
      </w:r>
      <w:hyperlink w:history="0" w:anchor="P40072" w:tooltip="26">
        <w:r>
          <w:rPr>
            <w:sz w:val="24"/>
            <w:color w:val="0000ff"/>
          </w:rPr>
          <w:t xml:space="preserve">(строка 26)</w:t>
        </w:r>
      </w:hyperlink>
      <w:r>
        <w:rPr>
          <w:sz w:val="24"/>
        </w:rPr>
        <w:t xml:space="preserve"> указывается значение "Страховая организация не применяет облачные решения" в случае, если страховая организация не применяет облачные решения, предоставляемые поставщиками услуг, в рамках технологических процессов, воздействие на которые или нарушение функционирования которых может привести к событиям операционного риска. При этом показатели </w:t>
      </w:r>
      <w:hyperlink w:history="0" w:anchor="P39890" w:tooltip="Раздел 6.">
        <w:r>
          <w:rPr>
            <w:sz w:val="24"/>
            <w:color w:val="0000ff"/>
          </w:rPr>
          <w:t xml:space="preserve">раздела 6</w:t>
        </w:r>
      </w:hyperlink>
      <w:r>
        <w:rPr>
          <w:sz w:val="24"/>
        </w:rPr>
        <w:t xml:space="preserve"> отчетности по форме 0420174, указанные в </w:t>
      </w:r>
      <w:hyperlink w:history="0" w:anchor="P40152" w:tooltip="7.1. По показателю &quot;Код функциональности (возможностей), получаемой (получаемых) отчитывающейся организацией в рамках облачных решений, предоставляемых поставщиком услуг&quot; (строка 17) указывается один из следующих кодов функциональности (возможностей), получаемой (получаемых) страховой организацией в рамках облачных решений:">
        <w:r>
          <w:rPr>
            <w:sz w:val="24"/>
            <w:color w:val="0000ff"/>
          </w:rPr>
          <w:t xml:space="preserve">подпунктах 7.1</w:t>
        </w:r>
      </w:hyperlink>
      <w:r>
        <w:rPr>
          <w:sz w:val="24"/>
        </w:rPr>
        <w:t xml:space="preserve"> - </w:t>
      </w:r>
      <w:hyperlink w:history="0" w:anchor="P40174" w:tooltip="7.9. По показателю &quot;Информация об автоматизированных системах и приложениях&quot; (строка 25) указываются сведения об автоматизированных системах и приложениях (при наличии), применяемых страховой организацией в рамках облачных решений при осуществлении деятельности в сфере финансовых рынков, учет которых осуществляется в соответствии с абзацем четвертым пункта 1.4 Положения Банка России N 779-П.">
        <w:r>
          <w:rPr>
            <w:sz w:val="24"/>
            <w:color w:val="0000ff"/>
          </w:rPr>
          <w:t xml:space="preserve">7.9</w:t>
        </w:r>
      </w:hyperlink>
      <w:r>
        <w:rPr>
          <w:sz w:val="24"/>
        </w:rPr>
        <w:t xml:space="preserve"> настоящего пункта, не формируются.</w:t>
      </w:r>
    </w:p>
    <w:p>
      <w:pPr>
        <w:pStyle w:val="0"/>
        <w:spacing w:before="240" w:lineRule="auto"/>
        <w:ind w:firstLine="540"/>
        <w:jc w:val="both"/>
      </w:pPr>
      <w:r>
        <w:rPr>
          <w:sz w:val="24"/>
        </w:rPr>
        <w:t xml:space="preserve">В случае если страховая организация применяет облачные решения, предоставляемые поставщиками услуг, в рамках технологических процессов, воздействие на которые или нарушение функционирования которых может привести к событиям операционного риска, показатель "Примечание" </w:t>
      </w:r>
      <w:hyperlink w:history="0" w:anchor="P40072" w:tooltip="26">
        <w:r>
          <w:rPr>
            <w:sz w:val="24"/>
            <w:color w:val="0000ff"/>
          </w:rPr>
          <w:t xml:space="preserve">(строка 26)</w:t>
        </w:r>
      </w:hyperlink>
      <w:r>
        <w:rPr>
          <w:sz w:val="24"/>
        </w:rPr>
        <w:t xml:space="preserve"> не формируется.</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right"/>
      </w:pPr>
      <w:r>
        <w:rPr>
          <w:sz w:val="24"/>
        </w:rPr>
        <w:t xml:space="preserve">Форма</w:t>
      </w:r>
    </w:p>
    <w:p>
      <w:pPr>
        <w:pStyle w:val="0"/>
        <w:ind w:firstLine="540"/>
        <w:jc w:val="both"/>
      </w:pPr>
      <w:r>
        <w:rPr>
          <w:sz w:val="24"/>
        </w:rPr>
      </w:r>
    </w:p>
    <w:bookmarkStart w:id="40184" w:name="P40184"/>
    <w:bookmarkEnd w:id="40184"/>
    <w:p>
      <w:pPr>
        <w:pStyle w:val="0"/>
        <w:jc w:val="center"/>
      </w:pPr>
      <w:r>
        <w:rPr>
          <w:sz w:val="24"/>
        </w:rPr>
        <w:t xml:space="preserve">Отчетность по форме 0420175</w:t>
      </w:r>
    </w:p>
    <w:p>
      <w:pPr>
        <w:pStyle w:val="0"/>
        <w:jc w:val="center"/>
      </w:pPr>
      <w:r>
        <w:rPr>
          <w:sz w:val="24"/>
        </w:rPr>
        <w:t xml:space="preserve">"Сведения об оценке выполнения требований к обеспечению</w:t>
      </w:r>
    </w:p>
    <w:p>
      <w:pPr>
        <w:pStyle w:val="0"/>
        <w:jc w:val="center"/>
      </w:pPr>
      <w:r>
        <w:rPr>
          <w:sz w:val="24"/>
        </w:rPr>
        <w:t xml:space="preserve">защиты информации страховой организацией"</w:t>
      </w:r>
    </w:p>
    <w:p>
      <w:pPr>
        <w:pStyle w:val="0"/>
        <w:ind w:firstLine="540"/>
        <w:jc w:val="both"/>
      </w:pPr>
      <w:r>
        <w:rPr>
          <w:sz w:val="24"/>
        </w:rPr>
      </w:r>
    </w:p>
    <w:p>
      <w:pPr>
        <w:pStyle w:val="0"/>
        <w:jc w:val="right"/>
      </w:pPr>
      <w:r>
        <w:rPr>
          <w:sz w:val="24"/>
        </w:rPr>
        <w:t xml:space="preserve">Код формы по </w:t>
      </w:r>
      <w:hyperlink w:history="0" r:id="rId69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40366" w:tooltip="&lt;1&gt; Общероссийский классификатор управленческой документации.">
        <w:r>
          <w:rPr>
            <w:sz w:val="24"/>
            <w:color w:val="0000ff"/>
          </w:rPr>
          <w:t xml:space="preserve">&lt;1&gt;</w:t>
        </w:r>
      </w:hyperlink>
      <w:r>
        <w:rPr>
          <w:sz w:val="24"/>
        </w:rPr>
        <w:t xml:space="preserve"> 0420175</w:t>
      </w:r>
    </w:p>
    <w:p>
      <w:pPr>
        <w:pStyle w:val="0"/>
        <w:ind w:firstLine="540"/>
        <w:jc w:val="both"/>
      </w:pPr>
      <w:r>
        <w:rPr>
          <w:sz w:val="24"/>
        </w:rPr>
      </w:r>
    </w:p>
    <w:p>
      <w:pPr>
        <w:pStyle w:val="0"/>
        <w:jc w:val="right"/>
      </w:pPr>
      <w:r>
        <w:rPr>
          <w:sz w:val="24"/>
        </w:rPr>
        <w:t xml:space="preserve">На нерегулярной основе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337"/>
        <w:gridCol w:w="2271"/>
        <w:gridCol w:w="2608"/>
        <w:gridCol w:w="2948"/>
      </w:tblGrid>
      <w:tr>
        <w:tc>
          <w:tcPr>
            <w:tcW w:w="907" w:type="dxa"/>
          </w:tcPr>
          <w:p>
            <w:pPr>
              <w:pStyle w:val="0"/>
              <w:jc w:val="center"/>
            </w:pPr>
            <w:r>
              <w:rPr>
                <w:sz w:val="24"/>
              </w:rPr>
              <w:t xml:space="preserve">Номер строки</w:t>
            </w:r>
          </w:p>
        </w:tc>
        <w:tc>
          <w:tcPr>
            <w:gridSpan w:val="2"/>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Наименование группы аналитических признаков</w:t>
            </w:r>
          </w:p>
        </w:tc>
        <w:tc>
          <w:tcPr>
            <w:tcW w:w="2948" w:type="dxa"/>
          </w:tcPr>
          <w:p>
            <w:pPr>
              <w:pStyle w:val="0"/>
              <w:jc w:val="center"/>
            </w:pPr>
            <w:r>
              <w:rPr>
                <w:sz w:val="24"/>
              </w:rPr>
              <w:t xml:space="preserve">Код показателя, группы аналитических признаков</w:t>
            </w:r>
          </w:p>
        </w:tc>
      </w:tr>
      <w:tr>
        <w:tc>
          <w:tcPr>
            <w:tcW w:w="907" w:type="dxa"/>
          </w:tcPr>
          <w:p>
            <w:pPr>
              <w:pStyle w:val="0"/>
              <w:jc w:val="center"/>
            </w:pPr>
            <w:r>
              <w:rPr>
                <w:sz w:val="24"/>
              </w:rPr>
              <w:t xml:space="preserve">1</w:t>
            </w:r>
          </w:p>
        </w:tc>
        <w:tc>
          <w:tcPr>
            <w:gridSpan w:val="2"/>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blPrEx>
          <w:tblBorders>
            <w:insideV w:val="nil"/>
          </w:tblBorders>
        </w:tblPrEx>
        <w:tc>
          <w:tcPr>
            <w:gridSpan w:val="2"/>
            <w:tcW w:w="1244" w:type="dxa"/>
            <w:tcBorders>
              <w:left w:val="single" w:sz="4"/>
            </w:tcBorders>
          </w:tcPr>
          <w:bookmarkStart w:id="40200" w:name="P40200"/>
          <w:bookmarkEnd w:id="40200"/>
          <w:p>
            <w:pPr>
              <w:pStyle w:val="0"/>
              <w:outlineLvl w:val="3"/>
            </w:pPr>
            <w:r>
              <w:rPr>
                <w:sz w:val="24"/>
              </w:rPr>
              <w:t xml:space="preserve">Раздел 1.</w:t>
            </w:r>
          </w:p>
        </w:tc>
        <w:tc>
          <w:tcPr>
            <w:gridSpan w:val="3"/>
            <w:tcW w:w="7827" w:type="dxa"/>
            <w:tcBorders>
              <w:right w:val="single" w:sz="4"/>
            </w:tcBorders>
          </w:tcPr>
          <w:p>
            <w:pPr>
              <w:pStyle w:val="0"/>
            </w:pPr>
            <w:r>
              <w:rPr>
                <w:sz w:val="24"/>
              </w:rPr>
              <w:t xml:space="preserve">Сведения об оценке выполнения требований по направлению "технологические меры"</w:t>
            </w:r>
          </w:p>
        </w:tc>
      </w:tr>
      <w:tr>
        <w:tc>
          <w:tcPr>
            <w:tcW w:w="907" w:type="dxa"/>
          </w:tcPr>
          <w:bookmarkStart w:id="40202" w:name="P40202"/>
          <w:bookmarkEnd w:id="40202"/>
          <w:p>
            <w:pPr>
              <w:pStyle w:val="0"/>
            </w:pPr>
            <w:r>
              <w:rPr>
                <w:sz w:val="24"/>
              </w:rPr>
              <w:t xml:space="preserve">1</w:t>
            </w:r>
          </w:p>
        </w:tc>
        <w:tc>
          <w:tcPr>
            <w:gridSpan w:val="2"/>
            <w:tcW w:w="2608" w:type="dxa"/>
          </w:tcPr>
          <w:p>
            <w:pPr>
              <w:pStyle w:val="0"/>
            </w:pPr>
            <w:r>
              <w:rPr>
                <w:sz w:val="24"/>
              </w:rPr>
              <w:t xml:space="preserve">Оценка, характеризующая выполнение требований, в рамках процесса</w:t>
            </w:r>
          </w:p>
        </w:tc>
        <w:tc>
          <w:tcPr>
            <w:tcW w:w="2608" w:type="dxa"/>
          </w:tcPr>
          <w:p>
            <w:pPr>
              <w:pStyle w:val="0"/>
            </w:pPr>
            <w:r>
              <w:rPr>
                <w:sz w:val="24"/>
              </w:rPr>
            </w:r>
          </w:p>
        </w:tc>
        <w:tc>
          <w:tcPr>
            <w:tcW w:w="2948" w:type="dxa"/>
          </w:tcPr>
          <w:p>
            <w:pPr>
              <w:pStyle w:val="0"/>
            </w:pPr>
            <w:r>
              <w:rPr>
                <w:sz w:val="24"/>
              </w:rPr>
              <w:t xml:space="preserve">nfo-dic:OczenkaXarakterizVypolnTrebovVRamkaxProczessa</w:t>
            </w:r>
          </w:p>
        </w:tc>
      </w:tr>
      <w:tr>
        <w:tc>
          <w:tcPr>
            <w:tcW w:w="907" w:type="dxa"/>
          </w:tcPr>
          <w:p>
            <w:pPr>
              <w:pStyle w:val="0"/>
            </w:pPr>
            <w:r>
              <w:rPr>
                <w:sz w:val="24"/>
              </w:rPr>
              <w:t xml:space="preserve">1.1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1.2</w:t>
            </w:r>
          </w:p>
        </w:tc>
        <w:tc>
          <w:tcPr>
            <w:gridSpan w:val="2"/>
            <w:tcW w:w="2608" w:type="dxa"/>
          </w:tcPr>
          <w:p>
            <w:pPr>
              <w:pStyle w:val="0"/>
            </w:pPr>
            <w:r>
              <w:rPr>
                <w:sz w:val="24"/>
              </w:rPr>
            </w:r>
          </w:p>
        </w:tc>
        <w:tc>
          <w:tcPr>
            <w:tcW w:w="2608" w:type="dxa"/>
          </w:tcPr>
          <w:p>
            <w:pPr>
              <w:pStyle w:val="0"/>
            </w:pPr>
            <w:r>
              <w:rPr>
                <w:sz w:val="24"/>
              </w:rPr>
              <w:t xml:space="preserve">Виды процессов защиты информации</w:t>
            </w:r>
          </w:p>
        </w:tc>
        <w:tc>
          <w:tcPr>
            <w:tcW w:w="2948" w:type="dxa"/>
          </w:tcPr>
          <w:p>
            <w:pPr>
              <w:pStyle w:val="0"/>
            </w:pPr>
            <w:r>
              <w:rPr>
                <w:sz w:val="24"/>
              </w:rPr>
              <w:t xml:space="preserve">dim-int:VidyProczessovZIAxis</w:t>
            </w:r>
          </w:p>
        </w:tc>
      </w:tr>
      <w:tr>
        <w:tc>
          <w:tcPr>
            <w:tcW w:w="907" w:type="dxa"/>
          </w:tcPr>
          <w:p>
            <w:pPr>
              <w:pStyle w:val="0"/>
            </w:pPr>
            <w:r>
              <w:rPr>
                <w:sz w:val="24"/>
              </w:rPr>
              <w:t xml:space="preserve">1.3</w:t>
            </w:r>
          </w:p>
        </w:tc>
        <w:tc>
          <w:tcPr>
            <w:gridSpan w:val="2"/>
            <w:tcW w:w="2608" w:type="dxa"/>
          </w:tcPr>
          <w:p>
            <w:pPr>
              <w:pStyle w:val="0"/>
            </w:pPr>
            <w:r>
              <w:rPr>
                <w:sz w:val="24"/>
              </w:rPr>
            </w:r>
          </w:p>
        </w:tc>
        <w:tc>
          <w:tcPr>
            <w:tcW w:w="2608" w:type="dxa"/>
          </w:tcPr>
          <w:p>
            <w:pPr>
              <w:pStyle w:val="0"/>
            </w:pPr>
            <w:r>
              <w:rPr>
                <w:sz w:val="24"/>
              </w:rPr>
              <w:t xml:space="preserve">Направления защиты информации</w:t>
            </w:r>
          </w:p>
        </w:tc>
        <w:tc>
          <w:tcPr>
            <w:tcW w:w="2948" w:type="dxa"/>
          </w:tcPr>
          <w:p>
            <w:pPr>
              <w:pStyle w:val="0"/>
            </w:pPr>
            <w:r>
              <w:rPr>
                <w:sz w:val="24"/>
              </w:rPr>
              <w:t xml:space="preserve">dim-int:NapravleniyaZIAxis</w:t>
            </w:r>
          </w:p>
        </w:tc>
      </w:tr>
      <w:tr>
        <w:tblPrEx>
          <w:tblBorders>
            <w:insideV w:val="nil"/>
          </w:tblBorders>
        </w:tblPrEx>
        <w:tc>
          <w:tcPr>
            <w:gridSpan w:val="2"/>
            <w:tcW w:w="1244" w:type="dxa"/>
            <w:tcBorders>
              <w:left w:val="single" w:sz="4"/>
            </w:tcBorders>
          </w:tcPr>
          <w:bookmarkStart w:id="40218" w:name="P40218"/>
          <w:bookmarkEnd w:id="40218"/>
          <w:p>
            <w:pPr>
              <w:pStyle w:val="0"/>
              <w:outlineLvl w:val="3"/>
            </w:pPr>
            <w:r>
              <w:rPr>
                <w:sz w:val="24"/>
              </w:rPr>
              <w:t xml:space="preserve">Раздел 2.</w:t>
            </w:r>
          </w:p>
        </w:tc>
        <w:tc>
          <w:tcPr>
            <w:gridSpan w:val="3"/>
            <w:tcW w:w="7827" w:type="dxa"/>
            <w:tcBorders>
              <w:right w:val="single" w:sz="4"/>
            </w:tcBorders>
          </w:tcPr>
          <w:p>
            <w:pPr>
              <w:pStyle w:val="0"/>
            </w:pPr>
            <w:r>
              <w:rPr>
                <w:sz w:val="24"/>
              </w:rPr>
              <w:t xml:space="preserve">Сведения об оценке выполнения требований по направлению "безопасность программного обеспечения"</w:t>
            </w:r>
          </w:p>
        </w:tc>
      </w:tr>
      <w:tr>
        <w:tc>
          <w:tcPr>
            <w:tcW w:w="907" w:type="dxa"/>
          </w:tcPr>
          <w:bookmarkStart w:id="40220" w:name="P40220"/>
          <w:bookmarkEnd w:id="40220"/>
          <w:p>
            <w:pPr>
              <w:pStyle w:val="0"/>
            </w:pPr>
            <w:r>
              <w:rPr>
                <w:sz w:val="24"/>
              </w:rPr>
              <w:t xml:space="preserve">2</w:t>
            </w:r>
          </w:p>
        </w:tc>
        <w:tc>
          <w:tcPr>
            <w:gridSpan w:val="2"/>
            <w:tcW w:w="2608" w:type="dxa"/>
          </w:tcPr>
          <w:p>
            <w:pPr>
              <w:pStyle w:val="0"/>
            </w:pPr>
            <w:r>
              <w:rPr>
                <w:sz w:val="24"/>
              </w:rPr>
              <w:t xml:space="preserve">Оценка, характеризующая выполнение требований, в рамках процесса</w:t>
            </w:r>
          </w:p>
        </w:tc>
        <w:tc>
          <w:tcPr>
            <w:tcW w:w="2608" w:type="dxa"/>
          </w:tcPr>
          <w:p>
            <w:pPr>
              <w:pStyle w:val="0"/>
            </w:pPr>
            <w:r>
              <w:rPr>
                <w:sz w:val="24"/>
              </w:rPr>
            </w:r>
          </w:p>
        </w:tc>
        <w:tc>
          <w:tcPr>
            <w:tcW w:w="2948" w:type="dxa"/>
          </w:tcPr>
          <w:p>
            <w:pPr>
              <w:pStyle w:val="0"/>
            </w:pPr>
            <w:r>
              <w:rPr>
                <w:sz w:val="24"/>
              </w:rPr>
              <w:t xml:space="preserve">nfo-dic:OczenkaXarakterizVypolnTrebovVRamkaxProczessa</w:t>
            </w:r>
          </w:p>
        </w:tc>
      </w:tr>
      <w:tr>
        <w:tc>
          <w:tcPr>
            <w:tcW w:w="907" w:type="dxa"/>
          </w:tcPr>
          <w:p>
            <w:pPr>
              <w:pStyle w:val="0"/>
            </w:pPr>
            <w:r>
              <w:rPr>
                <w:sz w:val="24"/>
              </w:rPr>
              <w:t xml:space="preserve">2.1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2.2</w:t>
            </w:r>
          </w:p>
        </w:tc>
        <w:tc>
          <w:tcPr>
            <w:gridSpan w:val="2"/>
            <w:tcW w:w="2608" w:type="dxa"/>
          </w:tcPr>
          <w:p>
            <w:pPr>
              <w:pStyle w:val="0"/>
            </w:pPr>
            <w:r>
              <w:rPr>
                <w:sz w:val="24"/>
              </w:rPr>
            </w:r>
          </w:p>
        </w:tc>
        <w:tc>
          <w:tcPr>
            <w:tcW w:w="2608" w:type="dxa"/>
          </w:tcPr>
          <w:p>
            <w:pPr>
              <w:pStyle w:val="0"/>
            </w:pPr>
            <w:r>
              <w:rPr>
                <w:sz w:val="24"/>
              </w:rPr>
              <w:t xml:space="preserve">Виды процессов защиты информации</w:t>
            </w:r>
          </w:p>
        </w:tc>
        <w:tc>
          <w:tcPr>
            <w:tcW w:w="2948" w:type="dxa"/>
          </w:tcPr>
          <w:p>
            <w:pPr>
              <w:pStyle w:val="0"/>
            </w:pPr>
            <w:r>
              <w:rPr>
                <w:sz w:val="24"/>
              </w:rPr>
              <w:t xml:space="preserve">dim-int:VidyProczessovZIAxis</w:t>
            </w:r>
          </w:p>
        </w:tc>
      </w:tr>
      <w:tr>
        <w:tc>
          <w:tcPr>
            <w:tcW w:w="907" w:type="dxa"/>
          </w:tcPr>
          <w:p>
            <w:pPr>
              <w:pStyle w:val="0"/>
            </w:pPr>
            <w:r>
              <w:rPr>
                <w:sz w:val="24"/>
              </w:rPr>
              <w:t xml:space="preserve">2.3</w:t>
            </w:r>
          </w:p>
        </w:tc>
        <w:tc>
          <w:tcPr>
            <w:gridSpan w:val="2"/>
            <w:tcW w:w="2608" w:type="dxa"/>
          </w:tcPr>
          <w:p>
            <w:pPr>
              <w:pStyle w:val="0"/>
            </w:pPr>
            <w:r>
              <w:rPr>
                <w:sz w:val="24"/>
              </w:rPr>
            </w:r>
          </w:p>
        </w:tc>
        <w:tc>
          <w:tcPr>
            <w:tcW w:w="2608" w:type="dxa"/>
          </w:tcPr>
          <w:p>
            <w:pPr>
              <w:pStyle w:val="0"/>
            </w:pPr>
            <w:r>
              <w:rPr>
                <w:sz w:val="24"/>
              </w:rPr>
              <w:t xml:space="preserve">Направления защиты информации</w:t>
            </w:r>
          </w:p>
        </w:tc>
        <w:tc>
          <w:tcPr>
            <w:tcW w:w="2948" w:type="dxa"/>
          </w:tcPr>
          <w:p>
            <w:pPr>
              <w:pStyle w:val="0"/>
            </w:pPr>
            <w:r>
              <w:rPr>
                <w:sz w:val="24"/>
              </w:rPr>
              <w:t xml:space="preserve">dim-int:NapravleniyaZIAxis</w:t>
            </w:r>
          </w:p>
        </w:tc>
      </w:tr>
      <w:tr>
        <w:tc>
          <w:tcPr>
            <w:tcW w:w="907" w:type="dxa"/>
          </w:tcPr>
          <w:bookmarkStart w:id="40236" w:name="P40236"/>
          <w:bookmarkEnd w:id="40236"/>
          <w:p>
            <w:pPr>
              <w:pStyle w:val="0"/>
            </w:pPr>
            <w:r>
              <w:rPr>
                <w:sz w:val="24"/>
              </w:rPr>
              <w:t xml:space="preserve">3</w:t>
            </w:r>
          </w:p>
        </w:tc>
        <w:tc>
          <w:tcPr>
            <w:gridSpan w:val="2"/>
            <w:tcW w:w="2608" w:type="dxa"/>
          </w:tcPr>
          <w:p>
            <w:pPr>
              <w:pStyle w:val="0"/>
            </w:pPr>
            <w:r>
              <w:rPr>
                <w:sz w:val="24"/>
              </w:rPr>
              <w:t xml:space="preserve">Признак, характеризующий использование прикладного программного обеспечения автоматизированных систем и приложений, которые сертифицированы в системе сертификации ФСТЭК России или в отношении которых проведена оценка соответствия требованиям к ОУД</w:t>
            </w:r>
          </w:p>
        </w:tc>
        <w:tc>
          <w:tcPr>
            <w:tcW w:w="2608" w:type="dxa"/>
          </w:tcPr>
          <w:p>
            <w:pPr>
              <w:pStyle w:val="0"/>
            </w:pPr>
            <w:r>
              <w:rPr>
                <w:sz w:val="24"/>
              </w:rPr>
            </w:r>
          </w:p>
        </w:tc>
        <w:tc>
          <w:tcPr>
            <w:tcW w:w="2948" w:type="dxa"/>
          </w:tcPr>
          <w:p>
            <w:pPr>
              <w:pStyle w:val="0"/>
            </w:pPr>
            <w:r>
              <w:rPr>
                <w:sz w:val="24"/>
              </w:rPr>
              <w:t xml:space="preserve">nfo-dic:PrznkXarIspolzPriklPOASPrilSertifFstekIliOudEnumerator</w:t>
            </w:r>
          </w:p>
        </w:tc>
      </w:tr>
      <w:tr>
        <w:tc>
          <w:tcPr>
            <w:tcW w:w="907" w:type="dxa"/>
          </w:tcPr>
          <w:p>
            <w:pPr>
              <w:pStyle w:val="0"/>
            </w:pPr>
            <w:r>
              <w:rPr>
                <w:sz w:val="24"/>
              </w:rPr>
              <w:t xml:space="preserve">3.1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bookmarkStart w:id="40244" w:name="P40244"/>
          <w:bookmarkEnd w:id="40244"/>
          <w:p>
            <w:pPr>
              <w:pStyle w:val="0"/>
            </w:pPr>
            <w:r>
              <w:rPr>
                <w:sz w:val="24"/>
              </w:rPr>
              <w:t xml:space="preserve">4</w:t>
            </w:r>
          </w:p>
        </w:tc>
        <w:tc>
          <w:tcPr>
            <w:gridSpan w:val="2"/>
            <w:tcW w:w="2608" w:type="dxa"/>
          </w:tcPr>
          <w:p>
            <w:pPr>
              <w:pStyle w:val="0"/>
            </w:pPr>
            <w:r>
              <w:rPr>
                <w:sz w:val="24"/>
              </w:rPr>
              <w:t xml:space="preserve">Признак, характеризующий проведение оценки соответствия требованиям к ОУД прикладного программного обеспечения автоматизированных систем и приложений самостоятельно или с привлечением проверяющей организации</w:t>
            </w:r>
          </w:p>
        </w:tc>
        <w:tc>
          <w:tcPr>
            <w:tcW w:w="2608" w:type="dxa"/>
          </w:tcPr>
          <w:p>
            <w:pPr>
              <w:pStyle w:val="0"/>
            </w:pPr>
            <w:r>
              <w:rPr>
                <w:sz w:val="24"/>
              </w:rPr>
            </w:r>
          </w:p>
        </w:tc>
        <w:tc>
          <w:tcPr>
            <w:tcW w:w="2948" w:type="dxa"/>
          </w:tcPr>
          <w:p>
            <w:pPr>
              <w:pStyle w:val="0"/>
            </w:pPr>
            <w:r>
              <w:rPr>
                <w:sz w:val="24"/>
              </w:rPr>
              <w:t xml:space="preserve">nfo-dic:PrznkXarProvSertFstekIliOudPrPOASPrilEnumerator</w:t>
            </w:r>
          </w:p>
        </w:tc>
      </w:tr>
      <w:tr>
        <w:tc>
          <w:tcPr>
            <w:tcW w:w="907" w:type="dxa"/>
          </w:tcPr>
          <w:p>
            <w:pPr>
              <w:pStyle w:val="0"/>
            </w:pPr>
            <w:r>
              <w:rPr>
                <w:sz w:val="24"/>
              </w:rPr>
              <w:t xml:space="preserve">4.1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blPrEx>
          <w:tblBorders>
            <w:insideV w:val="nil"/>
          </w:tblBorders>
        </w:tblPrEx>
        <w:tc>
          <w:tcPr>
            <w:gridSpan w:val="2"/>
            <w:tcW w:w="1244" w:type="dxa"/>
            <w:tcBorders>
              <w:left w:val="single" w:sz="4"/>
            </w:tcBorders>
          </w:tcPr>
          <w:bookmarkStart w:id="40252" w:name="P40252"/>
          <w:bookmarkEnd w:id="40252"/>
          <w:p>
            <w:pPr>
              <w:pStyle w:val="0"/>
              <w:outlineLvl w:val="3"/>
            </w:pPr>
            <w:r>
              <w:rPr>
                <w:sz w:val="24"/>
              </w:rPr>
              <w:t xml:space="preserve">Раздел 3.</w:t>
            </w:r>
          </w:p>
        </w:tc>
        <w:tc>
          <w:tcPr>
            <w:gridSpan w:val="3"/>
            <w:tcW w:w="7827" w:type="dxa"/>
            <w:tcBorders>
              <w:right w:val="single" w:sz="4"/>
            </w:tcBorders>
          </w:tcPr>
          <w:p>
            <w:pPr>
              <w:pStyle w:val="0"/>
            </w:pPr>
            <w:r>
              <w:rPr>
                <w:sz w:val="24"/>
              </w:rPr>
              <w:t xml:space="preserve">Сведения об оценке выполнения требований по направлению "безопасность информационной инфраструктуры"</w:t>
            </w:r>
          </w:p>
        </w:tc>
      </w:tr>
      <w:tr>
        <w:tc>
          <w:tcPr>
            <w:tcW w:w="907" w:type="dxa"/>
          </w:tcPr>
          <w:bookmarkStart w:id="40254" w:name="P40254"/>
          <w:bookmarkEnd w:id="40254"/>
          <w:p>
            <w:pPr>
              <w:pStyle w:val="0"/>
            </w:pPr>
            <w:r>
              <w:rPr>
                <w:sz w:val="24"/>
              </w:rPr>
              <w:t xml:space="preserve">5</w:t>
            </w:r>
          </w:p>
        </w:tc>
        <w:tc>
          <w:tcPr>
            <w:gridSpan w:val="2"/>
            <w:tcW w:w="2608" w:type="dxa"/>
          </w:tcPr>
          <w:p>
            <w:pPr>
              <w:pStyle w:val="0"/>
            </w:pPr>
            <w:r>
              <w:rPr>
                <w:sz w:val="24"/>
              </w:rPr>
              <w:t xml:space="preserve">Оценка, характеризующая выбор организационных и технических мер системы защиты информации</w:t>
            </w:r>
          </w:p>
        </w:tc>
        <w:tc>
          <w:tcPr>
            <w:tcW w:w="2608" w:type="dxa"/>
          </w:tcPr>
          <w:p>
            <w:pPr>
              <w:pStyle w:val="0"/>
            </w:pPr>
            <w:r>
              <w:rPr>
                <w:sz w:val="24"/>
              </w:rPr>
            </w:r>
          </w:p>
        </w:tc>
        <w:tc>
          <w:tcPr>
            <w:tcW w:w="2948" w:type="dxa"/>
          </w:tcPr>
          <w:p>
            <w:pPr>
              <w:pStyle w:val="0"/>
            </w:pPr>
            <w:r>
              <w:rPr>
                <w:sz w:val="24"/>
              </w:rPr>
              <w:t xml:space="preserve">nfo-dic:OczenkaXarVyborOrgITexnichMerSistemyZI</w:t>
            </w:r>
          </w:p>
        </w:tc>
      </w:tr>
      <w:tr>
        <w:tc>
          <w:tcPr>
            <w:tcW w:w="907" w:type="dxa"/>
          </w:tcPr>
          <w:p>
            <w:pPr>
              <w:pStyle w:val="0"/>
            </w:pPr>
            <w:r>
              <w:rPr>
                <w:sz w:val="24"/>
              </w:rPr>
              <w:t xml:space="preserve">5.1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5.2</w:t>
            </w:r>
          </w:p>
        </w:tc>
        <w:tc>
          <w:tcPr>
            <w:gridSpan w:val="2"/>
            <w:tcW w:w="2608" w:type="dxa"/>
          </w:tcPr>
          <w:p>
            <w:pPr>
              <w:pStyle w:val="0"/>
            </w:pPr>
            <w:r>
              <w:rPr>
                <w:sz w:val="24"/>
              </w:rPr>
            </w:r>
          </w:p>
        </w:tc>
        <w:tc>
          <w:tcPr>
            <w:tcW w:w="2608" w:type="dxa"/>
          </w:tcPr>
          <w:p>
            <w:pPr>
              <w:pStyle w:val="0"/>
            </w:pPr>
            <w:r>
              <w:rPr>
                <w:sz w:val="24"/>
              </w:rPr>
              <w:t xml:space="preserve">Процессы системы защиты информации</w:t>
            </w:r>
          </w:p>
        </w:tc>
        <w:tc>
          <w:tcPr>
            <w:tcW w:w="2948" w:type="dxa"/>
          </w:tcPr>
          <w:p>
            <w:pPr>
              <w:pStyle w:val="0"/>
            </w:pPr>
            <w:r>
              <w:rPr>
                <w:sz w:val="24"/>
              </w:rPr>
              <w:t xml:space="preserve">dim-int:ProczessySistemyZIAxis</w:t>
            </w:r>
          </w:p>
        </w:tc>
      </w:tr>
      <w:tr>
        <w:tc>
          <w:tcPr>
            <w:tcW w:w="907" w:type="dxa"/>
          </w:tcPr>
          <w:bookmarkStart w:id="40266" w:name="P40266"/>
          <w:bookmarkEnd w:id="40266"/>
          <w:p>
            <w:pPr>
              <w:pStyle w:val="0"/>
            </w:pPr>
            <w:r>
              <w:rPr>
                <w:sz w:val="24"/>
              </w:rPr>
              <w:t xml:space="preserve">6</w:t>
            </w:r>
          </w:p>
        </w:tc>
        <w:tc>
          <w:tcPr>
            <w:gridSpan w:val="2"/>
            <w:tcW w:w="2608" w:type="dxa"/>
          </w:tcPr>
          <w:p>
            <w:pPr>
              <w:pStyle w:val="0"/>
            </w:pPr>
            <w:r>
              <w:rPr>
                <w:sz w:val="24"/>
              </w:rPr>
              <w:t xml:space="preserve">Оценка по направлениям защиты информации системы организации и управления защиты информации</w:t>
            </w:r>
          </w:p>
        </w:tc>
        <w:tc>
          <w:tcPr>
            <w:tcW w:w="2608" w:type="dxa"/>
          </w:tcPr>
          <w:p>
            <w:pPr>
              <w:pStyle w:val="0"/>
            </w:pPr>
            <w:r>
              <w:rPr>
                <w:sz w:val="24"/>
              </w:rPr>
            </w:r>
          </w:p>
        </w:tc>
        <w:tc>
          <w:tcPr>
            <w:tcW w:w="2948" w:type="dxa"/>
          </w:tcPr>
          <w:p>
            <w:pPr>
              <w:pStyle w:val="0"/>
            </w:pPr>
            <w:r>
              <w:rPr>
                <w:sz w:val="24"/>
              </w:rPr>
              <w:t xml:space="preserve">nfo-dic:OczenkaPoNapravlZISistemyOrganizacziiIUpravleniyaZI</w:t>
            </w:r>
          </w:p>
        </w:tc>
      </w:tr>
      <w:tr>
        <w:tc>
          <w:tcPr>
            <w:tcW w:w="907" w:type="dxa"/>
          </w:tcPr>
          <w:p>
            <w:pPr>
              <w:pStyle w:val="0"/>
            </w:pPr>
            <w:r>
              <w:rPr>
                <w:sz w:val="24"/>
              </w:rPr>
              <w:t xml:space="preserve">6.1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6.2</w:t>
            </w:r>
          </w:p>
        </w:tc>
        <w:tc>
          <w:tcPr>
            <w:gridSpan w:val="2"/>
            <w:tcW w:w="2608" w:type="dxa"/>
          </w:tcPr>
          <w:p>
            <w:pPr>
              <w:pStyle w:val="0"/>
            </w:pPr>
            <w:r>
              <w:rPr>
                <w:sz w:val="24"/>
              </w:rPr>
            </w:r>
          </w:p>
        </w:tc>
        <w:tc>
          <w:tcPr>
            <w:tcW w:w="2608" w:type="dxa"/>
          </w:tcPr>
          <w:p>
            <w:pPr>
              <w:pStyle w:val="0"/>
            </w:pPr>
            <w:r>
              <w:rPr>
                <w:sz w:val="24"/>
              </w:rPr>
              <w:t xml:space="preserve">Виды процессов защиты информации</w:t>
            </w:r>
          </w:p>
        </w:tc>
        <w:tc>
          <w:tcPr>
            <w:tcW w:w="2948" w:type="dxa"/>
          </w:tcPr>
          <w:p>
            <w:pPr>
              <w:pStyle w:val="0"/>
            </w:pPr>
            <w:r>
              <w:rPr>
                <w:sz w:val="24"/>
              </w:rPr>
              <w:t xml:space="preserve">dim-int:VidyProczessovZIAxis</w:t>
            </w:r>
          </w:p>
        </w:tc>
      </w:tr>
      <w:tr>
        <w:tc>
          <w:tcPr>
            <w:tcW w:w="907" w:type="dxa"/>
          </w:tcPr>
          <w:p>
            <w:pPr>
              <w:pStyle w:val="0"/>
            </w:pPr>
            <w:r>
              <w:rPr>
                <w:sz w:val="24"/>
              </w:rPr>
              <w:t xml:space="preserve">6.3</w:t>
            </w:r>
          </w:p>
        </w:tc>
        <w:tc>
          <w:tcPr>
            <w:gridSpan w:val="2"/>
            <w:tcW w:w="2608" w:type="dxa"/>
          </w:tcPr>
          <w:p>
            <w:pPr>
              <w:pStyle w:val="0"/>
            </w:pPr>
            <w:r>
              <w:rPr>
                <w:sz w:val="24"/>
              </w:rPr>
            </w:r>
          </w:p>
        </w:tc>
        <w:tc>
          <w:tcPr>
            <w:tcW w:w="2608" w:type="dxa"/>
          </w:tcPr>
          <w:p>
            <w:pPr>
              <w:pStyle w:val="0"/>
            </w:pPr>
            <w:r>
              <w:rPr>
                <w:sz w:val="24"/>
              </w:rPr>
              <w:t xml:space="preserve">Процессы системы защиты информации</w:t>
            </w:r>
          </w:p>
        </w:tc>
        <w:tc>
          <w:tcPr>
            <w:tcW w:w="2948" w:type="dxa"/>
          </w:tcPr>
          <w:p>
            <w:pPr>
              <w:pStyle w:val="0"/>
            </w:pPr>
            <w:r>
              <w:rPr>
                <w:sz w:val="24"/>
              </w:rPr>
              <w:t xml:space="preserve">dim-int:ProczessySistemyZIAxis</w:t>
            </w:r>
          </w:p>
        </w:tc>
      </w:tr>
      <w:tr>
        <w:tc>
          <w:tcPr>
            <w:tcW w:w="907" w:type="dxa"/>
          </w:tcPr>
          <w:bookmarkStart w:id="40282" w:name="P40282"/>
          <w:bookmarkEnd w:id="40282"/>
          <w:p>
            <w:pPr>
              <w:pStyle w:val="0"/>
            </w:pPr>
            <w:r>
              <w:rPr>
                <w:sz w:val="24"/>
              </w:rPr>
              <w:t xml:space="preserve">7</w:t>
            </w:r>
          </w:p>
        </w:tc>
        <w:tc>
          <w:tcPr>
            <w:gridSpan w:val="2"/>
            <w:tcW w:w="2608" w:type="dxa"/>
          </w:tcPr>
          <w:p>
            <w:pPr>
              <w:pStyle w:val="0"/>
            </w:pPr>
            <w:r>
              <w:rPr>
                <w:sz w:val="24"/>
              </w:rPr>
              <w:t xml:space="preserve">Качественная оценка уровня соответствия процесса системы защиты информации</w:t>
            </w:r>
          </w:p>
        </w:tc>
        <w:tc>
          <w:tcPr>
            <w:tcW w:w="2608" w:type="dxa"/>
          </w:tcPr>
          <w:p>
            <w:pPr>
              <w:pStyle w:val="0"/>
            </w:pPr>
            <w:r>
              <w:rPr>
                <w:sz w:val="24"/>
              </w:rPr>
            </w:r>
          </w:p>
        </w:tc>
        <w:tc>
          <w:tcPr>
            <w:tcW w:w="2948" w:type="dxa"/>
          </w:tcPr>
          <w:p>
            <w:pPr>
              <w:pStyle w:val="0"/>
            </w:pPr>
            <w:r>
              <w:rPr>
                <w:sz w:val="24"/>
              </w:rPr>
              <w:t xml:space="preserve">nfo-dic:KachOczenkaUrovnyaSootvetProczessaSistemyZIEnumerator</w:t>
            </w:r>
          </w:p>
        </w:tc>
      </w:tr>
      <w:tr>
        <w:tc>
          <w:tcPr>
            <w:tcW w:w="907" w:type="dxa"/>
          </w:tcPr>
          <w:p>
            <w:pPr>
              <w:pStyle w:val="0"/>
            </w:pPr>
            <w:r>
              <w:rPr>
                <w:sz w:val="24"/>
              </w:rPr>
              <w:t xml:space="preserve">7.1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7.2</w:t>
            </w:r>
          </w:p>
        </w:tc>
        <w:tc>
          <w:tcPr>
            <w:gridSpan w:val="2"/>
            <w:tcW w:w="2608" w:type="dxa"/>
          </w:tcPr>
          <w:p>
            <w:pPr>
              <w:pStyle w:val="0"/>
            </w:pPr>
            <w:r>
              <w:rPr>
                <w:sz w:val="24"/>
              </w:rPr>
            </w:r>
          </w:p>
        </w:tc>
        <w:tc>
          <w:tcPr>
            <w:tcW w:w="2608" w:type="dxa"/>
          </w:tcPr>
          <w:p>
            <w:pPr>
              <w:pStyle w:val="0"/>
            </w:pPr>
            <w:r>
              <w:rPr>
                <w:sz w:val="24"/>
              </w:rPr>
              <w:t xml:space="preserve">Процессы системы защиты информации</w:t>
            </w:r>
          </w:p>
        </w:tc>
        <w:tc>
          <w:tcPr>
            <w:tcW w:w="2948" w:type="dxa"/>
          </w:tcPr>
          <w:p>
            <w:pPr>
              <w:pStyle w:val="0"/>
            </w:pPr>
            <w:r>
              <w:rPr>
                <w:sz w:val="24"/>
              </w:rPr>
              <w:t xml:space="preserve">dim-int:ProczessySistemyZIAxis</w:t>
            </w:r>
          </w:p>
        </w:tc>
      </w:tr>
      <w:tr>
        <w:tc>
          <w:tcPr>
            <w:tcW w:w="907" w:type="dxa"/>
          </w:tcPr>
          <w:bookmarkStart w:id="40294" w:name="P40294"/>
          <w:bookmarkEnd w:id="40294"/>
          <w:p>
            <w:pPr>
              <w:pStyle w:val="0"/>
            </w:pPr>
            <w:r>
              <w:rPr>
                <w:sz w:val="24"/>
              </w:rPr>
              <w:t xml:space="preserve">8</w:t>
            </w:r>
          </w:p>
        </w:tc>
        <w:tc>
          <w:tcPr>
            <w:gridSpan w:val="2"/>
            <w:tcW w:w="2608" w:type="dxa"/>
          </w:tcPr>
          <w:p>
            <w:pPr>
              <w:pStyle w:val="0"/>
            </w:pPr>
            <w:r>
              <w:rPr>
                <w:sz w:val="24"/>
              </w:rPr>
              <w:t xml:space="preserve">Числовое значение оценки соответствия процесса системы защиты информации</w:t>
            </w:r>
          </w:p>
        </w:tc>
        <w:tc>
          <w:tcPr>
            <w:tcW w:w="2608" w:type="dxa"/>
          </w:tcPr>
          <w:p>
            <w:pPr>
              <w:pStyle w:val="0"/>
            </w:pPr>
            <w:r>
              <w:rPr>
                <w:sz w:val="24"/>
              </w:rPr>
            </w:r>
          </w:p>
        </w:tc>
        <w:tc>
          <w:tcPr>
            <w:tcW w:w="2948" w:type="dxa"/>
          </w:tcPr>
          <w:p>
            <w:pPr>
              <w:pStyle w:val="0"/>
            </w:pPr>
            <w:r>
              <w:rPr>
                <w:sz w:val="24"/>
              </w:rPr>
              <w:t xml:space="preserve">nfo-dic:CHislovZnachenOczenkiSootvetstviyaProczessaSistemyZl</w:t>
            </w:r>
          </w:p>
        </w:tc>
      </w:tr>
      <w:tr>
        <w:tc>
          <w:tcPr>
            <w:tcW w:w="907" w:type="dxa"/>
          </w:tcPr>
          <w:p>
            <w:pPr>
              <w:pStyle w:val="0"/>
            </w:pPr>
            <w:r>
              <w:rPr>
                <w:sz w:val="24"/>
              </w:rPr>
              <w:t xml:space="preserve">8.1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p>
            <w:pPr>
              <w:pStyle w:val="0"/>
            </w:pPr>
            <w:r>
              <w:rPr>
                <w:sz w:val="24"/>
              </w:rPr>
              <w:t xml:space="preserve">8.2</w:t>
            </w:r>
          </w:p>
        </w:tc>
        <w:tc>
          <w:tcPr>
            <w:gridSpan w:val="2"/>
            <w:tcW w:w="2608" w:type="dxa"/>
          </w:tcPr>
          <w:p>
            <w:pPr>
              <w:pStyle w:val="0"/>
            </w:pPr>
            <w:r>
              <w:rPr>
                <w:sz w:val="24"/>
              </w:rPr>
            </w:r>
          </w:p>
        </w:tc>
        <w:tc>
          <w:tcPr>
            <w:tcW w:w="2608" w:type="dxa"/>
          </w:tcPr>
          <w:p>
            <w:pPr>
              <w:pStyle w:val="0"/>
            </w:pPr>
            <w:r>
              <w:rPr>
                <w:sz w:val="24"/>
              </w:rPr>
              <w:t xml:space="preserve">Процессы системы защиты информации</w:t>
            </w:r>
          </w:p>
        </w:tc>
        <w:tc>
          <w:tcPr>
            <w:tcW w:w="2948" w:type="dxa"/>
          </w:tcPr>
          <w:p>
            <w:pPr>
              <w:pStyle w:val="0"/>
            </w:pPr>
            <w:r>
              <w:rPr>
                <w:sz w:val="24"/>
              </w:rPr>
              <w:t xml:space="preserve">dim-int:ProczessySistemyZIAxis</w:t>
            </w:r>
          </w:p>
        </w:tc>
      </w:tr>
      <w:tr>
        <w:tc>
          <w:tcPr>
            <w:tcW w:w="907" w:type="dxa"/>
          </w:tcPr>
          <w:bookmarkStart w:id="40306" w:name="P40306"/>
          <w:bookmarkEnd w:id="40306"/>
          <w:p>
            <w:pPr>
              <w:pStyle w:val="0"/>
            </w:pPr>
            <w:r>
              <w:rPr>
                <w:sz w:val="24"/>
              </w:rPr>
              <w:t xml:space="preserve">9</w:t>
            </w:r>
          </w:p>
        </w:tc>
        <w:tc>
          <w:tcPr>
            <w:gridSpan w:val="2"/>
            <w:tcW w:w="2608" w:type="dxa"/>
          </w:tcPr>
          <w:p>
            <w:pPr>
              <w:pStyle w:val="0"/>
            </w:pPr>
            <w:r>
              <w:rPr>
                <w:sz w:val="24"/>
              </w:rPr>
              <w:t xml:space="preserve">Применение организационных и технических мер защиты информации на этапах жизненного цикла автоматизированной системы</w:t>
            </w:r>
          </w:p>
        </w:tc>
        <w:tc>
          <w:tcPr>
            <w:tcW w:w="2608" w:type="dxa"/>
          </w:tcPr>
          <w:p>
            <w:pPr>
              <w:pStyle w:val="0"/>
            </w:pPr>
            <w:r>
              <w:rPr>
                <w:sz w:val="24"/>
              </w:rPr>
            </w:r>
          </w:p>
        </w:tc>
        <w:tc>
          <w:tcPr>
            <w:tcW w:w="2948" w:type="dxa"/>
          </w:tcPr>
          <w:p>
            <w:pPr>
              <w:pStyle w:val="0"/>
            </w:pPr>
            <w:r>
              <w:rPr>
                <w:sz w:val="24"/>
              </w:rPr>
              <w:t xml:space="preserve">nfo-dic:PrimenOrganizacITexnichMerZINaEtapaxZHiznCZiklaAS</w:t>
            </w:r>
          </w:p>
        </w:tc>
      </w:tr>
      <w:tr>
        <w:tc>
          <w:tcPr>
            <w:tcW w:w="907" w:type="dxa"/>
          </w:tcPr>
          <w:p>
            <w:pPr>
              <w:pStyle w:val="0"/>
            </w:pPr>
            <w:r>
              <w:rPr>
                <w:sz w:val="24"/>
              </w:rPr>
              <w:t xml:space="preserve">9.1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bookmarkStart w:id="40314" w:name="P40314"/>
          <w:bookmarkEnd w:id="40314"/>
          <w:p>
            <w:pPr>
              <w:pStyle w:val="0"/>
            </w:pPr>
            <w:r>
              <w:rPr>
                <w:sz w:val="24"/>
              </w:rPr>
              <w:t xml:space="preserve">10</w:t>
            </w:r>
          </w:p>
        </w:tc>
        <w:tc>
          <w:tcPr>
            <w:gridSpan w:val="2"/>
            <w:tcW w:w="2608" w:type="dxa"/>
          </w:tcPr>
          <w:p>
            <w:pPr>
              <w:pStyle w:val="0"/>
            </w:pPr>
            <w:r>
              <w:rPr>
                <w:sz w:val="24"/>
              </w:rPr>
              <w:t xml:space="preserve">Количество нарушений защиты информации, выявленных в результате оценки соответствия</w:t>
            </w:r>
          </w:p>
        </w:tc>
        <w:tc>
          <w:tcPr>
            <w:tcW w:w="2608" w:type="dxa"/>
          </w:tcPr>
          <w:p>
            <w:pPr>
              <w:pStyle w:val="0"/>
            </w:pPr>
            <w:r>
              <w:rPr>
                <w:sz w:val="24"/>
              </w:rPr>
            </w:r>
          </w:p>
        </w:tc>
        <w:tc>
          <w:tcPr>
            <w:tcW w:w="2948" w:type="dxa"/>
          </w:tcPr>
          <w:p>
            <w:pPr>
              <w:pStyle w:val="0"/>
            </w:pPr>
            <w:r>
              <w:rPr>
                <w:sz w:val="24"/>
              </w:rPr>
              <w:t xml:space="preserve">nfo-dic:KolichNarushenijZIVyyavlVRezOczenkiSootvetstviya</w:t>
            </w:r>
          </w:p>
        </w:tc>
      </w:tr>
      <w:tr>
        <w:tc>
          <w:tcPr>
            <w:tcW w:w="907" w:type="dxa"/>
          </w:tcPr>
          <w:p>
            <w:pPr>
              <w:pStyle w:val="0"/>
            </w:pPr>
            <w:r>
              <w:rPr>
                <w:sz w:val="24"/>
              </w:rPr>
              <w:t xml:space="preserve">10.1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c>
          <w:tcPr>
            <w:tcW w:w="907" w:type="dxa"/>
          </w:tcPr>
          <w:bookmarkStart w:id="40322" w:name="P40322"/>
          <w:bookmarkEnd w:id="40322"/>
          <w:p>
            <w:pPr>
              <w:pStyle w:val="0"/>
            </w:pPr>
            <w:r>
              <w:rPr>
                <w:sz w:val="24"/>
              </w:rPr>
              <w:t xml:space="preserve">11</w:t>
            </w:r>
          </w:p>
        </w:tc>
        <w:tc>
          <w:tcPr>
            <w:gridSpan w:val="2"/>
            <w:tcW w:w="2608" w:type="dxa"/>
          </w:tcPr>
          <w:p>
            <w:pPr>
              <w:pStyle w:val="0"/>
            </w:pPr>
            <w:r>
              <w:rPr>
                <w:sz w:val="24"/>
              </w:rPr>
              <w:t xml:space="preserve">Итоговая оценка соответствия</w:t>
            </w:r>
          </w:p>
        </w:tc>
        <w:tc>
          <w:tcPr>
            <w:tcW w:w="2608" w:type="dxa"/>
          </w:tcPr>
          <w:p>
            <w:pPr>
              <w:pStyle w:val="0"/>
            </w:pPr>
            <w:r>
              <w:rPr>
                <w:sz w:val="24"/>
              </w:rPr>
            </w:r>
          </w:p>
        </w:tc>
        <w:tc>
          <w:tcPr>
            <w:tcW w:w="2948" w:type="dxa"/>
          </w:tcPr>
          <w:p>
            <w:pPr>
              <w:pStyle w:val="0"/>
            </w:pPr>
            <w:r>
              <w:rPr>
                <w:sz w:val="24"/>
              </w:rPr>
              <w:t xml:space="preserve">nfo-dic:ItogovayaOczenkaSootvetstviya</w:t>
            </w:r>
          </w:p>
        </w:tc>
      </w:tr>
      <w:tr>
        <w:tc>
          <w:tcPr>
            <w:tcW w:w="907" w:type="dxa"/>
          </w:tcPr>
          <w:p>
            <w:pPr>
              <w:pStyle w:val="0"/>
            </w:pPr>
            <w:r>
              <w:rPr>
                <w:sz w:val="24"/>
              </w:rPr>
              <w:t xml:space="preserve">11.1</w:t>
            </w:r>
          </w:p>
        </w:tc>
        <w:tc>
          <w:tcPr>
            <w:gridSpan w:val="2"/>
            <w:tcW w:w="2608" w:type="dxa"/>
          </w:tcPr>
          <w:p>
            <w:pPr>
              <w:pStyle w:val="0"/>
            </w:pPr>
            <w:r>
              <w:rPr>
                <w:sz w:val="24"/>
              </w:rPr>
            </w:r>
          </w:p>
        </w:tc>
        <w:tc>
          <w:tcPr>
            <w:tcW w:w="2608" w:type="dxa"/>
          </w:tcPr>
          <w:p>
            <w:pPr>
              <w:pStyle w:val="0"/>
            </w:pPr>
            <w:r>
              <w:rPr>
                <w:sz w:val="24"/>
              </w:rPr>
              <w:t xml:space="preserve">Вид деятельности</w:t>
            </w:r>
          </w:p>
        </w:tc>
        <w:tc>
          <w:tcPr>
            <w:tcW w:w="2948" w:type="dxa"/>
          </w:tcPr>
          <w:p>
            <w:pPr>
              <w:pStyle w:val="0"/>
            </w:pPr>
            <w:r>
              <w:rPr>
                <w:sz w:val="24"/>
              </w:rPr>
              <w:t xml:space="preserve">dim-int:Vid_DeyatelnostiAxis</w:t>
            </w:r>
          </w:p>
        </w:tc>
      </w:tr>
      <w:tr>
        <w:tblPrEx>
          <w:tblBorders>
            <w:insideV w:val="nil"/>
          </w:tblBorders>
        </w:tblPrEx>
        <w:tc>
          <w:tcPr>
            <w:gridSpan w:val="2"/>
            <w:tcW w:w="1244" w:type="dxa"/>
            <w:tcBorders>
              <w:left w:val="single" w:sz="4"/>
            </w:tcBorders>
          </w:tcPr>
          <w:bookmarkStart w:id="40330" w:name="P40330"/>
          <w:bookmarkEnd w:id="40330"/>
          <w:p>
            <w:pPr>
              <w:pStyle w:val="0"/>
              <w:outlineLvl w:val="3"/>
            </w:pPr>
            <w:r>
              <w:rPr>
                <w:sz w:val="24"/>
              </w:rPr>
              <w:t xml:space="preserve">Раздел 4.</w:t>
            </w:r>
          </w:p>
        </w:tc>
        <w:tc>
          <w:tcPr>
            <w:gridSpan w:val="3"/>
            <w:tcW w:w="7827" w:type="dxa"/>
            <w:tcBorders>
              <w:right w:val="single" w:sz="4"/>
            </w:tcBorders>
          </w:tcPr>
          <w:p>
            <w:pPr>
              <w:pStyle w:val="0"/>
            </w:pPr>
            <w:r>
              <w:rPr>
                <w:sz w:val="24"/>
              </w:rPr>
              <w:t xml:space="preserve">Сведения о проверяющей организации</w:t>
            </w:r>
          </w:p>
        </w:tc>
      </w:tr>
      <w:tr>
        <w:tc>
          <w:tcPr>
            <w:tcW w:w="907" w:type="dxa"/>
          </w:tcPr>
          <w:bookmarkStart w:id="40332" w:name="P40332"/>
          <w:bookmarkEnd w:id="40332"/>
          <w:p>
            <w:pPr>
              <w:pStyle w:val="0"/>
            </w:pPr>
            <w:r>
              <w:rPr>
                <w:sz w:val="24"/>
              </w:rPr>
              <w:t xml:space="preserve">12</w:t>
            </w:r>
          </w:p>
        </w:tc>
        <w:tc>
          <w:tcPr>
            <w:gridSpan w:val="2"/>
            <w:tcW w:w="2608" w:type="dxa"/>
          </w:tcPr>
          <w:p>
            <w:pPr>
              <w:pStyle w:val="0"/>
            </w:pPr>
            <w:r>
              <w:rPr>
                <w:sz w:val="24"/>
              </w:rPr>
              <w:t xml:space="preserve">Полное наименование</w:t>
            </w:r>
          </w:p>
        </w:tc>
        <w:tc>
          <w:tcPr>
            <w:tcW w:w="2608" w:type="dxa"/>
          </w:tcPr>
          <w:p>
            <w:pPr>
              <w:pStyle w:val="0"/>
            </w:pPr>
            <w:r>
              <w:rPr>
                <w:sz w:val="24"/>
              </w:rPr>
            </w:r>
          </w:p>
        </w:tc>
        <w:tc>
          <w:tcPr>
            <w:tcW w:w="2948" w:type="dxa"/>
          </w:tcPr>
          <w:p>
            <w:pPr>
              <w:pStyle w:val="0"/>
            </w:pPr>
            <w:r>
              <w:rPr>
                <w:sz w:val="24"/>
              </w:rPr>
              <w:t xml:space="preserve">nfo-dic:PolnNaim</w:t>
            </w:r>
          </w:p>
        </w:tc>
      </w:tr>
      <w:tr>
        <w:tc>
          <w:tcPr>
            <w:tcW w:w="907" w:type="dxa"/>
          </w:tcPr>
          <w:p>
            <w:pPr>
              <w:pStyle w:val="0"/>
            </w:pPr>
            <w:r>
              <w:rPr>
                <w:sz w:val="24"/>
              </w:rPr>
              <w:t xml:space="preserve">12.1</w:t>
            </w:r>
          </w:p>
        </w:tc>
        <w:tc>
          <w:tcPr>
            <w:gridSpan w:val="2"/>
            <w:tcW w:w="2608" w:type="dxa"/>
          </w:tcPr>
          <w:p>
            <w:pPr>
              <w:pStyle w:val="0"/>
            </w:pPr>
            <w:r>
              <w:rPr>
                <w:sz w:val="24"/>
              </w:rPr>
            </w:r>
          </w:p>
        </w:tc>
        <w:tc>
          <w:tcPr>
            <w:tcW w:w="2608" w:type="dxa"/>
          </w:tcPr>
          <w:p>
            <w:pPr>
              <w:pStyle w:val="0"/>
            </w:pPr>
            <w:r>
              <w:rPr>
                <w:sz w:val="24"/>
              </w:rPr>
              <w:t xml:space="preserve">Вид организации</w:t>
            </w:r>
          </w:p>
        </w:tc>
        <w:tc>
          <w:tcPr>
            <w:tcW w:w="2948" w:type="dxa"/>
          </w:tcPr>
          <w:p>
            <w:pPr>
              <w:pStyle w:val="0"/>
            </w:pPr>
            <w:r>
              <w:rPr>
                <w:sz w:val="24"/>
              </w:rPr>
              <w:t xml:space="preserve">dim-int:VidOrgAxis</w:t>
            </w:r>
          </w:p>
        </w:tc>
      </w:tr>
      <w:tr>
        <w:tc>
          <w:tcPr>
            <w:tcW w:w="907" w:type="dxa"/>
          </w:tcPr>
          <w:bookmarkStart w:id="40340" w:name="P40340"/>
          <w:bookmarkEnd w:id="40340"/>
          <w:p>
            <w:pPr>
              <w:pStyle w:val="0"/>
            </w:pPr>
            <w:r>
              <w:rPr>
                <w:sz w:val="24"/>
              </w:rPr>
              <w:t xml:space="preserve">13</w:t>
            </w:r>
          </w:p>
        </w:tc>
        <w:tc>
          <w:tcPr>
            <w:gridSpan w:val="2"/>
            <w:tcW w:w="2608" w:type="dxa"/>
          </w:tcPr>
          <w:p>
            <w:pPr>
              <w:pStyle w:val="0"/>
            </w:pPr>
            <w:r>
              <w:rPr>
                <w:sz w:val="24"/>
              </w:rPr>
              <w:t xml:space="preserve">Идентификационный номер налогоплательщика (ИНН)</w:t>
            </w:r>
          </w:p>
        </w:tc>
        <w:tc>
          <w:tcPr>
            <w:tcW w:w="2608" w:type="dxa"/>
          </w:tcPr>
          <w:p>
            <w:pPr>
              <w:pStyle w:val="0"/>
            </w:pPr>
            <w:r>
              <w:rPr>
                <w:sz w:val="24"/>
              </w:rPr>
            </w:r>
          </w:p>
        </w:tc>
        <w:tc>
          <w:tcPr>
            <w:tcW w:w="2948" w:type="dxa"/>
          </w:tcPr>
          <w:p>
            <w:pPr>
              <w:pStyle w:val="0"/>
            </w:pPr>
            <w:r>
              <w:rPr>
                <w:sz w:val="24"/>
              </w:rPr>
              <w:t xml:space="preserve">nfo-dic:INN</w:t>
            </w:r>
          </w:p>
        </w:tc>
      </w:tr>
      <w:tr>
        <w:tc>
          <w:tcPr>
            <w:tcW w:w="907" w:type="dxa"/>
          </w:tcPr>
          <w:p>
            <w:pPr>
              <w:pStyle w:val="0"/>
            </w:pPr>
            <w:r>
              <w:rPr>
                <w:sz w:val="24"/>
              </w:rPr>
              <w:t xml:space="preserve">13.1</w:t>
            </w:r>
          </w:p>
        </w:tc>
        <w:tc>
          <w:tcPr>
            <w:gridSpan w:val="2"/>
            <w:tcW w:w="2608" w:type="dxa"/>
          </w:tcPr>
          <w:p>
            <w:pPr>
              <w:pStyle w:val="0"/>
            </w:pPr>
            <w:r>
              <w:rPr>
                <w:sz w:val="24"/>
              </w:rPr>
            </w:r>
          </w:p>
        </w:tc>
        <w:tc>
          <w:tcPr>
            <w:tcW w:w="2608" w:type="dxa"/>
          </w:tcPr>
          <w:p>
            <w:pPr>
              <w:pStyle w:val="0"/>
            </w:pPr>
            <w:r>
              <w:rPr>
                <w:sz w:val="24"/>
              </w:rPr>
              <w:t xml:space="preserve">Вид организации</w:t>
            </w:r>
          </w:p>
        </w:tc>
        <w:tc>
          <w:tcPr>
            <w:tcW w:w="2948" w:type="dxa"/>
          </w:tcPr>
          <w:p>
            <w:pPr>
              <w:pStyle w:val="0"/>
            </w:pPr>
            <w:r>
              <w:rPr>
                <w:sz w:val="24"/>
              </w:rPr>
              <w:t xml:space="preserve">dim-int:VidOrgAxis</w:t>
            </w:r>
          </w:p>
        </w:tc>
      </w:tr>
      <w:tr>
        <w:tc>
          <w:tcPr>
            <w:tcW w:w="907" w:type="dxa"/>
          </w:tcPr>
          <w:bookmarkStart w:id="40348" w:name="P40348"/>
          <w:bookmarkEnd w:id="40348"/>
          <w:p>
            <w:pPr>
              <w:pStyle w:val="0"/>
            </w:pPr>
            <w:r>
              <w:rPr>
                <w:sz w:val="24"/>
              </w:rPr>
              <w:t xml:space="preserve">14</w:t>
            </w:r>
          </w:p>
        </w:tc>
        <w:tc>
          <w:tcPr>
            <w:gridSpan w:val="2"/>
            <w:tcW w:w="2608" w:type="dxa"/>
          </w:tcPr>
          <w:p>
            <w:pPr>
              <w:pStyle w:val="0"/>
            </w:pPr>
            <w:r>
              <w:rPr>
                <w:sz w:val="24"/>
              </w:rPr>
              <w:t xml:space="preserve">Дата проведения оценки соответствия</w:t>
            </w:r>
          </w:p>
        </w:tc>
        <w:tc>
          <w:tcPr>
            <w:tcW w:w="2608" w:type="dxa"/>
          </w:tcPr>
          <w:p>
            <w:pPr>
              <w:pStyle w:val="0"/>
            </w:pPr>
            <w:r>
              <w:rPr>
                <w:sz w:val="24"/>
              </w:rPr>
            </w:r>
          </w:p>
        </w:tc>
        <w:tc>
          <w:tcPr>
            <w:tcW w:w="2948" w:type="dxa"/>
          </w:tcPr>
          <w:p>
            <w:pPr>
              <w:pStyle w:val="0"/>
            </w:pPr>
            <w:r>
              <w:rPr>
                <w:sz w:val="24"/>
              </w:rPr>
              <w:t xml:space="preserve">nfo-dic:DataProvedeniyaOczenkiSootvetstviya</w:t>
            </w:r>
          </w:p>
        </w:tc>
      </w:tr>
      <w:tr>
        <w:tc>
          <w:tcPr>
            <w:tcW w:w="907" w:type="dxa"/>
          </w:tcPr>
          <w:p>
            <w:pPr>
              <w:pStyle w:val="0"/>
            </w:pPr>
            <w:r>
              <w:rPr>
                <w:sz w:val="24"/>
              </w:rPr>
              <w:t xml:space="preserve">14.1</w:t>
            </w:r>
          </w:p>
        </w:tc>
        <w:tc>
          <w:tcPr>
            <w:gridSpan w:val="2"/>
            <w:tcW w:w="2608" w:type="dxa"/>
          </w:tcPr>
          <w:p>
            <w:pPr>
              <w:pStyle w:val="0"/>
            </w:pPr>
            <w:r>
              <w:rPr>
                <w:sz w:val="24"/>
              </w:rPr>
            </w:r>
          </w:p>
        </w:tc>
        <w:tc>
          <w:tcPr>
            <w:tcW w:w="2608" w:type="dxa"/>
          </w:tcPr>
          <w:p>
            <w:pPr>
              <w:pStyle w:val="0"/>
            </w:pPr>
            <w:r>
              <w:rPr>
                <w:sz w:val="24"/>
              </w:rPr>
              <w:t xml:space="preserve">Вид организации</w:t>
            </w:r>
          </w:p>
        </w:tc>
        <w:tc>
          <w:tcPr>
            <w:tcW w:w="2948" w:type="dxa"/>
          </w:tcPr>
          <w:p>
            <w:pPr>
              <w:pStyle w:val="0"/>
            </w:pPr>
            <w:r>
              <w:rPr>
                <w:sz w:val="24"/>
              </w:rPr>
              <w:t xml:space="preserve">dim-int:VidOrgAxis</w:t>
            </w:r>
          </w:p>
        </w:tc>
      </w:tr>
      <w:tr>
        <w:tc>
          <w:tcPr>
            <w:tcW w:w="907" w:type="dxa"/>
          </w:tcPr>
          <w:bookmarkStart w:id="40356" w:name="P40356"/>
          <w:bookmarkEnd w:id="40356"/>
          <w:p>
            <w:pPr>
              <w:pStyle w:val="0"/>
            </w:pPr>
            <w:r>
              <w:rPr>
                <w:sz w:val="24"/>
              </w:rPr>
              <w:t xml:space="preserve">15</w:t>
            </w:r>
          </w:p>
        </w:tc>
        <w:tc>
          <w:tcPr>
            <w:gridSpan w:val="2"/>
            <w:tcW w:w="2608" w:type="dxa"/>
          </w:tcPr>
          <w:p>
            <w:pPr>
              <w:pStyle w:val="0"/>
            </w:pPr>
            <w:r>
              <w:rPr>
                <w:sz w:val="24"/>
              </w:rPr>
              <w:t xml:space="preserve">Стоимость оценки соответствия</w:t>
            </w:r>
          </w:p>
        </w:tc>
        <w:tc>
          <w:tcPr>
            <w:tcW w:w="2608" w:type="dxa"/>
          </w:tcPr>
          <w:p>
            <w:pPr>
              <w:pStyle w:val="0"/>
            </w:pPr>
            <w:r>
              <w:rPr>
                <w:sz w:val="24"/>
              </w:rPr>
            </w:r>
          </w:p>
        </w:tc>
        <w:tc>
          <w:tcPr>
            <w:tcW w:w="2948" w:type="dxa"/>
          </w:tcPr>
          <w:p>
            <w:pPr>
              <w:pStyle w:val="0"/>
            </w:pPr>
            <w:r>
              <w:rPr>
                <w:sz w:val="24"/>
              </w:rPr>
              <w:t xml:space="preserve">nfo-dic:StoimostOczenkiSootvetstviya</w:t>
            </w:r>
          </w:p>
        </w:tc>
      </w:tr>
      <w:tr>
        <w:tc>
          <w:tcPr>
            <w:tcW w:w="907" w:type="dxa"/>
          </w:tcPr>
          <w:p>
            <w:pPr>
              <w:pStyle w:val="0"/>
            </w:pPr>
            <w:r>
              <w:rPr>
                <w:sz w:val="24"/>
              </w:rPr>
              <w:t xml:space="preserve">15.1</w:t>
            </w:r>
          </w:p>
        </w:tc>
        <w:tc>
          <w:tcPr>
            <w:gridSpan w:val="2"/>
            <w:tcW w:w="2608" w:type="dxa"/>
          </w:tcPr>
          <w:p>
            <w:pPr>
              <w:pStyle w:val="0"/>
            </w:pPr>
            <w:r>
              <w:rPr>
                <w:sz w:val="24"/>
              </w:rPr>
            </w:r>
          </w:p>
        </w:tc>
        <w:tc>
          <w:tcPr>
            <w:tcW w:w="2608" w:type="dxa"/>
          </w:tcPr>
          <w:p>
            <w:pPr>
              <w:pStyle w:val="0"/>
            </w:pPr>
            <w:r>
              <w:rPr>
                <w:sz w:val="24"/>
              </w:rPr>
              <w:t xml:space="preserve">Вид организации</w:t>
            </w:r>
          </w:p>
        </w:tc>
        <w:tc>
          <w:tcPr>
            <w:tcW w:w="2948" w:type="dxa"/>
          </w:tcPr>
          <w:p>
            <w:pPr>
              <w:pStyle w:val="0"/>
            </w:pPr>
            <w:r>
              <w:rPr>
                <w:sz w:val="24"/>
              </w:rPr>
              <w:t xml:space="preserve">dim-int:VidOrgAxis</w:t>
            </w:r>
          </w:p>
        </w:tc>
      </w:tr>
    </w:tbl>
    <w:p>
      <w:pPr>
        <w:pStyle w:val="0"/>
        <w:ind w:firstLine="540"/>
        <w:jc w:val="both"/>
      </w:pPr>
      <w:r>
        <w:rPr>
          <w:sz w:val="24"/>
        </w:rPr>
      </w:r>
    </w:p>
    <w:p>
      <w:pPr>
        <w:pStyle w:val="0"/>
        <w:ind w:firstLine="540"/>
        <w:jc w:val="both"/>
      </w:pPr>
      <w:r>
        <w:rPr>
          <w:sz w:val="24"/>
        </w:rPr>
        <w:t xml:space="preserve">--------------------------------</w:t>
      </w:r>
    </w:p>
    <w:bookmarkStart w:id="40366" w:name="P40366"/>
    <w:bookmarkEnd w:id="40366"/>
    <w:p>
      <w:pPr>
        <w:pStyle w:val="0"/>
        <w:spacing w:before="240" w:lineRule="auto"/>
        <w:ind w:firstLine="540"/>
        <w:jc w:val="both"/>
      </w:pPr>
      <w:r>
        <w:rPr>
          <w:sz w:val="24"/>
        </w:rPr>
        <w:t xml:space="preserve">&lt;1&gt; Общероссийский </w:t>
      </w:r>
      <w:hyperlink w:history="0" r:id="rId69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ind w:firstLine="54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0420175 "Сведения об оценке</w:t>
      </w:r>
    </w:p>
    <w:p>
      <w:pPr>
        <w:pStyle w:val="0"/>
        <w:jc w:val="center"/>
      </w:pPr>
      <w:r>
        <w:rPr>
          <w:sz w:val="24"/>
        </w:rPr>
        <w:t xml:space="preserve">выполнения требований к обеспечению защиты информации</w:t>
      </w:r>
    </w:p>
    <w:p>
      <w:pPr>
        <w:pStyle w:val="0"/>
        <w:jc w:val="center"/>
      </w:pPr>
      <w:r>
        <w:rPr>
          <w:sz w:val="24"/>
        </w:rPr>
        <w:t xml:space="preserve">страховой организацией"</w:t>
      </w:r>
    </w:p>
    <w:p>
      <w:pPr>
        <w:pStyle w:val="0"/>
        <w:ind w:firstLine="540"/>
        <w:jc w:val="both"/>
      </w:pPr>
      <w:r>
        <w:rPr>
          <w:sz w:val="24"/>
        </w:rPr>
      </w:r>
    </w:p>
    <w:p>
      <w:pPr>
        <w:pStyle w:val="0"/>
        <w:ind w:firstLine="540"/>
        <w:jc w:val="both"/>
      </w:pPr>
      <w:r>
        <w:rPr>
          <w:sz w:val="24"/>
        </w:rPr>
        <w:t xml:space="preserve">1. Отчетность по </w:t>
      </w:r>
      <w:hyperlink w:history="0" w:anchor="P40184" w:tooltip="Отчетность по форме 0420175">
        <w:r>
          <w:rPr>
            <w:sz w:val="24"/>
            <w:color w:val="0000ff"/>
          </w:rPr>
          <w:t xml:space="preserve">форме 0420175</w:t>
        </w:r>
      </w:hyperlink>
      <w:r>
        <w:rPr>
          <w:sz w:val="24"/>
        </w:rPr>
        <w:t xml:space="preserve"> "Сведения об оценке выполнения требований к обеспечению защиты информации страховой организацией" (далее - отчетность по форме 0420175) составляется страховой организацией, указанной в </w:t>
      </w:r>
      <w:hyperlink w:history="0" r:id="rId692"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абзаце пятом подпункта 1.4.3 пункта 1.4</w:t>
        </w:r>
      </w:hyperlink>
      <w:r>
        <w:rPr>
          <w:sz w:val="24"/>
        </w:rPr>
        <w:t xml:space="preserve"> Положения Банка России от 20 апреля 2021 года N 757-П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&lt;1&gt; (далее - Положение Банка России N 757-П), по состоянию на день завершения проведения оценки соответствия уровня защиты информации, предусмотренной </w:t>
      </w:r>
      <w:hyperlink w:history="0" r:id="rId693"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пунктом 1.5</w:t>
        </w:r>
      </w:hyperlink>
      <w:r>
        <w:rPr>
          <w:sz w:val="24"/>
        </w:rPr>
        <w:t xml:space="preserve"> Положения Банка России N 757-П (далее - оценка соответствия), включительно.</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15 июня 2021 года, регистрационный N 63880.</w:t>
      </w:r>
    </w:p>
    <w:p>
      <w:pPr>
        <w:pStyle w:val="0"/>
        <w:ind w:firstLine="540"/>
        <w:jc w:val="both"/>
      </w:pPr>
      <w:r>
        <w:rPr>
          <w:sz w:val="24"/>
        </w:rPr>
      </w:r>
    </w:p>
    <w:p>
      <w:pPr>
        <w:pStyle w:val="0"/>
        <w:ind w:firstLine="540"/>
        <w:jc w:val="both"/>
      </w:pPr>
      <w:r>
        <w:rPr>
          <w:sz w:val="24"/>
        </w:rPr>
        <w:t xml:space="preserve">Отчетность по </w:t>
      </w:r>
      <w:hyperlink w:history="0" w:anchor="P40184" w:tooltip="Отчетность по форме 0420175">
        <w:r>
          <w:rPr>
            <w:sz w:val="24"/>
            <w:color w:val="0000ff"/>
          </w:rPr>
          <w:t xml:space="preserve">форме 0420175</w:t>
        </w:r>
      </w:hyperlink>
      <w:r>
        <w:rPr>
          <w:sz w:val="24"/>
        </w:rPr>
        <w:t xml:space="preserve"> составляется страховой организацией посредством формирования предусмотренных в ней показателей с соблюдением положений </w:t>
      </w:r>
      <w:hyperlink w:history="0" w:anchor="P54266" w:tooltip="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графа 3 части I настоящего приложения), объединяющих аналитические признаки, содержащие детализированную информацию по показателю.">
        <w:r>
          <w:rPr>
            <w:sz w:val="24"/>
            <w:color w:val="0000ff"/>
          </w:rPr>
          <w:t xml:space="preserve">пунктов 1</w:t>
        </w:r>
      </w:hyperlink>
      <w:r>
        <w:rPr>
          <w:sz w:val="24"/>
        </w:rPr>
        <w:t xml:space="preserve">, </w:t>
      </w:r>
      <w:hyperlink w:history="0" w:anchor="P54270" w:tooltip="2. Значения показателей отчетности указываются следующим образом:">
        <w:r>
          <w:rPr>
            <w:sz w:val="24"/>
            <w:color w:val="0000ff"/>
          </w:rPr>
          <w:t xml:space="preserve">2</w:t>
        </w:r>
      </w:hyperlink>
      <w:r>
        <w:rPr>
          <w:sz w:val="24"/>
        </w:rPr>
        <w:t xml:space="preserve">, </w:t>
      </w:r>
      <w:hyperlink w:history="0" w:anchor="P54286" w:tooltip="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
        <w:r>
          <w:rPr>
            <w:sz w:val="24"/>
            <w:color w:val="0000ff"/>
          </w:rPr>
          <w:t xml:space="preserve">4</w:t>
        </w:r>
      </w:hyperlink>
      <w:r>
        <w:rPr>
          <w:sz w:val="24"/>
        </w:rPr>
        <w:t xml:space="preserve">, </w:t>
      </w:r>
      <w:hyperlink w:history="0" w:anchor="P54291" w:tooltip="5. Для резидентов указывается идентификационный номер налогоплательщика (далее - ИНН): десятизначный для юридических лиц и двенадцатизначный для физических лиц (в том числе индивидуальных предпринимателей).">
        <w:r>
          <w:rPr>
            <w:sz w:val="24"/>
            <w:color w:val="0000ff"/>
          </w:rPr>
          <w:t xml:space="preserve">5</w:t>
        </w:r>
      </w:hyperlink>
      <w:r>
        <w:rPr>
          <w:sz w:val="24"/>
        </w:rPr>
        <w:t xml:space="preserve"> 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10 части IV</w:t>
        </w:r>
      </w:hyperlink>
      <w:r>
        <w:rPr>
          <w:sz w:val="24"/>
        </w:rPr>
        <w:t xml:space="preserve"> настоящего приложения.</w:t>
      </w:r>
    </w:p>
    <w:p>
      <w:pPr>
        <w:pStyle w:val="0"/>
        <w:spacing w:before="240" w:lineRule="auto"/>
        <w:ind w:firstLine="540"/>
        <w:jc w:val="both"/>
      </w:pPr>
      <w:r>
        <w:rPr>
          <w:sz w:val="24"/>
        </w:rPr>
        <w:t xml:space="preserve">2. В отчетности по </w:t>
      </w:r>
      <w:hyperlink w:history="0" w:anchor="P40184" w:tooltip="Отчетность по форме 0420175">
        <w:r>
          <w:rPr>
            <w:sz w:val="24"/>
            <w:color w:val="0000ff"/>
          </w:rPr>
          <w:t xml:space="preserve">форме 0420175</w:t>
        </w:r>
      </w:hyperlink>
      <w:r>
        <w:rPr>
          <w:sz w:val="24"/>
        </w:rPr>
        <w:t xml:space="preserve"> отражаются сведения о результатах осуществленной оценки соответствия по следующим направлениям:</w:t>
      </w:r>
    </w:p>
    <w:p>
      <w:pPr>
        <w:pStyle w:val="0"/>
        <w:spacing w:before="240" w:lineRule="auto"/>
        <w:ind w:firstLine="540"/>
        <w:jc w:val="both"/>
      </w:pPr>
      <w:r>
        <w:rPr>
          <w:sz w:val="24"/>
        </w:rPr>
        <w:t xml:space="preserve">оценка выполнения требований к обеспечению защиты информации, применяемых с использованием технологических мер защиты информации (далее - оценка соответствия по направлению "технологические меры") (</w:t>
      </w:r>
      <w:hyperlink w:history="0" w:anchor="P40200" w:tooltip="Раздел 1.">
        <w:r>
          <w:rPr>
            <w:sz w:val="24"/>
            <w:color w:val="0000ff"/>
          </w:rPr>
          <w:t xml:space="preserve">раздел 1</w:t>
        </w:r>
      </w:hyperlink>
      <w:r>
        <w:rPr>
          <w:sz w:val="24"/>
        </w:rPr>
        <w:t xml:space="preserve"> отчетности по форме 0420175);</w:t>
      </w:r>
    </w:p>
    <w:p>
      <w:pPr>
        <w:pStyle w:val="0"/>
        <w:spacing w:before="240" w:lineRule="auto"/>
        <w:ind w:firstLine="540"/>
        <w:jc w:val="both"/>
      </w:pPr>
      <w:r>
        <w:rPr>
          <w:sz w:val="24"/>
        </w:rPr>
        <w:t xml:space="preserve">оценка выполнения требований к обеспечению защиты информации, применяемых в отношении прикладного программного обеспечения автоматизированных систем и приложений (далее - оценка соответствия по направлению "безопасность программного обеспечения") (</w:t>
      </w:r>
      <w:hyperlink w:history="0" w:anchor="P40218" w:tooltip="Раздел 2.">
        <w:r>
          <w:rPr>
            <w:sz w:val="24"/>
            <w:color w:val="0000ff"/>
          </w:rPr>
          <w:t xml:space="preserve">раздел 2</w:t>
        </w:r>
      </w:hyperlink>
      <w:r>
        <w:rPr>
          <w:sz w:val="24"/>
        </w:rPr>
        <w:t xml:space="preserve"> отчетности по форме 0420175);</w:t>
      </w:r>
    </w:p>
    <w:p>
      <w:pPr>
        <w:pStyle w:val="0"/>
        <w:spacing w:before="240" w:lineRule="auto"/>
        <w:ind w:firstLine="540"/>
        <w:jc w:val="both"/>
      </w:pPr>
      <w:r>
        <w:rPr>
          <w:sz w:val="24"/>
        </w:rPr>
        <w:t xml:space="preserve">оценка выполнения требований к обеспечению защиты информации, применяемых в отношении эксплуатируемых автоматизированных систем, программного обеспечения, средств вычислительной техники, телекоммуникационного оборудования (далее - оценка соответствия по направлению "безопасность информационной инфраструктуры") (</w:t>
      </w:r>
      <w:hyperlink w:history="0" w:anchor="P40252" w:tooltip="Раздел 3.">
        <w:r>
          <w:rPr>
            <w:sz w:val="24"/>
            <w:color w:val="0000ff"/>
          </w:rPr>
          <w:t xml:space="preserve">раздел 3</w:t>
        </w:r>
      </w:hyperlink>
      <w:r>
        <w:rPr>
          <w:sz w:val="24"/>
        </w:rPr>
        <w:t xml:space="preserve"> отчетности по форме 0420175).</w:t>
      </w:r>
    </w:p>
    <w:p>
      <w:pPr>
        <w:pStyle w:val="0"/>
        <w:spacing w:before="240" w:lineRule="auto"/>
        <w:ind w:firstLine="540"/>
        <w:jc w:val="both"/>
      </w:pPr>
      <w:r>
        <w:rPr>
          <w:sz w:val="24"/>
        </w:rPr>
        <w:t xml:space="preserve">3. По показателям </w:t>
      </w:r>
      <w:hyperlink w:history="0" w:anchor="P40200" w:tooltip="Раздел 1.">
        <w:r>
          <w:rPr>
            <w:sz w:val="24"/>
            <w:color w:val="0000ff"/>
          </w:rPr>
          <w:t xml:space="preserve">раздела 1</w:t>
        </w:r>
      </w:hyperlink>
      <w:r>
        <w:rPr>
          <w:sz w:val="24"/>
        </w:rPr>
        <w:t xml:space="preserve"> отчетности по форме 0420175 указывается информация об оценке соответствия по направлению "технологические меры", осуществляемой на основе оценки выполнения требований к обеспечению защиты информации, применяемых с использованием технологических мер защиты информации, указанных в </w:t>
      </w:r>
      <w:hyperlink w:history="0" r:id="rId694"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Положении</w:t>
        </w:r>
      </w:hyperlink>
      <w:r>
        <w:rPr>
          <w:sz w:val="24"/>
        </w:rPr>
        <w:t xml:space="preserve"> Банка России N 757-П, по аналитическому признаку "Страховая организация" группы аналитических признаков "Вид деятельности" и аналитическому признаку "Технологические меры" группы аналитических признаков "Направления защиты информации".</w:t>
      </w:r>
    </w:p>
    <w:p>
      <w:pPr>
        <w:pStyle w:val="0"/>
        <w:spacing w:before="240" w:lineRule="auto"/>
        <w:ind w:firstLine="540"/>
        <w:jc w:val="both"/>
      </w:pPr>
      <w:r>
        <w:rPr>
          <w:sz w:val="24"/>
        </w:rPr>
        <w:t xml:space="preserve">По показателю "Оценка, характеризующая выполнение требований, в рамках процесса" </w:t>
      </w:r>
      <w:hyperlink w:history="0" w:anchor="P40202" w:tooltip="1">
        <w:r>
          <w:rPr>
            <w:sz w:val="24"/>
            <w:color w:val="0000ff"/>
          </w:rPr>
          <w:t xml:space="preserve">(строка 1)</w:t>
        </w:r>
      </w:hyperlink>
      <w:r>
        <w:rPr>
          <w:sz w:val="24"/>
        </w:rPr>
        <w:t xml:space="preserve"> указываются обобщающий уровень оценки соответствия по направлению "технологические меры" (E</w:t>
      </w:r>
      <w:r>
        <w:rPr>
          <w:sz w:val="24"/>
          <w:vertAlign w:val="subscript"/>
        </w:rPr>
        <w:t xml:space="preserve">ТМ</w:t>
      </w:r>
      <w:r>
        <w:rPr>
          <w:sz w:val="24"/>
        </w:rPr>
        <w:t xml:space="preserve">), а также уровни оценки соответствия по направлению "технологические меры" по следующим аналитическим признакам группы аналитических признаков "Виды процессов защиты информации":</w:t>
      </w:r>
    </w:p>
    <w:p>
      <w:pPr>
        <w:pStyle w:val="0"/>
        <w:spacing w:before="240" w:lineRule="auto"/>
        <w:ind w:firstLine="540"/>
        <w:jc w:val="both"/>
      </w:pPr>
      <w:r>
        <w:rPr>
          <w:sz w:val="24"/>
        </w:rPr>
        <w:t xml:space="preserve">"Планирование" - оценка, характеризующая выполнение требований, в рамках процесса планирования применения мер защиты информации (E</w:t>
      </w:r>
      <w:r>
        <w:rPr>
          <w:sz w:val="24"/>
          <w:vertAlign w:val="subscript"/>
        </w:rPr>
        <w:t xml:space="preserve">ТМП</w:t>
      </w:r>
      <w:r>
        <w:rPr>
          <w:sz w:val="24"/>
        </w:rPr>
        <w:t xml:space="preserve">);</w:t>
      </w:r>
    </w:p>
    <w:p>
      <w:pPr>
        <w:pStyle w:val="0"/>
        <w:spacing w:before="240" w:lineRule="auto"/>
        <w:ind w:firstLine="540"/>
        <w:jc w:val="both"/>
      </w:pPr>
      <w:r>
        <w:rPr>
          <w:sz w:val="24"/>
        </w:rPr>
        <w:t xml:space="preserve">"Реализация" - оценка, характеризующая выполнение требований, в рамках процесса реализации мер защиты информации (E</w:t>
      </w:r>
      <w:r>
        <w:rPr>
          <w:sz w:val="24"/>
          <w:vertAlign w:val="subscript"/>
        </w:rPr>
        <w:t xml:space="preserve">ТМР</w:t>
      </w:r>
      <w:r>
        <w:rPr>
          <w:sz w:val="24"/>
        </w:rPr>
        <w:t xml:space="preserve">);</w:t>
      </w:r>
    </w:p>
    <w:p>
      <w:pPr>
        <w:pStyle w:val="0"/>
        <w:spacing w:before="240" w:lineRule="auto"/>
        <w:ind w:firstLine="540"/>
        <w:jc w:val="both"/>
      </w:pPr>
      <w:r>
        <w:rPr>
          <w:sz w:val="24"/>
        </w:rPr>
        <w:t xml:space="preserve">"Контроль" - оценка, характеризующая выполнение требований, в рамках процесса контроля применения мер защиты информации (E</w:t>
      </w:r>
      <w:r>
        <w:rPr>
          <w:sz w:val="24"/>
          <w:vertAlign w:val="subscript"/>
        </w:rPr>
        <w:t xml:space="preserve">ТМК</w:t>
      </w:r>
      <w:r>
        <w:rPr>
          <w:sz w:val="24"/>
        </w:rPr>
        <w:t xml:space="preserve">);</w:t>
      </w:r>
    </w:p>
    <w:p>
      <w:pPr>
        <w:pStyle w:val="0"/>
        <w:spacing w:before="240" w:lineRule="auto"/>
        <w:ind w:firstLine="540"/>
        <w:jc w:val="both"/>
      </w:pPr>
      <w:r>
        <w:rPr>
          <w:sz w:val="24"/>
        </w:rPr>
        <w:t xml:space="preserve">"Совершенствование" - оценка, характеризующая выполнение требований, в рамках процесса совершенствования применения мер защиты информации (E</w:t>
      </w:r>
      <w:r>
        <w:rPr>
          <w:sz w:val="24"/>
          <w:vertAlign w:val="subscript"/>
        </w:rPr>
        <w:t xml:space="preserve">ТМС)</w:t>
      </w:r>
      <w:r>
        <w:rPr>
          <w:sz w:val="24"/>
        </w:rPr>
        <w:t xml:space="preserve">.</w:t>
      </w:r>
    </w:p>
    <w:p>
      <w:pPr>
        <w:pStyle w:val="0"/>
        <w:spacing w:before="240" w:lineRule="auto"/>
        <w:ind w:firstLine="540"/>
        <w:jc w:val="both"/>
      </w:pPr>
      <w:r>
        <w:rPr>
          <w:sz w:val="24"/>
        </w:rPr>
        <w:t xml:space="preserve">4. По показателям </w:t>
      </w:r>
      <w:hyperlink w:history="0" w:anchor="P40218" w:tooltip="Раздел 2.">
        <w:r>
          <w:rPr>
            <w:sz w:val="24"/>
            <w:color w:val="0000ff"/>
          </w:rPr>
          <w:t xml:space="preserve">раздела 2</w:t>
        </w:r>
      </w:hyperlink>
      <w:r>
        <w:rPr>
          <w:sz w:val="24"/>
        </w:rPr>
        <w:t xml:space="preserve"> отчетности по форме 0420175 указывается информация об оценке соответствия по направлению "безопасность программного обеспечения", осуществляемой на основе оценки выполнения требований по направлению "безопасность программного обеспечения", указанных в </w:t>
      </w:r>
      <w:hyperlink w:history="0" r:id="rId695"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Положении</w:t>
        </w:r>
      </w:hyperlink>
      <w:r>
        <w:rPr>
          <w:sz w:val="24"/>
        </w:rPr>
        <w:t xml:space="preserve"> Банка России N 757-П, по аналитическому признаку "Страховая организация" группы аналитических признаков "Вид деятельности" и аналитическому признаку "Безопасность программного обеспечения" группы аналитических признаков "Направления защиты информации".</w:t>
      </w:r>
    </w:p>
    <w:p>
      <w:pPr>
        <w:pStyle w:val="0"/>
        <w:spacing w:before="240" w:lineRule="auto"/>
        <w:ind w:firstLine="540"/>
        <w:jc w:val="both"/>
      </w:pPr>
      <w:r>
        <w:rPr>
          <w:sz w:val="24"/>
        </w:rPr>
        <w:t xml:space="preserve">4.1. По показателю "Оценка, характеризующая выполнение требований, в рамках процесса" </w:t>
      </w:r>
      <w:hyperlink w:history="0" w:anchor="P40220" w:tooltip="2">
        <w:r>
          <w:rPr>
            <w:sz w:val="24"/>
            <w:color w:val="0000ff"/>
          </w:rPr>
          <w:t xml:space="preserve">(строка 2)</w:t>
        </w:r>
      </w:hyperlink>
      <w:r>
        <w:rPr>
          <w:sz w:val="24"/>
        </w:rPr>
        <w:t xml:space="preserve"> указываются обобщающий уровень оценки соответствия по направлению "безопасность программного обеспечения" (E</w:t>
      </w:r>
      <w:r>
        <w:rPr>
          <w:sz w:val="24"/>
          <w:vertAlign w:val="subscript"/>
        </w:rPr>
        <w:t xml:space="preserve">ПО</w:t>
      </w:r>
      <w:r>
        <w:rPr>
          <w:sz w:val="24"/>
        </w:rPr>
        <w:t xml:space="preserve">), а также уровни оценки соответствия по направлению "безопасность программного обеспечения" по следующим аналитическим признакам группы аналитических признаков "Виды процессов защиты информации":</w:t>
      </w:r>
    </w:p>
    <w:p>
      <w:pPr>
        <w:pStyle w:val="0"/>
        <w:spacing w:before="240" w:lineRule="auto"/>
        <w:ind w:firstLine="540"/>
        <w:jc w:val="both"/>
      </w:pPr>
      <w:r>
        <w:rPr>
          <w:sz w:val="24"/>
        </w:rPr>
        <w:t xml:space="preserve">"Планирование" - оценка, характеризующая выполнение требований, в рамках процесса планирования применения мер защиты информации (E</w:t>
      </w:r>
      <w:r>
        <w:rPr>
          <w:sz w:val="24"/>
          <w:vertAlign w:val="subscript"/>
        </w:rPr>
        <w:t xml:space="preserve">ПОП</w:t>
      </w:r>
      <w:r>
        <w:rPr>
          <w:sz w:val="24"/>
        </w:rPr>
        <w:t xml:space="preserve">);</w:t>
      </w:r>
    </w:p>
    <w:p>
      <w:pPr>
        <w:pStyle w:val="0"/>
        <w:spacing w:before="240" w:lineRule="auto"/>
        <w:ind w:firstLine="540"/>
        <w:jc w:val="both"/>
      </w:pPr>
      <w:r>
        <w:rPr>
          <w:sz w:val="24"/>
        </w:rPr>
        <w:t xml:space="preserve">"Реализация" - оценка, характеризующая выполнение требований, в рамках процесса реализации мер защиты информации (E</w:t>
      </w:r>
      <w:r>
        <w:rPr>
          <w:sz w:val="24"/>
          <w:vertAlign w:val="subscript"/>
        </w:rPr>
        <w:t xml:space="preserve">ПОР</w:t>
      </w:r>
      <w:r>
        <w:rPr>
          <w:sz w:val="24"/>
        </w:rPr>
        <w:t xml:space="preserve">);</w:t>
      </w:r>
    </w:p>
    <w:p>
      <w:pPr>
        <w:pStyle w:val="0"/>
        <w:spacing w:before="240" w:lineRule="auto"/>
        <w:ind w:firstLine="540"/>
        <w:jc w:val="both"/>
      </w:pPr>
      <w:r>
        <w:rPr>
          <w:sz w:val="24"/>
        </w:rPr>
        <w:t xml:space="preserve">"Контроль" - оценка, характеризующая выполнение требований, в рамках процесса контроля применения мер защиты информации (E</w:t>
      </w:r>
      <w:r>
        <w:rPr>
          <w:sz w:val="24"/>
          <w:vertAlign w:val="subscript"/>
        </w:rPr>
        <w:t xml:space="preserve">ПОК</w:t>
      </w:r>
      <w:r>
        <w:rPr>
          <w:sz w:val="24"/>
        </w:rPr>
        <w:t xml:space="preserve">);</w:t>
      </w:r>
    </w:p>
    <w:p>
      <w:pPr>
        <w:pStyle w:val="0"/>
        <w:spacing w:before="240" w:lineRule="auto"/>
        <w:ind w:firstLine="540"/>
        <w:jc w:val="both"/>
      </w:pPr>
      <w:r>
        <w:rPr>
          <w:sz w:val="24"/>
        </w:rPr>
        <w:t xml:space="preserve">"Совершенствование" - оценка, характеризующая выполнение требований, в рамках процесса совершенствования применения мер защиты информации (E</w:t>
      </w:r>
      <w:r>
        <w:rPr>
          <w:sz w:val="24"/>
          <w:vertAlign w:val="subscript"/>
        </w:rPr>
        <w:t xml:space="preserve">ПОС</w:t>
      </w:r>
      <w:r>
        <w:rPr>
          <w:sz w:val="24"/>
        </w:rPr>
        <w:t xml:space="preserve">).</w:t>
      </w:r>
    </w:p>
    <w:p>
      <w:pPr>
        <w:pStyle w:val="0"/>
        <w:spacing w:before="240" w:lineRule="auto"/>
        <w:ind w:firstLine="540"/>
        <w:jc w:val="both"/>
      </w:pPr>
      <w:r>
        <w:rPr>
          <w:sz w:val="24"/>
        </w:rPr>
        <w:t xml:space="preserve">4.2. По показателю "Признак, характеризующий использование прикладного программного обеспечения автоматизированных систем и приложений, которые сертифицированы в системе сертификации ФСТЭК России или в отношении которых проведена оценка соответствия требованиям к ОУД" </w:t>
      </w:r>
      <w:hyperlink w:history="0" w:anchor="P40236" w:tooltip="3">
        <w:r>
          <w:rPr>
            <w:sz w:val="24"/>
            <w:color w:val="0000ff"/>
          </w:rPr>
          <w:t xml:space="preserve">(строка 3)</w:t>
        </w:r>
      </w:hyperlink>
      <w:r>
        <w:rPr>
          <w:sz w:val="24"/>
        </w:rPr>
        <w:t xml:space="preserve"> указывается одно из следующих значений:</w:t>
      </w:r>
    </w:p>
    <w:p>
      <w:pPr>
        <w:pStyle w:val="0"/>
        <w:spacing w:before="240" w:lineRule="auto"/>
        <w:ind w:firstLine="540"/>
        <w:jc w:val="both"/>
      </w:pPr>
      <w:r>
        <w:rPr>
          <w:sz w:val="24"/>
        </w:rPr>
        <w:t xml:space="preserve">"Сертификация ФСТЭК России" - в случае если страховая организация обеспечивает использование прикладного программного обеспечения автоматизированных систем и приложений, прошедшего сертификацию в системе сертификации Федеральной службы по техническому и экспортному контролю &lt;2&gt;;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w:t>
      </w:r>
      <w:hyperlink w:history="0" r:id="rId696"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Подпункт 13 пункта 8</w:t>
        </w:r>
      </w:hyperlink>
      <w:r>
        <w:rPr>
          <w:sz w:val="24"/>
        </w:rPr>
        <w:t xml:space="preserve"> Положения о Федеральной службе по техническому и экспортному контролю, утвержденного Указом Президента Российской Федерации от 16 августа 2004 года N 1085 "Вопросы Федеральной службы по техническому и экспортному контролю".</w:t>
      </w:r>
    </w:p>
    <w:p>
      <w:pPr>
        <w:pStyle w:val="0"/>
        <w:ind w:firstLine="540"/>
        <w:jc w:val="both"/>
      </w:pPr>
      <w:r>
        <w:rPr>
          <w:sz w:val="24"/>
        </w:rPr>
      </w:r>
    </w:p>
    <w:p>
      <w:pPr>
        <w:pStyle w:val="0"/>
        <w:ind w:firstLine="540"/>
        <w:jc w:val="both"/>
      </w:pPr>
      <w:r>
        <w:rPr>
          <w:sz w:val="24"/>
        </w:rPr>
        <w:t xml:space="preserve">"Оценка соответствия ОУД" - в случае если страховая организация обеспечивает использование прикладного программного обеспечения автоматизированных систем и приложений, прошедшего оценку соответствия требованиям к оценочному уровню доверия в соответствии с </w:t>
      </w:r>
      <w:hyperlink w:history="0" r:id="rId697"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пунктом 1.8</w:t>
        </w:r>
      </w:hyperlink>
      <w:r>
        <w:rPr>
          <w:sz w:val="24"/>
        </w:rPr>
        <w:t xml:space="preserve"> Положения Банка России N 757-П.</w:t>
      </w:r>
    </w:p>
    <w:p>
      <w:pPr>
        <w:pStyle w:val="0"/>
        <w:spacing w:before="240" w:lineRule="auto"/>
        <w:ind w:firstLine="540"/>
        <w:jc w:val="both"/>
      </w:pPr>
      <w:r>
        <w:rPr>
          <w:sz w:val="24"/>
        </w:rPr>
        <w:t xml:space="preserve">4.3. По показателю "Признак, характеризующий проведение оценки соответствия требованиям к ОУД прикладного программного обеспечения автоматизированных систем и приложений самостоятельно или с привлечением проверяющей организации" </w:t>
      </w:r>
      <w:hyperlink w:history="0" w:anchor="P40244" w:tooltip="4">
        <w:r>
          <w:rPr>
            <w:sz w:val="24"/>
            <w:color w:val="0000ff"/>
          </w:rPr>
          <w:t xml:space="preserve">(строка 4)</w:t>
        </w:r>
      </w:hyperlink>
      <w:r>
        <w:rPr>
          <w:sz w:val="24"/>
        </w:rPr>
        <w:t xml:space="preserve"> указывается одно из следующих значений:</w:t>
      </w:r>
    </w:p>
    <w:p>
      <w:pPr>
        <w:pStyle w:val="0"/>
        <w:spacing w:before="240" w:lineRule="auto"/>
        <w:ind w:firstLine="540"/>
        <w:jc w:val="both"/>
      </w:pPr>
      <w:r>
        <w:rPr>
          <w:sz w:val="24"/>
        </w:rPr>
        <w:t xml:space="preserve">"Самостоятельно" - в случае если страховая организация проводит оценку соответствия прикладного программного обеспечения автоматизированных систем и приложений самостоятельно;</w:t>
      </w:r>
    </w:p>
    <w:p>
      <w:pPr>
        <w:pStyle w:val="0"/>
        <w:spacing w:before="240" w:lineRule="auto"/>
        <w:ind w:firstLine="540"/>
        <w:jc w:val="both"/>
      </w:pPr>
      <w:r>
        <w:rPr>
          <w:sz w:val="24"/>
        </w:rPr>
        <w:t xml:space="preserve">"Проверяющая организация" - в случае если страховая организация проводит оценку соответствия прикладного программного обеспечения автоматизированных систем и приложений с привлечением сторонней организации, имеющей лицензию на проведение работ и оказание услуг, предусмотренных </w:t>
      </w:r>
      <w:hyperlink w:history="0" r:id="rId698" w:tooltip="Постановление Правительства РФ от 03.02.2012 N 79 (ред. от 27.12.2024) &quot;О лицензировании деятельности по технической защите конфиденциальной информации&quot; (вместе с &quot;Положением о лицензировании деятельности по технической защите конфиденциальной информации&quot;) {КонсультантПлюс}">
        <w:r>
          <w:rPr>
            <w:sz w:val="24"/>
            <w:color w:val="0000ff"/>
          </w:rPr>
          <w:t xml:space="preserve">подпунктами "б"</w:t>
        </w:r>
      </w:hyperlink>
      <w:r>
        <w:rPr>
          <w:sz w:val="24"/>
        </w:rPr>
        <w:t xml:space="preserve">, </w:t>
      </w:r>
      <w:hyperlink w:history="0" r:id="rId699" w:tooltip="Постановление Правительства РФ от 03.02.2012 N 79 (ред. от 27.12.2024) &quot;О лицензировании деятельности по технической защите конфиденциальной информации&quot; (вместе с &quot;Положением о лицензировании деятельности по технической защите конфиденциальной информации&quot;) {КонсультантПлюс}">
        <w:r>
          <w:rPr>
            <w:sz w:val="24"/>
            <w:color w:val="0000ff"/>
          </w:rPr>
          <w:t xml:space="preserve">"д"</w:t>
        </w:r>
      </w:hyperlink>
      <w:r>
        <w:rPr>
          <w:sz w:val="24"/>
        </w:rPr>
        <w:t xml:space="preserve"> или </w:t>
      </w:r>
      <w:hyperlink w:history="0" r:id="rId700" w:tooltip="Постановление Правительства РФ от 03.02.2012 N 79 (ред. от 27.12.2024) &quot;О лицензировании деятельности по технической защите конфиденциальной информации&quot; (вместе с &quot;Положением о лицензировании деятельности по технической защите конфиденциальной информации&quot;) {КонсультантПлюс}">
        <w:r>
          <w:rPr>
            <w:sz w:val="24"/>
            <w:color w:val="0000ff"/>
          </w:rPr>
          <w:t xml:space="preserve">"е" пункта 4</w:t>
        </w:r>
      </w:hyperlink>
      <w:r>
        <w:rPr>
          <w:sz w:val="24"/>
        </w:rPr>
        <w:t xml:space="preserve"> Положения о лицензировании деятельности по технической защите конфиденциальной информации, утвержденного постановлением Правительства Российской Федерации от 3 февраля 2012 года N 79 (далее - проверяющая организация), а также если по показателю "Признак, характеризующий использование прикладного программного обеспечения автоматизированных систем и приложений, которые сертифицированы в системе сертификации ФСТЭК России или в отношении которых проведена оценка соответствия требованиям к ОУД" </w:t>
      </w:r>
      <w:hyperlink w:history="0" w:anchor="P40236" w:tooltip="3">
        <w:r>
          <w:rPr>
            <w:sz w:val="24"/>
            <w:color w:val="0000ff"/>
          </w:rPr>
          <w:t xml:space="preserve">(строка 3)</w:t>
        </w:r>
      </w:hyperlink>
      <w:r>
        <w:rPr>
          <w:sz w:val="24"/>
        </w:rPr>
        <w:t xml:space="preserve"> указано значение "Сертификация ФСТЭК России".</w:t>
      </w:r>
    </w:p>
    <w:p>
      <w:pPr>
        <w:pStyle w:val="0"/>
        <w:spacing w:before="240" w:lineRule="auto"/>
        <w:ind w:firstLine="540"/>
        <w:jc w:val="both"/>
      </w:pPr>
      <w:r>
        <w:rPr>
          <w:sz w:val="24"/>
        </w:rPr>
        <w:t xml:space="preserve">5. По показателям </w:t>
      </w:r>
      <w:hyperlink w:history="0" w:anchor="P40252" w:tooltip="Раздел 3.">
        <w:r>
          <w:rPr>
            <w:sz w:val="24"/>
            <w:color w:val="0000ff"/>
          </w:rPr>
          <w:t xml:space="preserve">раздела 3</w:t>
        </w:r>
      </w:hyperlink>
      <w:r>
        <w:rPr>
          <w:sz w:val="24"/>
        </w:rPr>
        <w:t xml:space="preserve"> отчетности по форме 0420175 отражение страховой организацией сведений об оценке соответствия по направлению "безопасность информационной инфраструктуры" осуществляется в соответствии с требованиями к методике оценки соответствия защиты информации, установленными </w:t>
      </w:r>
      <w:hyperlink w:history="0" r:id="rId701"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разделом 7</w:t>
        </w:r>
      </w:hyperlink>
      <w:r>
        <w:rPr>
          <w:sz w:val="24"/>
        </w:rPr>
        <w:t xml:space="preserve"> национального стандарта Российской Федерации ГОСТ Р 57580.2-2018 "Безопасность финансовых (банковских) операций. Защита информации финансовых организаций. Методика оценки соответствия" &lt;3&gt; (далее - ГОСТ Р 57580.2-2018).</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Утвержден </w:t>
      </w:r>
      <w:hyperlink w:history="0" r:id="rId702" w:tooltip="Приказ Росстандарта от 28.03.2018 N 156-ст &quot;Об утверждении национального стандарта Российской Федерации&quot; {КонсультантПлюс}">
        <w:r>
          <w:rPr>
            <w:sz w:val="24"/>
            <w:color w:val="0000ff"/>
          </w:rPr>
          <w:t xml:space="preserve">приказом</w:t>
        </w:r>
      </w:hyperlink>
      <w:r>
        <w:rPr>
          <w:sz w:val="24"/>
        </w:rPr>
        <w:t xml:space="preserve"> Федерального агентства по техническому регулированию и метрологии от 28 марта 2018 года N 156-ст (М., ФГУП "Стандартинформ", 2018) и введен в действие 1 сентября 2018 года.</w:t>
      </w:r>
    </w:p>
    <w:p>
      <w:pPr>
        <w:pStyle w:val="0"/>
        <w:ind w:firstLine="540"/>
        <w:jc w:val="both"/>
      </w:pPr>
      <w:r>
        <w:rPr>
          <w:sz w:val="24"/>
        </w:rPr>
      </w:r>
    </w:p>
    <w:p>
      <w:pPr>
        <w:pStyle w:val="0"/>
        <w:ind w:firstLine="540"/>
        <w:jc w:val="both"/>
      </w:pPr>
      <w:r>
        <w:rPr>
          <w:sz w:val="24"/>
        </w:rPr>
        <w:t xml:space="preserve">По показателям </w:t>
      </w:r>
      <w:hyperlink w:history="0" w:anchor="P40252" w:tooltip="Раздел 3.">
        <w:r>
          <w:rPr>
            <w:sz w:val="24"/>
            <w:color w:val="0000ff"/>
          </w:rPr>
          <w:t xml:space="preserve">раздела 3</w:t>
        </w:r>
      </w:hyperlink>
      <w:r>
        <w:rPr>
          <w:sz w:val="24"/>
        </w:rPr>
        <w:t xml:space="preserve"> отчетности по форме 0420175 сведения указываются по аналитическому признаку "Страховая организация" группы аналитических признаков "Вид деятельности".</w:t>
      </w:r>
    </w:p>
    <w:bookmarkStart w:id="40408" w:name="P40408"/>
    <w:bookmarkEnd w:id="40408"/>
    <w:p>
      <w:pPr>
        <w:pStyle w:val="0"/>
        <w:spacing w:before="240" w:lineRule="auto"/>
        <w:ind w:firstLine="540"/>
        <w:jc w:val="both"/>
      </w:pPr>
      <w:r>
        <w:rPr>
          <w:sz w:val="24"/>
        </w:rPr>
        <w:t xml:space="preserve">5.1. По показателю "Оценка, характеризующая выбор организационных и технических мер системы защиты информации" </w:t>
      </w:r>
      <w:hyperlink w:history="0" w:anchor="P40254" w:tooltip="5">
        <w:r>
          <w:rPr>
            <w:sz w:val="24"/>
            <w:color w:val="0000ff"/>
          </w:rPr>
          <w:t xml:space="preserve">(строка 5)</w:t>
        </w:r>
      </w:hyperlink>
      <w:r>
        <w:rPr>
          <w:sz w:val="24"/>
        </w:rPr>
        <w:t xml:space="preserve"> указывается результат оценки, характеризующей выбор организационных и технических мер защиты информации (E</w:t>
      </w:r>
      <w:r>
        <w:rPr>
          <w:sz w:val="24"/>
          <w:vertAlign w:val="subscript"/>
        </w:rPr>
        <w:t xml:space="preserve">ПЗИi</w:t>
      </w:r>
      <w:r>
        <w:rPr>
          <w:sz w:val="24"/>
        </w:rPr>
        <w:t xml:space="preserve">), в соответствии с </w:t>
      </w:r>
      <w:hyperlink w:history="0" r:id="rId703"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7.1</w:t>
        </w:r>
      </w:hyperlink>
      <w:r>
        <w:rPr>
          <w:sz w:val="24"/>
        </w:rPr>
        <w:t xml:space="preserve"> ГОСТ Р 57580.2-2018.</w:t>
      </w:r>
    </w:p>
    <w:p>
      <w:pPr>
        <w:pStyle w:val="0"/>
        <w:spacing w:before="240" w:lineRule="auto"/>
        <w:ind w:firstLine="540"/>
        <w:jc w:val="both"/>
      </w:pPr>
      <w:r>
        <w:rPr>
          <w:sz w:val="24"/>
        </w:rPr>
        <w:t xml:space="preserve">5.2. По показателю "Оценка по направлениям защиты информации системы организации и управления защиты информации" </w:t>
      </w:r>
      <w:hyperlink w:history="0" w:anchor="P40266" w:tooltip="6">
        <w:r>
          <w:rPr>
            <w:sz w:val="24"/>
            <w:color w:val="0000ff"/>
          </w:rPr>
          <w:t xml:space="preserve">(строка 6)</w:t>
        </w:r>
      </w:hyperlink>
      <w:r>
        <w:rPr>
          <w:sz w:val="24"/>
        </w:rPr>
        <w:t xml:space="preserve"> информация указывается по следующим аналитическим признакам группы аналитических признаков "Виды процессов защиты информации":</w:t>
      </w:r>
    </w:p>
    <w:p>
      <w:pPr>
        <w:pStyle w:val="0"/>
        <w:spacing w:before="240" w:lineRule="auto"/>
        <w:ind w:firstLine="540"/>
        <w:jc w:val="both"/>
      </w:pPr>
      <w:r>
        <w:rPr>
          <w:sz w:val="24"/>
        </w:rPr>
        <w:t xml:space="preserve">"Планирование" - результат оценки, характеризующей планирование процесса системы защиты информации (E</w:t>
      </w:r>
      <w:r>
        <w:rPr>
          <w:sz w:val="24"/>
          <w:vertAlign w:val="subscript"/>
        </w:rPr>
        <w:t xml:space="preserve">Пi</w:t>
      </w:r>
      <w:r>
        <w:rPr>
          <w:sz w:val="24"/>
        </w:rPr>
        <w:t xml:space="preserve">), в соответствии с </w:t>
      </w:r>
      <w:hyperlink w:history="0" r:id="rId704"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7.2</w:t>
        </w:r>
      </w:hyperlink>
      <w:r>
        <w:rPr>
          <w:sz w:val="24"/>
        </w:rPr>
        <w:t xml:space="preserve"> ГОСТ Р 57580.2-2018;</w:t>
      </w:r>
    </w:p>
    <w:p>
      <w:pPr>
        <w:pStyle w:val="0"/>
        <w:spacing w:before="240" w:lineRule="auto"/>
        <w:ind w:firstLine="540"/>
        <w:jc w:val="both"/>
      </w:pPr>
      <w:r>
        <w:rPr>
          <w:sz w:val="24"/>
        </w:rPr>
        <w:t xml:space="preserve">"Реализация" - результат оценки, характеризующей реализацию процесса системы защиты информации (E</w:t>
      </w:r>
      <w:r>
        <w:rPr>
          <w:sz w:val="24"/>
          <w:vertAlign w:val="subscript"/>
        </w:rPr>
        <w:t xml:space="preserve">Рi</w:t>
      </w:r>
      <w:r>
        <w:rPr>
          <w:sz w:val="24"/>
        </w:rPr>
        <w:t xml:space="preserve">) в соответствии с </w:t>
      </w:r>
      <w:hyperlink w:history="0" r:id="rId705"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7.3</w:t>
        </w:r>
      </w:hyperlink>
      <w:r>
        <w:rPr>
          <w:sz w:val="24"/>
        </w:rPr>
        <w:t xml:space="preserve"> ГОСТ Р 57580.2-2018;</w:t>
      </w:r>
    </w:p>
    <w:p>
      <w:pPr>
        <w:pStyle w:val="0"/>
        <w:spacing w:before="240" w:lineRule="auto"/>
        <w:ind w:firstLine="540"/>
        <w:jc w:val="both"/>
      </w:pPr>
      <w:r>
        <w:rPr>
          <w:sz w:val="24"/>
        </w:rPr>
        <w:t xml:space="preserve">"Контроль" - результат оценки, характеризующей контроль процесса системы защиты информации (E</w:t>
      </w:r>
      <w:r>
        <w:rPr>
          <w:sz w:val="24"/>
          <w:vertAlign w:val="subscript"/>
        </w:rPr>
        <w:t xml:space="preserve">Кi</w:t>
      </w:r>
      <w:r>
        <w:rPr>
          <w:sz w:val="24"/>
        </w:rPr>
        <w:t xml:space="preserve">), в соответствии с </w:t>
      </w:r>
      <w:hyperlink w:history="0" r:id="rId706"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7.4</w:t>
        </w:r>
      </w:hyperlink>
      <w:r>
        <w:rPr>
          <w:sz w:val="24"/>
        </w:rPr>
        <w:t xml:space="preserve"> ГОСТ Р 57580.2-2018;</w:t>
      </w:r>
    </w:p>
    <w:p>
      <w:pPr>
        <w:pStyle w:val="0"/>
        <w:spacing w:before="240" w:lineRule="auto"/>
        <w:ind w:firstLine="540"/>
        <w:jc w:val="both"/>
      </w:pPr>
      <w:r>
        <w:rPr>
          <w:sz w:val="24"/>
        </w:rPr>
        <w:t xml:space="preserve">"Совершенствование" - результат оценки, характеризующей совершенствование процесса системы защиты информации (E</w:t>
      </w:r>
      <w:r>
        <w:rPr>
          <w:sz w:val="24"/>
          <w:vertAlign w:val="subscript"/>
        </w:rPr>
        <w:t xml:space="preserve">Сi</w:t>
      </w:r>
      <w:r>
        <w:rPr>
          <w:sz w:val="24"/>
        </w:rPr>
        <w:t xml:space="preserve">), в соответствии с </w:t>
      </w:r>
      <w:hyperlink w:history="0" r:id="rId707"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7.5</w:t>
        </w:r>
      </w:hyperlink>
      <w:r>
        <w:rPr>
          <w:sz w:val="24"/>
        </w:rPr>
        <w:t xml:space="preserve"> ГОСТ Р 57580.2-2018.</w:t>
      </w:r>
    </w:p>
    <w:p>
      <w:pPr>
        <w:pStyle w:val="0"/>
        <w:spacing w:before="240" w:lineRule="auto"/>
        <w:ind w:firstLine="540"/>
        <w:jc w:val="both"/>
      </w:pPr>
      <w:r>
        <w:rPr>
          <w:sz w:val="24"/>
        </w:rPr>
        <w:t xml:space="preserve">5.3. По показателю "Качественная оценка уровня соответствия процесса системы защиты информации" </w:t>
      </w:r>
      <w:hyperlink w:history="0" w:anchor="P40282" w:tooltip="7">
        <w:r>
          <w:rPr>
            <w:sz w:val="24"/>
            <w:color w:val="0000ff"/>
          </w:rPr>
          <w:t xml:space="preserve">(строка 7)</w:t>
        </w:r>
      </w:hyperlink>
      <w:r>
        <w:rPr>
          <w:sz w:val="24"/>
        </w:rPr>
        <w:t xml:space="preserve"> указывается результат качественной оценки уровня соответствия каждого процесса системы защиты информации в соответствии с </w:t>
      </w:r>
      <w:hyperlink w:history="0" r:id="rId708"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7.9</w:t>
        </w:r>
      </w:hyperlink>
      <w:r>
        <w:rPr>
          <w:sz w:val="24"/>
        </w:rPr>
        <w:t xml:space="preserve"> ГОСТ Р 57580.2-2018.</w:t>
      </w:r>
    </w:p>
    <w:bookmarkStart w:id="40415" w:name="P40415"/>
    <w:bookmarkEnd w:id="40415"/>
    <w:p>
      <w:pPr>
        <w:pStyle w:val="0"/>
        <w:spacing w:before="240" w:lineRule="auto"/>
        <w:ind w:firstLine="540"/>
        <w:jc w:val="both"/>
      </w:pPr>
      <w:r>
        <w:rPr>
          <w:sz w:val="24"/>
        </w:rPr>
        <w:t xml:space="preserve">5.4. По показателю "Числовое значение оценки соответствия процесса системы защиты информации" </w:t>
      </w:r>
      <w:hyperlink w:history="0" w:anchor="P40294" w:tooltip="8">
        <w:r>
          <w:rPr>
            <w:sz w:val="24"/>
            <w:color w:val="0000ff"/>
          </w:rPr>
          <w:t xml:space="preserve">(строка 8)</w:t>
        </w:r>
      </w:hyperlink>
      <w:r>
        <w:rPr>
          <w:sz w:val="24"/>
        </w:rPr>
        <w:t xml:space="preserve"> указывается числовое значение оценки соответствия каждого процесса системы защиты информации (E</w:t>
      </w:r>
      <w:r>
        <w:rPr>
          <w:sz w:val="24"/>
          <w:vertAlign w:val="subscript"/>
        </w:rPr>
        <w:t xml:space="preserve">i</w:t>
      </w:r>
      <w:r>
        <w:rPr>
          <w:sz w:val="24"/>
        </w:rPr>
        <w:t xml:space="preserve">) в соответствии с </w:t>
      </w:r>
      <w:hyperlink w:history="0" r:id="rId709"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7.7</w:t>
        </w:r>
      </w:hyperlink>
      <w:r>
        <w:rPr>
          <w:sz w:val="24"/>
        </w:rPr>
        <w:t xml:space="preserve"> ГОСТ Р 57580.2-2018.</w:t>
      </w:r>
    </w:p>
    <w:p>
      <w:pPr>
        <w:pStyle w:val="0"/>
        <w:spacing w:before="240" w:lineRule="auto"/>
        <w:ind w:firstLine="540"/>
        <w:jc w:val="both"/>
      </w:pPr>
      <w:r>
        <w:rPr>
          <w:sz w:val="24"/>
        </w:rPr>
        <w:t xml:space="preserve">5.5. По показателю "Применение организационных и технических мер защиты информации на этапах жизненного цикла автоматизированной системы" </w:t>
      </w:r>
      <w:hyperlink w:history="0" w:anchor="P40306" w:tooltip="9">
        <w:r>
          <w:rPr>
            <w:sz w:val="24"/>
            <w:color w:val="0000ff"/>
          </w:rPr>
          <w:t xml:space="preserve">(строка 9)</w:t>
        </w:r>
      </w:hyperlink>
      <w:r>
        <w:rPr>
          <w:sz w:val="24"/>
        </w:rPr>
        <w:t xml:space="preserve"> указывается значение оценки, характеризующей применение организационных и технических мер защиты информации на этапах жизненного цикла автоматизированной системы (E</w:t>
      </w:r>
      <w:r>
        <w:rPr>
          <w:sz w:val="24"/>
          <w:vertAlign w:val="subscript"/>
        </w:rPr>
        <w:t xml:space="preserve">АС</w:t>
      </w:r>
      <w:r>
        <w:rPr>
          <w:sz w:val="24"/>
        </w:rPr>
        <w:t xml:space="preserve">), рассчитанное в соответствии с </w:t>
      </w:r>
      <w:hyperlink w:history="0" r:id="rId710"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пунктом 7.6</w:t>
        </w:r>
      </w:hyperlink>
      <w:r>
        <w:rPr>
          <w:sz w:val="24"/>
        </w:rPr>
        <w:t xml:space="preserve"> ГОСТ Р 57580.2-2018.</w:t>
      </w:r>
    </w:p>
    <w:p>
      <w:pPr>
        <w:pStyle w:val="0"/>
        <w:spacing w:before="240" w:lineRule="auto"/>
        <w:ind w:firstLine="540"/>
        <w:jc w:val="both"/>
      </w:pPr>
      <w:r>
        <w:rPr>
          <w:sz w:val="24"/>
        </w:rPr>
        <w:t xml:space="preserve">5.6. По показателю "Количество нарушений защиты информации, выявленных в результате оценки соответствия" </w:t>
      </w:r>
      <w:hyperlink w:history="0" w:anchor="P40314" w:tooltip="10">
        <w:r>
          <w:rPr>
            <w:sz w:val="24"/>
            <w:color w:val="0000ff"/>
          </w:rPr>
          <w:t xml:space="preserve">(строка 10)</w:t>
        </w:r>
      </w:hyperlink>
      <w:r>
        <w:rPr>
          <w:sz w:val="24"/>
        </w:rPr>
        <w:t xml:space="preserve"> указывается количество нарушений защиты информации, выявленных проверяющей организацией в процессе оценки соответствия (Z), проведенной в соответствии с </w:t>
      </w:r>
      <w:hyperlink w:history="0" r:id="rId711"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абзацем седьмым пункта 7.10</w:t>
        </w:r>
      </w:hyperlink>
      <w:r>
        <w:rPr>
          <w:sz w:val="24"/>
        </w:rPr>
        <w:t xml:space="preserve"> ГОСТ Р 57580.2-2018.</w:t>
      </w:r>
    </w:p>
    <w:p>
      <w:pPr>
        <w:pStyle w:val="0"/>
        <w:spacing w:before="240" w:lineRule="auto"/>
        <w:ind w:firstLine="540"/>
        <w:jc w:val="both"/>
      </w:pPr>
      <w:r>
        <w:rPr>
          <w:sz w:val="24"/>
        </w:rPr>
        <w:t xml:space="preserve">5.7. По показателю "Итоговая оценка соответствия" </w:t>
      </w:r>
      <w:hyperlink w:history="0" w:anchor="P40322" w:tooltip="11">
        <w:r>
          <w:rPr>
            <w:sz w:val="24"/>
            <w:color w:val="0000ff"/>
          </w:rPr>
          <w:t xml:space="preserve">(строка 11)</w:t>
        </w:r>
      </w:hyperlink>
      <w:r>
        <w:rPr>
          <w:sz w:val="24"/>
        </w:rPr>
        <w:t xml:space="preserve"> указывается значение итоговой оценки соответствия (R), рассчитанное в соответствии с </w:t>
      </w:r>
      <w:hyperlink w:history="0" r:id="rId712" w:tooltip="&quot;ГОСТ Р 57580.2-2018. Национальный стандарт Российской Федерации. Безопасность финансовых (банковских) операций. Защита информации финансовых организаций. Методика оценки соответствия&quot; (утв. и введен в действие Приказом Росстандарта от 28.03.2018 N 156-ст) {КонсультантПлюс}">
        <w:r>
          <w:rPr>
            <w:sz w:val="24"/>
            <w:color w:val="0000ff"/>
          </w:rPr>
          <w:t xml:space="preserve">абзацем первым пункта 7.10</w:t>
        </w:r>
      </w:hyperlink>
      <w:r>
        <w:rPr>
          <w:sz w:val="24"/>
        </w:rPr>
        <w:t xml:space="preserve"> ГОСТ Р 57580.2-2018.</w:t>
      </w:r>
    </w:p>
    <w:p>
      <w:pPr>
        <w:pStyle w:val="0"/>
        <w:spacing w:before="240" w:lineRule="auto"/>
        <w:ind w:firstLine="540"/>
        <w:jc w:val="both"/>
      </w:pPr>
      <w:r>
        <w:rPr>
          <w:sz w:val="24"/>
        </w:rPr>
        <w:t xml:space="preserve">5.8. По показателям, указанным в </w:t>
      </w:r>
      <w:hyperlink w:history="0" w:anchor="P40408" w:tooltip="5.1. По показателю &quot;Оценка, характеризующая выбор организационных и технических мер системы защиты информации&quot; (строка 5) указывается результат оценки, характеризующей выбор организационных и технических мер защиты информации (EПЗИi), в соответствии с пунктом 7.1 ГОСТ Р 57580.2-2018.">
        <w:r>
          <w:rPr>
            <w:sz w:val="24"/>
            <w:color w:val="0000ff"/>
          </w:rPr>
          <w:t xml:space="preserve">подпунктах 5.1</w:t>
        </w:r>
      </w:hyperlink>
      <w:r>
        <w:rPr>
          <w:sz w:val="24"/>
        </w:rPr>
        <w:t xml:space="preserve"> - </w:t>
      </w:r>
      <w:hyperlink w:history="0" w:anchor="P40415" w:tooltip="5.4. По показателю &quot;Числовое значение оценки соответствия процесса системы защиты информации&quot; (строка 8) указывается числовое значение оценки соответствия каждого процесса системы защиты информации (Ei) в соответствии с пунктом 7.7 ГОСТ Р 57580.2-2018.">
        <w:r>
          <w:rPr>
            <w:sz w:val="24"/>
            <w:color w:val="0000ff"/>
          </w:rPr>
          <w:t xml:space="preserve">5.4</w:t>
        </w:r>
      </w:hyperlink>
      <w:r>
        <w:rPr>
          <w:sz w:val="24"/>
        </w:rPr>
        <w:t xml:space="preserve"> настоящего пункта, информация отражается по следующим аналитическим признакам группы аналитических признаков "Процессы системы защиты информации":</w:t>
      </w:r>
    </w:p>
    <w:p>
      <w:pPr>
        <w:pStyle w:val="0"/>
        <w:spacing w:before="240" w:lineRule="auto"/>
        <w:ind w:firstLine="540"/>
        <w:jc w:val="both"/>
      </w:pPr>
      <w:r>
        <w:rPr>
          <w:sz w:val="24"/>
        </w:rPr>
        <w:t xml:space="preserve">"Процесс 1 "Обеспечение защиты информации при управлении доступом";</w:t>
      </w:r>
    </w:p>
    <w:p>
      <w:pPr>
        <w:pStyle w:val="0"/>
        <w:spacing w:before="240" w:lineRule="auto"/>
        <w:ind w:firstLine="540"/>
        <w:jc w:val="both"/>
      </w:pPr>
      <w:r>
        <w:rPr>
          <w:sz w:val="24"/>
        </w:rPr>
        <w:t xml:space="preserve">"Процесс 2 "Обеспечение защиты вычислительных сетей";</w:t>
      </w:r>
    </w:p>
    <w:p>
      <w:pPr>
        <w:pStyle w:val="0"/>
        <w:spacing w:before="240" w:lineRule="auto"/>
        <w:ind w:firstLine="540"/>
        <w:jc w:val="both"/>
      </w:pPr>
      <w:r>
        <w:rPr>
          <w:sz w:val="24"/>
        </w:rPr>
        <w:t xml:space="preserve">"Процесс 3 "Контроль целостности и защищенности информационной инфраструктуры";</w:t>
      </w:r>
    </w:p>
    <w:p>
      <w:pPr>
        <w:pStyle w:val="0"/>
        <w:spacing w:before="240" w:lineRule="auto"/>
        <w:ind w:firstLine="540"/>
        <w:jc w:val="both"/>
      </w:pPr>
      <w:r>
        <w:rPr>
          <w:sz w:val="24"/>
        </w:rPr>
        <w:t xml:space="preserve">"Процесс 4 "Защита от вредоносного кода";</w:t>
      </w:r>
    </w:p>
    <w:p>
      <w:pPr>
        <w:pStyle w:val="0"/>
        <w:spacing w:before="240" w:lineRule="auto"/>
        <w:ind w:firstLine="540"/>
        <w:jc w:val="both"/>
      </w:pPr>
      <w:r>
        <w:rPr>
          <w:sz w:val="24"/>
        </w:rPr>
        <w:t xml:space="preserve">"Процесс 5 "Предотвращение утечек информации";</w:t>
      </w:r>
    </w:p>
    <w:p>
      <w:pPr>
        <w:pStyle w:val="0"/>
        <w:spacing w:before="240" w:lineRule="auto"/>
        <w:ind w:firstLine="540"/>
        <w:jc w:val="both"/>
      </w:pPr>
      <w:r>
        <w:rPr>
          <w:sz w:val="24"/>
        </w:rPr>
        <w:t xml:space="preserve">"Процесс 6 "Управление инцидентами защиты информации";</w:t>
      </w:r>
    </w:p>
    <w:p>
      <w:pPr>
        <w:pStyle w:val="0"/>
        <w:spacing w:before="240" w:lineRule="auto"/>
        <w:ind w:firstLine="540"/>
        <w:jc w:val="both"/>
      </w:pPr>
      <w:r>
        <w:rPr>
          <w:sz w:val="24"/>
        </w:rPr>
        <w:t xml:space="preserve">"Процесс 7 "Защита среды виртуализации";</w:t>
      </w:r>
    </w:p>
    <w:p>
      <w:pPr>
        <w:pStyle w:val="0"/>
        <w:spacing w:before="240" w:lineRule="auto"/>
        <w:ind w:firstLine="540"/>
        <w:jc w:val="both"/>
      </w:pPr>
      <w:r>
        <w:rPr>
          <w:sz w:val="24"/>
        </w:rPr>
        <w:t xml:space="preserve">"Процесс 8 "Защита информации при осуществлении удаленного логического доступа с использованием мобильных (переносных) устройств".</w:t>
      </w:r>
    </w:p>
    <w:p>
      <w:pPr>
        <w:pStyle w:val="0"/>
        <w:spacing w:before="240" w:lineRule="auto"/>
        <w:ind w:firstLine="540"/>
        <w:jc w:val="both"/>
      </w:pPr>
      <w:r>
        <w:rPr>
          <w:sz w:val="24"/>
        </w:rPr>
        <w:t xml:space="preserve">6. В </w:t>
      </w:r>
      <w:hyperlink w:history="0" w:anchor="P40330" w:tooltip="Раздел 4.">
        <w:r>
          <w:rPr>
            <w:sz w:val="24"/>
            <w:color w:val="0000ff"/>
          </w:rPr>
          <w:t xml:space="preserve">разделе 4</w:t>
        </w:r>
      </w:hyperlink>
      <w:r>
        <w:rPr>
          <w:sz w:val="24"/>
        </w:rPr>
        <w:t xml:space="preserve"> отчетности по форме 0420175 по аналитическому признаку "Проверяющая организация" группы аналитических признаков "Вид организации" указываются:</w:t>
      </w:r>
    </w:p>
    <w:p>
      <w:pPr>
        <w:pStyle w:val="0"/>
        <w:spacing w:before="240" w:lineRule="auto"/>
        <w:ind w:firstLine="540"/>
        <w:jc w:val="both"/>
      </w:pPr>
      <w:r>
        <w:rPr>
          <w:sz w:val="24"/>
        </w:rPr>
        <w:t xml:space="preserve">по показателю "Полное наименование" </w:t>
      </w:r>
      <w:hyperlink w:history="0" w:anchor="P40332" w:tooltip="12">
        <w:r>
          <w:rPr>
            <w:sz w:val="24"/>
            <w:color w:val="0000ff"/>
          </w:rPr>
          <w:t xml:space="preserve">(строка 12)</w:t>
        </w:r>
      </w:hyperlink>
      <w:r>
        <w:rPr>
          <w:sz w:val="24"/>
        </w:rPr>
        <w:t xml:space="preserve"> - полное наименование проверяющей организации;</w:t>
      </w:r>
    </w:p>
    <w:p>
      <w:pPr>
        <w:pStyle w:val="0"/>
        <w:spacing w:before="240" w:lineRule="auto"/>
        <w:ind w:firstLine="540"/>
        <w:jc w:val="both"/>
      </w:pPr>
      <w:r>
        <w:rPr>
          <w:sz w:val="24"/>
        </w:rPr>
        <w:t xml:space="preserve">по показателю "Идентификационный номер налогоплательщика (ИНН)" </w:t>
      </w:r>
      <w:hyperlink w:history="0" w:anchor="P40340" w:tooltip="13">
        <w:r>
          <w:rPr>
            <w:sz w:val="24"/>
            <w:color w:val="0000ff"/>
          </w:rPr>
          <w:t xml:space="preserve">(строка 13)</w:t>
        </w:r>
      </w:hyperlink>
      <w:r>
        <w:rPr>
          <w:sz w:val="24"/>
        </w:rPr>
        <w:t xml:space="preserve"> - идентификационный номер налогоплательщика проверяющей организации;</w:t>
      </w:r>
    </w:p>
    <w:p>
      <w:pPr>
        <w:pStyle w:val="0"/>
        <w:spacing w:before="240" w:lineRule="auto"/>
        <w:ind w:firstLine="540"/>
        <w:jc w:val="both"/>
      </w:pPr>
      <w:r>
        <w:rPr>
          <w:sz w:val="24"/>
        </w:rPr>
        <w:t xml:space="preserve">по показателю "Дата проведения оценки соответствия" </w:t>
      </w:r>
      <w:hyperlink w:history="0" w:anchor="P40348" w:tooltip="14">
        <w:r>
          <w:rPr>
            <w:sz w:val="24"/>
            <w:color w:val="0000ff"/>
          </w:rPr>
          <w:t xml:space="preserve">(строка 14)</w:t>
        </w:r>
      </w:hyperlink>
      <w:r>
        <w:rPr>
          <w:sz w:val="24"/>
        </w:rPr>
        <w:t xml:space="preserve"> - дата проведения оценки соответствия, указанная в заключении проверяющей организации;</w:t>
      </w:r>
    </w:p>
    <w:p>
      <w:pPr>
        <w:pStyle w:val="0"/>
        <w:spacing w:before="240" w:lineRule="auto"/>
        <w:ind w:firstLine="540"/>
        <w:jc w:val="both"/>
      </w:pPr>
      <w:r>
        <w:rPr>
          <w:sz w:val="24"/>
        </w:rPr>
        <w:t xml:space="preserve">по показателю "Стоимость оценки соответствия" </w:t>
      </w:r>
      <w:hyperlink w:history="0" w:anchor="P40356" w:tooltip="15">
        <w:r>
          <w:rPr>
            <w:sz w:val="24"/>
            <w:color w:val="0000ff"/>
          </w:rPr>
          <w:t xml:space="preserve">(строка 15)</w:t>
        </w:r>
      </w:hyperlink>
      <w:r>
        <w:rPr>
          <w:sz w:val="24"/>
        </w:rPr>
        <w:t xml:space="preserve"> - стоимость проведения проверяющей организацией оценки соответствия.</w:t>
      </w:r>
    </w:p>
    <w:p>
      <w:pPr>
        <w:pStyle w:val="0"/>
        <w:ind w:firstLine="540"/>
        <w:jc w:val="both"/>
      </w:pPr>
      <w:r>
        <w:rPr>
          <w:sz w:val="24"/>
        </w:rPr>
      </w:r>
    </w:p>
    <w:bookmarkStart w:id="40434" w:name="P40434"/>
    <w:bookmarkEnd w:id="40434"/>
    <w:p>
      <w:pPr>
        <w:pStyle w:val="0"/>
        <w:outlineLvl w:val="1"/>
        <w:ind w:firstLine="540"/>
        <w:jc w:val="both"/>
      </w:pPr>
      <w:r>
        <w:rPr>
          <w:sz w:val="24"/>
        </w:rPr>
        <w:t xml:space="preserve">Часть II. Группы аналитических признаков и аналитические признаки для формирования показателей форм отчетности в порядке надзора страховщика</w:t>
      </w:r>
    </w:p>
    <w:p>
      <w:pPr>
        <w:pStyle w:val="0"/>
        <w:ind w:firstLine="540"/>
        <w:jc w:val="both"/>
      </w:pPr>
      <w:r>
        <w:rPr>
          <w:sz w:val="24"/>
        </w:rPr>
      </w:r>
    </w:p>
    <w:p>
      <w:pPr>
        <w:pStyle w:val="0"/>
        <w:outlineLvl w:val="2"/>
        <w:jc w:val="both"/>
      </w:pPr>
      <w:r>
        <w:rPr>
          <w:sz w:val="24"/>
        </w:rPr>
        <w:t xml:space="preserve">Раздел 1. Отчетность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 "Общие сведения о страховщике"</w:t>
      </w:r>
    </w:p>
    <w:p>
      <w:pPr>
        <w:pStyle w:val="0"/>
        <w:ind w:firstLine="540"/>
        <w:jc w:val="both"/>
      </w:pPr>
      <w:r>
        <w:rPr>
          <w:sz w:val="24"/>
        </w:rPr>
      </w:r>
    </w:p>
    <w:p>
      <w:pPr>
        <w:pStyle w:val="0"/>
        <w:outlineLvl w:val="3"/>
        <w:jc w:val="both"/>
      </w:pPr>
      <w:r>
        <w:rPr>
          <w:sz w:val="24"/>
        </w:rPr>
        <w:t xml:space="preserve">Подраздел 1.1. </w:t>
      </w:r>
      <w:hyperlink w:history="0" w:anchor="P90" w:tooltip="Раздел 1. Общие сведения">
        <w:r>
          <w:rPr>
            <w:sz w:val="24"/>
            <w:color w:val="0000ff"/>
          </w:rPr>
          <w:t xml:space="preserve">Раздел 1</w:t>
        </w:r>
      </w:hyperlink>
      <w:r>
        <w:rPr>
          <w:sz w:val="24"/>
        </w:rPr>
        <w:t xml:space="preserve"> "Общие сведения"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Виды обязательного страхования</w:t>
            </w:r>
          </w:p>
        </w:tc>
        <w:tc>
          <w:tcPr>
            <w:tcW w:w="2608" w:type="dxa"/>
          </w:tcPr>
          <w:p>
            <w:pPr>
              <w:pStyle w:val="0"/>
            </w:pPr>
            <w:r>
              <w:rPr>
                <w:sz w:val="24"/>
              </w:rPr>
            </w:r>
          </w:p>
        </w:tc>
        <w:tc>
          <w:tcPr>
            <w:tcW w:w="2948" w:type="dxa"/>
          </w:tcPr>
          <w:p>
            <w:pPr>
              <w:pStyle w:val="0"/>
            </w:pPr>
            <w:r>
              <w:rPr>
                <w:sz w:val="24"/>
              </w:rPr>
              <w:t xml:space="preserve">dim-int:DopVidyDeyatelnostiAxis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Наименование вида обязательного страхования 1</w:t>
            </w:r>
          </w:p>
        </w:tc>
        <w:tc>
          <w:tcPr>
            <w:tcW w:w="2948" w:type="dxa"/>
          </w:tcPr>
          <w:p>
            <w:pPr>
              <w:pStyle w:val="0"/>
            </w:pPr>
            <w:r>
              <w:rPr>
                <w:sz w:val="24"/>
              </w:rPr>
              <w:t xml:space="preserve">mem-int:DopVidyDeyatelnosti_1_Member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Наименование вида обязательного страхования 2</w:t>
            </w:r>
          </w:p>
        </w:tc>
        <w:tc>
          <w:tcPr>
            <w:tcW w:w="2948" w:type="dxa"/>
          </w:tcPr>
          <w:p>
            <w:pPr>
              <w:pStyle w:val="0"/>
            </w:pPr>
            <w:r>
              <w:rPr>
                <w:sz w:val="24"/>
              </w:rPr>
              <w:t xml:space="preserve">mem-int:DopVidyDeyatelnosti_2_Member</w:t>
            </w:r>
          </w:p>
        </w:tc>
      </w:tr>
    </w:tbl>
    <w:p>
      <w:pPr>
        <w:pStyle w:val="0"/>
        <w:ind w:firstLine="540"/>
        <w:jc w:val="both"/>
      </w:pPr>
      <w:r>
        <w:rPr>
          <w:sz w:val="24"/>
        </w:rPr>
      </w:r>
    </w:p>
    <w:p>
      <w:pPr>
        <w:pStyle w:val="0"/>
        <w:outlineLvl w:val="3"/>
        <w:jc w:val="both"/>
      </w:pPr>
      <w:r>
        <w:rPr>
          <w:sz w:val="24"/>
        </w:rPr>
        <w:t xml:space="preserve">Подраздел 1.2. </w:t>
      </w:r>
      <w:hyperlink w:history="0" w:anchor="P372" w:tooltip="Раздел 7. Реестр контрагентов страховщика">
        <w:r>
          <w:rPr>
            <w:sz w:val="24"/>
            <w:color w:val="0000ff"/>
          </w:rPr>
          <w:t xml:space="preserve">Раздел 7</w:t>
        </w:r>
      </w:hyperlink>
      <w:r>
        <w:rPr>
          <w:sz w:val="24"/>
        </w:rPr>
        <w:t xml:space="preserve"> "Реестр контрагентов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документа, удостоверяющего личность</w:t>
            </w:r>
          </w:p>
        </w:tc>
        <w:tc>
          <w:tcPr>
            <w:tcW w:w="2608" w:type="dxa"/>
          </w:tcPr>
          <w:p>
            <w:pPr>
              <w:pStyle w:val="0"/>
            </w:pPr>
            <w:r>
              <w:rPr>
                <w:sz w:val="24"/>
              </w:rPr>
            </w:r>
          </w:p>
        </w:tc>
        <w:tc>
          <w:tcPr>
            <w:tcW w:w="2948" w:type="dxa"/>
          </w:tcPr>
          <w:p>
            <w:pPr>
              <w:pStyle w:val="0"/>
            </w:pPr>
            <w:r>
              <w:rPr>
                <w:sz w:val="24"/>
              </w:rPr>
              <w:t xml:space="preserve">dim-int:VidDokUdLAxis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21</w:t>
            </w:r>
          </w:p>
        </w:tc>
        <w:tc>
          <w:tcPr>
            <w:tcW w:w="2948" w:type="dxa"/>
          </w:tcPr>
          <w:p>
            <w:pPr>
              <w:pStyle w:val="0"/>
            </w:pPr>
            <w:r>
              <w:rPr>
                <w:sz w:val="24"/>
              </w:rPr>
              <w:t xml:space="preserve">mem-int:PaspGrRFMember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27</w:t>
            </w:r>
          </w:p>
        </w:tc>
        <w:tc>
          <w:tcPr>
            <w:tcW w:w="2948" w:type="dxa"/>
          </w:tcPr>
          <w:p>
            <w:pPr>
              <w:pStyle w:val="0"/>
            </w:pPr>
            <w:r>
              <w:rPr>
                <w:sz w:val="24"/>
              </w:rPr>
              <w:t xml:space="preserve">mem-int:SvRozhdMember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31</w:t>
            </w:r>
          </w:p>
        </w:tc>
        <w:tc>
          <w:tcPr>
            <w:tcW w:w="2948" w:type="dxa"/>
          </w:tcPr>
          <w:p>
            <w:pPr>
              <w:pStyle w:val="0"/>
            </w:pPr>
            <w:r>
              <w:rPr>
                <w:sz w:val="24"/>
              </w:rPr>
              <w:t xml:space="preserve">mem-int:DokUdlInGrMember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99</w:t>
            </w:r>
          </w:p>
        </w:tc>
        <w:tc>
          <w:tcPr>
            <w:tcW w:w="2948" w:type="dxa"/>
          </w:tcPr>
          <w:p>
            <w:pPr>
              <w:pStyle w:val="0"/>
            </w:pPr>
            <w:r>
              <w:rPr>
                <w:sz w:val="24"/>
              </w:rPr>
              <w:t xml:space="preserve">mem-int:InDokMember</w:t>
            </w:r>
          </w:p>
        </w:tc>
      </w:tr>
    </w:tbl>
    <w:p>
      <w:pPr>
        <w:pStyle w:val="0"/>
        <w:ind w:firstLine="540"/>
        <w:jc w:val="both"/>
      </w:pPr>
      <w:r>
        <w:rPr>
          <w:sz w:val="24"/>
        </w:rPr>
      </w:r>
    </w:p>
    <w:p>
      <w:pPr>
        <w:pStyle w:val="0"/>
        <w:outlineLvl w:val="2"/>
        <w:jc w:val="both"/>
      </w:pPr>
      <w:r>
        <w:rPr>
          <w:sz w:val="24"/>
        </w:rPr>
        <w:t xml:space="preserve">Раздел 2. Отчетность по </w:t>
      </w:r>
      <w:hyperlink w:history="0" w:anchor="P1468" w:tooltip="Отчетность по форме 0420152">
        <w:r>
          <w:rPr>
            <w:sz w:val="24"/>
            <w:color w:val="0000ff"/>
          </w:rPr>
          <w:t xml:space="preserve">форме 0420152</w:t>
        </w:r>
      </w:hyperlink>
      <w:r>
        <w:rPr>
          <w:sz w:val="24"/>
        </w:rPr>
        <w:t xml:space="preserve"> "Отчет об акционерах (участниках) и сведения об аффилированных лицах страховой организации"</w:t>
      </w:r>
    </w:p>
    <w:p>
      <w:pPr>
        <w:pStyle w:val="0"/>
        <w:ind w:firstLine="540"/>
        <w:jc w:val="both"/>
      </w:pPr>
      <w:r>
        <w:rPr>
          <w:sz w:val="24"/>
        </w:rPr>
      </w:r>
    </w:p>
    <w:p>
      <w:pPr>
        <w:pStyle w:val="0"/>
        <w:outlineLvl w:val="3"/>
        <w:jc w:val="both"/>
      </w:pPr>
      <w:r>
        <w:rPr>
          <w:sz w:val="24"/>
        </w:rPr>
        <w:t xml:space="preserve">Подраздел 2.1. </w:t>
      </w:r>
      <w:hyperlink w:history="0" w:anchor="P1493" w:tooltip="Раздел 1. Состав акционеров (участников)">
        <w:r>
          <w:rPr>
            <w:sz w:val="24"/>
            <w:color w:val="0000ff"/>
          </w:rPr>
          <w:t xml:space="preserve">Раздел 1</w:t>
        </w:r>
      </w:hyperlink>
      <w:r>
        <w:rPr>
          <w:sz w:val="24"/>
        </w:rPr>
        <w:t xml:space="preserve"> "Состав акционеров (участников)"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Тип акционера</w:t>
            </w:r>
          </w:p>
        </w:tc>
        <w:tc>
          <w:tcPr>
            <w:tcW w:w="2608" w:type="dxa"/>
          </w:tcPr>
          <w:p>
            <w:pPr>
              <w:pStyle w:val="0"/>
            </w:pPr>
            <w:r>
              <w:rPr>
                <w:sz w:val="24"/>
              </w:rPr>
            </w:r>
          </w:p>
        </w:tc>
        <w:tc>
          <w:tcPr>
            <w:tcW w:w="2948" w:type="dxa"/>
          </w:tcPr>
          <w:p>
            <w:pPr>
              <w:pStyle w:val="0"/>
            </w:pPr>
            <w:r>
              <w:rPr>
                <w:sz w:val="24"/>
              </w:rPr>
              <w:t xml:space="preserve">dim-int:Tip_Akczionerov_Axis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Резиденты - юридические лица</w:t>
            </w:r>
          </w:p>
        </w:tc>
        <w:tc>
          <w:tcPr>
            <w:tcW w:w="2948" w:type="dxa"/>
          </w:tcPr>
          <w:p>
            <w:pPr>
              <w:pStyle w:val="0"/>
            </w:pPr>
            <w:r>
              <w:rPr>
                <w:sz w:val="24"/>
              </w:rPr>
              <w:t xml:space="preserve">mem-int:Rezidenty_YulMember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Резиденты - физические лица</w:t>
            </w:r>
          </w:p>
        </w:tc>
        <w:tc>
          <w:tcPr>
            <w:tcW w:w="2948" w:type="dxa"/>
          </w:tcPr>
          <w:p>
            <w:pPr>
              <w:pStyle w:val="0"/>
            </w:pPr>
            <w:r>
              <w:rPr>
                <w:sz w:val="24"/>
              </w:rPr>
              <w:t xml:space="preserve">mem-int:Rezidenty_FlMember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Нерезиденты - юридические лица</w:t>
            </w:r>
          </w:p>
        </w:tc>
        <w:tc>
          <w:tcPr>
            <w:tcW w:w="2948" w:type="dxa"/>
          </w:tcPr>
          <w:p>
            <w:pPr>
              <w:pStyle w:val="0"/>
            </w:pPr>
            <w:r>
              <w:rPr>
                <w:sz w:val="24"/>
              </w:rPr>
              <w:t xml:space="preserve">mem-int:Nerezidenty_YulMember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Нерезиденты - физические лица</w:t>
            </w:r>
          </w:p>
        </w:tc>
        <w:tc>
          <w:tcPr>
            <w:tcW w:w="2948" w:type="dxa"/>
          </w:tcPr>
          <w:p>
            <w:pPr>
              <w:pStyle w:val="0"/>
            </w:pPr>
            <w:r>
              <w:rPr>
                <w:sz w:val="24"/>
              </w:rPr>
              <w:t xml:space="preserve">mem-mt:Nerezidenty_FlMember</w:t>
            </w:r>
          </w:p>
        </w:tc>
      </w:tr>
      <w:tr>
        <w:tc>
          <w:tcPr>
            <w:tcW w:w="907" w:type="dxa"/>
          </w:tcPr>
          <w:p>
            <w:pPr>
              <w:pStyle w:val="0"/>
            </w:pPr>
            <w:r>
              <w:rPr>
                <w:sz w:val="24"/>
              </w:rPr>
              <w:t xml:space="preserve">2</w:t>
            </w:r>
          </w:p>
        </w:tc>
        <w:tc>
          <w:tcPr>
            <w:tcW w:w="2608" w:type="dxa"/>
          </w:tcPr>
          <w:p>
            <w:pPr>
              <w:pStyle w:val="0"/>
            </w:pPr>
            <w:r>
              <w:rPr>
                <w:sz w:val="24"/>
              </w:rPr>
              <w:t xml:space="preserve">Тип контрагента</w:t>
            </w:r>
          </w:p>
        </w:tc>
        <w:tc>
          <w:tcPr>
            <w:tcW w:w="2608" w:type="dxa"/>
          </w:tcPr>
          <w:p>
            <w:pPr>
              <w:pStyle w:val="0"/>
            </w:pPr>
            <w:r>
              <w:rPr>
                <w:sz w:val="24"/>
              </w:rPr>
            </w:r>
          </w:p>
        </w:tc>
        <w:tc>
          <w:tcPr>
            <w:tcW w:w="2948" w:type="dxa"/>
          </w:tcPr>
          <w:p>
            <w:pPr>
              <w:pStyle w:val="0"/>
            </w:pPr>
            <w:r>
              <w:rPr>
                <w:sz w:val="24"/>
              </w:rPr>
              <w:t xml:space="preserve">dim-int:TipKontragentaAxis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Акционеры (участники), совокупная сумма долей которых в уставном капитале составляет менее 1%</w:t>
            </w:r>
          </w:p>
        </w:tc>
        <w:tc>
          <w:tcPr>
            <w:tcW w:w="2948" w:type="dxa"/>
          </w:tcPr>
          <w:p>
            <w:pPr>
              <w:pStyle w:val="0"/>
            </w:pPr>
            <w:r>
              <w:rPr>
                <w:sz w:val="24"/>
              </w:rPr>
              <w:t xml:space="preserve">mem-int:AkczUchSovDolyaUkMeneeOdProtsMember</w:t>
            </w:r>
          </w:p>
        </w:tc>
      </w:tr>
    </w:tbl>
    <w:p>
      <w:pPr>
        <w:pStyle w:val="0"/>
        <w:ind w:firstLine="540"/>
        <w:jc w:val="both"/>
      </w:pPr>
      <w:r>
        <w:rPr>
          <w:sz w:val="24"/>
        </w:rPr>
      </w:r>
    </w:p>
    <w:p>
      <w:pPr>
        <w:pStyle w:val="0"/>
        <w:outlineLvl w:val="3"/>
        <w:jc w:val="both"/>
      </w:pPr>
      <w:r>
        <w:rPr>
          <w:sz w:val="24"/>
        </w:rPr>
        <w:t xml:space="preserve">Подраздел 2.2. </w:t>
      </w:r>
      <w:hyperlink w:history="0" w:anchor="P1555" w:tooltip="Раздел 2. Сведения об аффилированных лицах">
        <w:r>
          <w:rPr>
            <w:sz w:val="24"/>
            <w:color w:val="0000ff"/>
          </w:rPr>
          <w:t xml:space="preserve">Раздел 2</w:t>
        </w:r>
      </w:hyperlink>
      <w:r>
        <w:rPr>
          <w:sz w:val="24"/>
        </w:rPr>
        <w:t xml:space="preserve"> "Сведения об аффилированных лицах"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деятельности</w:t>
            </w:r>
          </w:p>
        </w:tc>
        <w:tc>
          <w:tcPr>
            <w:tcW w:w="2608" w:type="dxa"/>
          </w:tcPr>
          <w:p>
            <w:pPr>
              <w:pStyle w:val="0"/>
            </w:pPr>
            <w:r>
              <w:rPr>
                <w:sz w:val="24"/>
              </w:rPr>
            </w:r>
          </w:p>
        </w:tc>
        <w:tc>
          <w:tcPr>
            <w:tcW w:w="2948" w:type="dxa"/>
          </w:tcPr>
          <w:p>
            <w:pPr>
              <w:pStyle w:val="0"/>
            </w:pPr>
            <w:r>
              <w:rPr>
                <w:sz w:val="24"/>
              </w:rPr>
              <w:t xml:space="preserve">dim-int:Vid_DeyatelnostiAxis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Страховая организация</w:t>
            </w:r>
          </w:p>
        </w:tc>
        <w:tc>
          <w:tcPr>
            <w:tcW w:w="2948" w:type="dxa"/>
          </w:tcPr>
          <w:p>
            <w:pPr>
              <w:pStyle w:val="0"/>
            </w:pPr>
            <w:r>
              <w:rPr>
                <w:sz w:val="24"/>
              </w:rPr>
              <w:t xml:space="preserve">mem-int:So_Member</w:t>
            </w:r>
          </w:p>
        </w:tc>
      </w:tr>
    </w:tbl>
    <w:p>
      <w:pPr>
        <w:pStyle w:val="0"/>
        <w:ind w:firstLine="540"/>
        <w:jc w:val="both"/>
      </w:pPr>
      <w:r>
        <w:rPr>
          <w:sz w:val="24"/>
        </w:rPr>
      </w:r>
    </w:p>
    <w:p>
      <w:pPr>
        <w:pStyle w:val="0"/>
        <w:outlineLvl w:val="2"/>
        <w:jc w:val="both"/>
      </w:pPr>
      <w:r>
        <w:rPr>
          <w:sz w:val="24"/>
        </w:rPr>
        <w:t xml:space="preserve">Раздел 3. Отчетность по </w:t>
      </w:r>
      <w:hyperlink w:history="0" w:anchor="P1888" w:tooltip="Отчетность по форме 0420153">
        <w:r>
          <w:rPr>
            <w:sz w:val="24"/>
            <w:color w:val="0000ff"/>
          </w:rPr>
          <w:t xml:space="preserve">форме 0420153</w:t>
        </w:r>
      </w:hyperlink>
      <w:r>
        <w:rPr>
          <w:sz w:val="24"/>
        </w:rPr>
        <w:t xml:space="preserve"> "Сведения о размере гарантийного депозита филиала иностранной страховой организации"</w:t>
      </w:r>
    </w:p>
    <w:p>
      <w:pPr>
        <w:pStyle w:val="0"/>
        <w:ind w:firstLine="540"/>
        <w:jc w:val="both"/>
      </w:pPr>
      <w:r>
        <w:rPr>
          <w:sz w:val="24"/>
        </w:rPr>
      </w:r>
    </w:p>
    <w:p>
      <w:pPr>
        <w:pStyle w:val="0"/>
        <w:outlineLvl w:val="3"/>
        <w:jc w:val="both"/>
      </w:pPr>
      <w:r>
        <w:rPr>
          <w:sz w:val="24"/>
        </w:rPr>
        <w:t xml:space="preserve">Подраздел 3.1. </w:t>
      </w:r>
      <w:hyperlink w:history="0" w:anchor="P2036" w:tooltip="Раздел 3.">
        <w:r>
          <w:rPr>
            <w:sz w:val="24"/>
            <w:color w:val="0000ff"/>
          </w:rPr>
          <w:t xml:space="preserve">Раздел 3</w:t>
        </w:r>
      </w:hyperlink>
      <w:r>
        <w:rPr>
          <w:sz w:val="24"/>
        </w:rPr>
        <w:t xml:space="preserve"> "Расчетный размер гарантийного депозита по договорам страхования иного, чем страхование жизни"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2 - страхование от несчастных случаев и болезней</w:t>
            </w:r>
          </w:p>
        </w:tc>
        <w:tc>
          <w:tcPr>
            <w:tcW w:w="2948" w:type="dxa"/>
          </w:tcPr>
          <w:p>
            <w:pPr>
              <w:pStyle w:val="0"/>
            </w:pPr>
            <w:r>
              <w:rPr>
                <w:sz w:val="24"/>
              </w:rPr>
              <w:t xml:space="preserve">mem-int:Uchet_Gruppa_2Member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 действующее в соответствии с Федеральным </w:t>
            </w:r>
            <w:hyperlink w:history="0" r:id="rId713"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от 25 апреля 2002 года N 40-ФЗ "Об обязательном страховании гражданской ответственности владельцев транспортных средств"</w:t>
            </w:r>
          </w:p>
        </w:tc>
        <w:tc>
          <w:tcPr>
            <w:tcW w:w="2948" w:type="dxa"/>
          </w:tcPr>
          <w:p>
            <w:pPr>
              <w:pStyle w:val="0"/>
            </w:pPr>
            <w:r>
              <w:rPr>
                <w:sz w:val="24"/>
              </w:rPr>
              <w:t xml:space="preserve">mem-int:Uchet_Gruppa_4_769PMember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6 - страхование ответственности владельцев транспортных средств, кроме указанного в учетных группах 3, 4, 8</w:t>
            </w:r>
          </w:p>
        </w:tc>
        <w:tc>
          <w:tcPr>
            <w:tcW w:w="2948" w:type="dxa"/>
          </w:tcPr>
          <w:p>
            <w:pPr>
              <w:pStyle w:val="0"/>
            </w:pPr>
            <w:r>
              <w:rPr>
                <w:sz w:val="24"/>
              </w:rPr>
              <w:t xml:space="preserve">mem-int:Uchet_Gruppa_6_769PMember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10 - страхование имущества, кроме указанного в учетных группах 7 и 8</w:t>
            </w:r>
          </w:p>
        </w:tc>
        <w:tc>
          <w:tcPr>
            <w:tcW w:w="2948" w:type="dxa"/>
          </w:tcPr>
          <w:p>
            <w:pPr>
              <w:pStyle w:val="0"/>
            </w:pPr>
            <w:r>
              <w:rPr>
                <w:sz w:val="24"/>
              </w:rPr>
              <w:t xml:space="preserve">mem-int:Uchet_Gruppa_10_769PMember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 за неисполнение или ненадлежащее исполнение обязательств по передаче жилого помещения участнику долевого строительства по договору участия в долевом строительстве</w:t>
            </w:r>
          </w:p>
        </w:tc>
        <w:tc>
          <w:tcPr>
            <w:tcW w:w="2948" w:type="dxa"/>
          </w:tcPr>
          <w:p>
            <w:pPr>
              <w:pStyle w:val="0"/>
            </w:pPr>
            <w:r>
              <w:rPr>
                <w:sz w:val="24"/>
              </w:rPr>
              <w:t xml:space="preserve">mem-int:Uchet_Gruppa_12_769PMember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 за неисполнение или ненадлежащее исполнение обязательств по договору о реализации туристского продукта</w:t>
            </w:r>
          </w:p>
        </w:tc>
        <w:tc>
          <w:tcPr>
            <w:tcW w:w="2948" w:type="dxa"/>
          </w:tcPr>
          <w:p>
            <w:pPr>
              <w:pStyle w:val="0"/>
            </w:pPr>
            <w:r>
              <w:rPr>
                <w:sz w:val="24"/>
              </w:rPr>
              <w:t xml:space="preserve">mem-int:Uchet_Gruppa_13_769PMernber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14 - страхование ответственности, кроме указанного в учетных группах 3, 4, 6, 8, 12 и 13</w:t>
            </w:r>
          </w:p>
        </w:tc>
        <w:tc>
          <w:tcPr>
            <w:tcW w:w="2948" w:type="dxa"/>
          </w:tcPr>
          <w:p>
            <w:pPr>
              <w:pStyle w:val="0"/>
            </w:pPr>
            <w:r>
              <w:rPr>
                <w:sz w:val="24"/>
              </w:rPr>
              <w:t xml:space="preserve">mem-int:Uchet_Gruppa_14_769PMember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17 - договоры, принятые в перестрахование, кроме договоров перестрахования, в соответствии с условиями которых у перестраховщика возникает обязанность по возмещению заранее установленной доли в каждой страховой выплате, производимой страховщиком по каждому принятому в перестрахование договору (договорам), по которому произошел убыток, подпадающий под действие договора перестрахования (договоры непропорционального перестрахования)</w:t>
            </w:r>
          </w:p>
        </w:tc>
        <w:tc>
          <w:tcPr>
            <w:tcW w:w="2948" w:type="dxa"/>
          </w:tcPr>
          <w:p>
            <w:pPr>
              <w:pStyle w:val="0"/>
            </w:pPr>
            <w:r>
              <w:rPr>
                <w:sz w:val="24"/>
              </w:rPr>
              <w:t xml:space="preserve">mem-int:Uchet_Gruppa_17_769PMember</w:t>
            </w:r>
          </w:p>
        </w:tc>
      </w:tr>
    </w:tbl>
    <w:p>
      <w:pPr>
        <w:pStyle w:val="0"/>
        <w:ind w:firstLine="540"/>
        <w:jc w:val="both"/>
      </w:pPr>
      <w:r>
        <w:rPr>
          <w:sz w:val="24"/>
        </w:rPr>
      </w:r>
    </w:p>
    <w:p>
      <w:pPr>
        <w:pStyle w:val="0"/>
        <w:outlineLvl w:val="2"/>
        <w:jc w:val="both"/>
      </w:pPr>
      <w:r>
        <w:rPr>
          <w:sz w:val="24"/>
        </w:rPr>
        <w:t xml:space="preserve">Раздел 4. Отчетность по </w:t>
      </w:r>
      <w:hyperlink w:history="0" w:anchor="P2335" w:tooltip="Отчетность по форме 0420154">
        <w:r>
          <w:rPr>
            <w:sz w:val="24"/>
            <w:color w:val="0000ff"/>
          </w:rPr>
          <w:t xml:space="preserve">форме 0420154</w:t>
        </w:r>
      </w:hyperlink>
      <w:r>
        <w:rPr>
          <w:sz w:val="24"/>
        </w:rPr>
        <w:t xml:space="preserve"> "Отчет об активах и обязательствах страховщика"</w:t>
      </w:r>
    </w:p>
    <w:p>
      <w:pPr>
        <w:pStyle w:val="0"/>
        <w:ind w:firstLine="540"/>
        <w:jc w:val="both"/>
      </w:pPr>
      <w:r>
        <w:rPr>
          <w:sz w:val="24"/>
        </w:rPr>
      </w:r>
    </w:p>
    <w:p>
      <w:pPr>
        <w:pStyle w:val="0"/>
        <w:outlineLvl w:val="3"/>
        <w:jc w:val="both"/>
      </w:pPr>
      <w:r>
        <w:rPr>
          <w:sz w:val="24"/>
        </w:rPr>
        <w:t xml:space="preserve">Подраздел 4.1. </w:t>
      </w:r>
      <w:hyperlink w:history="0" w:anchor="P2350" w:tooltip="Раздел 1.">
        <w:r>
          <w:rPr>
            <w:sz w:val="24"/>
            <w:color w:val="0000ff"/>
          </w:rPr>
          <w:t xml:space="preserve">Раздел 1</w:t>
        </w:r>
      </w:hyperlink>
      <w:r>
        <w:rPr>
          <w:sz w:val="24"/>
        </w:rPr>
        <w:t xml:space="preserve"> "Активы, обязательства и капитал"</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bookmarkStart w:id="40637" w:name="P40637"/>
          <w:bookmarkEnd w:id="40637"/>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bookmarkStart w:id="40641" w:name="P40641"/>
          <w:bookmarkEnd w:id="40641"/>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Наличные денежные средства в кассе, в пути</w:t>
            </w:r>
          </w:p>
        </w:tc>
        <w:tc>
          <w:tcPr>
            <w:tcW w:w="2948" w:type="dxa"/>
          </w:tcPr>
          <w:p>
            <w:pPr>
              <w:pStyle w:val="0"/>
            </w:pPr>
            <w:r>
              <w:rPr>
                <w:sz w:val="24"/>
              </w:rPr>
              <w:t xml:space="preserve">mem-int:NalDsKassaPutMember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Денежные средства, кроме наличных денежных средств в кассе, в пути</w:t>
            </w:r>
          </w:p>
        </w:tc>
        <w:tc>
          <w:tcPr>
            <w:tcW w:w="2948" w:type="dxa"/>
          </w:tcPr>
          <w:p>
            <w:pPr>
              <w:pStyle w:val="0"/>
            </w:pPr>
            <w:r>
              <w:rPr>
                <w:sz w:val="24"/>
              </w:rPr>
              <w:t xml:space="preserve">mem-int:DsKromeNalVPutiMember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Банковские вклады (депозиты)</w:t>
            </w:r>
          </w:p>
        </w:tc>
        <w:tc>
          <w:tcPr>
            <w:tcW w:w="2948" w:type="dxa"/>
          </w:tcPr>
          <w:p>
            <w:pPr>
              <w:pStyle w:val="0"/>
            </w:pPr>
            <w:r>
              <w:rPr>
                <w:sz w:val="24"/>
              </w:rPr>
              <w:t xml:space="preserve">mem-int:Depozity_Member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Акции</w:t>
            </w:r>
          </w:p>
        </w:tc>
        <w:tc>
          <w:tcPr>
            <w:tcW w:w="2948" w:type="dxa"/>
          </w:tcPr>
          <w:p>
            <w:pPr>
              <w:pStyle w:val="0"/>
            </w:pPr>
            <w:r>
              <w:rPr>
                <w:sz w:val="24"/>
              </w:rPr>
              <w:t xml:space="preserve">mem-int:AkcziiMember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Доли, иное участие в уставных капиталах юридических лиц, не являющихся акционерными обществами, вклады в имущество юридических лиц, не увеличивающие их уставные (складочные) капиталы</w:t>
            </w:r>
          </w:p>
        </w:tc>
        <w:tc>
          <w:tcPr>
            <w:tcW w:w="2948" w:type="dxa"/>
          </w:tcPr>
          <w:p>
            <w:pPr>
              <w:pStyle w:val="0"/>
            </w:pPr>
            <w:r>
              <w:rPr>
                <w:sz w:val="24"/>
              </w:rPr>
              <w:t xml:space="preserve">mem-int:DolInUchKapYULiczNeAOVkladyImYULiczNeUvUstSklKapMember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Паи</w:t>
            </w:r>
          </w:p>
        </w:tc>
        <w:tc>
          <w:tcPr>
            <w:tcW w:w="2948" w:type="dxa"/>
          </w:tcPr>
          <w:p>
            <w:pPr>
              <w:pStyle w:val="0"/>
            </w:pPr>
            <w:r>
              <w:rPr>
                <w:sz w:val="24"/>
              </w:rPr>
              <w:t xml:space="preserve">mem-int:PaiMember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Облигации</w:t>
            </w:r>
          </w:p>
        </w:tc>
        <w:tc>
          <w:tcPr>
            <w:tcW w:w="2948" w:type="dxa"/>
          </w:tcPr>
          <w:p>
            <w:pPr>
              <w:pStyle w:val="0"/>
            </w:pPr>
            <w:r>
              <w:rPr>
                <w:sz w:val="24"/>
              </w:rPr>
              <w:t xml:space="preserve">mem-int:ObligacziiMember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Ипотечные сертификаты участия</w:t>
            </w:r>
          </w:p>
        </w:tc>
        <w:tc>
          <w:tcPr>
            <w:tcW w:w="2948" w:type="dxa"/>
          </w:tcPr>
          <w:p>
            <w:pPr>
              <w:pStyle w:val="0"/>
            </w:pPr>
            <w:r>
              <w:rPr>
                <w:sz w:val="24"/>
              </w:rPr>
              <w:t xml:space="preserve">mem-int:Ipotech_Sert_Uchast_Member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Депозитарные расписки</w:t>
            </w:r>
          </w:p>
        </w:tc>
        <w:tc>
          <w:tcPr>
            <w:tcW w:w="2948" w:type="dxa"/>
          </w:tcPr>
          <w:p>
            <w:pPr>
              <w:pStyle w:val="0"/>
            </w:pPr>
            <w:r>
              <w:rPr>
                <w:sz w:val="24"/>
              </w:rPr>
              <w:t xml:space="preserve">mem-int:DepRaspMember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Векселя</w:t>
            </w:r>
          </w:p>
        </w:tc>
        <w:tc>
          <w:tcPr>
            <w:tcW w:w="2948" w:type="dxa"/>
          </w:tcPr>
          <w:p>
            <w:pPr>
              <w:pStyle w:val="0"/>
            </w:pPr>
            <w:r>
              <w:rPr>
                <w:sz w:val="24"/>
              </w:rPr>
              <w:t xml:space="preserve">mem-int:VekselyaMember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Активы, возникшие в результате заключения страховщиком срочных сделок</w:t>
            </w:r>
          </w:p>
        </w:tc>
        <w:tc>
          <w:tcPr>
            <w:tcW w:w="2948" w:type="dxa"/>
          </w:tcPr>
          <w:p>
            <w:pPr>
              <w:pStyle w:val="0"/>
            </w:pPr>
            <w:r>
              <w:rPr>
                <w:sz w:val="24"/>
              </w:rPr>
              <w:t xml:space="preserve">mem-int:SrochSdelAktPol710PMember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Займы выданные, кроме прав требования по обязательствам страхователя - физического лица по возврату займа, полученного при осуществлении страхования жизни</w:t>
            </w:r>
          </w:p>
        </w:tc>
        <w:tc>
          <w:tcPr>
            <w:tcW w:w="2948" w:type="dxa"/>
          </w:tcPr>
          <w:p>
            <w:pPr>
              <w:pStyle w:val="0"/>
            </w:pPr>
            <w:r>
              <w:rPr>
                <w:sz w:val="24"/>
              </w:rPr>
              <w:t xml:space="preserve">mem-int:Zajmy_Krome_SlDog_Szh_Member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Права требования к страховым агентам и страховым брокерам по перечислению страховых премий (взносов), не учтенные в страховых резервах</w:t>
            </w:r>
          </w:p>
        </w:tc>
        <w:tc>
          <w:tcPr>
            <w:tcW w:w="2948" w:type="dxa"/>
          </w:tcPr>
          <w:p>
            <w:pPr>
              <w:pStyle w:val="0"/>
            </w:pPr>
            <w:r>
              <w:rPr>
                <w:sz w:val="24"/>
              </w:rPr>
              <w:t xml:space="preserve">mem-int:PravTrebStrAgBrokPerechStrPremNeUchtVStrRezMember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страхователей, перестрахователей по уплате страховых премий (взносов), не учтенные в страховых резервах</w:t>
            </w:r>
          </w:p>
        </w:tc>
        <w:tc>
          <w:tcPr>
            <w:tcW w:w="2948" w:type="dxa"/>
          </w:tcPr>
          <w:p>
            <w:pPr>
              <w:pStyle w:val="0"/>
            </w:pPr>
            <w:r>
              <w:rPr>
                <w:sz w:val="24"/>
              </w:rPr>
              <w:t xml:space="preserve">mem-int:PravTrebObSIPslUplStrPremNeUchtVStrRezMember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страхователя - физического лица по возврату займа, полученного при осуществлении страхования жизни</w:t>
            </w:r>
          </w:p>
        </w:tc>
        <w:tc>
          <w:tcPr>
            <w:tcW w:w="2948" w:type="dxa"/>
          </w:tcPr>
          <w:p>
            <w:pPr>
              <w:pStyle w:val="0"/>
            </w:pPr>
            <w:r>
              <w:rPr>
                <w:sz w:val="24"/>
              </w:rPr>
              <w:t xml:space="preserve">mem-int:PravTrebObSlFlZajmStrZhMember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по урегулированию убытков, не учтенные в страховых резервах</w:t>
            </w:r>
          </w:p>
        </w:tc>
        <w:tc>
          <w:tcPr>
            <w:tcW w:w="2948" w:type="dxa"/>
          </w:tcPr>
          <w:p>
            <w:pPr>
              <w:pStyle w:val="0"/>
            </w:pPr>
            <w:r>
              <w:rPr>
                <w:sz w:val="24"/>
              </w:rPr>
              <w:t xml:space="preserve">mem-int:PravTrebPskUregUbNeUchtVStrRezMember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Права требования в рамках расчетов по прямому возмещению убытков, не учтенные в страховых резервах</w:t>
            </w:r>
          </w:p>
        </w:tc>
        <w:tc>
          <w:tcPr>
            <w:tcW w:w="2948" w:type="dxa"/>
          </w:tcPr>
          <w:p>
            <w:pPr>
              <w:pStyle w:val="0"/>
            </w:pPr>
            <w:r>
              <w:rPr>
                <w:sz w:val="24"/>
              </w:rPr>
              <w:t xml:space="preserve">mem-int:PravTrebRaschPVUNeUchtVStrRezMember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Права требования по суброгациям и регрессам, не учтенные в страховых резервах</w:t>
            </w:r>
          </w:p>
        </w:tc>
        <w:tc>
          <w:tcPr>
            <w:tcW w:w="2948" w:type="dxa"/>
          </w:tcPr>
          <w:p>
            <w:pPr>
              <w:pStyle w:val="0"/>
            </w:pPr>
            <w:r>
              <w:rPr>
                <w:sz w:val="24"/>
              </w:rPr>
              <w:t xml:space="preserve">mem-int:PravTrebSubrRegrNeUchtVStrRezMember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Права требования по возврату излишне уплаченных (взысканных) страховых взносов по обязательному социальному страхованию</w:t>
            </w:r>
          </w:p>
        </w:tc>
        <w:tc>
          <w:tcPr>
            <w:tcW w:w="2948" w:type="dxa"/>
          </w:tcPr>
          <w:p>
            <w:pPr>
              <w:pStyle w:val="0"/>
            </w:pPr>
            <w:r>
              <w:rPr>
                <w:sz w:val="24"/>
              </w:rPr>
              <w:t xml:space="preserve">mem-int:PravTrebVozvrIzlUplStrVznObSocStrMember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Права требования по авансовым платежам по налогам, задолженности бюджетов по налогам и сборам</w:t>
            </w:r>
          </w:p>
        </w:tc>
        <w:tc>
          <w:tcPr>
            <w:tcW w:w="2948" w:type="dxa"/>
          </w:tcPr>
          <w:p>
            <w:pPr>
              <w:pStyle w:val="0"/>
            </w:pPr>
            <w:r>
              <w:rPr>
                <w:sz w:val="24"/>
              </w:rPr>
              <w:t xml:space="preserve">mem-int:PravTrebAvPlatNalZadBudgNalSborMember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Права требования по сделке, направленной на последующий переход от страховщика права собственности на объект недвижимости</w:t>
            </w:r>
          </w:p>
        </w:tc>
        <w:tc>
          <w:tcPr>
            <w:tcW w:w="2948" w:type="dxa"/>
          </w:tcPr>
          <w:p>
            <w:pPr>
              <w:pStyle w:val="0"/>
            </w:pPr>
            <w:r>
              <w:rPr>
                <w:sz w:val="24"/>
              </w:rPr>
              <w:t xml:space="preserve">mem-int:PravTrebSdelkPoslPerSOPravSobstNedvMember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Права требования, возникшие в связи с авансовыми платежами страховщика по договорам перестрахования, не учтенные в страховых резервах</w:t>
            </w:r>
          </w:p>
        </w:tc>
        <w:tc>
          <w:tcPr>
            <w:tcW w:w="2948" w:type="dxa"/>
          </w:tcPr>
          <w:p>
            <w:pPr>
              <w:pStyle w:val="0"/>
            </w:pPr>
            <w:r>
              <w:rPr>
                <w:sz w:val="24"/>
              </w:rPr>
              <w:t xml:space="preserve">mem-int:PravTrebAvPlatDogPstrNeUchtVStrRezMember</w:t>
            </w:r>
          </w:p>
        </w:tc>
      </w:tr>
      <w:tr>
        <w:tc>
          <w:tcPr>
            <w:tcW w:w="907" w:type="dxa"/>
          </w:tcPr>
          <w:p>
            <w:pPr>
              <w:pStyle w:val="0"/>
            </w:pPr>
            <w:r>
              <w:rPr>
                <w:sz w:val="24"/>
              </w:rPr>
              <w:t xml:space="preserve">1.23</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учтенные в страховых резервах</w:t>
            </w:r>
          </w:p>
        </w:tc>
        <w:tc>
          <w:tcPr>
            <w:tcW w:w="2948" w:type="dxa"/>
          </w:tcPr>
          <w:p>
            <w:pPr>
              <w:pStyle w:val="0"/>
            </w:pPr>
            <w:r>
              <w:rPr>
                <w:sz w:val="24"/>
              </w:rPr>
              <w:t xml:space="preserve">mem-int:PrTrebKPerZalsklPTPoUregUbytIPTVoznVSvAvansPlSOPoDogPereNeUchtVStraxRezMember</w:t>
            </w:r>
          </w:p>
        </w:tc>
      </w:tr>
      <w:tr>
        <w:tc>
          <w:tcPr>
            <w:tcW w:w="907" w:type="dxa"/>
          </w:tcPr>
          <w:p>
            <w:pPr>
              <w:pStyle w:val="0"/>
            </w:pPr>
            <w:r>
              <w:rPr>
                <w:sz w:val="24"/>
              </w:rPr>
              <w:t xml:space="preserve">1.24</w:t>
            </w:r>
          </w:p>
        </w:tc>
        <w:tc>
          <w:tcPr>
            <w:tcW w:w="2608" w:type="dxa"/>
          </w:tcPr>
          <w:p>
            <w:pPr>
              <w:pStyle w:val="0"/>
            </w:pPr>
            <w:r>
              <w:rPr>
                <w:sz w:val="24"/>
              </w:rPr>
            </w:r>
          </w:p>
        </w:tc>
        <w:tc>
          <w:tcPr>
            <w:tcW w:w="2608" w:type="dxa"/>
          </w:tcPr>
          <w:p>
            <w:pPr>
              <w:pStyle w:val="0"/>
            </w:pPr>
            <w:r>
              <w:rPr>
                <w:sz w:val="24"/>
              </w:rPr>
              <w:t xml:space="preserve">Права требования к профессиональным объединениям страховщиков, не учтенные в страховых резервах</w:t>
            </w:r>
          </w:p>
        </w:tc>
        <w:tc>
          <w:tcPr>
            <w:tcW w:w="2948" w:type="dxa"/>
          </w:tcPr>
          <w:p>
            <w:pPr>
              <w:pStyle w:val="0"/>
            </w:pPr>
            <w:r>
              <w:rPr>
                <w:sz w:val="24"/>
              </w:rPr>
              <w:t xml:space="preserve">mem-int:PrTrebKProfObedStraxovshNeUchtVStraxRezMember</w:t>
            </w:r>
          </w:p>
        </w:tc>
      </w:tr>
      <w:tr>
        <w:tc>
          <w:tcPr>
            <w:tcW w:w="907" w:type="dxa"/>
          </w:tcPr>
          <w:p>
            <w:pPr>
              <w:pStyle w:val="0"/>
            </w:pPr>
            <w:r>
              <w:rPr>
                <w:sz w:val="24"/>
              </w:rPr>
              <w:t xml:space="preserve">1.25</w:t>
            </w:r>
          </w:p>
        </w:tc>
        <w:tc>
          <w:tcPr>
            <w:tcW w:w="2608" w:type="dxa"/>
          </w:tcPr>
          <w:p>
            <w:pPr>
              <w:pStyle w:val="0"/>
            </w:pPr>
            <w:r>
              <w:rPr>
                <w:sz w:val="24"/>
              </w:rPr>
            </w:r>
          </w:p>
        </w:tc>
        <w:tc>
          <w:tcPr>
            <w:tcW w:w="2608" w:type="dxa"/>
          </w:tcPr>
          <w:p>
            <w:pPr>
              <w:pStyle w:val="0"/>
            </w:pPr>
            <w:r>
              <w:rPr>
                <w:sz w:val="24"/>
              </w:rPr>
              <w:t xml:space="preserve">Прочие права требования по договорам страхования, сострахования и перестрахования, не учтенные в страховых резервах</w:t>
            </w:r>
          </w:p>
        </w:tc>
        <w:tc>
          <w:tcPr>
            <w:tcW w:w="2948" w:type="dxa"/>
          </w:tcPr>
          <w:p>
            <w:pPr>
              <w:pStyle w:val="0"/>
            </w:pPr>
            <w:r>
              <w:rPr>
                <w:sz w:val="24"/>
              </w:rPr>
              <w:t xml:space="preserve">mem-int:ProchPrTrebPoDogStrSostrIPerestrNeUchtVStraxRezMember</w:t>
            </w:r>
          </w:p>
        </w:tc>
      </w:tr>
      <w:tr>
        <w:tc>
          <w:tcPr>
            <w:tcW w:w="907" w:type="dxa"/>
          </w:tcPr>
          <w:bookmarkStart w:id="40741" w:name="P40741"/>
          <w:bookmarkEnd w:id="40741"/>
          <w:p>
            <w:pPr>
              <w:pStyle w:val="0"/>
            </w:pPr>
            <w:r>
              <w:rPr>
                <w:sz w:val="24"/>
              </w:rPr>
              <w:t xml:space="preserve">1.26</w:t>
            </w:r>
          </w:p>
        </w:tc>
        <w:tc>
          <w:tcPr>
            <w:tcW w:w="2608" w:type="dxa"/>
          </w:tcPr>
          <w:p>
            <w:pPr>
              <w:pStyle w:val="0"/>
            </w:pPr>
            <w:r>
              <w:rPr>
                <w:sz w:val="24"/>
              </w:rPr>
            </w:r>
          </w:p>
        </w:tc>
        <w:tc>
          <w:tcPr>
            <w:tcW w:w="2608" w:type="dxa"/>
          </w:tcPr>
          <w:p>
            <w:pPr>
              <w:pStyle w:val="0"/>
            </w:pPr>
            <w:r>
              <w:rPr>
                <w:sz w:val="24"/>
              </w:rPr>
              <w:t xml:space="preserve">Прочие права требования</w:t>
            </w:r>
          </w:p>
        </w:tc>
        <w:tc>
          <w:tcPr>
            <w:tcW w:w="2948" w:type="dxa"/>
          </w:tcPr>
          <w:p>
            <w:pPr>
              <w:pStyle w:val="0"/>
            </w:pPr>
            <w:r>
              <w:rPr>
                <w:sz w:val="24"/>
              </w:rPr>
              <w:t xml:space="preserve">mem-int:PravTrebProchMember</w:t>
            </w:r>
          </w:p>
        </w:tc>
      </w:tr>
      <w:tr>
        <w:tc>
          <w:tcPr>
            <w:tcW w:w="907" w:type="dxa"/>
          </w:tcPr>
          <w:p>
            <w:pPr>
              <w:pStyle w:val="0"/>
            </w:pPr>
            <w:r>
              <w:rPr>
                <w:sz w:val="24"/>
              </w:rPr>
              <w:t xml:space="preserve">1.27</w:t>
            </w:r>
          </w:p>
        </w:tc>
        <w:tc>
          <w:tcPr>
            <w:tcW w:w="2608" w:type="dxa"/>
          </w:tcPr>
          <w:p>
            <w:pPr>
              <w:pStyle w:val="0"/>
            </w:pPr>
            <w:r>
              <w:rPr>
                <w:sz w:val="24"/>
              </w:rPr>
            </w:r>
          </w:p>
        </w:tc>
        <w:tc>
          <w:tcPr>
            <w:tcW w:w="2608" w:type="dxa"/>
          </w:tcPr>
          <w:p>
            <w:pPr>
              <w:pStyle w:val="0"/>
            </w:pPr>
            <w:r>
              <w:rPr>
                <w:sz w:val="24"/>
              </w:rPr>
              <w:t xml:space="preserve">Доля перестраховщиков в страховых резервах по страхованию жизни</w:t>
            </w:r>
          </w:p>
        </w:tc>
        <w:tc>
          <w:tcPr>
            <w:tcW w:w="2948" w:type="dxa"/>
          </w:tcPr>
          <w:p>
            <w:pPr>
              <w:pStyle w:val="0"/>
            </w:pPr>
            <w:r>
              <w:rPr>
                <w:sz w:val="24"/>
              </w:rPr>
              <w:t xml:space="preserve">mem-int:DoIPskStrRezZhiznMember</w:t>
            </w:r>
          </w:p>
        </w:tc>
      </w:tr>
      <w:tr>
        <w:tc>
          <w:tcPr>
            <w:tcW w:w="907" w:type="dxa"/>
          </w:tcPr>
          <w:p>
            <w:pPr>
              <w:pStyle w:val="0"/>
            </w:pPr>
            <w:r>
              <w:rPr>
                <w:sz w:val="24"/>
              </w:rPr>
              <w:t xml:space="preserve">1.28</w:t>
            </w:r>
          </w:p>
        </w:tc>
        <w:tc>
          <w:tcPr>
            <w:tcW w:w="2608" w:type="dxa"/>
          </w:tcPr>
          <w:p>
            <w:pPr>
              <w:pStyle w:val="0"/>
            </w:pPr>
            <w:r>
              <w:rPr>
                <w:sz w:val="24"/>
              </w:rPr>
            </w:r>
          </w:p>
        </w:tc>
        <w:tc>
          <w:tcPr>
            <w:tcW w:w="2608" w:type="dxa"/>
          </w:tcPr>
          <w:p>
            <w:pPr>
              <w:pStyle w:val="0"/>
            </w:pPr>
            <w:r>
              <w:rPr>
                <w:sz w:val="24"/>
              </w:rPr>
              <w:t xml:space="preserve">Доля перестраховщиков в страховых резервах по страхованию иному, чем страхование жизни</w:t>
            </w:r>
          </w:p>
        </w:tc>
        <w:tc>
          <w:tcPr>
            <w:tcW w:w="2948" w:type="dxa"/>
          </w:tcPr>
          <w:p>
            <w:pPr>
              <w:pStyle w:val="0"/>
            </w:pPr>
            <w:r>
              <w:rPr>
                <w:sz w:val="24"/>
              </w:rPr>
              <w:t xml:space="preserve">mem-int:DolPskStrRezInChZhiznMember</w:t>
            </w:r>
          </w:p>
        </w:tc>
      </w:tr>
      <w:tr>
        <w:tc>
          <w:tcPr>
            <w:tcW w:w="907" w:type="dxa"/>
          </w:tcPr>
          <w:bookmarkStart w:id="40753" w:name="P40753"/>
          <w:bookmarkEnd w:id="40753"/>
          <w:p>
            <w:pPr>
              <w:pStyle w:val="0"/>
            </w:pPr>
            <w:r>
              <w:rPr>
                <w:sz w:val="24"/>
              </w:rPr>
              <w:t xml:space="preserve">1.29</w:t>
            </w:r>
          </w:p>
        </w:tc>
        <w:tc>
          <w:tcPr>
            <w:tcW w:w="2608" w:type="dxa"/>
          </w:tcPr>
          <w:p>
            <w:pPr>
              <w:pStyle w:val="0"/>
            </w:pPr>
            <w:r>
              <w:rPr>
                <w:sz w:val="24"/>
              </w:rPr>
            </w:r>
          </w:p>
        </w:tc>
        <w:tc>
          <w:tcPr>
            <w:tcW w:w="2608" w:type="dxa"/>
          </w:tcPr>
          <w:p>
            <w:pPr>
              <w:pStyle w:val="0"/>
            </w:pPr>
            <w:r>
              <w:rPr>
                <w:sz w:val="24"/>
              </w:rPr>
              <w:t xml:space="preserve">Средства обязательного медицинского страхования</w:t>
            </w:r>
          </w:p>
        </w:tc>
        <w:tc>
          <w:tcPr>
            <w:tcW w:w="2948" w:type="dxa"/>
          </w:tcPr>
          <w:p>
            <w:pPr>
              <w:pStyle w:val="0"/>
            </w:pPr>
            <w:r>
              <w:rPr>
                <w:sz w:val="24"/>
              </w:rPr>
              <w:t xml:space="preserve">mem-int:Sredstva_OMS_Member</w:t>
            </w:r>
          </w:p>
        </w:tc>
      </w:tr>
      <w:tr>
        <w:tc>
          <w:tcPr>
            <w:tcW w:w="907" w:type="dxa"/>
          </w:tcPr>
          <w:p>
            <w:pPr>
              <w:pStyle w:val="0"/>
            </w:pPr>
            <w:r>
              <w:rPr>
                <w:sz w:val="24"/>
              </w:rPr>
              <w:t xml:space="preserve">1.30</w:t>
            </w:r>
          </w:p>
        </w:tc>
        <w:tc>
          <w:tcPr>
            <w:tcW w:w="2608" w:type="dxa"/>
          </w:tcPr>
          <w:p>
            <w:pPr>
              <w:pStyle w:val="0"/>
            </w:pPr>
            <w:r>
              <w:rPr>
                <w:sz w:val="24"/>
              </w:rPr>
            </w:r>
          </w:p>
        </w:tc>
        <w:tc>
          <w:tcPr>
            <w:tcW w:w="2608" w:type="dxa"/>
          </w:tcPr>
          <w:p>
            <w:pPr>
              <w:pStyle w:val="0"/>
            </w:pPr>
            <w:r>
              <w:rPr>
                <w:sz w:val="24"/>
              </w:rPr>
              <w:t xml:space="preserve">Товары, подпадающие под исключение, предусмотренное требованиями к финансовой устойчивости и платежеспособности страховщиков</w:t>
            </w:r>
          </w:p>
        </w:tc>
        <w:tc>
          <w:tcPr>
            <w:tcW w:w="2948" w:type="dxa"/>
          </w:tcPr>
          <w:p>
            <w:pPr>
              <w:pStyle w:val="0"/>
            </w:pPr>
            <w:r>
              <w:rPr>
                <w:sz w:val="24"/>
              </w:rPr>
              <w:t xml:space="preserve">mem-int:TovDopOrgTorgPodIskl312Member</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Недвижимое имущество</w:t>
            </w:r>
          </w:p>
        </w:tc>
        <w:tc>
          <w:tcPr>
            <w:tcW w:w="2948" w:type="dxa"/>
          </w:tcPr>
          <w:p>
            <w:pPr>
              <w:pStyle w:val="0"/>
            </w:pPr>
            <w:r>
              <w:rPr>
                <w:sz w:val="24"/>
              </w:rPr>
              <w:t xml:space="preserve">mem-int:NedvizhimostMember</w:t>
            </w:r>
          </w:p>
        </w:tc>
      </w:tr>
      <w:tr>
        <w:tc>
          <w:tcPr>
            <w:tcW w:w="907" w:type="dxa"/>
          </w:tcPr>
          <w:p>
            <w:pPr>
              <w:pStyle w:val="0"/>
            </w:pPr>
            <w:r>
              <w:rPr>
                <w:sz w:val="24"/>
              </w:rPr>
              <w:t xml:space="preserve">1.32</w:t>
            </w:r>
          </w:p>
        </w:tc>
        <w:tc>
          <w:tcPr>
            <w:tcW w:w="2608" w:type="dxa"/>
          </w:tcPr>
          <w:p>
            <w:pPr>
              <w:pStyle w:val="0"/>
            </w:pPr>
            <w:r>
              <w:rPr>
                <w:sz w:val="24"/>
              </w:rPr>
            </w:r>
          </w:p>
        </w:tc>
        <w:tc>
          <w:tcPr>
            <w:tcW w:w="2608" w:type="dxa"/>
          </w:tcPr>
          <w:p>
            <w:pPr>
              <w:pStyle w:val="0"/>
            </w:pPr>
            <w:r>
              <w:rPr>
                <w:sz w:val="24"/>
              </w:rPr>
              <w:t xml:space="preserve">Отложенные налоговые активы</w:t>
            </w:r>
          </w:p>
        </w:tc>
        <w:tc>
          <w:tcPr>
            <w:tcW w:w="2948" w:type="dxa"/>
          </w:tcPr>
          <w:p>
            <w:pPr>
              <w:pStyle w:val="0"/>
            </w:pPr>
            <w:r>
              <w:rPr>
                <w:sz w:val="24"/>
              </w:rPr>
              <w:t xml:space="preserve">mem-int:OtlNalAktMember</w:t>
            </w:r>
          </w:p>
        </w:tc>
      </w:tr>
      <w:tr>
        <w:tc>
          <w:tcPr>
            <w:tcW w:w="907" w:type="dxa"/>
          </w:tcPr>
          <w:p>
            <w:pPr>
              <w:pStyle w:val="0"/>
            </w:pPr>
            <w:r>
              <w:rPr>
                <w:sz w:val="24"/>
              </w:rPr>
              <w:t xml:space="preserve">1.33</w:t>
            </w:r>
          </w:p>
        </w:tc>
        <w:tc>
          <w:tcPr>
            <w:tcW w:w="2608" w:type="dxa"/>
          </w:tcPr>
          <w:p>
            <w:pPr>
              <w:pStyle w:val="0"/>
            </w:pPr>
            <w:r>
              <w:rPr>
                <w:sz w:val="24"/>
              </w:rPr>
            </w:r>
          </w:p>
        </w:tc>
        <w:tc>
          <w:tcPr>
            <w:tcW w:w="2608" w:type="dxa"/>
          </w:tcPr>
          <w:p>
            <w:pPr>
              <w:pStyle w:val="0"/>
            </w:pPr>
            <w:r>
              <w:rPr>
                <w:sz w:val="24"/>
              </w:rPr>
              <w:t xml:space="preserve">Основные средства, кроме недвижимого имущества</w:t>
            </w:r>
          </w:p>
        </w:tc>
        <w:tc>
          <w:tcPr>
            <w:tcW w:w="2948" w:type="dxa"/>
          </w:tcPr>
          <w:p>
            <w:pPr>
              <w:pStyle w:val="0"/>
            </w:pPr>
            <w:r>
              <w:rPr>
                <w:sz w:val="24"/>
              </w:rPr>
              <w:t xml:space="preserve">mem-int:Vidyosnsredstv_Itogo_Member</w:t>
            </w:r>
          </w:p>
        </w:tc>
      </w:tr>
      <w:tr>
        <w:tc>
          <w:tcPr>
            <w:tcW w:w="907" w:type="dxa"/>
          </w:tcPr>
          <w:p>
            <w:pPr>
              <w:pStyle w:val="0"/>
            </w:pPr>
            <w:r>
              <w:rPr>
                <w:sz w:val="24"/>
              </w:rPr>
              <w:t xml:space="preserve">1.34</w:t>
            </w:r>
          </w:p>
        </w:tc>
        <w:tc>
          <w:tcPr>
            <w:tcW w:w="2608" w:type="dxa"/>
          </w:tcPr>
          <w:p>
            <w:pPr>
              <w:pStyle w:val="0"/>
            </w:pPr>
            <w:r>
              <w:rPr>
                <w:sz w:val="24"/>
              </w:rPr>
            </w:r>
          </w:p>
        </w:tc>
        <w:tc>
          <w:tcPr>
            <w:tcW w:w="2608" w:type="dxa"/>
          </w:tcPr>
          <w:p>
            <w:pPr>
              <w:pStyle w:val="0"/>
            </w:pPr>
            <w:r>
              <w:rPr>
                <w:sz w:val="24"/>
              </w:rPr>
              <w:t xml:space="preserve">Права пользования по договору аренды</w:t>
            </w:r>
          </w:p>
        </w:tc>
        <w:tc>
          <w:tcPr>
            <w:tcW w:w="2948" w:type="dxa"/>
          </w:tcPr>
          <w:p>
            <w:pPr>
              <w:pStyle w:val="0"/>
            </w:pPr>
            <w:r>
              <w:rPr>
                <w:sz w:val="24"/>
              </w:rPr>
              <w:t xml:space="preserve">mem-int:PravPolzDogArendMember</w:t>
            </w:r>
          </w:p>
        </w:tc>
      </w:tr>
      <w:tr>
        <w:tc>
          <w:tcPr>
            <w:tcW w:w="907" w:type="dxa"/>
          </w:tcPr>
          <w:bookmarkStart w:id="40777" w:name="P40777"/>
          <w:bookmarkEnd w:id="40777"/>
          <w:p>
            <w:pPr>
              <w:pStyle w:val="0"/>
            </w:pPr>
            <w:r>
              <w:rPr>
                <w:sz w:val="24"/>
              </w:rPr>
              <w:t xml:space="preserve">1.35</w:t>
            </w:r>
          </w:p>
        </w:tc>
        <w:tc>
          <w:tcPr>
            <w:tcW w:w="2608" w:type="dxa"/>
          </w:tcPr>
          <w:p>
            <w:pPr>
              <w:pStyle w:val="0"/>
            </w:pPr>
            <w:r>
              <w:rPr>
                <w:sz w:val="24"/>
              </w:rPr>
            </w:r>
          </w:p>
        </w:tc>
        <w:tc>
          <w:tcPr>
            <w:tcW w:w="2608" w:type="dxa"/>
          </w:tcPr>
          <w:p>
            <w:pPr>
              <w:pStyle w:val="0"/>
            </w:pPr>
            <w:r>
              <w:rPr>
                <w:sz w:val="24"/>
              </w:rPr>
              <w:t xml:space="preserve">Нематериальные активы</w:t>
            </w:r>
          </w:p>
        </w:tc>
        <w:tc>
          <w:tcPr>
            <w:tcW w:w="2948" w:type="dxa"/>
          </w:tcPr>
          <w:p>
            <w:pPr>
              <w:pStyle w:val="0"/>
            </w:pPr>
            <w:r>
              <w:rPr>
                <w:sz w:val="24"/>
              </w:rPr>
              <w:t xml:space="preserve">mem-int:NematerialnyeAktivyMember</w:t>
            </w:r>
          </w:p>
        </w:tc>
      </w:tr>
      <w:tr>
        <w:tc>
          <w:tcPr>
            <w:tcW w:w="907" w:type="dxa"/>
          </w:tcPr>
          <w:bookmarkStart w:id="40781" w:name="P40781"/>
          <w:bookmarkEnd w:id="40781"/>
          <w:p>
            <w:pPr>
              <w:pStyle w:val="0"/>
            </w:pPr>
            <w:r>
              <w:rPr>
                <w:sz w:val="24"/>
              </w:rPr>
              <w:t xml:space="preserve">1.36</w:t>
            </w:r>
          </w:p>
        </w:tc>
        <w:tc>
          <w:tcPr>
            <w:tcW w:w="2608" w:type="dxa"/>
          </w:tcPr>
          <w:p>
            <w:pPr>
              <w:pStyle w:val="0"/>
            </w:pPr>
            <w:r>
              <w:rPr>
                <w:sz w:val="24"/>
              </w:rPr>
            </w:r>
          </w:p>
        </w:tc>
        <w:tc>
          <w:tcPr>
            <w:tcW w:w="2608" w:type="dxa"/>
          </w:tcPr>
          <w:p>
            <w:pPr>
              <w:pStyle w:val="0"/>
            </w:pPr>
            <w:r>
              <w:rPr>
                <w:sz w:val="24"/>
              </w:rPr>
              <w:t xml:space="preserve">Прочие активы</w:t>
            </w:r>
          </w:p>
        </w:tc>
        <w:tc>
          <w:tcPr>
            <w:tcW w:w="2948" w:type="dxa"/>
          </w:tcPr>
          <w:p>
            <w:pPr>
              <w:pStyle w:val="0"/>
            </w:pPr>
            <w:r>
              <w:rPr>
                <w:sz w:val="24"/>
              </w:rPr>
              <w:t xml:space="preserve">mem-int:ProchieAktivyMember</w:t>
            </w:r>
          </w:p>
        </w:tc>
      </w:tr>
      <w:tr>
        <w:tc>
          <w:tcPr>
            <w:tcW w:w="907" w:type="dxa"/>
          </w:tcPr>
          <w:bookmarkStart w:id="40785" w:name="P40785"/>
          <w:bookmarkEnd w:id="40785"/>
          <w:p>
            <w:pPr>
              <w:pStyle w:val="0"/>
            </w:pPr>
            <w:r>
              <w:rPr>
                <w:sz w:val="24"/>
              </w:rPr>
              <w:t xml:space="preserve">1.37</w:t>
            </w:r>
          </w:p>
        </w:tc>
        <w:tc>
          <w:tcPr>
            <w:tcW w:w="2608" w:type="dxa"/>
          </w:tcPr>
          <w:p>
            <w:pPr>
              <w:pStyle w:val="0"/>
            </w:pPr>
            <w:r>
              <w:rPr>
                <w:sz w:val="24"/>
              </w:rPr>
            </w:r>
          </w:p>
        </w:tc>
        <w:tc>
          <w:tcPr>
            <w:tcW w:w="2608" w:type="dxa"/>
          </w:tcPr>
          <w:p>
            <w:pPr>
              <w:pStyle w:val="0"/>
            </w:pPr>
            <w:r>
              <w:rPr>
                <w:sz w:val="24"/>
              </w:rPr>
              <w:t xml:space="preserve">Итого активов</w:t>
            </w:r>
          </w:p>
        </w:tc>
        <w:tc>
          <w:tcPr>
            <w:tcW w:w="2948" w:type="dxa"/>
          </w:tcPr>
          <w:p>
            <w:pPr>
              <w:pStyle w:val="0"/>
            </w:pPr>
            <w:r>
              <w:rPr>
                <w:sz w:val="24"/>
              </w:rPr>
              <w:t xml:space="preserve">mem-int:AssetsMember</w:t>
            </w:r>
          </w:p>
        </w:tc>
      </w:tr>
      <w:tr>
        <w:tc>
          <w:tcPr>
            <w:tcW w:w="907" w:type="dxa"/>
          </w:tcPr>
          <w:p>
            <w:pPr>
              <w:pStyle w:val="0"/>
            </w:pPr>
            <w:r>
              <w:rPr>
                <w:sz w:val="24"/>
              </w:rPr>
              <w:t xml:space="preserve">1.37.1</w:t>
            </w:r>
          </w:p>
        </w:tc>
        <w:tc>
          <w:tcPr>
            <w:tcW w:w="2608" w:type="dxa"/>
          </w:tcPr>
          <w:p>
            <w:pPr>
              <w:pStyle w:val="0"/>
            </w:pPr>
            <w:r>
              <w:rPr>
                <w:sz w:val="24"/>
              </w:rPr>
            </w:r>
          </w:p>
        </w:tc>
        <w:tc>
          <w:tcPr>
            <w:tcW w:w="2608" w:type="dxa"/>
          </w:tcPr>
          <w:p>
            <w:pPr>
              <w:pStyle w:val="0"/>
            </w:pPr>
            <w:r>
              <w:rPr>
                <w:sz w:val="24"/>
              </w:rPr>
              <w:t xml:space="preserve">Активы, находящиеся в доверительном управлении</w:t>
            </w:r>
          </w:p>
        </w:tc>
        <w:tc>
          <w:tcPr>
            <w:tcW w:w="2948" w:type="dxa"/>
          </w:tcPr>
          <w:p>
            <w:pPr>
              <w:pStyle w:val="0"/>
            </w:pPr>
            <w:r>
              <w:rPr>
                <w:sz w:val="24"/>
              </w:rPr>
              <w:t xml:space="preserve">mem-int:AktDovUprMember</w:t>
            </w:r>
          </w:p>
        </w:tc>
      </w:tr>
      <w:tr>
        <w:tc>
          <w:tcPr>
            <w:tcW w:w="907" w:type="dxa"/>
          </w:tcPr>
          <w:bookmarkStart w:id="40793" w:name="P40793"/>
          <w:bookmarkEnd w:id="40793"/>
          <w:p>
            <w:pPr>
              <w:pStyle w:val="0"/>
            </w:pPr>
            <w:r>
              <w:rPr>
                <w:sz w:val="24"/>
              </w:rPr>
              <w:t xml:space="preserve">2</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bookmarkStart w:id="40797" w:name="P40797"/>
          <w:bookmarkEnd w:id="40797"/>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Страховые резервы по страхованию жизни</w:t>
            </w:r>
          </w:p>
        </w:tc>
        <w:tc>
          <w:tcPr>
            <w:tcW w:w="2948" w:type="dxa"/>
          </w:tcPr>
          <w:p>
            <w:pPr>
              <w:pStyle w:val="0"/>
            </w:pPr>
            <w:r>
              <w:rPr>
                <w:sz w:val="24"/>
              </w:rPr>
              <w:t xml:space="preserve">mem-int:StraxRezStrZhiznMember</w:t>
            </w:r>
          </w:p>
        </w:tc>
      </w:tr>
      <w:tr>
        <w:tc>
          <w:tcPr>
            <w:tcW w:w="907" w:type="dxa"/>
          </w:tcPr>
          <w:bookmarkStart w:id="40801" w:name="P40801"/>
          <w:bookmarkEnd w:id="40801"/>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Резерв премий по страхованию жизни</w:t>
            </w:r>
          </w:p>
        </w:tc>
        <w:tc>
          <w:tcPr>
            <w:tcW w:w="2948" w:type="dxa"/>
          </w:tcPr>
          <w:p>
            <w:pPr>
              <w:pStyle w:val="0"/>
            </w:pPr>
            <w:r>
              <w:rPr>
                <w:sz w:val="24"/>
              </w:rPr>
              <w:t xml:space="preserve">mem-int:RezervPremijZhMember</w:t>
            </w:r>
          </w:p>
        </w:tc>
      </w:tr>
      <w:tr>
        <w:tc>
          <w:tcPr>
            <w:tcW w:w="907" w:type="dxa"/>
          </w:tcPr>
          <w:bookmarkStart w:id="40805" w:name="P40805"/>
          <w:bookmarkEnd w:id="40805"/>
          <w:p>
            <w:pPr>
              <w:pStyle w:val="0"/>
            </w:pPr>
            <w:r>
              <w:rPr>
                <w:sz w:val="24"/>
              </w:rPr>
              <w:t xml:space="preserve">2.1.1.1.</w:t>
            </w:r>
          </w:p>
        </w:tc>
        <w:tc>
          <w:tcPr>
            <w:tcW w:w="2608" w:type="dxa"/>
          </w:tcPr>
          <w:p>
            <w:pPr>
              <w:pStyle w:val="0"/>
            </w:pPr>
            <w:r>
              <w:rPr>
                <w:sz w:val="24"/>
              </w:rPr>
            </w:r>
          </w:p>
        </w:tc>
        <w:tc>
          <w:tcPr>
            <w:tcW w:w="2608" w:type="dxa"/>
          </w:tcPr>
          <w:p>
            <w:pPr>
              <w:pStyle w:val="0"/>
            </w:pPr>
            <w:r>
              <w:rPr>
                <w:sz w:val="24"/>
              </w:rPr>
              <w:t xml:space="preserve">Оценка ожидаемой величины обязательств по резерву премий (ДПП) по страхованию жизни</w:t>
            </w:r>
          </w:p>
        </w:tc>
        <w:tc>
          <w:tcPr>
            <w:tcW w:w="2948" w:type="dxa"/>
          </w:tcPr>
          <w:p>
            <w:pPr>
              <w:pStyle w:val="0"/>
            </w:pPr>
            <w:r>
              <w:rPr>
                <w:sz w:val="24"/>
              </w:rPr>
              <w:t xml:space="preserve">mem-int:OczOzhidVelObyazPoRezPremijDPPZhMember</w:t>
            </w:r>
          </w:p>
        </w:tc>
      </w:tr>
      <w:tr>
        <w:tc>
          <w:tcPr>
            <w:tcW w:w="907" w:type="dxa"/>
          </w:tcPr>
          <w:p>
            <w:pPr>
              <w:pStyle w:val="0"/>
            </w:pPr>
            <w:r>
              <w:rPr>
                <w:sz w:val="24"/>
              </w:rPr>
              <w:t xml:space="preserve">2.1.1.1.1</w:t>
            </w:r>
          </w:p>
        </w:tc>
        <w:tc>
          <w:tcPr>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учтенные в страховых резервах по страхованию жизни</w:t>
            </w:r>
          </w:p>
        </w:tc>
        <w:tc>
          <w:tcPr>
            <w:tcW w:w="2948" w:type="dxa"/>
          </w:tcPr>
          <w:p>
            <w:pPr>
              <w:pStyle w:val="0"/>
            </w:pPr>
            <w:r>
              <w:rPr>
                <w:sz w:val="24"/>
              </w:rPr>
              <w:t xml:space="preserve">mem-int:PrTrebUplatStraxPremiiVznUchtVStraxRezZhMember</w:t>
            </w:r>
          </w:p>
        </w:tc>
      </w:tr>
      <w:tr>
        <w:tc>
          <w:tcPr>
            <w:tcW w:w="907" w:type="dxa"/>
          </w:tcPr>
          <w:p>
            <w:pPr>
              <w:pStyle w:val="0"/>
            </w:pPr>
            <w:r>
              <w:rPr>
                <w:sz w:val="24"/>
              </w:rPr>
              <w:t xml:space="preserve">2.1.1.2</w:t>
            </w:r>
          </w:p>
        </w:tc>
        <w:tc>
          <w:tcPr>
            <w:tcW w:w="2608" w:type="dxa"/>
          </w:tcPr>
          <w:p>
            <w:pPr>
              <w:pStyle w:val="0"/>
            </w:pPr>
            <w:r>
              <w:rPr>
                <w:sz w:val="24"/>
              </w:rPr>
            </w:r>
          </w:p>
        </w:tc>
        <w:tc>
          <w:tcPr>
            <w:tcW w:w="2608" w:type="dxa"/>
          </w:tcPr>
          <w:p>
            <w:pPr>
              <w:pStyle w:val="0"/>
            </w:pPr>
            <w:r>
              <w:rPr>
                <w:sz w:val="24"/>
              </w:rPr>
              <w:t xml:space="preserve">Оценка рисковой маржи в резерве премий (РМП) по страхованию жизни</w:t>
            </w:r>
          </w:p>
        </w:tc>
        <w:tc>
          <w:tcPr>
            <w:tcW w:w="2948" w:type="dxa"/>
          </w:tcPr>
          <w:p>
            <w:pPr>
              <w:pStyle w:val="0"/>
            </w:pPr>
            <w:r>
              <w:rPr>
                <w:sz w:val="24"/>
              </w:rPr>
              <w:t xml:space="preserve">mem-int:OczRiskovojMarzhiRMPZhMember</w:t>
            </w:r>
          </w:p>
        </w:tc>
      </w:tr>
      <w:tr>
        <w:tc>
          <w:tcPr>
            <w:tcW w:w="907" w:type="dxa"/>
          </w:tcPr>
          <w:bookmarkStart w:id="40817" w:name="P40817"/>
          <w:bookmarkEnd w:id="40817"/>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Резерв убытков по страхованию жизни</w:t>
            </w:r>
          </w:p>
        </w:tc>
        <w:tc>
          <w:tcPr>
            <w:tcW w:w="2948" w:type="dxa"/>
          </w:tcPr>
          <w:p>
            <w:pPr>
              <w:pStyle w:val="0"/>
            </w:pPr>
            <w:r>
              <w:rPr>
                <w:sz w:val="24"/>
              </w:rPr>
              <w:t xml:space="preserve">mem-int:RezervUbytkovZhMember</w:t>
            </w:r>
          </w:p>
        </w:tc>
      </w:tr>
      <w:tr>
        <w:tc>
          <w:tcPr>
            <w:tcW w:w="907" w:type="dxa"/>
          </w:tcPr>
          <w:p>
            <w:pPr>
              <w:pStyle w:val="0"/>
            </w:pPr>
            <w:r>
              <w:rPr>
                <w:sz w:val="24"/>
              </w:rPr>
              <w:t xml:space="preserve">2.1.2.1</w:t>
            </w:r>
          </w:p>
        </w:tc>
        <w:tc>
          <w:tcPr>
            <w:tcW w:w="2608" w:type="dxa"/>
          </w:tcPr>
          <w:p>
            <w:pPr>
              <w:pStyle w:val="0"/>
            </w:pPr>
            <w:r>
              <w:rPr>
                <w:sz w:val="24"/>
              </w:rPr>
            </w:r>
          </w:p>
        </w:tc>
        <w:tc>
          <w:tcPr>
            <w:tcW w:w="2608" w:type="dxa"/>
          </w:tcPr>
          <w:p>
            <w:pPr>
              <w:pStyle w:val="0"/>
            </w:pPr>
            <w:r>
              <w:rPr>
                <w:sz w:val="24"/>
              </w:rPr>
              <w:t xml:space="preserve">Оценка ожидаемой величины убытков (ДПУ) по страхованию жизни</w:t>
            </w:r>
          </w:p>
        </w:tc>
        <w:tc>
          <w:tcPr>
            <w:tcW w:w="2948" w:type="dxa"/>
          </w:tcPr>
          <w:p>
            <w:pPr>
              <w:pStyle w:val="0"/>
            </w:pPr>
            <w:r>
              <w:rPr>
                <w:sz w:val="24"/>
              </w:rPr>
              <w:t xml:space="preserve">mem-int:OczOzhidVelUbytkovDPUZhMember</w:t>
            </w:r>
          </w:p>
        </w:tc>
      </w:tr>
      <w:tr>
        <w:tc>
          <w:tcPr>
            <w:tcW w:w="907" w:type="dxa"/>
          </w:tcPr>
          <w:p>
            <w:pPr>
              <w:pStyle w:val="0"/>
            </w:pPr>
            <w:r>
              <w:rPr>
                <w:sz w:val="24"/>
              </w:rPr>
              <w:t xml:space="preserve">2.1.2.2</w:t>
            </w:r>
          </w:p>
        </w:tc>
        <w:tc>
          <w:tcPr>
            <w:tcW w:w="2608" w:type="dxa"/>
          </w:tcPr>
          <w:p>
            <w:pPr>
              <w:pStyle w:val="0"/>
            </w:pPr>
            <w:r>
              <w:rPr>
                <w:sz w:val="24"/>
              </w:rPr>
            </w:r>
          </w:p>
        </w:tc>
        <w:tc>
          <w:tcPr>
            <w:tcW w:w="2608" w:type="dxa"/>
          </w:tcPr>
          <w:p>
            <w:pPr>
              <w:pStyle w:val="0"/>
            </w:pPr>
            <w:r>
              <w:rPr>
                <w:sz w:val="24"/>
              </w:rPr>
              <w:t xml:space="preserve">Оценка рисковой маржи в резерве убытков (РМУ) по страхованию жизни</w:t>
            </w:r>
          </w:p>
        </w:tc>
        <w:tc>
          <w:tcPr>
            <w:tcW w:w="2948" w:type="dxa"/>
          </w:tcPr>
          <w:p>
            <w:pPr>
              <w:pStyle w:val="0"/>
            </w:pPr>
            <w:r>
              <w:rPr>
                <w:sz w:val="24"/>
              </w:rPr>
              <w:t xml:space="preserve">mem-int:OczRiskMarzhiVRezUbytkovRMUZhMember</w:t>
            </w:r>
          </w:p>
        </w:tc>
      </w:tr>
      <w:tr>
        <w:tc>
          <w:tcPr>
            <w:tcW w:w="907" w:type="dxa"/>
          </w:tcPr>
          <w:bookmarkStart w:id="40829" w:name="P40829"/>
          <w:bookmarkEnd w:id="40829"/>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Резерв инвестиционных обязательств</w:t>
            </w:r>
          </w:p>
        </w:tc>
        <w:tc>
          <w:tcPr>
            <w:tcW w:w="2948" w:type="dxa"/>
          </w:tcPr>
          <w:p>
            <w:pPr>
              <w:pStyle w:val="0"/>
            </w:pPr>
            <w:r>
              <w:rPr>
                <w:sz w:val="24"/>
              </w:rPr>
              <w:t xml:space="preserve">mem-int:RezervInvestObyazMember</w:t>
            </w:r>
          </w:p>
        </w:tc>
      </w:tr>
      <w:tr>
        <w:tc>
          <w:tcPr>
            <w:tcW w:w="907" w:type="dxa"/>
          </w:tcPr>
          <w:bookmarkStart w:id="40833" w:name="P40833"/>
          <w:bookmarkEnd w:id="40833"/>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Страховые резервы по страхованию иному, чем страхование жизни</w:t>
            </w:r>
          </w:p>
        </w:tc>
        <w:tc>
          <w:tcPr>
            <w:tcW w:w="2948" w:type="dxa"/>
          </w:tcPr>
          <w:p>
            <w:pPr>
              <w:pStyle w:val="0"/>
            </w:pPr>
            <w:r>
              <w:rPr>
                <w:sz w:val="24"/>
              </w:rPr>
              <w:t xml:space="preserve">mem-int:StraxRezStrInoeChemZhiznMember</w:t>
            </w:r>
          </w:p>
        </w:tc>
      </w:tr>
      <w:tr>
        <w:tc>
          <w:tcPr>
            <w:tcW w:w="907" w:type="dxa"/>
          </w:tcPr>
          <w:bookmarkStart w:id="40837" w:name="P40837"/>
          <w:bookmarkEnd w:id="40837"/>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Резерв премий по страхованию иному, чем страхование жизни</w:t>
            </w:r>
          </w:p>
        </w:tc>
        <w:tc>
          <w:tcPr>
            <w:tcW w:w="2948" w:type="dxa"/>
          </w:tcPr>
          <w:p>
            <w:pPr>
              <w:pStyle w:val="0"/>
            </w:pPr>
            <w:r>
              <w:rPr>
                <w:sz w:val="24"/>
              </w:rPr>
              <w:t xml:space="preserve">mem-int:RezervPremijNZhMember</w:t>
            </w:r>
          </w:p>
        </w:tc>
      </w:tr>
      <w:tr>
        <w:tc>
          <w:tcPr>
            <w:tcW w:w="907" w:type="dxa"/>
          </w:tcPr>
          <w:p>
            <w:pPr>
              <w:pStyle w:val="0"/>
            </w:pPr>
            <w:r>
              <w:rPr>
                <w:sz w:val="24"/>
              </w:rPr>
              <w:t xml:space="preserve">2.2.1.1</w:t>
            </w:r>
          </w:p>
        </w:tc>
        <w:tc>
          <w:tcPr>
            <w:tcW w:w="2608" w:type="dxa"/>
          </w:tcPr>
          <w:p>
            <w:pPr>
              <w:pStyle w:val="0"/>
            </w:pPr>
            <w:r>
              <w:rPr>
                <w:sz w:val="24"/>
              </w:rPr>
            </w:r>
          </w:p>
        </w:tc>
        <w:tc>
          <w:tcPr>
            <w:tcW w:w="2608" w:type="dxa"/>
          </w:tcPr>
          <w:p>
            <w:pPr>
              <w:pStyle w:val="0"/>
            </w:pPr>
            <w:r>
              <w:rPr>
                <w:sz w:val="24"/>
              </w:rPr>
              <w:t xml:space="preserve">Оценка ожидаемой величины обязательств по резерву премий (ДПП) по страхованию иному, чем страхование жизни</w:t>
            </w:r>
          </w:p>
        </w:tc>
        <w:tc>
          <w:tcPr>
            <w:tcW w:w="2948" w:type="dxa"/>
          </w:tcPr>
          <w:p>
            <w:pPr>
              <w:pStyle w:val="0"/>
            </w:pPr>
            <w:r>
              <w:rPr>
                <w:sz w:val="24"/>
              </w:rPr>
              <w:t xml:space="preserve">mem-int:OczONZhidVeIObyazPoRezPremijDPPNZhMember</w:t>
            </w:r>
          </w:p>
        </w:tc>
      </w:tr>
      <w:tr>
        <w:tc>
          <w:tcPr>
            <w:tcW w:w="907" w:type="dxa"/>
          </w:tcPr>
          <w:p>
            <w:pPr>
              <w:pStyle w:val="0"/>
            </w:pPr>
            <w:r>
              <w:rPr>
                <w:sz w:val="24"/>
              </w:rPr>
              <w:t xml:space="preserve">2.2.1.1.1</w:t>
            </w:r>
          </w:p>
        </w:tc>
        <w:tc>
          <w:tcPr>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учтенные в страховых резервах по страхованию иному, чем страхование жизни</w:t>
            </w:r>
          </w:p>
        </w:tc>
        <w:tc>
          <w:tcPr>
            <w:tcW w:w="2948" w:type="dxa"/>
          </w:tcPr>
          <w:p>
            <w:pPr>
              <w:pStyle w:val="0"/>
            </w:pPr>
            <w:r>
              <w:rPr>
                <w:sz w:val="24"/>
              </w:rPr>
              <w:t xml:space="preserve">mem-int:PrTrebUplatStraxPremiiVznUchtVStraxRezNZhMember</w:t>
            </w:r>
          </w:p>
        </w:tc>
      </w:tr>
      <w:tr>
        <w:tc>
          <w:tcPr>
            <w:tcW w:w="907" w:type="dxa"/>
          </w:tcPr>
          <w:bookmarkStart w:id="40849" w:name="P40849"/>
          <w:bookmarkEnd w:id="40849"/>
          <w:p>
            <w:pPr>
              <w:pStyle w:val="0"/>
            </w:pPr>
            <w:r>
              <w:rPr>
                <w:sz w:val="24"/>
              </w:rPr>
              <w:t xml:space="preserve">2.2.1.2</w:t>
            </w:r>
          </w:p>
        </w:tc>
        <w:tc>
          <w:tcPr>
            <w:tcW w:w="2608" w:type="dxa"/>
          </w:tcPr>
          <w:p>
            <w:pPr>
              <w:pStyle w:val="0"/>
            </w:pPr>
            <w:r>
              <w:rPr>
                <w:sz w:val="24"/>
              </w:rPr>
            </w:r>
          </w:p>
        </w:tc>
        <w:tc>
          <w:tcPr>
            <w:tcW w:w="2608" w:type="dxa"/>
          </w:tcPr>
          <w:p>
            <w:pPr>
              <w:pStyle w:val="0"/>
            </w:pPr>
            <w:r>
              <w:rPr>
                <w:sz w:val="24"/>
              </w:rPr>
              <w:t xml:space="preserve">Оценка рисковой маржи в резерве премий (РМП) по страхованию иному, чем страхование жизни</w:t>
            </w:r>
          </w:p>
        </w:tc>
        <w:tc>
          <w:tcPr>
            <w:tcW w:w="2948" w:type="dxa"/>
          </w:tcPr>
          <w:p>
            <w:pPr>
              <w:pStyle w:val="0"/>
            </w:pPr>
            <w:r>
              <w:rPr>
                <w:sz w:val="24"/>
              </w:rPr>
              <w:t xml:space="preserve">mem-int:OczRiskovojMarNZhiRMPNZhMember</w:t>
            </w:r>
          </w:p>
        </w:tc>
      </w:tr>
      <w:tr>
        <w:tc>
          <w:tcPr>
            <w:tcW w:w="907" w:type="dxa"/>
          </w:tcPr>
          <w:bookmarkStart w:id="40853" w:name="P40853"/>
          <w:bookmarkEnd w:id="40853"/>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Резерв убытков по страхованию иному, чем страхование жизни</w:t>
            </w:r>
          </w:p>
        </w:tc>
        <w:tc>
          <w:tcPr>
            <w:tcW w:w="2948" w:type="dxa"/>
          </w:tcPr>
          <w:p>
            <w:pPr>
              <w:pStyle w:val="0"/>
            </w:pPr>
            <w:r>
              <w:rPr>
                <w:sz w:val="24"/>
              </w:rPr>
              <w:t xml:space="preserve">mem-int:RezervUbytkovNZhMember</w:t>
            </w:r>
          </w:p>
        </w:tc>
      </w:tr>
      <w:tr>
        <w:tc>
          <w:tcPr>
            <w:tcW w:w="907" w:type="dxa"/>
          </w:tcPr>
          <w:bookmarkStart w:id="40857" w:name="P40857"/>
          <w:bookmarkEnd w:id="40857"/>
          <w:p>
            <w:pPr>
              <w:pStyle w:val="0"/>
            </w:pPr>
            <w:r>
              <w:rPr>
                <w:sz w:val="24"/>
              </w:rPr>
              <w:t xml:space="preserve">2.2.2.1</w:t>
            </w:r>
          </w:p>
        </w:tc>
        <w:tc>
          <w:tcPr>
            <w:tcW w:w="2608" w:type="dxa"/>
          </w:tcPr>
          <w:p>
            <w:pPr>
              <w:pStyle w:val="0"/>
            </w:pPr>
            <w:r>
              <w:rPr>
                <w:sz w:val="24"/>
              </w:rPr>
            </w:r>
          </w:p>
        </w:tc>
        <w:tc>
          <w:tcPr>
            <w:tcW w:w="2608" w:type="dxa"/>
          </w:tcPr>
          <w:p>
            <w:pPr>
              <w:pStyle w:val="0"/>
            </w:pPr>
            <w:r>
              <w:rPr>
                <w:sz w:val="24"/>
              </w:rPr>
              <w:t xml:space="preserve">Оценка ожидаемой величины убытков (ДПУ) по страхованию иному, чем страхование жизни</w:t>
            </w:r>
          </w:p>
        </w:tc>
        <w:tc>
          <w:tcPr>
            <w:tcW w:w="2948" w:type="dxa"/>
          </w:tcPr>
          <w:p>
            <w:pPr>
              <w:pStyle w:val="0"/>
            </w:pPr>
            <w:r>
              <w:rPr>
                <w:sz w:val="24"/>
              </w:rPr>
              <w:t xml:space="preserve">mem-int:OczONZhidVelUbytkovDPUNZhMember</w:t>
            </w:r>
          </w:p>
        </w:tc>
      </w:tr>
      <w:tr>
        <w:tc>
          <w:tcPr>
            <w:tcW w:w="907" w:type="dxa"/>
          </w:tcPr>
          <w:bookmarkStart w:id="40861" w:name="P40861"/>
          <w:bookmarkEnd w:id="40861"/>
          <w:p>
            <w:pPr>
              <w:pStyle w:val="0"/>
            </w:pPr>
            <w:r>
              <w:rPr>
                <w:sz w:val="24"/>
              </w:rPr>
              <w:t xml:space="preserve">2.2.2.2</w:t>
            </w:r>
          </w:p>
        </w:tc>
        <w:tc>
          <w:tcPr>
            <w:tcW w:w="2608" w:type="dxa"/>
          </w:tcPr>
          <w:p>
            <w:pPr>
              <w:pStyle w:val="0"/>
            </w:pPr>
            <w:r>
              <w:rPr>
                <w:sz w:val="24"/>
              </w:rPr>
            </w:r>
          </w:p>
        </w:tc>
        <w:tc>
          <w:tcPr>
            <w:tcW w:w="2608" w:type="dxa"/>
          </w:tcPr>
          <w:p>
            <w:pPr>
              <w:pStyle w:val="0"/>
            </w:pPr>
            <w:r>
              <w:rPr>
                <w:sz w:val="24"/>
              </w:rPr>
              <w:t xml:space="preserve">Оценка рисковой маржи в резерве убытков (РМУ) по страхованию иному, чем страхование жизни</w:t>
            </w:r>
          </w:p>
        </w:tc>
        <w:tc>
          <w:tcPr>
            <w:tcW w:w="2948" w:type="dxa"/>
          </w:tcPr>
          <w:p>
            <w:pPr>
              <w:pStyle w:val="0"/>
            </w:pPr>
            <w:r>
              <w:rPr>
                <w:sz w:val="24"/>
              </w:rPr>
              <w:t xml:space="preserve">mem-int:OczRiskMarNZhiVRezUbytkovRMUNZhMember</w:t>
            </w:r>
          </w:p>
        </w:tc>
      </w:tr>
      <w:tr>
        <w:tc>
          <w:tcPr>
            <w:tcW w:w="907" w:type="dxa"/>
          </w:tcPr>
          <w:bookmarkStart w:id="40865" w:name="P40865"/>
          <w:bookmarkEnd w:id="40865"/>
          <w:p>
            <w:pPr>
              <w:pStyle w:val="0"/>
            </w:pPr>
            <w:r>
              <w:rPr>
                <w:sz w:val="24"/>
              </w:rPr>
              <w:t xml:space="preserve">2.2.3</w:t>
            </w:r>
          </w:p>
        </w:tc>
        <w:tc>
          <w:tcPr>
            <w:tcW w:w="2608" w:type="dxa"/>
          </w:tcPr>
          <w:p>
            <w:pPr>
              <w:pStyle w:val="0"/>
            </w:pPr>
            <w:r>
              <w:rPr>
                <w:sz w:val="24"/>
              </w:rPr>
            </w:r>
          </w:p>
        </w:tc>
        <w:tc>
          <w:tcPr>
            <w:tcW w:w="2608" w:type="dxa"/>
          </w:tcPr>
          <w:p>
            <w:pPr>
              <w:pStyle w:val="0"/>
            </w:pPr>
            <w:r>
              <w:rPr>
                <w:sz w:val="24"/>
              </w:rPr>
              <w:t xml:space="preserve">Резерв по прямому возмещению убытков (РПВУ)</w:t>
            </w:r>
          </w:p>
        </w:tc>
        <w:tc>
          <w:tcPr>
            <w:tcW w:w="2948" w:type="dxa"/>
          </w:tcPr>
          <w:p>
            <w:pPr>
              <w:pStyle w:val="0"/>
            </w:pPr>
            <w:r>
              <w:rPr>
                <w:sz w:val="24"/>
              </w:rPr>
              <w:t xml:space="preserve">mem-int:RezPoPryamVozmeshUbytkovRPVUMember</w:t>
            </w:r>
          </w:p>
        </w:tc>
      </w:tr>
      <w:tr>
        <w:tc>
          <w:tcPr>
            <w:tcW w:w="907" w:type="dxa"/>
          </w:tcPr>
          <w:p>
            <w:pPr>
              <w:pStyle w:val="0"/>
            </w:pPr>
            <w:r>
              <w:rPr>
                <w:sz w:val="24"/>
              </w:rPr>
              <w:t xml:space="preserve">2.2.4</w:t>
            </w:r>
          </w:p>
        </w:tc>
        <w:tc>
          <w:tcPr>
            <w:tcW w:w="2608" w:type="dxa"/>
          </w:tcPr>
          <w:p>
            <w:pPr>
              <w:pStyle w:val="0"/>
            </w:pPr>
            <w:r>
              <w:rPr>
                <w:sz w:val="24"/>
              </w:rPr>
            </w:r>
          </w:p>
        </w:tc>
        <w:tc>
          <w:tcPr>
            <w:tcW w:w="2608" w:type="dxa"/>
          </w:tcPr>
          <w:p>
            <w:pPr>
              <w:pStyle w:val="0"/>
            </w:pPr>
            <w:r>
              <w:rPr>
                <w:sz w:val="24"/>
              </w:rPr>
              <w:t xml:space="preserve">Стабилизационный резерв</w:t>
            </w:r>
          </w:p>
        </w:tc>
        <w:tc>
          <w:tcPr>
            <w:tcW w:w="2948" w:type="dxa"/>
          </w:tcPr>
          <w:p>
            <w:pPr>
              <w:pStyle w:val="0"/>
            </w:pPr>
            <w:r>
              <w:rPr>
                <w:sz w:val="24"/>
              </w:rPr>
              <w:t xml:space="preserve">mem-int:Stabiliz_Rez_Member</w:t>
            </w:r>
          </w:p>
        </w:tc>
      </w:tr>
      <w:tr>
        <w:tc>
          <w:tcPr>
            <w:tcW w:w="907" w:type="dxa"/>
          </w:tcPr>
          <w:bookmarkStart w:id="40873" w:name="P40873"/>
          <w:bookmarkEnd w:id="40873"/>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Обязательства, возникшие в результате заключения страховщиком срочных сделок</w:t>
            </w:r>
          </w:p>
        </w:tc>
        <w:tc>
          <w:tcPr>
            <w:tcW w:w="2948" w:type="dxa"/>
          </w:tcPr>
          <w:p>
            <w:pPr>
              <w:pStyle w:val="0"/>
            </w:pPr>
            <w:r>
              <w:rPr>
                <w:sz w:val="24"/>
              </w:rPr>
              <w:t xml:space="preserve">mem-int:SrochSdelObPol710PMember</w:t>
            </w:r>
          </w:p>
        </w:tc>
      </w:tr>
      <w:tr>
        <w:tc>
          <w:tcPr>
            <w:tcW w:w="907" w:type="dxa"/>
          </w:tcPr>
          <w:bookmarkStart w:id="40877" w:name="P40877"/>
          <w:bookmarkEnd w:id="40877"/>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Срочные сделки, отраженные в бухгалтерском балансе страховщика как активы</w:t>
            </w:r>
          </w:p>
        </w:tc>
        <w:tc>
          <w:tcPr>
            <w:tcW w:w="2948" w:type="dxa"/>
          </w:tcPr>
          <w:p>
            <w:pPr>
              <w:pStyle w:val="0"/>
            </w:pPr>
            <w:r>
              <w:rPr>
                <w:sz w:val="24"/>
              </w:rPr>
              <w:t xml:space="preserve">mem-int:SrochSdelPriznAktOsbuOb710PMember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Выпущенные долговые ценные бумаги</w:t>
            </w:r>
          </w:p>
        </w:tc>
        <w:tc>
          <w:tcPr>
            <w:tcW w:w="2948" w:type="dxa"/>
          </w:tcPr>
          <w:p>
            <w:pPr>
              <w:pStyle w:val="0"/>
            </w:pPr>
            <w:r>
              <w:rPr>
                <w:sz w:val="24"/>
              </w:rPr>
              <w:t xml:space="preserve">mem-int:Vypushh_Dolg_CZBMember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Займы и прочие привлеченные средства (кроме субординированных займов, выпущенных долговых ценных бумаг)</w:t>
            </w:r>
          </w:p>
        </w:tc>
        <w:tc>
          <w:tcPr>
            <w:tcW w:w="2948" w:type="dxa"/>
          </w:tcPr>
          <w:p>
            <w:pPr>
              <w:pStyle w:val="0"/>
            </w:pPr>
            <w:r>
              <w:rPr>
                <w:sz w:val="24"/>
              </w:rPr>
              <w:t xml:space="preserve">mem-int:ZajmyIProchiePrivlechennyeSredstvaMember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Субординированные займы</w:t>
            </w:r>
          </w:p>
        </w:tc>
        <w:tc>
          <w:tcPr>
            <w:tcW w:w="2948" w:type="dxa"/>
          </w:tcPr>
          <w:p>
            <w:pPr>
              <w:pStyle w:val="0"/>
            </w:pPr>
            <w:r>
              <w:rPr>
                <w:sz w:val="24"/>
              </w:rPr>
              <w:t xml:space="preserve">mem-int:SubordZajmyMember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Обязательства по обязательному медицинскому страхованию</w:t>
            </w:r>
          </w:p>
        </w:tc>
        <w:tc>
          <w:tcPr>
            <w:tcW w:w="2948" w:type="dxa"/>
          </w:tcPr>
          <w:p>
            <w:pPr>
              <w:pStyle w:val="0"/>
            </w:pPr>
            <w:r>
              <w:rPr>
                <w:sz w:val="24"/>
              </w:rPr>
              <w:t xml:space="preserve">mem-int:ObPoOMSVRazmSpisMember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Обязательства инвестиционного фонда, включенные в состав обязательств страховщика</w:t>
            </w:r>
          </w:p>
        </w:tc>
        <w:tc>
          <w:tcPr>
            <w:tcW w:w="2948" w:type="dxa"/>
          </w:tcPr>
          <w:p>
            <w:pPr>
              <w:pStyle w:val="0"/>
            </w:pPr>
            <w:r>
              <w:rPr>
                <w:sz w:val="24"/>
              </w:rPr>
              <w:t xml:space="preserve">mem-int:ObInvestFondaP1.4.4P1.4P710Member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Обязательства по договору аренды</w:t>
            </w:r>
          </w:p>
        </w:tc>
        <w:tc>
          <w:tcPr>
            <w:tcW w:w="2948" w:type="dxa"/>
          </w:tcPr>
          <w:p>
            <w:pPr>
              <w:pStyle w:val="0"/>
            </w:pPr>
            <w:r>
              <w:rPr>
                <w:sz w:val="24"/>
              </w:rPr>
              <w:t xml:space="preserve">mem-int:ObyazatelstvaPoArendeMember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Отложенные налоговые обязательства</w:t>
            </w:r>
          </w:p>
        </w:tc>
        <w:tc>
          <w:tcPr>
            <w:tcW w:w="2948" w:type="dxa"/>
          </w:tcPr>
          <w:p>
            <w:pPr>
              <w:pStyle w:val="0"/>
            </w:pPr>
            <w:r>
              <w:rPr>
                <w:sz w:val="24"/>
              </w:rPr>
              <w:t xml:space="preserve">mem-int:DeferredTaxLiabilitiesMember</w:t>
            </w:r>
          </w:p>
        </w:tc>
      </w:tr>
      <w:tr>
        <w:tc>
          <w:tcPr>
            <w:tcW w:w="907" w:type="dxa"/>
          </w:tcPr>
          <w:bookmarkStart w:id="40909" w:name="P40909"/>
          <w:bookmarkEnd w:id="40909"/>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Резервы - оценочные обязательства</w:t>
            </w:r>
          </w:p>
        </w:tc>
        <w:tc>
          <w:tcPr>
            <w:tcW w:w="2948" w:type="dxa"/>
          </w:tcPr>
          <w:p>
            <w:pPr>
              <w:pStyle w:val="0"/>
            </w:pPr>
            <w:r>
              <w:rPr>
                <w:sz w:val="24"/>
              </w:rPr>
              <w:t xml:space="preserve">mem-int:ProvisionsMember</w:t>
            </w:r>
          </w:p>
        </w:tc>
      </w:tr>
      <w:tr>
        <w:tc>
          <w:tcPr>
            <w:tcW w:w="907" w:type="dxa"/>
          </w:tcPr>
          <w:bookmarkStart w:id="40913" w:name="P40913"/>
          <w:bookmarkEnd w:id="40913"/>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Прочие обязательства</w:t>
            </w:r>
          </w:p>
        </w:tc>
        <w:tc>
          <w:tcPr>
            <w:tcW w:w="2948" w:type="dxa"/>
          </w:tcPr>
          <w:p>
            <w:pPr>
              <w:pStyle w:val="0"/>
            </w:pPr>
            <w:r>
              <w:rPr>
                <w:sz w:val="24"/>
              </w:rPr>
              <w:t xml:space="preserve">mem-int:ProchieObyazatelstvaMember</w:t>
            </w:r>
          </w:p>
        </w:tc>
      </w:tr>
      <w:tr>
        <w:tc>
          <w:tcPr>
            <w:tcW w:w="907" w:type="dxa"/>
          </w:tcPr>
          <w:bookmarkStart w:id="40917" w:name="P40917"/>
          <w:bookmarkEnd w:id="40917"/>
          <w:p>
            <w:pPr>
              <w:pStyle w:val="0"/>
            </w:pPr>
            <w:r>
              <w:rPr>
                <w:sz w:val="24"/>
              </w:rPr>
              <w:t xml:space="preserve">2.14</w:t>
            </w:r>
          </w:p>
        </w:tc>
        <w:tc>
          <w:tcPr>
            <w:tcW w:w="2608" w:type="dxa"/>
          </w:tcPr>
          <w:p>
            <w:pPr>
              <w:pStyle w:val="0"/>
            </w:pPr>
            <w:r>
              <w:rPr>
                <w:sz w:val="24"/>
              </w:rPr>
            </w:r>
          </w:p>
        </w:tc>
        <w:tc>
          <w:tcPr>
            <w:tcW w:w="2608" w:type="dxa"/>
          </w:tcPr>
          <w:p>
            <w:pPr>
              <w:pStyle w:val="0"/>
            </w:pPr>
            <w:r>
              <w:rPr>
                <w:sz w:val="24"/>
              </w:rPr>
              <w:t xml:space="preserve">Итого обязательств</w:t>
            </w:r>
          </w:p>
        </w:tc>
        <w:tc>
          <w:tcPr>
            <w:tcW w:w="2948" w:type="dxa"/>
          </w:tcPr>
          <w:p>
            <w:pPr>
              <w:pStyle w:val="0"/>
            </w:pPr>
            <w:r>
              <w:rPr>
                <w:sz w:val="24"/>
              </w:rPr>
              <w:t xml:space="preserve">mem-int:ObyazatelstvaMember</w:t>
            </w:r>
          </w:p>
        </w:tc>
      </w:tr>
      <w:tr>
        <w:tc>
          <w:tcPr>
            <w:tcW w:w="907" w:type="dxa"/>
          </w:tcPr>
          <w:p>
            <w:pPr>
              <w:pStyle w:val="0"/>
            </w:pPr>
            <w:r>
              <w:rPr>
                <w:sz w:val="24"/>
              </w:rPr>
              <w:t xml:space="preserve">2.15</w:t>
            </w:r>
          </w:p>
        </w:tc>
        <w:tc>
          <w:tcPr>
            <w:tcW w:w="2608" w:type="dxa"/>
          </w:tcPr>
          <w:p>
            <w:pPr>
              <w:pStyle w:val="0"/>
            </w:pPr>
            <w:r>
              <w:rPr>
                <w:sz w:val="24"/>
              </w:rPr>
            </w:r>
          </w:p>
        </w:tc>
        <w:tc>
          <w:tcPr>
            <w:tcW w:w="2608" w:type="dxa"/>
          </w:tcPr>
          <w:p>
            <w:pPr>
              <w:pStyle w:val="0"/>
            </w:pPr>
            <w:r>
              <w:rPr>
                <w:sz w:val="24"/>
              </w:rPr>
              <w:t xml:space="preserve">Выданные поручительства и независимые гарантии</w:t>
            </w:r>
          </w:p>
        </w:tc>
        <w:tc>
          <w:tcPr>
            <w:tcW w:w="2948" w:type="dxa"/>
          </w:tcPr>
          <w:p>
            <w:pPr>
              <w:pStyle w:val="0"/>
            </w:pPr>
            <w:r>
              <w:rPr>
                <w:sz w:val="24"/>
              </w:rPr>
              <w:t xml:space="preserve">mem-int:VydPoruchINezavGarantMember</w:t>
            </w:r>
          </w:p>
        </w:tc>
      </w:tr>
      <w:tr>
        <w:tc>
          <w:tcPr>
            <w:tcW w:w="907" w:type="dxa"/>
          </w:tcPr>
          <w:p>
            <w:pPr>
              <w:pStyle w:val="0"/>
            </w:pPr>
            <w:r>
              <w:rPr>
                <w:sz w:val="24"/>
              </w:rPr>
              <w:t xml:space="preserve">2.16</w:t>
            </w:r>
          </w:p>
        </w:tc>
        <w:tc>
          <w:tcPr>
            <w:tcW w:w="2608" w:type="dxa"/>
          </w:tcPr>
          <w:p>
            <w:pPr>
              <w:pStyle w:val="0"/>
            </w:pPr>
            <w:r>
              <w:rPr>
                <w:sz w:val="24"/>
              </w:rPr>
            </w:r>
          </w:p>
        </w:tc>
        <w:tc>
          <w:tcPr>
            <w:tcW w:w="2608" w:type="dxa"/>
          </w:tcPr>
          <w:p>
            <w:pPr>
              <w:pStyle w:val="0"/>
            </w:pPr>
            <w:r>
              <w:rPr>
                <w:sz w:val="24"/>
              </w:rPr>
              <w:t xml:space="preserve">Прочие внебалансовые обязательства</w:t>
            </w:r>
          </w:p>
        </w:tc>
        <w:tc>
          <w:tcPr>
            <w:tcW w:w="2948" w:type="dxa"/>
          </w:tcPr>
          <w:p>
            <w:pPr>
              <w:pStyle w:val="0"/>
            </w:pPr>
            <w:r>
              <w:rPr>
                <w:sz w:val="24"/>
              </w:rPr>
              <w:t xml:space="preserve">mem-int:ProchVnebalansObMember</w:t>
            </w:r>
          </w:p>
        </w:tc>
      </w:tr>
      <w:tr>
        <w:tc>
          <w:tcPr>
            <w:tcW w:w="907" w:type="dxa"/>
          </w:tcPr>
          <w:p>
            <w:pPr>
              <w:pStyle w:val="0"/>
            </w:pPr>
            <w:r>
              <w:rPr>
                <w:sz w:val="24"/>
              </w:rPr>
              <w:t xml:space="preserve">3</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mem-int:Sc_A_Invest_Stredstva_SS_Kapital_Member</w:t>
            </w:r>
          </w:p>
        </w:tc>
      </w:tr>
      <w:tr>
        <w:tc>
          <w:tcPr>
            <w:tcW w:w="907" w:type="dxa"/>
          </w:tcPr>
          <w:p>
            <w:pPr>
              <w:pStyle w:val="0"/>
            </w:pPr>
            <w:r>
              <w:rPr>
                <w:sz w:val="24"/>
              </w:rPr>
              <w:t xml:space="preserve">4</w:t>
            </w:r>
          </w:p>
        </w:tc>
        <w:tc>
          <w:tcPr>
            <w:tcW w:w="2608" w:type="dxa"/>
          </w:tcPr>
          <w:p>
            <w:pPr>
              <w:pStyle w:val="0"/>
            </w:pPr>
            <w:r>
              <w:rPr>
                <w:sz w:val="24"/>
              </w:rPr>
              <w:t xml:space="preserve">Территориальный признак</w:t>
            </w:r>
          </w:p>
        </w:tc>
        <w:tc>
          <w:tcPr>
            <w:tcW w:w="2608" w:type="dxa"/>
          </w:tcPr>
          <w:p>
            <w:pPr>
              <w:pStyle w:val="0"/>
            </w:pPr>
            <w:r>
              <w:rPr>
                <w:sz w:val="24"/>
              </w:rPr>
            </w:r>
          </w:p>
        </w:tc>
        <w:tc>
          <w:tcPr>
            <w:tcW w:w="2948" w:type="dxa"/>
          </w:tcPr>
          <w:p>
            <w:pPr>
              <w:pStyle w:val="0"/>
            </w:pPr>
            <w:r>
              <w:rPr>
                <w:sz w:val="24"/>
              </w:rPr>
              <w:t xml:space="preserve">dim-int:Terr_Priznak_Axis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Активы на территории Российской Федерации</w:t>
            </w:r>
          </w:p>
        </w:tc>
        <w:tc>
          <w:tcPr>
            <w:tcW w:w="2948" w:type="dxa"/>
          </w:tcPr>
          <w:p>
            <w:pPr>
              <w:pStyle w:val="0"/>
            </w:pPr>
            <w:r>
              <w:rPr>
                <w:sz w:val="24"/>
              </w:rPr>
              <w:t xml:space="preserve">mem-int:AktivyNaTerRFMember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Активы за пределами территории Российской Федерации</w:t>
            </w:r>
          </w:p>
        </w:tc>
        <w:tc>
          <w:tcPr>
            <w:tcW w:w="2948" w:type="dxa"/>
          </w:tcPr>
          <w:p>
            <w:pPr>
              <w:pStyle w:val="0"/>
            </w:pPr>
            <w:r>
              <w:rPr>
                <w:sz w:val="24"/>
              </w:rPr>
              <w:t xml:space="preserve">mem-int:AktivyZaPredRFMember</w:t>
            </w:r>
          </w:p>
        </w:tc>
      </w:tr>
    </w:tbl>
    <w:p>
      <w:pPr>
        <w:pStyle w:val="0"/>
        <w:ind w:firstLine="540"/>
        <w:jc w:val="both"/>
      </w:pPr>
      <w:r>
        <w:rPr>
          <w:sz w:val="24"/>
        </w:rPr>
      </w:r>
    </w:p>
    <w:p>
      <w:pPr>
        <w:pStyle w:val="0"/>
        <w:outlineLvl w:val="3"/>
        <w:jc w:val="both"/>
      </w:pPr>
      <w:r>
        <w:rPr>
          <w:sz w:val="24"/>
        </w:rPr>
        <w:t xml:space="preserve">Подраздел 4.2. </w:t>
      </w:r>
      <w:hyperlink w:history="0" w:anchor="P2420" w:tooltip="Раздел 2.">
        <w:r>
          <w:rPr>
            <w:sz w:val="24"/>
            <w:color w:val="0000ff"/>
          </w:rPr>
          <w:t xml:space="preserve">Раздел 2</w:t>
        </w:r>
      </w:hyperlink>
      <w:r>
        <w:rPr>
          <w:sz w:val="24"/>
        </w:rPr>
        <w:t xml:space="preserve"> "Отдельные виды активов"</w:t>
      </w:r>
    </w:p>
    <w:p>
      <w:pPr>
        <w:pStyle w:val="0"/>
        <w:ind w:firstLine="540"/>
        <w:jc w:val="both"/>
      </w:pPr>
      <w:r>
        <w:rPr>
          <w:sz w:val="24"/>
        </w:rPr>
      </w:r>
    </w:p>
    <w:p>
      <w:pPr>
        <w:pStyle w:val="0"/>
        <w:outlineLvl w:val="4"/>
        <w:jc w:val="both"/>
      </w:pPr>
      <w:r>
        <w:rPr>
          <w:sz w:val="24"/>
        </w:rPr>
        <w:t xml:space="preserve">Подраздел 4.2.1. </w:t>
      </w:r>
      <w:hyperlink w:history="0" w:anchor="P2422" w:tooltip="Подраздел 2.1.">
        <w:r>
          <w:rPr>
            <w:sz w:val="24"/>
            <w:color w:val="0000ff"/>
          </w:rPr>
          <w:t xml:space="preserve">Подраздел 2.1</w:t>
        </w:r>
      </w:hyperlink>
      <w:r>
        <w:rPr>
          <w:sz w:val="24"/>
        </w:rPr>
        <w:t xml:space="preserve"> "Наличные денежные средства в кассе, в пути"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Наличные денежные средства в кассе, в пути</w:t>
            </w:r>
          </w:p>
        </w:tc>
        <w:tc>
          <w:tcPr>
            <w:tcW w:w="2948" w:type="dxa"/>
          </w:tcPr>
          <w:p>
            <w:pPr>
              <w:pStyle w:val="0"/>
            </w:pPr>
            <w:r>
              <w:rPr>
                <w:sz w:val="24"/>
              </w:rPr>
              <w:t xml:space="preserve">mem-int:NalDsKassaPutMember</w:t>
            </w:r>
          </w:p>
        </w:tc>
      </w:tr>
    </w:tbl>
    <w:p>
      <w:pPr>
        <w:pStyle w:val="0"/>
        <w:ind w:firstLine="540"/>
        <w:jc w:val="both"/>
      </w:pPr>
      <w:r>
        <w:rPr>
          <w:sz w:val="24"/>
        </w:rPr>
      </w:r>
    </w:p>
    <w:p>
      <w:pPr>
        <w:pStyle w:val="0"/>
        <w:outlineLvl w:val="4"/>
        <w:jc w:val="both"/>
      </w:pPr>
      <w:r>
        <w:rPr>
          <w:sz w:val="24"/>
        </w:rPr>
        <w:t xml:space="preserve">Подраздел 4.2.2. </w:t>
      </w:r>
      <w:hyperlink w:history="0" w:anchor="P2436" w:tooltip="Подраздел 2.2.">
        <w:r>
          <w:rPr>
            <w:sz w:val="24"/>
            <w:color w:val="0000ff"/>
          </w:rPr>
          <w:t xml:space="preserve">Подраздел 2.2</w:t>
        </w:r>
      </w:hyperlink>
      <w:r>
        <w:rPr>
          <w:sz w:val="24"/>
        </w:rPr>
        <w:t xml:space="preserve"> "Денежные средства, кроме наличных денежных средств в кассе, в пути"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Денежные средства, кроме наличных денежных средств в кассе, в пути</w:t>
            </w:r>
          </w:p>
        </w:tc>
        <w:tc>
          <w:tcPr>
            <w:tcW w:w="2948" w:type="dxa"/>
          </w:tcPr>
          <w:p>
            <w:pPr>
              <w:pStyle w:val="0"/>
            </w:pPr>
            <w:r>
              <w:rPr>
                <w:sz w:val="24"/>
              </w:rPr>
              <w:t xml:space="preserve">mem-int:DsKromeNalVPutiMember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4.2.3. </w:t>
      </w:r>
      <w:hyperlink w:history="0" w:anchor="P3190" w:tooltip="Подраздел 2.3.">
        <w:r>
          <w:rPr>
            <w:sz w:val="24"/>
            <w:color w:val="0000ff"/>
          </w:rPr>
          <w:t xml:space="preserve">Подраздел 2.3</w:t>
        </w:r>
      </w:hyperlink>
      <w:r>
        <w:rPr>
          <w:sz w:val="24"/>
        </w:rPr>
        <w:t xml:space="preserve"> "Банковские вклады (депозиты)"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Банковские вклады (депозиты)</w:t>
            </w:r>
          </w:p>
        </w:tc>
        <w:tc>
          <w:tcPr>
            <w:tcW w:w="2948" w:type="dxa"/>
          </w:tcPr>
          <w:p>
            <w:pPr>
              <w:pStyle w:val="0"/>
            </w:pPr>
            <w:r>
              <w:rPr>
                <w:sz w:val="24"/>
              </w:rPr>
              <w:t xml:space="preserve">mem-int:Depozity_Member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mem-int:St_A_lnvest_Stredstva_SR_Reg_Treb_Vidy_Strax_Member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4.2.4. </w:t>
      </w:r>
      <w:hyperlink w:history="0" w:anchor="P4316" w:tooltip="Подраздел 2.4.">
        <w:r>
          <w:rPr>
            <w:sz w:val="24"/>
            <w:color w:val="0000ff"/>
          </w:rPr>
          <w:t xml:space="preserve">Подраздел 2.4</w:t>
        </w:r>
      </w:hyperlink>
      <w:r>
        <w:rPr>
          <w:sz w:val="24"/>
        </w:rPr>
        <w:t xml:space="preserve"> "Акции, подпадающие под исключение, предусмотренное требованиями к финансовой устойчивости и платежеспособности страховщиков, кроме ценных бумаг иностранных инвестиционных фондов"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Акции, подпадающие под исключение, предусмотренное требованиями к финансовой устойчивости и платежеспособности страховщиков, кроме ценных бумаг иностранных инвестиционных фондов</w:t>
            </w:r>
          </w:p>
        </w:tc>
        <w:tc>
          <w:tcPr>
            <w:tcW w:w="2948" w:type="dxa"/>
          </w:tcPr>
          <w:p>
            <w:pPr>
              <w:pStyle w:val="0"/>
            </w:pPr>
            <w:r>
              <w:rPr>
                <w:sz w:val="24"/>
              </w:rPr>
              <w:t xml:space="preserve">mem-int:AkczPodIsklPunkt312Member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4.2.5. </w:t>
      </w:r>
      <w:hyperlink w:history="0" w:anchor="P5722" w:tooltip="Подраздел 2.5.">
        <w:r>
          <w:rPr>
            <w:sz w:val="24"/>
            <w:color w:val="0000ff"/>
          </w:rPr>
          <w:t xml:space="preserve">Подраздел 2.5</w:t>
        </w:r>
      </w:hyperlink>
      <w:r>
        <w:rPr>
          <w:sz w:val="24"/>
        </w:rPr>
        <w:t xml:space="preserve"> "Акции, не подпадающие под исключение, предусмотренное требованиями к финансовой устойчивости и платежеспособности страховщиков, кроме ценных бумаг иностранных инвестиционных фондов"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Акции, не подпадающие под исключение, предусмотренное требованиями к финансовой устойчивости и платежеспособности страховщиков, кроме ценных бумаг иностранных инвестиционных фондов</w:t>
            </w:r>
          </w:p>
        </w:tc>
        <w:tc>
          <w:tcPr>
            <w:tcW w:w="2948" w:type="dxa"/>
          </w:tcPr>
          <w:p>
            <w:pPr>
              <w:pStyle w:val="0"/>
            </w:pPr>
            <w:r>
              <w:rPr>
                <w:sz w:val="24"/>
              </w:rPr>
              <w:t xml:space="preserve">mem-int:AkczNePodIsklPunkt312KrCzBumInostrInvFondMember</w:t>
            </w:r>
          </w:p>
        </w:tc>
      </w:tr>
      <w:tr>
        <w:tc>
          <w:tcPr>
            <w:tcW w:w="907" w:type="dxa"/>
          </w:tcPr>
          <w:p>
            <w:pPr>
              <w:pStyle w:val="0"/>
            </w:pPr>
            <w:r>
              <w:rPr>
                <w:sz w:val="24"/>
              </w:rPr>
              <w:t xml:space="preserve">3</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4"/>
        <w:jc w:val="both"/>
      </w:pPr>
      <w:r>
        <w:rPr>
          <w:sz w:val="24"/>
        </w:rPr>
        <w:t xml:space="preserve">Подраздел 4.2.6. </w:t>
      </w:r>
      <w:hyperlink w:history="0" w:anchor="P6252" w:tooltip="Подраздел 2.6.">
        <w:r>
          <w:rPr>
            <w:sz w:val="24"/>
            <w:color w:val="0000ff"/>
          </w:rPr>
          <w:t xml:space="preserve">Подраздел 2.6</w:t>
        </w:r>
      </w:hyperlink>
      <w:r>
        <w:rPr>
          <w:sz w:val="24"/>
        </w:rPr>
        <w:t xml:space="preserve"> "Доли, иное участие в уставных капиталах юридических лиц, не являющихся акционерными обществами, вклады в имущество юридических лиц, не увеличивающие их уставные (складочные) капиталы"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Доли, иное участие в уставных капиталах юридических лиц, не являющихся акционерными обществами, вклады в имущество юридических лиц, не увеличивающие их уставные (складочные) капиталы</w:t>
            </w:r>
          </w:p>
        </w:tc>
        <w:tc>
          <w:tcPr>
            <w:tcW w:w="2948" w:type="dxa"/>
          </w:tcPr>
          <w:p>
            <w:pPr>
              <w:pStyle w:val="0"/>
            </w:pPr>
            <w:r>
              <w:rPr>
                <w:sz w:val="24"/>
              </w:rPr>
              <w:t xml:space="preserve">mem-int:DolInUchKapYULiczNeAOVkladyImYULiczNeUvUstSklKapMember</w:t>
            </w:r>
          </w:p>
        </w:tc>
      </w:tr>
      <w:tr>
        <w:tc>
          <w:tcPr>
            <w:tcW w:w="907" w:type="dxa"/>
          </w:tcPr>
          <w:p>
            <w:pPr>
              <w:pStyle w:val="0"/>
            </w:pPr>
            <w:r>
              <w:rPr>
                <w:sz w:val="24"/>
              </w:rPr>
              <w:t xml:space="preserve">3</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4"/>
        <w:jc w:val="both"/>
      </w:pPr>
      <w:r>
        <w:rPr>
          <w:sz w:val="24"/>
        </w:rPr>
        <w:t xml:space="preserve">Подраздел 4.2.7. </w:t>
      </w:r>
      <w:hyperlink w:history="0" w:anchor="P6382" w:tooltip="Подраздел 2.7.">
        <w:r>
          <w:rPr>
            <w:sz w:val="24"/>
            <w:color w:val="0000ff"/>
          </w:rPr>
          <w:t xml:space="preserve">Подраздел 2.7</w:t>
        </w:r>
      </w:hyperlink>
      <w:r>
        <w:rPr>
          <w:sz w:val="24"/>
        </w:rPr>
        <w:t xml:space="preserve"> "Акции и паи иностранных инвестиционных фондов"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Акции и паи иностранных инвестиционных фондов</w:t>
            </w:r>
          </w:p>
        </w:tc>
        <w:tc>
          <w:tcPr>
            <w:tcW w:w="2948" w:type="dxa"/>
          </w:tcPr>
          <w:p>
            <w:pPr>
              <w:pStyle w:val="0"/>
            </w:pPr>
            <w:r>
              <w:rPr>
                <w:sz w:val="24"/>
              </w:rPr>
              <w:t xml:space="preserve">mem-int:PaiAkczii_ln_Invest_FondovMember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mem-int:St_A_Invest_Stredstva_SS_KapitalMember</w:t>
            </w:r>
          </w:p>
        </w:tc>
      </w:tr>
    </w:tbl>
    <w:p>
      <w:pPr>
        <w:pStyle w:val="0"/>
        <w:ind w:firstLine="540"/>
        <w:jc w:val="both"/>
      </w:pPr>
      <w:r>
        <w:rPr>
          <w:sz w:val="24"/>
        </w:rPr>
      </w:r>
    </w:p>
    <w:p>
      <w:pPr>
        <w:pStyle w:val="0"/>
        <w:outlineLvl w:val="4"/>
        <w:jc w:val="both"/>
      </w:pPr>
      <w:r>
        <w:rPr>
          <w:sz w:val="24"/>
        </w:rPr>
        <w:t xml:space="preserve">Подраздел 4.2.8. </w:t>
      </w:r>
      <w:hyperlink w:history="0" w:anchor="P7732" w:tooltip="Подраздел 2.8.">
        <w:r>
          <w:rPr>
            <w:sz w:val="24"/>
            <w:color w:val="0000ff"/>
          </w:rPr>
          <w:t xml:space="preserve">Подраздел 2.8</w:t>
        </w:r>
      </w:hyperlink>
      <w:r>
        <w:rPr>
          <w:sz w:val="24"/>
        </w:rPr>
        <w:t xml:space="preserve"> "Паи российских инвестиционных фондов"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Паи российских инвестиционных фондов</w:t>
            </w:r>
          </w:p>
        </w:tc>
        <w:tc>
          <w:tcPr>
            <w:tcW w:w="2948" w:type="dxa"/>
          </w:tcPr>
          <w:p>
            <w:pPr>
              <w:pStyle w:val="0"/>
            </w:pPr>
            <w:r>
              <w:rPr>
                <w:sz w:val="24"/>
              </w:rPr>
              <w:t xml:space="preserve">mem-int:PaiRosInvFondMember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4"/>
        <w:jc w:val="both"/>
      </w:pPr>
      <w:r>
        <w:rPr>
          <w:sz w:val="24"/>
        </w:rPr>
        <w:t xml:space="preserve">Подраздел 4.2.9. </w:t>
      </w:r>
      <w:hyperlink w:history="0" w:anchor="P8214" w:tooltip="Подраздел 2.9.">
        <w:r>
          <w:rPr>
            <w:sz w:val="24"/>
            <w:color w:val="0000ff"/>
          </w:rPr>
          <w:t xml:space="preserve">Подраздел 2.9</w:t>
        </w:r>
      </w:hyperlink>
      <w:r>
        <w:rPr>
          <w:sz w:val="24"/>
        </w:rPr>
        <w:t xml:space="preserve"> "Облигации"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Облигации</w:t>
            </w:r>
          </w:p>
        </w:tc>
        <w:tc>
          <w:tcPr>
            <w:tcW w:w="2948" w:type="dxa"/>
          </w:tcPr>
          <w:p>
            <w:pPr>
              <w:pStyle w:val="0"/>
            </w:pPr>
            <w:r>
              <w:rPr>
                <w:sz w:val="24"/>
              </w:rPr>
              <w:t xml:space="preserve">mem-int:ObligacziiMember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4.2.9.1. </w:t>
      </w:r>
      <w:hyperlink w:history="0" w:anchor="P10460" w:tooltip="Подраздел 2.9.1.">
        <w:r>
          <w:rPr>
            <w:sz w:val="24"/>
            <w:color w:val="0000ff"/>
          </w:rPr>
          <w:t xml:space="preserve">Подраздел 2.9.1</w:t>
        </w:r>
      </w:hyperlink>
      <w:r>
        <w:rPr>
          <w:sz w:val="24"/>
        </w:rPr>
        <w:t xml:space="preserve"> "Базисные активы по срочной сделке или активы, от которых зависит поток по облигации"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Облигации</w:t>
            </w:r>
          </w:p>
        </w:tc>
        <w:tc>
          <w:tcPr>
            <w:tcW w:w="2948" w:type="dxa"/>
          </w:tcPr>
          <w:p>
            <w:pPr>
              <w:pStyle w:val="0"/>
            </w:pPr>
            <w:r>
              <w:rPr>
                <w:sz w:val="24"/>
              </w:rPr>
              <w:t xml:space="preserve">mem-int:ObligacziiMember</w:t>
            </w:r>
          </w:p>
        </w:tc>
      </w:tr>
      <w:tr>
        <w:tc>
          <w:tcPr>
            <w:tcW w:w="907" w:type="dxa"/>
          </w:tcPr>
          <w:p>
            <w:pPr>
              <w:pStyle w:val="0"/>
            </w:pPr>
            <w:r>
              <w:rPr>
                <w:sz w:val="24"/>
              </w:rPr>
              <w:t xml:space="preserve">2</w:t>
            </w:r>
          </w:p>
        </w:tc>
        <w:tc>
          <w:tcPr>
            <w:tcW w:w="2608" w:type="dxa"/>
          </w:tcPr>
          <w:p>
            <w:pPr>
              <w:pStyle w:val="0"/>
            </w:pPr>
            <w:r>
              <w:rPr>
                <w:sz w:val="24"/>
              </w:rPr>
              <w:t xml:space="preserve">Вид базисного актива по срочной сделке или актива, от которого зависит поток по облигации</w:t>
            </w:r>
          </w:p>
        </w:tc>
        <w:tc>
          <w:tcPr>
            <w:tcW w:w="2608" w:type="dxa"/>
          </w:tcPr>
          <w:p>
            <w:pPr>
              <w:pStyle w:val="0"/>
            </w:pPr>
            <w:r>
              <w:rPr>
                <w:sz w:val="24"/>
              </w:rPr>
            </w:r>
          </w:p>
        </w:tc>
        <w:tc>
          <w:tcPr>
            <w:tcW w:w="2948" w:type="dxa"/>
          </w:tcPr>
          <w:p>
            <w:pPr>
              <w:pStyle w:val="0"/>
            </w:pPr>
            <w:r>
              <w:rPr>
                <w:sz w:val="24"/>
              </w:rPr>
              <w:t xml:space="preserve">dim-int:VidBazAktSrSdelZavPotStrOblAxis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Акции,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mem-int:AkcziiStKotNePriznRavnNulP3.1PolN781Member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Акции и паи иностранных инвестиционных фондов,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mem-int:AkcziiPIIFStKotNePriznRavnNulP3.1PolN781Member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Облигации,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mem-int:ObligacziiStKotNePriznRavnNulP3.1PolN781Member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Недвижимое имущество и имущественные права на недвижимое имущество,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mem-int:NedvImIImPrNaNedvStoimKotNePriznRavnNulP3.1PolN781Member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Товары,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mem-int:TovaryStKotNePriznRavnNulP3.1PolN781Member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Процентные ставки</w:t>
            </w:r>
          </w:p>
        </w:tc>
        <w:tc>
          <w:tcPr>
            <w:tcW w:w="2948" w:type="dxa"/>
          </w:tcPr>
          <w:p>
            <w:pPr>
              <w:pStyle w:val="0"/>
            </w:pPr>
            <w:r>
              <w:rPr>
                <w:sz w:val="24"/>
              </w:rPr>
              <w:t xml:space="preserve">mem-int:ProczStavkiMember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Уровень инфляции</w:t>
            </w:r>
          </w:p>
        </w:tc>
        <w:tc>
          <w:tcPr>
            <w:tcW w:w="2948" w:type="dxa"/>
          </w:tcPr>
          <w:p>
            <w:pPr>
              <w:pStyle w:val="0"/>
            </w:pPr>
            <w:r>
              <w:rPr>
                <w:sz w:val="24"/>
              </w:rPr>
              <w:t xml:space="preserve">mem-int:UrInflMember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Курс валют или валюта</w:t>
            </w:r>
          </w:p>
        </w:tc>
        <w:tc>
          <w:tcPr>
            <w:tcW w:w="2948" w:type="dxa"/>
          </w:tcPr>
          <w:p>
            <w:pPr>
              <w:pStyle w:val="0"/>
            </w:pPr>
            <w:r>
              <w:rPr>
                <w:sz w:val="24"/>
              </w:rPr>
              <w:t xml:space="preserve">mem-int:KursValMember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Индекс на указанные базисные активы</w:t>
            </w:r>
          </w:p>
        </w:tc>
        <w:tc>
          <w:tcPr>
            <w:tcW w:w="2948" w:type="dxa"/>
          </w:tcPr>
          <w:p>
            <w:pPr>
              <w:pStyle w:val="0"/>
            </w:pPr>
            <w:r>
              <w:rPr>
                <w:sz w:val="24"/>
              </w:rPr>
              <w:t xml:space="preserve">mem-int:IndUkBazAktMember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Факт исполнения или неисполнения обязательств третьими лицами</w:t>
            </w:r>
          </w:p>
        </w:tc>
        <w:tc>
          <w:tcPr>
            <w:tcW w:w="2948" w:type="dxa"/>
          </w:tcPr>
          <w:p>
            <w:pPr>
              <w:pStyle w:val="0"/>
            </w:pPr>
            <w:r>
              <w:rPr>
                <w:sz w:val="24"/>
              </w:rPr>
              <w:t xml:space="preserve">mem-int:IspNeispObyazTrLiczMember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bl>
    <w:p>
      <w:pPr>
        <w:pStyle w:val="0"/>
        <w:ind w:firstLine="540"/>
        <w:jc w:val="both"/>
      </w:pPr>
      <w:r>
        <w:rPr>
          <w:sz w:val="24"/>
        </w:rPr>
      </w:r>
    </w:p>
    <w:p>
      <w:pPr>
        <w:pStyle w:val="0"/>
        <w:outlineLvl w:val="4"/>
        <w:jc w:val="both"/>
      </w:pPr>
      <w:r>
        <w:rPr>
          <w:sz w:val="24"/>
        </w:rPr>
        <w:t xml:space="preserve">Подраздел 4.2.10. </w:t>
      </w:r>
      <w:hyperlink w:history="0" w:anchor="P10490" w:tooltip="Подраздел 2.10.">
        <w:r>
          <w:rPr>
            <w:sz w:val="24"/>
            <w:color w:val="0000ff"/>
          </w:rPr>
          <w:t xml:space="preserve">Подраздел 2.10</w:t>
        </w:r>
      </w:hyperlink>
      <w:r>
        <w:rPr>
          <w:sz w:val="24"/>
        </w:rPr>
        <w:t xml:space="preserve"> "Депозитарные расписки"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Депозитарные расписки</w:t>
            </w:r>
          </w:p>
        </w:tc>
        <w:tc>
          <w:tcPr>
            <w:tcW w:w="2948" w:type="dxa"/>
          </w:tcPr>
          <w:p>
            <w:pPr>
              <w:pStyle w:val="0"/>
            </w:pPr>
            <w:r>
              <w:rPr>
                <w:sz w:val="24"/>
              </w:rPr>
              <w:t xml:space="preserve">mem-int:DepRaspMember</w:t>
            </w:r>
          </w:p>
        </w:tc>
      </w:tr>
      <w:tr>
        <w:tc>
          <w:tcPr>
            <w:tcW w:w="907" w:type="dxa"/>
          </w:tcPr>
          <w:p>
            <w:pPr>
              <w:pStyle w:val="0"/>
            </w:pPr>
            <w:r>
              <w:rPr>
                <w:sz w:val="24"/>
              </w:rPr>
              <w:t xml:space="preserve">3</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4"/>
        <w:jc w:val="both"/>
      </w:pPr>
      <w:r>
        <w:rPr>
          <w:sz w:val="24"/>
        </w:rPr>
        <w:t xml:space="preserve">Подраздел 4.2.11. </w:t>
      </w:r>
      <w:hyperlink w:history="0" w:anchor="P10932" w:tooltip="Подраздел 2.11.">
        <w:r>
          <w:rPr>
            <w:sz w:val="24"/>
            <w:color w:val="0000ff"/>
          </w:rPr>
          <w:t xml:space="preserve">Подраздел 2.11</w:t>
        </w:r>
      </w:hyperlink>
      <w:r>
        <w:rPr>
          <w:sz w:val="24"/>
        </w:rPr>
        <w:t xml:space="preserve"> "Активы, возникшие в результате заключения страховщиком срочных сделок"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Активы, возникшие в результате заключения страховщиком срочных сделок</w:t>
            </w:r>
          </w:p>
        </w:tc>
        <w:tc>
          <w:tcPr>
            <w:tcW w:w="2948" w:type="dxa"/>
          </w:tcPr>
          <w:p>
            <w:pPr>
              <w:pStyle w:val="0"/>
            </w:pPr>
            <w:r>
              <w:rPr>
                <w:sz w:val="24"/>
              </w:rPr>
              <w:t xml:space="preserve">mem-int:SrochSdelAktPol710PMember</w:t>
            </w:r>
          </w:p>
        </w:tc>
      </w:tr>
      <w:tr>
        <w:tc>
          <w:tcPr>
            <w:tcW w:w="907" w:type="dxa"/>
          </w:tcPr>
          <w:p>
            <w:pPr>
              <w:pStyle w:val="0"/>
            </w:pPr>
            <w:r>
              <w:rPr>
                <w:sz w:val="24"/>
              </w:rPr>
              <w:t xml:space="preserve">3</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dim-int:St_A_Invest_StredstvaSr_Ss_Axis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4.2.11.1. </w:t>
      </w:r>
      <w:hyperlink w:history="0" w:anchor="P12054" w:tooltip="Подраздел 2.11.1.">
        <w:r>
          <w:rPr>
            <w:sz w:val="24"/>
            <w:color w:val="0000ff"/>
          </w:rPr>
          <w:t xml:space="preserve">Подраздел 2.11.1</w:t>
        </w:r>
      </w:hyperlink>
      <w:r>
        <w:rPr>
          <w:sz w:val="24"/>
        </w:rPr>
        <w:t xml:space="preserve"> "Базисные активы по срочной сделке или активы, от которых зависит поток по облигации"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Активы, возникшие в результате заключения страховщиком срочных сделок</w:t>
            </w:r>
          </w:p>
        </w:tc>
        <w:tc>
          <w:tcPr>
            <w:tcW w:w="2948" w:type="dxa"/>
          </w:tcPr>
          <w:p>
            <w:pPr>
              <w:pStyle w:val="0"/>
            </w:pPr>
            <w:r>
              <w:rPr>
                <w:sz w:val="24"/>
              </w:rPr>
              <w:t xml:space="preserve">mem-int:SrochSdelAktPol710PMember</w:t>
            </w:r>
          </w:p>
        </w:tc>
      </w:tr>
      <w:tr>
        <w:tc>
          <w:tcPr>
            <w:tcW w:w="907" w:type="dxa"/>
          </w:tcPr>
          <w:p>
            <w:pPr>
              <w:pStyle w:val="0"/>
            </w:pPr>
            <w:r>
              <w:rPr>
                <w:sz w:val="24"/>
              </w:rPr>
              <w:t xml:space="preserve">2</w:t>
            </w:r>
          </w:p>
        </w:tc>
        <w:tc>
          <w:tcPr>
            <w:tcW w:w="2608" w:type="dxa"/>
          </w:tcPr>
          <w:p>
            <w:pPr>
              <w:pStyle w:val="0"/>
            </w:pPr>
            <w:r>
              <w:rPr>
                <w:sz w:val="24"/>
              </w:rPr>
              <w:t xml:space="preserve">Вид базисного актива по срочной сделке или актива, от которого зависит поток по облигации</w:t>
            </w:r>
          </w:p>
        </w:tc>
        <w:tc>
          <w:tcPr>
            <w:tcW w:w="2608" w:type="dxa"/>
          </w:tcPr>
          <w:p>
            <w:pPr>
              <w:pStyle w:val="0"/>
            </w:pPr>
            <w:r>
              <w:rPr>
                <w:sz w:val="24"/>
              </w:rPr>
            </w:r>
          </w:p>
        </w:tc>
        <w:tc>
          <w:tcPr>
            <w:tcW w:w="2948" w:type="dxa"/>
          </w:tcPr>
          <w:p>
            <w:pPr>
              <w:pStyle w:val="0"/>
            </w:pPr>
            <w:r>
              <w:rPr>
                <w:sz w:val="24"/>
              </w:rPr>
              <w:t xml:space="preserve">dim-int:VidBazAktSrSdelZavPotStrOblAxis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Акции,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mem-int:AkcziiStKotNePriznRavnNulP3.1PolN781Member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Акции и паи иностранных инвестиционных фондов,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mem-int:AkcziiPIIFStKotNePriznRavnNiuIP3.1PolN781Member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Облигации,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mem-int:ObligacziiStKotNePriznRavnNulP3.1PolN781Member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Недвижимое имущество и имущественные права на недвижимое имущество,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mem-int:NedvImIImPrNaNedvStoimKotNePriznRavnNulP3.1PolN781Member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Товары,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mem-int:TovaryStKotNePriznRavnNulP3.1PolN781Member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Процентные ставки</w:t>
            </w:r>
          </w:p>
        </w:tc>
        <w:tc>
          <w:tcPr>
            <w:tcW w:w="2948" w:type="dxa"/>
          </w:tcPr>
          <w:p>
            <w:pPr>
              <w:pStyle w:val="0"/>
            </w:pPr>
            <w:r>
              <w:rPr>
                <w:sz w:val="24"/>
              </w:rPr>
              <w:t xml:space="preserve">mem-int:ProczStavkiMember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Уровень инфляции</w:t>
            </w:r>
          </w:p>
        </w:tc>
        <w:tc>
          <w:tcPr>
            <w:tcW w:w="2948" w:type="dxa"/>
          </w:tcPr>
          <w:p>
            <w:pPr>
              <w:pStyle w:val="0"/>
            </w:pPr>
            <w:r>
              <w:rPr>
                <w:sz w:val="24"/>
              </w:rPr>
              <w:t xml:space="preserve">mem-int:UrInflMember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Курс валют или валюта</w:t>
            </w:r>
          </w:p>
        </w:tc>
        <w:tc>
          <w:tcPr>
            <w:tcW w:w="2948" w:type="dxa"/>
          </w:tcPr>
          <w:p>
            <w:pPr>
              <w:pStyle w:val="0"/>
            </w:pPr>
            <w:r>
              <w:rPr>
                <w:sz w:val="24"/>
              </w:rPr>
              <w:t xml:space="preserve">mem-int:KursValMember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Индекс на указанные базисные активы</w:t>
            </w:r>
          </w:p>
        </w:tc>
        <w:tc>
          <w:tcPr>
            <w:tcW w:w="2948" w:type="dxa"/>
          </w:tcPr>
          <w:p>
            <w:pPr>
              <w:pStyle w:val="0"/>
            </w:pPr>
            <w:r>
              <w:rPr>
                <w:sz w:val="24"/>
              </w:rPr>
              <w:t xml:space="preserve">mem-int:IndUkBazAktMember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Факт исполнения или неисполнения обязательств третьими лицами</w:t>
            </w:r>
          </w:p>
        </w:tc>
        <w:tc>
          <w:tcPr>
            <w:tcW w:w="2948" w:type="dxa"/>
          </w:tcPr>
          <w:p>
            <w:pPr>
              <w:pStyle w:val="0"/>
            </w:pPr>
            <w:r>
              <w:rPr>
                <w:sz w:val="24"/>
              </w:rPr>
              <w:t xml:space="preserve">mem-int:IspNeispObyazTrLiczMember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bl>
    <w:p>
      <w:pPr>
        <w:pStyle w:val="0"/>
        <w:ind w:firstLine="540"/>
        <w:jc w:val="both"/>
      </w:pPr>
      <w:r>
        <w:rPr>
          <w:sz w:val="24"/>
        </w:rPr>
      </w:r>
    </w:p>
    <w:p>
      <w:pPr>
        <w:pStyle w:val="0"/>
        <w:outlineLvl w:val="4"/>
        <w:jc w:val="both"/>
      </w:pPr>
      <w:r>
        <w:rPr>
          <w:sz w:val="24"/>
        </w:rPr>
        <w:t xml:space="preserve">Подраздел 4.2.12. </w:t>
      </w:r>
      <w:hyperlink w:history="0" w:anchor="P12084" w:tooltip="Подраздел 2.12.">
        <w:r>
          <w:rPr>
            <w:sz w:val="24"/>
            <w:color w:val="0000ff"/>
          </w:rPr>
          <w:t xml:space="preserve">Подраздел 2.12</w:t>
        </w:r>
      </w:hyperlink>
      <w:r>
        <w:rPr>
          <w:sz w:val="24"/>
        </w:rPr>
        <w:t xml:space="preserve"> "Займы выданные, кроме прав требования по обязательствам страхователя - физического лица по возврату займа, полученного при осуществлении страхования жизни"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Займы выданные, кроме прав требования по обязательствам страхователя - физического лица по возврату займа, полученного при осуществлении страхования жизни</w:t>
            </w:r>
          </w:p>
        </w:tc>
        <w:tc>
          <w:tcPr>
            <w:tcW w:w="2948" w:type="dxa"/>
          </w:tcPr>
          <w:p>
            <w:pPr>
              <w:pStyle w:val="0"/>
            </w:pPr>
            <w:r>
              <w:rPr>
                <w:sz w:val="24"/>
              </w:rPr>
              <w:t xml:space="preserve">mem-int:Zajmy_Krome_Sl_Dog_Szh_Member</w:t>
            </w:r>
          </w:p>
        </w:tc>
      </w:tr>
      <w:tr>
        <w:tc>
          <w:tcPr>
            <w:tcW w:w="907" w:type="dxa"/>
          </w:tcPr>
          <w:p>
            <w:pPr>
              <w:pStyle w:val="0"/>
            </w:pPr>
            <w:r>
              <w:rPr>
                <w:sz w:val="24"/>
              </w:rPr>
              <w:t xml:space="preserve">4</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4.2.13. </w:t>
      </w:r>
      <w:hyperlink w:history="0" w:anchor="P12810" w:tooltip="Подраздел 2.13.">
        <w:r>
          <w:rPr>
            <w:sz w:val="24"/>
            <w:color w:val="0000ff"/>
          </w:rPr>
          <w:t xml:space="preserve">Подраздел 2.13</w:t>
        </w:r>
      </w:hyperlink>
      <w:r>
        <w:rPr>
          <w:sz w:val="24"/>
        </w:rPr>
        <w:t xml:space="preserve"> "Права требования к центральному депозитарию"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к центральному депозитарию</w:t>
            </w:r>
          </w:p>
        </w:tc>
        <w:tc>
          <w:tcPr>
            <w:tcW w:w="2948" w:type="dxa"/>
          </w:tcPr>
          <w:p>
            <w:pPr>
              <w:pStyle w:val="0"/>
            </w:pPr>
            <w:r>
              <w:rPr>
                <w:sz w:val="24"/>
              </w:rPr>
              <w:t xml:space="preserve">mem-int:PravTrebCzDepMember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mem-int:St__A_Invest_Stredstva_SS_Kapital_Member</w:t>
            </w:r>
          </w:p>
        </w:tc>
      </w:tr>
    </w:tbl>
    <w:p>
      <w:pPr>
        <w:pStyle w:val="0"/>
        <w:ind w:firstLine="540"/>
        <w:jc w:val="both"/>
      </w:pPr>
      <w:r>
        <w:rPr>
          <w:sz w:val="24"/>
        </w:rPr>
      </w:r>
    </w:p>
    <w:p>
      <w:pPr>
        <w:pStyle w:val="0"/>
        <w:outlineLvl w:val="4"/>
        <w:jc w:val="both"/>
      </w:pPr>
      <w:r>
        <w:rPr>
          <w:sz w:val="24"/>
        </w:rPr>
        <w:t xml:space="preserve">Подраздел 4.2.14. </w:t>
      </w:r>
      <w:hyperlink w:history="0" w:anchor="P13344" w:tooltip="Подраздел 2.14.">
        <w:r>
          <w:rPr>
            <w:sz w:val="24"/>
            <w:color w:val="0000ff"/>
          </w:rPr>
          <w:t xml:space="preserve">Подраздел 2.14</w:t>
        </w:r>
      </w:hyperlink>
      <w:r>
        <w:rPr>
          <w:sz w:val="24"/>
        </w:rPr>
        <w:t xml:space="preserve"> "Права требования к квалифицированному центральному контрагенту"</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к квалифицированному центральному контрагенту</w:t>
            </w:r>
          </w:p>
        </w:tc>
        <w:tc>
          <w:tcPr>
            <w:tcW w:w="2948" w:type="dxa"/>
          </w:tcPr>
          <w:p>
            <w:pPr>
              <w:pStyle w:val="0"/>
            </w:pPr>
            <w:r>
              <w:rPr>
                <w:sz w:val="24"/>
              </w:rPr>
              <w:t xml:space="preserve">mem-int:PravTrebCzKntrMember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4.2.15. </w:t>
      </w:r>
      <w:hyperlink w:history="0" w:anchor="P13878" w:tooltip="Подраздел 2.15.">
        <w:r>
          <w:rPr>
            <w:sz w:val="24"/>
            <w:color w:val="0000ff"/>
          </w:rPr>
          <w:t xml:space="preserve">Подраздел 2.15</w:t>
        </w:r>
      </w:hyperlink>
      <w:r>
        <w:rPr>
          <w:sz w:val="24"/>
        </w:rPr>
        <w:t xml:space="preserve"> "Права требования по денежным обязательствам к брокерам из договоров о брокерском обслуживании"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по денежным обязательствам к брокерам из договоров о брокерском обслуживании</w:t>
            </w:r>
          </w:p>
        </w:tc>
        <w:tc>
          <w:tcPr>
            <w:tcW w:w="2948" w:type="dxa"/>
          </w:tcPr>
          <w:p>
            <w:pPr>
              <w:pStyle w:val="0"/>
            </w:pPr>
            <w:r>
              <w:rPr>
                <w:sz w:val="24"/>
              </w:rPr>
              <w:t xml:space="preserve">mem-int:PravTrebDenObDogBrokObslMember</w:t>
            </w:r>
          </w:p>
        </w:tc>
      </w:tr>
      <w:tr>
        <w:tc>
          <w:tcPr>
            <w:tcW w:w="907" w:type="dxa"/>
          </w:tcPr>
          <w:p>
            <w:pPr>
              <w:pStyle w:val="0"/>
            </w:pPr>
            <w:r>
              <w:rPr>
                <w:sz w:val="24"/>
              </w:rPr>
              <w:t xml:space="preserve">5</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4.2.16. </w:t>
      </w:r>
      <w:hyperlink w:history="0" w:anchor="P14508" w:tooltip="Подраздел 2.16.">
        <w:r>
          <w:rPr>
            <w:sz w:val="24"/>
            <w:color w:val="0000ff"/>
          </w:rPr>
          <w:t xml:space="preserve">Подраздел 2.16</w:t>
        </w:r>
      </w:hyperlink>
      <w:r>
        <w:rPr>
          <w:sz w:val="24"/>
        </w:rPr>
        <w:t xml:space="preserve"> "Права требования к специализированным депозитариям"</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к специализированным депозитариям</w:t>
            </w:r>
          </w:p>
        </w:tc>
        <w:tc>
          <w:tcPr>
            <w:tcW w:w="2948" w:type="dxa"/>
          </w:tcPr>
          <w:p>
            <w:pPr>
              <w:pStyle w:val="0"/>
            </w:pPr>
            <w:r>
              <w:rPr>
                <w:sz w:val="24"/>
              </w:rPr>
              <w:t xml:space="preserve">mem-int:PravTrebSpecDepMember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4.2.17. </w:t>
      </w:r>
      <w:hyperlink w:history="0" w:anchor="P15086" w:tooltip="Подраздел 2.17.">
        <w:r>
          <w:rPr>
            <w:sz w:val="24"/>
            <w:color w:val="0000ff"/>
          </w:rPr>
          <w:t xml:space="preserve">Подраздел 2.17</w:t>
        </w:r>
      </w:hyperlink>
      <w:r>
        <w:rPr>
          <w:sz w:val="24"/>
        </w:rPr>
        <w:t xml:space="preserve"> "Права требования по договорам репо"</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относится к ценным бумагам (денежным средствам), полученным по первой части договора репо</w:t>
            </w:r>
          </w:p>
        </w:tc>
        <w:tc>
          <w:tcPr>
            <w:tcW w:w="2608" w:type="dxa"/>
          </w:tcPr>
          <w:p>
            <w:pPr>
              <w:pStyle w:val="0"/>
            </w:pPr>
            <w:r>
              <w:rPr>
                <w:sz w:val="24"/>
              </w:rPr>
            </w:r>
          </w:p>
        </w:tc>
        <w:tc>
          <w:tcPr>
            <w:tcW w:w="2948" w:type="dxa"/>
          </w:tcPr>
          <w:p>
            <w:pPr>
              <w:pStyle w:val="0"/>
            </w:pPr>
            <w:r>
              <w:rPr>
                <w:sz w:val="24"/>
              </w:rPr>
              <w:t xml:space="preserve">dim-int:AktivSootvTrebPp2.4.1P2.4_781_PAxis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Права требования по договорам репо</w:t>
            </w:r>
          </w:p>
        </w:tc>
        <w:tc>
          <w:tcPr>
            <w:tcW w:w="2948" w:type="dxa"/>
          </w:tcPr>
          <w:p>
            <w:pPr>
              <w:pStyle w:val="0"/>
            </w:pPr>
            <w:r>
              <w:rPr>
                <w:sz w:val="24"/>
              </w:rPr>
              <w:t xml:space="preserve">mem-int:PravTrebDepoMember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4.2.18. </w:t>
      </w:r>
      <w:hyperlink w:history="0" w:anchor="P15876" w:tooltip="Подраздел 2.18.">
        <w:r>
          <w:rPr>
            <w:sz w:val="24"/>
            <w:color w:val="0000ff"/>
          </w:rPr>
          <w:t xml:space="preserve">Подраздел 2.18</w:t>
        </w:r>
      </w:hyperlink>
      <w:r>
        <w:rPr>
          <w:sz w:val="24"/>
        </w:rPr>
        <w:t xml:space="preserve"> "Права требования к страховым агентам и страховым брокерам по перечислению страховых премий (взносов), не учтенные в страховых резервах"</w:t>
      </w:r>
    </w:p>
    <w:p>
      <w:pPr>
        <w:pStyle w:val="0"/>
        <w:ind w:firstLine="540"/>
        <w:jc w:val="both"/>
      </w:pPr>
      <w:r>
        <w:rPr>
          <w:sz w:val="24"/>
        </w:rPr>
      </w:r>
    </w:p>
    <w:p>
      <w:pPr>
        <w:pStyle w:val="0"/>
        <w:outlineLvl w:val="5"/>
        <w:jc w:val="both"/>
      </w:pPr>
      <w:r>
        <w:rPr>
          <w:sz w:val="24"/>
        </w:rPr>
        <w:t xml:space="preserve">Подраздел 4.2.18.1. </w:t>
      </w:r>
      <w:hyperlink w:history="0" w:anchor="P15878" w:tooltip="Подраздел 2.18.1.">
        <w:r>
          <w:rPr>
            <w:sz w:val="24"/>
            <w:color w:val="0000ff"/>
          </w:rPr>
          <w:t xml:space="preserve">Подраздел 2.18.1</w:t>
        </w:r>
      </w:hyperlink>
      <w:r>
        <w:rPr>
          <w:sz w:val="24"/>
        </w:rPr>
        <w:t xml:space="preserve"> "По обязанным лицам, отнесенным к первой - третьей категориям контрагентов (кроме обязанных лиц, отраженных в </w:t>
      </w:r>
      <w:hyperlink w:history="0" w:anchor="P16508" w:tooltip="Подраздел 2.18.2.">
        <w:r>
          <w:rPr>
            <w:sz w:val="24"/>
            <w:color w:val="0000ff"/>
          </w:rPr>
          <w:t xml:space="preserve">подразделе 2.18.2</w:t>
        </w:r>
      </w:hyperlink>
      <w:r>
        <w:rPr>
          <w:sz w:val="24"/>
        </w:rPr>
        <w:t xml:space="preserve">) или не участвующим в оценке риска 2</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dim-int:AktivPodlezhSummVSootvSGI1_710PAxis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к страховым агентам и страховым брокерам по перечислению страховых премий (взносов), не учтенные в страховых резервах</w:t>
            </w:r>
          </w:p>
        </w:tc>
        <w:tc>
          <w:tcPr>
            <w:tcW w:w="2948" w:type="dxa"/>
          </w:tcPr>
          <w:p>
            <w:pPr>
              <w:pStyle w:val="0"/>
            </w:pPr>
            <w:r>
              <w:rPr>
                <w:sz w:val="24"/>
              </w:rPr>
              <w:t xml:space="preserve">mem-int:PravTrebStrAgBrokPerechStrPremNeUchtVStrRezMember</w:t>
            </w:r>
          </w:p>
        </w:tc>
      </w:tr>
      <w:tr>
        <w:tc>
          <w:tcPr>
            <w:tcW w:w="907" w:type="dxa"/>
          </w:tcPr>
          <w:p>
            <w:pPr>
              <w:pStyle w:val="0"/>
            </w:pPr>
            <w:r>
              <w:rPr>
                <w:sz w:val="24"/>
              </w:rPr>
              <w:t xml:space="preserve">5</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6</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1 категория</w:t>
            </w:r>
          </w:p>
        </w:tc>
        <w:tc>
          <w:tcPr>
            <w:tcW w:w="2948" w:type="dxa"/>
          </w:tcPr>
          <w:p>
            <w:pPr>
              <w:pStyle w:val="0"/>
            </w:pPr>
            <w:r>
              <w:rPr>
                <w:sz w:val="24"/>
              </w:rPr>
              <w:t xml:space="preserve">mem-int:Kategor1Member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Не участвует в оценке риска 2</w:t>
            </w:r>
          </w:p>
        </w:tc>
        <w:tc>
          <w:tcPr>
            <w:tcW w:w="2948" w:type="dxa"/>
          </w:tcPr>
          <w:p>
            <w:pPr>
              <w:pStyle w:val="0"/>
            </w:pPr>
            <w:r>
              <w:rPr>
                <w:sz w:val="24"/>
              </w:rPr>
              <w:t xml:space="preserve">mem-int:NeUchOczRisk2Member</w:t>
            </w:r>
          </w:p>
        </w:tc>
      </w:tr>
      <w:tr>
        <w:tc>
          <w:tcPr>
            <w:tcW w:w="907" w:type="dxa"/>
          </w:tcPr>
          <w:p>
            <w:pPr>
              <w:pStyle w:val="0"/>
            </w:pPr>
            <w:r>
              <w:rPr>
                <w:sz w:val="24"/>
              </w:rPr>
              <w:t xml:space="preserve">7</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dim-int:St_A__Invest_Stredstva_Sr_Ss_Axis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4.2.18.2. </w:t>
      </w:r>
      <w:hyperlink w:history="0" w:anchor="P16508" w:tooltip="Подраздел 2.18.2.">
        <w:r>
          <w:rPr>
            <w:sz w:val="24"/>
            <w:color w:val="0000ff"/>
          </w:rPr>
          <w:t xml:space="preserve">Подраздел 2.18.2</w:t>
        </w:r>
      </w:hyperlink>
      <w:r>
        <w:rPr>
          <w:sz w:val="24"/>
        </w:rPr>
        <w:t xml:space="preserve"> "По обязанным лицам, отнесенным ко второй - пятой категориям контрагентов"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Права требования к страховым агентам и страховым брокерам по перечислению страховых премий (взносов), не учтенные в страховых резервах</w:t>
            </w:r>
          </w:p>
        </w:tc>
        <w:tc>
          <w:tcPr>
            <w:tcW w:w="2948" w:type="dxa"/>
          </w:tcPr>
          <w:p>
            <w:pPr>
              <w:pStyle w:val="0"/>
            </w:pPr>
            <w:r>
              <w:rPr>
                <w:sz w:val="24"/>
              </w:rPr>
              <w:t xml:space="preserve">mem-int:PravTrebStrAgBrokPerechStrPremNeUchtVStrRezMember</w:t>
            </w:r>
          </w:p>
        </w:tc>
      </w:tr>
      <w:tr>
        <w:tc>
          <w:tcPr>
            <w:tcW w:w="907" w:type="dxa"/>
          </w:tcPr>
          <w:p>
            <w:pPr>
              <w:pStyle w:val="0"/>
            </w:pPr>
            <w:r>
              <w:rPr>
                <w:sz w:val="24"/>
              </w:rPr>
              <w:t xml:space="preserve">6</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7</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4 категория</w:t>
            </w:r>
          </w:p>
        </w:tc>
        <w:tc>
          <w:tcPr>
            <w:tcW w:w="2948" w:type="dxa"/>
          </w:tcPr>
          <w:p>
            <w:pPr>
              <w:pStyle w:val="0"/>
            </w:pPr>
            <w:r>
              <w:rPr>
                <w:sz w:val="24"/>
              </w:rPr>
              <w:t xml:space="preserve">mem-int:Kategor4Member</w:t>
            </w:r>
          </w:p>
        </w:tc>
      </w:tr>
      <w:tr>
        <w:tc>
          <w:tcPr>
            <w:tcW w:w="907" w:type="dxa"/>
          </w:tcPr>
          <w:p>
            <w:pPr>
              <w:pStyle w:val="0"/>
            </w:pPr>
            <w:r>
              <w:rPr>
                <w:sz w:val="24"/>
              </w:rPr>
              <w:t xml:space="preserve">7.4</w:t>
            </w:r>
          </w:p>
        </w:tc>
        <w:tc>
          <w:tcPr>
            <w:tcW w:w="2608" w:type="dxa"/>
          </w:tcPr>
          <w:p>
            <w:pPr>
              <w:pStyle w:val="0"/>
            </w:pPr>
            <w:r>
              <w:rPr>
                <w:sz w:val="24"/>
              </w:rPr>
            </w:r>
          </w:p>
        </w:tc>
        <w:tc>
          <w:tcPr>
            <w:tcW w:w="2608" w:type="dxa"/>
          </w:tcPr>
          <w:p>
            <w:pPr>
              <w:pStyle w:val="0"/>
            </w:pPr>
            <w:r>
              <w:rPr>
                <w:sz w:val="24"/>
              </w:rPr>
              <w:t xml:space="preserve">5 категория</w:t>
            </w:r>
          </w:p>
        </w:tc>
        <w:tc>
          <w:tcPr>
            <w:tcW w:w="2948" w:type="dxa"/>
          </w:tcPr>
          <w:p>
            <w:pPr>
              <w:pStyle w:val="0"/>
            </w:pPr>
            <w:r>
              <w:rPr>
                <w:sz w:val="24"/>
              </w:rPr>
              <w:t xml:space="preserve">mem-int:Kategor5Member</w:t>
            </w:r>
          </w:p>
        </w:tc>
      </w:tr>
      <w:tr>
        <w:tc>
          <w:tcPr>
            <w:tcW w:w="907" w:type="dxa"/>
          </w:tcPr>
          <w:p>
            <w:pPr>
              <w:pStyle w:val="0"/>
            </w:pPr>
            <w:r>
              <w:rPr>
                <w:sz w:val="24"/>
              </w:rPr>
              <w:t xml:space="preserve">8</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8.3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8.4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8.5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8.6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8.7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8.8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9</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10</w:t>
            </w:r>
          </w:p>
        </w:tc>
        <w:tc>
          <w:tcPr>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dim-int:OplZadolzhDenSrAxis</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11</w:t>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dim-int:GarPoruchSootvPunkt318Axis</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12</w:t>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608" w:type="dxa"/>
          </w:tcPr>
          <w:p>
            <w:pPr>
              <w:pStyle w:val="0"/>
            </w:pPr>
            <w:r>
              <w:rPr>
                <w:sz w:val="24"/>
              </w:rPr>
            </w:r>
          </w:p>
        </w:tc>
        <w:tc>
          <w:tcPr>
            <w:tcW w:w="2948" w:type="dxa"/>
          </w:tcPr>
          <w:p>
            <w:pPr>
              <w:pStyle w:val="0"/>
            </w:pPr>
            <w:r>
              <w:rPr>
                <w:sz w:val="24"/>
              </w:rPr>
              <w:t xml:space="preserve">dim-int:PravTrebUdovlPunkt31127Axis</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13</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13.2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r>
        <w:tc>
          <w:tcPr>
            <w:tcW w:w="907" w:type="dxa"/>
          </w:tcPr>
          <w:p>
            <w:pPr>
              <w:pStyle w:val="0"/>
            </w:pPr>
            <w:r>
              <w:rPr>
                <w:sz w:val="24"/>
              </w:rPr>
              <w:t xml:space="preserve">14</w:t>
            </w:r>
          </w:p>
        </w:tc>
        <w:tc>
          <w:tcPr>
            <w:tcW w:w="2608" w:type="dxa"/>
          </w:tcPr>
          <w:p>
            <w:pPr>
              <w:pStyle w:val="0"/>
            </w:pPr>
            <w:r>
              <w:rPr>
                <w:sz w:val="24"/>
              </w:rPr>
              <w:t xml:space="preserve">Установлен срок, соответствующий предельному сроку для определения задолженности перед страховщиком</w:t>
            </w:r>
          </w:p>
        </w:tc>
        <w:tc>
          <w:tcPr>
            <w:tcW w:w="2608" w:type="dxa"/>
          </w:tcPr>
          <w:p>
            <w:pPr>
              <w:pStyle w:val="0"/>
            </w:pPr>
            <w:r>
              <w:rPr>
                <w:sz w:val="24"/>
              </w:rPr>
            </w:r>
          </w:p>
        </w:tc>
        <w:tc>
          <w:tcPr>
            <w:tcW w:w="2948" w:type="dxa"/>
          </w:tcPr>
          <w:p>
            <w:pPr>
              <w:pStyle w:val="0"/>
            </w:pPr>
            <w:r>
              <w:rPr>
                <w:sz w:val="24"/>
              </w:rPr>
              <w:t xml:space="preserve">dim-int:UstPredSrokSootvTab10Pril2PolN710PAxis</w:t>
            </w:r>
          </w:p>
        </w:tc>
      </w:tr>
      <w:tr>
        <w:tc>
          <w:tcPr>
            <w:tcW w:w="907" w:type="dxa"/>
          </w:tcPr>
          <w:p>
            <w:pPr>
              <w:pStyle w:val="0"/>
            </w:pPr>
            <w:r>
              <w:rPr>
                <w:sz w:val="24"/>
              </w:rPr>
              <w:t xml:space="preserve">14.1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5"/>
        <w:jc w:val="both"/>
      </w:pPr>
      <w:r>
        <w:rPr>
          <w:sz w:val="24"/>
        </w:rPr>
        <w:t xml:space="preserve">Подраздел 4.2.18.3. </w:t>
      </w:r>
      <w:hyperlink w:history="0" w:anchor="P16754" w:tooltip="Подраздел 2.18.3.">
        <w:r>
          <w:rPr>
            <w:sz w:val="24"/>
            <w:color w:val="0000ff"/>
          </w:rPr>
          <w:t xml:space="preserve">Подраздел 2.18.3</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Права требования к страховым агентам и страховым брокерам по перечислению страховых премий (взносов), не учтенные в страховых резервах</w:t>
            </w:r>
          </w:p>
        </w:tc>
        <w:tc>
          <w:tcPr>
            <w:tcW w:w="2948" w:type="dxa"/>
          </w:tcPr>
          <w:p>
            <w:pPr>
              <w:pStyle w:val="0"/>
            </w:pPr>
            <w:r>
              <w:rPr>
                <w:sz w:val="24"/>
              </w:rPr>
              <w:t xml:space="preserve">mem-int:PravTrebStrAgBrokPerechStrPremNeUchtVStrRezMember</w:t>
            </w:r>
          </w:p>
        </w:tc>
      </w:tr>
      <w:tr>
        <w:tc>
          <w:tcPr>
            <w:tcW w:w="907" w:type="dxa"/>
          </w:tcPr>
          <w:p>
            <w:pPr>
              <w:pStyle w:val="0"/>
            </w:pPr>
            <w:r>
              <w:rPr>
                <w:sz w:val="24"/>
              </w:rPr>
              <w:t xml:space="preserve">6</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7</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7.4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7.5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7.6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7.7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7.8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8</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9</w:t>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608" w:type="dxa"/>
          </w:tcPr>
          <w:p>
            <w:pPr>
              <w:pStyle w:val="0"/>
            </w:pPr>
            <w:r>
              <w:rPr>
                <w:sz w:val="24"/>
              </w:rPr>
            </w:r>
          </w:p>
        </w:tc>
        <w:tc>
          <w:tcPr>
            <w:tcW w:w="2948" w:type="dxa"/>
          </w:tcPr>
          <w:p>
            <w:pPr>
              <w:pStyle w:val="0"/>
            </w:pPr>
            <w:r>
              <w:rPr>
                <w:sz w:val="24"/>
              </w:rPr>
              <w:t xml:space="preserve">dim-int:PravTrebUdovlPunkt31127Axis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4.2.19. </w:t>
      </w:r>
      <w:hyperlink w:history="0" w:anchor="P16844" w:tooltip="Подраздел 2.19.">
        <w:r>
          <w:rPr>
            <w:sz w:val="24"/>
            <w:color w:val="0000ff"/>
          </w:rPr>
          <w:t xml:space="preserve">Подраздел 2.19</w:t>
        </w:r>
      </w:hyperlink>
      <w:r>
        <w:rPr>
          <w:sz w:val="24"/>
        </w:rPr>
        <w:t xml:space="preserve"> "Права требования по обязательствам страхователей, перестрахователей по уплате страховых премий (взносов), не учтенные в страховых резервах"</w:t>
      </w:r>
    </w:p>
    <w:p>
      <w:pPr>
        <w:pStyle w:val="0"/>
        <w:ind w:firstLine="540"/>
        <w:jc w:val="both"/>
      </w:pPr>
      <w:r>
        <w:rPr>
          <w:sz w:val="24"/>
        </w:rPr>
      </w:r>
    </w:p>
    <w:p>
      <w:pPr>
        <w:pStyle w:val="0"/>
        <w:outlineLvl w:val="5"/>
        <w:jc w:val="both"/>
      </w:pPr>
      <w:r>
        <w:rPr>
          <w:sz w:val="24"/>
        </w:rPr>
        <w:t xml:space="preserve">Подраздел 4.2.19.1. </w:t>
      </w:r>
      <w:hyperlink w:history="0" w:anchor="P16846" w:tooltip="Подраздел 2.19.1.">
        <w:r>
          <w:rPr>
            <w:sz w:val="24"/>
            <w:color w:val="0000ff"/>
          </w:rPr>
          <w:t xml:space="preserve">Подраздел 2.19.1</w:t>
        </w:r>
      </w:hyperlink>
      <w:r>
        <w:rPr>
          <w:sz w:val="24"/>
        </w:rPr>
        <w:t xml:space="preserve"> "По обязанным лицам, отнесенным к первой категории контрагентов или не участвующим в оценке риска 2"</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страхователей, перестрахователей по уплате страховых премий (взносов), не учтенные в страховых резервах</w:t>
            </w:r>
          </w:p>
        </w:tc>
        <w:tc>
          <w:tcPr>
            <w:tcW w:w="2948" w:type="dxa"/>
          </w:tcPr>
          <w:p>
            <w:pPr>
              <w:pStyle w:val="0"/>
            </w:pPr>
            <w:r>
              <w:rPr>
                <w:sz w:val="24"/>
              </w:rPr>
              <w:t xml:space="preserve">mem-int:PravTrebObSlPslUplStrPremNeUchtVStrRezMember</w:t>
            </w:r>
          </w:p>
        </w:tc>
      </w:tr>
      <w:tr>
        <w:tc>
          <w:tcPr>
            <w:tcW w:w="907" w:type="dxa"/>
          </w:tcPr>
          <w:p>
            <w:pPr>
              <w:pStyle w:val="0"/>
            </w:pPr>
            <w:r>
              <w:rPr>
                <w:sz w:val="24"/>
              </w:rPr>
              <w:t xml:space="preserve">5</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6</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1 категория</w:t>
            </w:r>
          </w:p>
        </w:tc>
        <w:tc>
          <w:tcPr>
            <w:tcW w:w="2948" w:type="dxa"/>
          </w:tcPr>
          <w:p>
            <w:pPr>
              <w:pStyle w:val="0"/>
            </w:pPr>
            <w:r>
              <w:rPr>
                <w:sz w:val="24"/>
              </w:rPr>
              <w:t xml:space="preserve">mem-int:Kategor1Member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Не участвует в оценке риска 2</w:t>
            </w:r>
          </w:p>
        </w:tc>
        <w:tc>
          <w:tcPr>
            <w:tcW w:w="2948" w:type="dxa"/>
          </w:tcPr>
          <w:p>
            <w:pPr>
              <w:pStyle w:val="0"/>
            </w:pPr>
            <w:r>
              <w:rPr>
                <w:sz w:val="24"/>
              </w:rPr>
              <w:t xml:space="preserve">mem-int:NeUchOczRisk2Member</w:t>
            </w:r>
          </w:p>
        </w:tc>
      </w:tr>
      <w:tr>
        <w:tc>
          <w:tcPr>
            <w:tcW w:w="907" w:type="dxa"/>
          </w:tcPr>
          <w:p>
            <w:pPr>
              <w:pStyle w:val="0"/>
            </w:pPr>
            <w:r>
              <w:rPr>
                <w:sz w:val="24"/>
              </w:rPr>
              <w:t xml:space="preserve">7</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4.2.19.2. </w:t>
      </w:r>
      <w:hyperlink w:history="0" w:anchor="P17428" w:tooltip="Подраздел 2.19.2.">
        <w:r>
          <w:rPr>
            <w:sz w:val="24"/>
            <w:color w:val="0000ff"/>
          </w:rPr>
          <w:t xml:space="preserve">Подраздел 2.19.2</w:t>
        </w:r>
      </w:hyperlink>
      <w:r>
        <w:rPr>
          <w:sz w:val="24"/>
        </w:rPr>
        <w:t xml:space="preserve"> "По обязанным лицам, отнесенным ко второй - пятой категориям контрагентов"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страхователей, перестрахователей по уплате страховых премий (взносов), не учтенные в страховых резервах</w:t>
            </w:r>
          </w:p>
        </w:tc>
        <w:tc>
          <w:tcPr>
            <w:tcW w:w="2948" w:type="dxa"/>
          </w:tcPr>
          <w:p>
            <w:pPr>
              <w:pStyle w:val="0"/>
            </w:pPr>
            <w:r>
              <w:rPr>
                <w:sz w:val="24"/>
              </w:rPr>
              <w:t xml:space="preserve">mem-int:PravTrebObSIPslUplStrPremNeUchtVStrRezMember</w:t>
            </w:r>
          </w:p>
        </w:tc>
      </w:tr>
      <w:tr>
        <w:tc>
          <w:tcPr>
            <w:tcW w:w="907" w:type="dxa"/>
          </w:tcPr>
          <w:p>
            <w:pPr>
              <w:pStyle w:val="0"/>
            </w:pPr>
            <w:r>
              <w:rPr>
                <w:sz w:val="24"/>
              </w:rPr>
              <w:t xml:space="preserve">6</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7</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4 категория</w:t>
            </w:r>
          </w:p>
        </w:tc>
        <w:tc>
          <w:tcPr>
            <w:tcW w:w="2948" w:type="dxa"/>
          </w:tcPr>
          <w:p>
            <w:pPr>
              <w:pStyle w:val="0"/>
            </w:pPr>
            <w:r>
              <w:rPr>
                <w:sz w:val="24"/>
              </w:rPr>
              <w:t xml:space="preserve">mem-int:Kategor4Member</w:t>
            </w:r>
          </w:p>
        </w:tc>
      </w:tr>
      <w:tr>
        <w:tc>
          <w:tcPr>
            <w:tcW w:w="907" w:type="dxa"/>
          </w:tcPr>
          <w:p>
            <w:pPr>
              <w:pStyle w:val="0"/>
            </w:pPr>
            <w:r>
              <w:rPr>
                <w:sz w:val="24"/>
              </w:rPr>
              <w:t xml:space="preserve">7.4</w:t>
            </w:r>
          </w:p>
        </w:tc>
        <w:tc>
          <w:tcPr>
            <w:tcW w:w="2608" w:type="dxa"/>
          </w:tcPr>
          <w:p>
            <w:pPr>
              <w:pStyle w:val="0"/>
            </w:pPr>
            <w:r>
              <w:rPr>
                <w:sz w:val="24"/>
              </w:rPr>
            </w:r>
          </w:p>
        </w:tc>
        <w:tc>
          <w:tcPr>
            <w:tcW w:w="2608" w:type="dxa"/>
          </w:tcPr>
          <w:p>
            <w:pPr>
              <w:pStyle w:val="0"/>
            </w:pPr>
            <w:r>
              <w:rPr>
                <w:sz w:val="24"/>
              </w:rPr>
              <w:t xml:space="preserve">5 категория</w:t>
            </w:r>
          </w:p>
        </w:tc>
        <w:tc>
          <w:tcPr>
            <w:tcW w:w="2948" w:type="dxa"/>
          </w:tcPr>
          <w:p>
            <w:pPr>
              <w:pStyle w:val="0"/>
            </w:pPr>
            <w:r>
              <w:rPr>
                <w:sz w:val="24"/>
              </w:rPr>
              <w:t xml:space="preserve">mem-int:Kategor5Member</w:t>
            </w:r>
          </w:p>
        </w:tc>
      </w:tr>
      <w:tr>
        <w:tc>
          <w:tcPr>
            <w:tcW w:w="907" w:type="dxa"/>
          </w:tcPr>
          <w:p>
            <w:pPr>
              <w:pStyle w:val="0"/>
            </w:pPr>
            <w:r>
              <w:rPr>
                <w:sz w:val="24"/>
              </w:rPr>
              <w:t xml:space="preserve">8</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8.3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8.4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8.5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8.6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8.7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8.8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9</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10</w:t>
            </w:r>
          </w:p>
        </w:tc>
        <w:tc>
          <w:tcPr>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dim-int:OplZadolzhDenSrAxis</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11</w:t>
            </w:r>
          </w:p>
        </w:tc>
        <w:tc>
          <w:tcPr>
            <w:tcW w:w="2608" w:type="dxa"/>
          </w:tcPr>
          <w:p>
            <w:pPr>
              <w:pStyle w:val="0"/>
            </w:pPr>
            <w:r>
              <w:rPr>
                <w:sz w:val="24"/>
              </w:rPr>
              <w:t xml:space="preserve">По договору страхования существует просрочка страховой премии (взноса)</w:t>
            </w:r>
          </w:p>
        </w:tc>
        <w:tc>
          <w:tcPr>
            <w:tcW w:w="2608" w:type="dxa"/>
          </w:tcPr>
          <w:p>
            <w:pPr>
              <w:pStyle w:val="0"/>
            </w:pPr>
            <w:r>
              <w:rPr>
                <w:sz w:val="24"/>
              </w:rPr>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12</w:t>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dim-int:GarPoruchSootvPunkt318Axis</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12.3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13</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13.2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4.2.19.3. </w:t>
      </w:r>
      <w:hyperlink w:history="0" w:anchor="P17658" w:tooltip="Подраздел 2.19.3.">
        <w:r>
          <w:rPr>
            <w:sz w:val="24"/>
            <w:color w:val="0000ff"/>
          </w:rPr>
          <w:t xml:space="preserve">Подраздел 2.19.3</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страхователей, перестрахователей по уплате страховых премий (взносов), не учтенные в страховых резервах</w:t>
            </w:r>
          </w:p>
        </w:tc>
        <w:tc>
          <w:tcPr>
            <w:tcW w:w="2948" w:type="dxa"/>
          </w:tcPr>
          <w:p>
            <w:pPr>
              <w:pStyle w:val="0"/>
            </w:pPr>
            <w:r>
              <w:rPr>
                <w:sz w:val="24"/>
              </w:rPr>
              <w:t xml:space="preserve">mem-int:PravTrebObSlPslUplStrPremNeUchtVStrRezMember</w:t>
            </w:r>
          </w:p>
        </w:tc>
      </w:tr>
      <w:tr>
        <w:tc>
          <w:tcPr>
            <w:tcW w:w="907" w:type="dxa"/>
          </w:tcPr>
          <w:p>
            <w:pPr>
              <w:pStyle w:val="0"/>
            </w:pPr>
            <w:r>
              <w:rPr>
                <w:sz w:val="24"/>
              </w:rPr>
              <w:t xml:space="preserve">6</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7</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7.4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7.5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7.6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7.7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7.8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8</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9</w:t>
            </w:r>
          </w:p>
        </w:tc>
        <w:tc>
          <w:tcPr>
            <w:tcW w:w="2608" w:type="dxa"/>
          </w:tcPr>
          <w:p>
            <w:pPr>
              <w:pStyle w:val="0"/>
            </w:pPr>
            <w:r>
              <w:rPr>
                <w:sz w:val="24"/>
              </w:rPr>
              <w:t xml:space="preserve">По договору страхования существует просрочка страховой премии (взноса)</w:t>
            </w:r>
          </w:p>
        </w:tc>
        <w:tc>
          <w:tcPr>
            <w:tcW w:w="2608" w:type="dxa"/>
          </w:tcPr>
          <w:p>
            <w:pPr>
              <w:pStyle w:val="0"/>
            </w:pPr>
            <w:r>
              <w:rPr>
                <w:sz w:val="24"/>
              </w:rPr>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9.3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4"/>
        <w:jc w:val="both"/>
      </w:pPr>
      <w:r>
        <w:rPr>
          <w:sz w:val="24"/>
        </w:rPr>
        <w:t xml:space="preserve">Подраздел 4.2.20. </w:t>
      </w:r>
      <w:hyperlink w:history="0" w:anchor="P17748" w:tooltip="Подраздел 2.20.">
        <w:r>
          <w:rPr>
            <w:sz w:val="24"/>
            <w:color w:val="0000ff"/>
          </w:rPr>
          <w:t xml:space="preserve">Подраздел 2.20</w:t>
        </w:r>
      </w:hyperlink>
      <w:r>
        <w:rPr>
          <w:sz w:val="24"/>
        </w:rPr>
        <w:t xml:space="preserve"> "Права требования в части уплаты страховых премий (взносов), учтенные в страховых резервах"</w:t>
      </w:r>
    </w:p>
    <w:p>
      <w:pPr>
        <w:pStyle w:val="0"/>
        <w:ind w:firstLine="540"/>
        <w:jc w:val="both"/>
      </w:pPr>
      <w:r>
        <w:rPr>
          <w:sz w:val="24"/>
        </w:rPr>
      </w:r>
    </w:p>
    <w:p>
      <w:pPr>
        <w:pStyle w:val="0"/>
        <w:outlineLvl w:val="5"/>
        <w:jc w:val="both"/>
      </w:pPr>
      <w:r>
        <w:rPr>
          <w:sz w:val="24"/>
        </w:rPr>
        <w:t xml:space="preserve">Подраздел 4.2.20.1. </w:t>
      </w:r>
      <w:hyperlink w:history="0" w:anchor="P17750" w:tooltip="Подраздел 2.20.1.">
        <w:r>
          <w:rPr>
            <w:sz w:val="24"/>
            <w:color w:val="0000ff"/>
          </w:rPr>
          <w:t xml:space="preserve">Подраздел 2.20.1</w:t>
        </w:r>
      </w:hyperlink>
      <w:r>
        <w:rPr>
          <w:sz w:val="24"/>
        </w:rPr>
        <w:t xml:space="preserve"> "По обязанным лицам, отнесенным к первой - третьей категориям контрагентов (кроме обязанных лиц, отраженных в </w:t>
      </w:r>
      <w:hyperlink w:history="0" w:anchor="P18088" w:tooltip="Подраздел 2.20.2.">
        <w:r>
          <w:rPr>
            <w:sz w:val="24"/>
            <w:color w:val="0000ff"/>
          </w:rPr>
          <w:t xml:space="preserve">подразделе 2.20.2</w:t>
        </w:r>
      </w:hyperlink>
      <w:r>
        <w:rPr>
          <w:sz w:val="24"/>
        </w:rPr>
        <w:t xml:space="preserve">) или не участвующим в оценке риска 2"</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учтенные в страховых резервах</w:t>
            </w:r>
          </w:p>
        </w:tc>
        <w:tc>
          <w:tcPr>
            <w:tcW w:w="2948" w:type="dxa"/>
          </w:tcPr>
          <w:p>
            <w:pPr>
              <w:pStyle w:val="0"/>
            </w:pPr>
            <w:r>
              <w:rPr>
                <w:sz w:val="24"/>
              </w:rPr>
              <w:t xml:space="preserve">mem-int:PrTrebUplatStraxPremiiVznUchtVStraxRezMember</w:t>
            </w:r>
          </w:p>
        </w:tc>
      </w:tr>
      <w:tr>
        <w:tc>
          <w:tcPr>
            <w:tcW w:w="907" w:type="dxa"/>
          </w:tcPr>
          <w:p>
            <w:pPr>
              <w:pStyle w:val="0"/>
            </w:pPr>
            <w:r>
              <w:rPr>
                <w:sz w:val="24"/>
              </w:rPr>
              <w:t xml:space="preserve">2</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3</w:t>
            </w:r>
          </w:p>
        </w:tc>
        <w:tc>
          <w:tcPr>
            <w:tcW w:w="2608" w:type="dxa"/>
          </w:tcPr>
          <w:p>
            <w:pPr>
              <w:pStyle w:val="0"/>
            </w:pPr>
            <w:r>
              <w:rPr>
                <w:sz w:val="24"/>
              </w:rPr>
              <w:t xml:space="preserve">Вид прав требования</w:t>
            </w:r>
          </w:p>
        </w:tc>
        <w:tc>
          <w:tcPr>
            <w:tcW w:w="2608" w:type="dxa"/>
          </w:tcPr>
          <w:p>
            <w:pPr>
              <w:pStyle w:val="0"/>
            </w:pPr>
            <w:r>
              <w:rPr>
                <w:sz w:val="24"/>
              </w:rPr>
            </w:r>
          </w:p>
        </w:tc>
        <w:tc>
          <w:tcPr>
            <w:tcW w:w="2948" w:type="dxa"/>
          </w:tcPr>
          <w:p>
            <w:pPr>
              <w:pStyle w:val="0"/>
            </w:pPr>
            <w:r>
              <w:rPr>
                <w:sz w:val="24"/>
              </w:rPr>
              <w:t xml:space="preserve">dim-int:VidPravTrebovanijAxis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к страховым агентам и страховым брокерам по перечислению страховых премий (взносов)</w:t>
            </w:r>
          </w:p>
        </w:tc>
        <w:tc>
          <w:tcPr>
            <w:tcW w:w="2948" w:type="dxa"/>
          </w:tcPr>
          <w:p>
            <w:pPr>
              <w:pStyle w:val="0"/>
            </w:pPr>
            <w:r>
              <w:rPr>
                <w:sz w:val="24"/>
              </w:rPr>
              <w:t xml:space="preserve">mem-int:PravTrebStrAgBrokPerechStrPremMember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страхователей, перестрахователей по уплате страховых премий (взносов)</w:t>
            </w:r>
          </w:p>
        </w:tc>
        <w:tc>
          <w:tcPr>
            <w:tcW w:w="2948" w:type="dxa"/>
          </w:tcPr>
          <w:p>
            <w:pPr>
              <w:pStyle w:val="0"/>
            </w:pPr>
            <w:r>
              <w:rPr>
                <w:sz w:val="24"/>
              </w:rPr>
              <w:t xml:space="preserve">mem-int:PravTrebObSlPslUplStrPremMember</w:t>
            </w:r>
          </w:p>
        </w:tc>
      </w:tr>
      <w:tr>
        <w:tc>
          <w:tcPr>
            <w:tcW w:w="907" w:type="dxa"/>
          </w:tcPr>
          <w:p>
            <w:pPr>
              <w:pStyle w:val="0"/>
            </w:pPr>
            <w:r>
              <w:rPr>
                <w:sz w:val="24"/>
              </w:rPr>
              <w:t xml:space="preserve">4</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1 категория</w:t>
            </w:r>
          </w:p>
        </w:tc>
        <w:tc>
          <w:tcPr>
            <w:tcW w:w="2948" w:type="dxa"/>
          </w:tcPr>
          <w:p>
            <w:pPr>
              <w:pStyle w:val="0"/>
            </w:pPr>
            <w:r>
              <w:rPr>
                <w:sz w:val="24"/>
              </w:rPr>
              <w:t xml:space="preserve">mem-int:Kategor1Member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4.4</w:t>
            </w:r>
          </w:p>
        </w:tc>
        <w:tc>
          <w:tcPr>
            <w:tcW w:w="2608" w:type="dxa"/>
          </w:tcPr>
          <w:p>
            <w:pPr>
              <w:pStyle w:val="0"/>
            </w:pPr>
            <w:r>
              <w:rPr>
                <w:sz w:val="24"/>
              </w:rPr>
            </w:r>
          </w:p>
        </w:tc>
        <w:tc>
          <w:tcPr>
            <w:tcW w:w="2608" w:type="dxa"/>
          </w:tcPr>
          <w:p>
            <w:pPr>
              <w:pStyle w:val="0"/>
            </w:pPr>
            <w:r>
              <w:rPr>
                <w:sz w:val="24"/>
              </w:rPr>
              <w:t xml:space="preserve">Не участвует в оценке риска 2</w:t>
            </w:r>
          </w:p>
        </w:tc>
        <w:tc>
          <w:tcPr>
            <w:tcW w:w="2948" w:type="dxa"/>
          </w:tcPr>
          <w:p>
            <w:pPr>
              <w:pStyle w:val="0"/>
            </w:pPr>
            <w:r>
              <w:rPr>
                <w:sz w:val="24"/>
              </w:rPr>
              <w:t xml:space="preserve">mem-int:NeUchOczRisk2Member</w:t>
            </w:r>
          </w:p>
        </w:tc>
      </w:tr>
      <w:tr>
        <w:tc>
          <w:tcPr>
            <w:tcW w:w="907" w:type="dxa"/>
          </w:tcPr>
          <w:p>
            <w:pPr>
              <w:pStyle w:val="0"/>
            </w:pPr>
            <w:r>
              <w:rPr>
                <w:sz w:val="24"/>
              </w:rPr>
              <w:t xml:space="preserve">5</w:t>
            </w:r>
          </w:p>
        </w:tc>
        <w:tc>
          <w:tcPr>
            <w:tcW w:w="2608" w:type="dxa"/>
          </w:tcPr>
          <w:p>
            <w:pPr>
              <w:pStyle w:val="0"/>
            </w:pPr>
            <w:r>
              <w:rPr>
                <w:sz w:val="24"/>
              </w:rPr>
              <w:t xml:space="preserve">По договору страхования существует просрочка страховой премии (взноса)</w:t>
            </w:r>
          </w:p>
        </w:tc>
        <w:tc>
          <w:tcPr>
            <w:tcW w:w="2608" w:type="dxa"/>
          </w:tcPr>
          <w:p>
            <w:pPr>
              <w:pStyle w:val="0"/>
            </w:pPr>
            <w:r>
              <w:rPr>
                <w:sz w:val="24"/>
              </w:rPr>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608" w:type="dxa"/>
          </w:tcPr>
          <w:p>
            <w:pPr>
              <w:pStyle w:val="0"/>
            </w:pPr>
            <w:r>
              <w:rPr>
                <w:sz w:val="24"/>
              </w:rPr>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5"/>
        <w:jc w:val="both"/>
      </w:pPr>
      <w:r>
        <w:rPr>
          <w:sz w:val="24"/>
        </w:rPr>
        <w:t xml:space="preserve">Подраздел 4.2.20.2. </w:t>
      </w:r>
      <w:hyperlink w:history="0" w:anchor="P18088" w:tooltip="Подраздел 2.20.2.">
        <w:r>
          <w:rPr>
            <w:sz w:val="24"/>
            <w:color w:val="0000ff"/>
          </w:rPr>
          <w:t xml:space="preserve">Подраздел 2.20.2</w:t>
        </w:r>
      </w:hyperlink>
      <w:r>
        <w:rPr>
          <w:sz w:val="24"/>
        </w:rPr>
        <w:t xml:space="preserve"> "По обязанным лицам, отнесенным ко второй - пятой категориям контрагентов"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учтенные в страховых резервах</w:t>
            </w:r>
          </w:p>
        </w:tc>
        <w:tc>
          <w:tcPr>
            <w:tcW w:w="2948" w:type="dxa"/>
          </w:tcPr>
          <w:p>
            <w:pPr>
              <w:pStyle w:val="0"/>
            </w:pPr>
            <w:r>
              <w:rPr>
                <w:sz w:val="24"/>
              </w:rPr>
              <w:t xml:space="preserve">mem-int:PrTrebUplatStraxPremiiVznUchtVStraxRezMember</w:t>
            </w:r>
          </w:p>
        </w:tc>
      </w:tr>
      <w:tr>
        <w:tc>
          <w:tcPr>
            <w:tcW w:w="907" w:type="dxa"/>
          </w:tcPr>
          <w:p>
            <w:pPr>
              <w:pStyle w:val="0"/>
            </w:pPr>
            <w:r>
              <w:rPr>
                <w:sz w:val="24"/>
              </w:rPr>
              <w:t xml:space="preserve">2</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3</w:t>
            </w:r>
          </w:p>
        </w:tc>
        <w:tc>
          <w:tcPr>
            <w:tcW w:w="2608" w:type="dxa"/>
          </w:tcPr>
          <w:p>
            <w:pPr>
              <w:pStyle w:val="0"/>
            </w:pPr>
            <w:r>
              <w:rPr>
                <w:sz w:val="24"/>
              </w:rPr>
              <w:t xml:space="preserve">Вид прав требования</w:t>
            </w:r>
          </w:p>
        </w:tc>
        <w:tc>
          <w:tcPr>
            <w:tcW w:w="2608" w:type="dxa"/>
          </w:tcPr>
          <w:p>
            <w:pPr>
              <w:pStyle w:val="0"/>
            </w:pPr>
            <w:r>
              <w:rPr>
                <w:sz w:val="24"/>
              </w:rPr>
            </w:r>
          </w:p>
        </w:tc>
        <w:tc>
          <w:tcPr>
            <w:tcW w:w="2948" w:type="dxa"/>
          </w:tcPr>
          <w:p>
            <w:pPr>
              <w:pStyle w:val="0"/>
            </w:pPr>
            <w:r>
              <w:rPr>
                <w:sz w:val="24"/>
              </w:rPr>
              <w:t xml:space="preserve">dim-int:VidPravTrebovanijAxis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к страховым агентам и страховым брокерам по перечислению страховых премий (взносов)</w:t>
            </w:r>
          </w:p>
        </w:tc>
        <w:tc>
          <w:tcPr>
            <w:tcW w:w="2948" w:type="dxa"/>
          </w:tcPr>
          <w:p>
            <w:pPr>
              <w:pStyle w:val="0"/>
            </w:pPr>
            <w:r>
              <w:rPr>
                <w:sz w:val="24"/>
              </w:rPr>
              <w:t xml:space="preserve">mem-int:PravTrebStrAgBrokPerechStrPremMember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страхователей, перестрахователей по уплате страховых премий (взносов)</w:t>
            </w:r>
          </w:p>
        </w:tc>
        <w:tc>
          <w:tcPr>
            <w:tcW w:w="2948" w:type="dxa"/>
          </w:tcPr>
          <w:p>
            <w:pPr>
              <w:pStyle w:val="0"/>
            </w:pPr>
            <w:r>
              <w:rPr>
                <w:sz w:val="24"/>
              </w:rPr>
              <w:t xml:space="preserve">mem-int:PravTrebObSlPslUplStrPremMember</w:t>
            </w:r>
          </w:p>
        </w:tc>
      </w:tr>
      <w:tr>
        <w:tc>
          <w:tcPr>
            <w:tcW w:w="907" w:type="dxa"/>
          </w:tcPr>
          <w:p>
            <w:pPr>
              <w:pStyle w:val="0"/>
            </w:pPr>
            <w:r>
              <w:rPr>
                <w:sz w:val="24"/>
              </w:rPr>
              <w:t xml:space="preserve">4</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4 категория</w:t>
            </w:r>
          </w:p>
        </w:tc>
        <w:tc>
          <w:tcPr>
            <w:tcW w:w="2948" w:type="dxa"/>
          </w:tcPr>
          <w:p>
            <w:pPr>
              <w:pStyle w:val="0"/>
            </w:pPr>
            <w:r>
              <w:rPr>
                <w:sz w:val="24"/>
              </w:rPr>
              <w:t xml:space="preserve">mem-int:Kategor4Member</w:t>
            </w:r>
          </w:p>
        </w:tc>
      </w:tr>
      <w:tr>
        <w:tc>
          <w:tcPr>
            <w:tcW w:w="907" w:type="dxa"/>
          </w:tcPr>
          <w:p>
            <w:pPr>
              <w:pStyle w:val="0"/>
            </w:pPr>
            <w:r>
              <w:rPr>
                <w:sz w:val="24"/>
              </w:rPr>
              <w:t xml:space="preserve">4.4</w:t>
            </w:r>
          </w:p>
        </w:tc>
        <w:tc>
          <w:tcPr>
            <w:tcW w:w="2608" w:type="dxa"/>
          </w:tcPr>
          <w:p>
            <w:pPr>
              <w:pStyle w:val="0"/>
            </w:pPr>
            <w:r>
              <w:rPr>
                <w:sz w:val="24"/>
              </w:rPr>
            </w:r>
          </w:p>
        </w:tc>
        <w:tc>
          <w:tcPr>
            <w:tcW w:w="2608" w:type="dxa"/>
          </w:tcPr>
          <w:p>
            <w:pPr>
              <w:pStyle w:val="0"/>
            </w:pPr>
            <w:r>
              <w:rPr>
                <w:sz w:val="24"/>
              </w:rPr>
              <w:t xml:space="preserve">5 категория</w:t>
            </w:r>
          </w:p>
        </w:tc>
        <w:tc>
          <w:tcPr>
            <w:tcW w:w="2948" w:type="dxa"/>
          </w:tcPr>
          <w:p>
            <w:pPr>
              <w:pStyle w:val="0"/>
            </w:pPr>
            <w:r>
              <w:rPr>
                <w:sz w:val="24"/>
              </w:rPr>
              <w:t xml:space="preserve">mem-int:Kategor5Member</w:t>
            </w:r>
          </w:p>
        </w:tc>
      </w:tr>
      <w:tr>
        <w:tc>
          <w:tcPr>
            <w:tcW w:w="907" w:type="dxa"/>
          </w:tcPr>
          <w:p>
            <w:pPr>
              <w:pStyle w:val="0"/>
            </w:pPr>
            <w:r>
              <w:rPr>
                <w:sz w:val="24"/>
              </w:rPr>
              <w:t xml:space="preserve">5</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5.4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5.5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5.6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5.7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5.8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6</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7</w:t>
            </w:r>
          </w:p>
        </w:tc>
        <w:tc>
          <w:tcPr>
            <w:tcW w:w="2608" w:type="dxa"/>
          </w:tcPr>
          <w:p>
            <w:pPr>
              <w:pStyle w:val="0"/>
            </w:pPr>
            <w:r>
              <w:rPr>
                <w:sz w:val="24"/>
              </w:rPr>
              <w:t xml:space="preserve">По договору страхования существует просрочка страховой премии (взноса)</w:t>
            </w:r>
          </w:p>
        </w:tc>
        <w:tc>
          <w:tcPr>
            <w:tcW w:w="2608" w:type="dxa"/>
          </w:tcPr>
          <w:p>
            <w:pPr>
              <w:pStyle w:val="0"/>
            </w:pPr>
            <w:r>
              <w:rPr>
                <w:sz w:val="24"/>
              </w:rPr>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8</w:t>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dim-int:GarPoruchSootvPunkt318Axis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8.3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9</w:t>
            </w:r>
          </w:p>
        </w:tc>
        <w:tc>
          <w:tcPr>
            <w:tcW w:w="2608" w:type="dxa"/>
          </w:tcPr>
          <w:p>
            <w:pPr>
              <w:pStyle w:val="0"/>
            </w:pPr>
            <w:r>
              <w:rPr>
                <w:sz w:val="24"/>
              </w:rPr>
              <w:t xml:space="preserve">Права требования в части уплаты страховых премий (взносов), исключенные из концентрации на обязанное лицо</w:t>
            </w:r>
          </w:p>
        </w:tc>
        <w:tc>
          <w:tcPr>
            <w:tcW w:w="2608" w:type="dxa"/>
          </w:tcPr>
          <w:p>
            <w:pPr>
              <w:pStyle w:val="0"/>
            </w:pPr>
            <w:r>
              <w:rPr>
                <w:sz w:val="24"/>
              </w:rPr>
            </w:r>
          </w:p>
        </w:tc>
        <w:tc>
          <w:tcPr>
            <w:tcW w:w="2948" w:type="dxa"/>
          </w:tcPr>
          <w:p>
            <w:pPr>
              <w:pStyle w:val="0"/>
            </w:pPr>
            <w:r>
              <w:rPr>
                <w:sz w:val="24"/>
              </w:rPr>
              <w:t xml:space="preserve">dim-int:PravaTrebVChastiUplStrPremIsklIzKonczNaObLiczoAxis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9.3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5"/>
        <w:jc w:val="both"/>
      </w:pPr>
      <w:r>
        <w:rPr>
          <w:sz w:val="24"/>
        </w:rPr>
        <w:t xml:space="preserve">Подраздел 4.2.20.3. </w:t>
      </w:r>
      <w:hyperlink w:history="0" w:anchor="P18178" w:tooltip="Подраздел 2.20.3.">
        <w:r>
          <w:rPr>
            <w:sz w:val="24"/>
            <w:color w:val="0000ff"/>
          </w:rPr>
          <w:t xml:space="preserve">Подраздел 2.20.3</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Права требования в части уплаты страховых премий (взносов), учтенные в страховых резервах</w:t>
            </w:r>
          </w:p>
        </w:tc>
        <w:tc>
          <w:tcPr>
            <w:tcW w:w="2948" w:type="dxa"/>
          </w:tcPr>
          <w:p>
            <w:pPr>
              <w:pStyle w:val="0"/>
            </w:pPr>
            <w:r>
              <w:rPr>
                <w:sz w:val="24"/>
              </w:rPr>
              <w:t xml:space="preserve">mem-int:PrTrebUplatStraxPremiiVznUchtVStraxRezMember</w:t>
            </w:r>
          </w:p>
        </w:tc>
      </w:tr>
      <w:tr>
        <w:tc>
          <w:tcPr>
            <w:tcW w:w="907" w:type="dxa"/>
          </w:tcPr>
          <w:p>
            <w:pPr>
              <w:pStyle w:val="0"/>
            </w:pPr>
            <w:r>
              <w:rPr>
                <w:sz w:val="24"/>
              </w:rPr>
              <w:t xml:space="preserve">2</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3</w:t>
            </w:r>
          </w:p>
        </w:tc>
        <w:tc>
          <w:tcPr>
            <w:tcW w:w="2608" w:type="dxa"/>
          </w:tcPr>
          <w:p>
            <w:pPr>
              <w:pStyle w:val="0"/>
            </w:pPr>
            <w:r>
              <w:rPr>
                <w:sz w:val="24"/>
              </w:rPr>
              <w:t xml:space="preserve">Вид прав требования</w:t>
            </w:r>
          </w:p>
        </w:tc>
        <w:tc>
          <w:tcPr>
            <w:tcW w:w="2608" w:type="dxa"/>
          </w:tcPr>
          <w:p>
            <w:pPr>
              <w:pStyle w:val="0"/>
            </w:pPr>
            <w:r>
              <w:rPr>
                <w:sz w:val="24"/>
              </w:rPr>
            </w:r>
          </w:p>
        </w:tc>
        <w:tc>
          <w:tcPr>
            <w:tcW w:w="2948" w:type="dxa"/>
          </w:tcPr>
          <w:p>
            <w:pPr>
              <w:pStyle w:val="0"/>
            </w:pPr>
            <w:r>
              <w:rPr>
                <w:sz w:val="24"/>
              </w:rPr>
              <w:t xml:space="preserve">dim-int:VidPravTrebovanijAxis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к страховым агентам и страховым брокерам по перечислению страховых премий (взносов)</w:t>
            </w:r>
          </w:p>
        </w:tc>
        <w:tc>
          <w:tcPr>
            <w:tcW w:w="2948" w:type="dxa"/>
          </w:tcPr>
          <w:p>
            <w:pPr>
              <w:pStyle w:val="0"/>
            </w:pPr>
            <w:r>
              <w:rPr>
                <w:sz w:val="24"/>
              </w:rPr>
              <w:t xml:space="preserve">mem-int:PravTrebStrAgBrokPerechStrPremMember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страхователей, перестрахователей по уплате страховых премий (взносов)</w:t>
            </w:r>
          </w:p>
        </w:tc>
        <w:tc>
          <w:tcPr>
            <w:tcW w:w="2948" w:type="dxa"/>
          </w:tcPr>
          <w:p>
            <w:pPr>
              <w:pStyle w:val="0"/>
            </w:pPr>
            <w:r>
              <w:rPr>
                <w:sz w:val="24"/>
              </w:rPr>
              <w:t xml:space="preserve">mem-int:PravTrebObSlPslUplStrPremMember</w:t>
            </w:r>
          </w:p>
        </w:tc>
      </w:tr>
      <w:tr>
        <w:tc>
          <w:tcPr>
            <w:tcW w:w="907" w:type="dxa"/>
          </w:tcPr>
          <w:p>
            <w:pPr>
              <w:pStyle w:val="0"/>
            </w:pPr>
            <w:r>
              <w:rPr>
                <w:sz w:val="24"/>
              </w:rPr>
              <w:t xml:space="preserve">4</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4.4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4.5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4.6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4.7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4.8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5</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6</w:t>
            </w:r>
          </w:p>
        </w:tc>
        <w:tc>
          <w:tcPr>
            <w:tcW w:w="2608" w:type="dxa"/>
          </w:tcPr>
          <w:p>
            <w:pPr>
              <w:pStyle w:val="0"/>
            </w:pPr>
            <w:r>
              <w:rPr>
                <w:sz w:val="24"/>
              </w:rPr>
              <w:t xml:space="preserve">По договору страхования существует просрочка страховой премии (взноса)</w:t>
            </w:r>
          </w:p>
        </w:tc>
        <w:tc>
          <w:tcPr>
            <w:tcW w:w="2608" w:type="dxa"/>
          </w:tcPr>
          <w:p>
            <w:pPr>
              <w:pStyle w:val="0"/>
            </w:pPr>
            <w:r>
              <w:rPr>
                <w:sz w:val="24"/>
              </w:rPr>
            </w:r>
          </w:p>
        </w:tc>
        <w:tc>
          <w:tcPr>
            <w:tcW w:w="2948" w:type="dxa"/>
          </w:tcPr>
          <w:p>
            <w:pPr>
              <w:pStyle w:val="0"/>
            </w:pPr>
            <w:r>
              <w:rPr>
                <w:sz w:val="24"/>
              </w:rPr>
              <w:t xml:space="preserve">dim-int:PoDogStraxSushProsrStrPremXznSrokBol5RabDnejAxis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bl>
    <w:p>
      <w:pPr>
        <w:pStyle w:val="0"/>
        <w:ind w:firstLine="540"/>
        <w:jc w:val="both"/>
      </w:pPr>
      <w:r>
        <w:rPr>
          <w:sz w:val="24"/>
        </w:rPr>
      </w:r>
    </w:p>
    <w:p>
      <w:pPr>
        <w:pStyle w:val="0"/>
        <w:outlineLvl w:val="4"/>
        <w:jc w:val="both"/>
      </w:pPr>
      <w:r>
        <w:rPr>
          <w:sz w:val="24"/>
        </w:rPr>
        <w:t xml:space="preserve">Подраздел 4.2.21. </w:t>
      </w:r>
      <w:hyperlink w:history="0" w:anchor="P18244" w:tooltip="Подраздел 2.21.">
        <w:r>
          <w:rPr>
            <w:sz w:val="24"/>
            <w:color w:val="0000ff"/>
          </w:rPr>
          <w:t xml:space="preserve">Подраздел 2.21</w:t>
        </w:r>
      </w:hyperlink>
      <w:r>
        <w:rPr>
          <w:sz w:val="24"/>
        </w:rPr>
        <w:t xml:space="preserve"> "Права требования по обязательствам страхователя - физического лица по возврату займа, полученного при осуществлении страхования жизни"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по обязательствам страхователя - физического лица по возврату займа, полученного при осуществлении страхования жизни</w:t>
            </w:r>
          </w:p>
        </w:tc>
        <w:tc>
          <w:tcPr>
            <w:tcW w:w="2948" w:type="dxa"/>
          </w:tcPr>
          <w:p>
            <w:pPr>
              <w:pStyle w:val="0"/>
            </w:pPr>
            <w:r>
              <w:rPr>
                <w:sz w:val="24"/>
              </w:rPr>
              <w:t xml:space="preserve">mem-int:PravTrebObSlFlZajmStrZhMember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mem-int:St_A_Invest_Stredstva-SS_Kapital_Member</w:t>
            </w:r>
          </w:p>
        </w:tc>
      </w:tr>
    </w:tbl>
    <w:p>
      <w:pPr>
        <w:pStyle w:val="0"/>
        <w:ind w:firstLine="540"/>
        <w:jc w:val="both"/>
      </w:pPr>
      <w:r>
        <w:rPr>
          <w:sz w:val="24"/>
        </w:rPr>
      </w:r>
    </w:p>
    <w:p>
      <w:pPr>
        <w:pStyle w:val="0"/>
        <w:outlineLvl w:val="4"/>
        <w:jc w:val="both"/>
      </w:pPr>
      <w:r>
        <w:rPr>
          <w:sz w:val="24"/>
        </w:rPr>
        <w:t xml:space="preserve">Подраздел 4.2.22. </w:t>
      </w:r>
      <w:hyperlink w:history="0" w:anchor="P18862" w:tooltip="Подраздел 2.22.">
        <w:r>
          <w:rPr>
            <w:sz w:val="24"/>
            <w:color w:val="0000ff"/>
          </w:rPr>
          <w:t xml:space="preserve">Подраздел 2.22</w:t>
        </w:r>
      </w:hyperlink>
      <w:r>
        <w:rPr>
          <w:sz w:val="24"/>
        </w:rPr>
        <w:t xml:space="preserve"> "Права требования к перестраховщикам по урегулированию убытков, не учтенные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по урегулированию убытков, не учтенные в страховых резервах</w:t>
            </w:r>
          </w:p>
        </w:tc>
        <w:tc>
          <w:tcPr>
            <w:tcW w:w="2948" w:type="dxa"/>
          </w:tcPr>
          <w:p>
            <w:pPr>
              <w:pStyle w:val="0"/>
            </w:pPr>
            <w:r>
              <w:rPr>
                <w:sz w:val="24"/>
              </w:rPr>
              <w:t xml:space="preserve">mem-int:PravTrebPskUregUbNeUchtVStrRezMember</w:t>
            </w:r>
          </w:p>
        </w:tc>
      </w:tr>
      <w:tr>
        <w:tc>
          <w:tcPr>
            <w:tcW w:w="907" w:type="dxa"/>
          </w:tcPr>
          <w:p>
            <w:pPr>
              <w:pStyle w:val="0"/>
            </w:pPr>
            <w:r>
              <w:rPr>
                <w:sz w:val="24"/>
              </w:rPr>
              <w:t xml:space="preserve">4</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4.2.22.1. </w:t>
      </w:r>
      <w:hyperlink w:history="0" w:anchor="P19476" w:tooltip="Подраздел 2.22.1.">
        <w:r>
          <w:rPr>
            <w:sz w:val="24"/>
            <w:color w:val="0000ff"/>
          </w:rPr>
          <w:t xml:space="preserve">Подраздел 2.22.1</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dim-int:AktDogOsopoAxis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dim-int:AktDogOsgopAxis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по урегулированию убытков, не учтенные в страховых резервах</w:t>
            </w:r>
          </w:p>
        </w:tc>
        <w:tc>
          <w:tcPr>
            <w:tcW w:w="2948" w:type="dxa"/>
          </w:tcPr>
          <w:p>
            <w:pPr>
              <w:pStyle w:val="0"/>
            </w:pPr>
            <w:r>
              <w:rPr>
                <w:sz w:val="24"/>
              </w:rPr>
              <w:t xml:space="preserve">mem-int:PravTrebPskUregUbNeUchtVStrRezMember</w:t>
            </w:r>
          </w:p>
        </w:tc>
      </w:tr>
      <w:tr>
        <w:tc>
          <w:tcPr>
            <w:tcW w:w="907" w:type="dxa"/>
          </w:tcPr>
          <w:p>
            <w:pPr>
              <w:pStyle w:val="0"/>
            </w:pPr>
            <w:r>
              <w:rPr>
                <w:sz w:val="24"/>
              </w:rPr>
              <w:t xml:space="preserve">7</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8</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8.3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8.4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8.5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8.6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8.7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8.8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9</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10</w:t>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608" w:type="dxa"/>
          </w:tcPr>
          <w:p>
            <w:pPr>
              <w:pStyle w:val="0"/>
            </w:pPr>
            <w:r>
              <w:rPr>
                <w:sz w:val="24"/>
              </w:rPr>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6"/>
        <w:jc w:val="both"/>
      </w:pPr>
      <w:r>
        <w:rPr>
          <w:sz w:val="24"/>
        </w:rPr>
        <w:t xml:space="preserve">Подраздел 4.2.22.1.1. </w:t>
      </w:r>
      <w:hyperlink w:history="0" w:anchor="P19574" w:tooltip="Подраздел 2.22.1.1.">
        <w:r>
          <w:rPr>
            <w:sz w:val="24"/>
            <w:color w:val="0000ff"/>
          </w:rPr>
          <w:t xml:space="preserve">Подраздел 2.22.1.1</w:t>
        </w:r>
      </w:hyperlink>
      <w:r>
        <w:rPr>
          <w:sz w:val="24"/>
        </w:rPr>
        <w:t xml:space="preserve"> "По отдельным контрагентам"</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по урегулированию убытков, не учтенные в страховых резервах</w:t>
            </w:r>
          </w:p>
        </w:tc>
        <w:tc>
          <w:tcPr>
            <w:tcW w:w="2948" w:type="dxa"/>
          </w:tcPr>
          <w:p>
            <w:pPr>
              <w:pStyle w:val="0"/>
            </w:pPr>
            <w:r>
              <w:rPr>
                <w:sz w:val="24"/>
              </w:rPr>
              <w:t xml:space="preserve">mem-int:PravTrebPskUregUbNeUchtVStrRezMember</w:t>
            </w:r>
          </w:p>
        </w:tc>
      </w:tr>
    </w:tbl>
    <w:p>
      <w:pPr>
        <w:pStyle w:val="0"/>
        <w:ind w:firstLine="540"/>
        <w:jc w:val="both"/>
      </w:pPr>
      <w:r>
        <w:rPr>
          <w:sz w:val="24"/>
        </w:rPr>
      </w:r>
    </w:p>
    <w:p>
      <w:pPr>
        <w:pStyle w:val="0"/>
        <w:outlineLvl w:val="4"/>
        <w:jc w:val="both"/>
      </w:pPr>
      <w:r>
        <w:rPr>
          <w:sz w:val="24"/>
        </w:rPr>
        <w:t xml:space="preserve">Подраздел 4.2.23. </w:t>
      </w:r>
      <w:hyperlink w:history="0" w:anchor="P19592" w:tooltip="Подраздел 2.23.">
        <w:r>
          <w:rPr>
            <w:sz w:val="24"/>
            <w:color w:val="0000ff"/>
          </w:rPr>
          <w:t xml:space="preserve">Подраздел 2.23</w:t>
        </w:r>
      </w:hyperlink>
      <w:r>
        <w:rPr>
          <w:sz w:val="24"/>
        </w:rPr>
        <w:t xml:space="preserve"> "Права требования в рамках расчетов по прямому возмещению убытков, не учтенные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в рамках расчетов по прямому возмещению убытков, не учтенные в страховых резервах</w:t>
            </w:r>
          </w:p>
        </w:tc>
        <w:tc>
          <w:tcPr>
            <w:tcW w:w="2948" w:type="dxa"/>
          </w:tcPr>
          <w:p>
            <w:pPr>
              <w:pStyle w:val="0"/>
            </w:pPr>
            <w:r>
              <w:rPr>
                <w:sz w:val="24"/>
              </w:rPr>
              <w:t xml:space="preserve">mem-int:PravTrebRaschPVUNeUchtVStrRezMember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4.2.24. </w:t>
      </w:r>
      <w:hyperlink w:history="0" w:anchor="P19658" w:tooltip="Подраздел 2.24.">
        <w:r>
          <w:rPr>
            <w:sz w:val="24"/>
            <w:color w:val="0000ff"/>
          </w:rPr>
          <w:t xml:space="preserve">Подраздел 2.24</w:t>
        </w:r>
      </w:hyperlink>
      <w:r>
        <w:rPr>
          <w:sz w:val="24"/>
        </w:rPr>
        <w:t xml:space="preserve"> "Права требования по суброгациям и регрессам, не учтенные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по суброгациям и регрессам, не учтенные в страховых резервах</w:t>
            </w:r>
          </w:p>
        </w:tc>
        <w:tc>
          <w:tcPr>
            <w:tcW w:w="2948" w:type="dxa"/>
          </w:tcPr>
          <w:p>
            <w:pPr>
              <w:pStyle w:val="0"/>
            </w:pPr>
            <w:r>
              <w:rPr>
                <w:sz w:val="24"/>
              </w:rPr>
              <w:t xml:space="preserve">mem-int:PravTrebSubrRegrNeUchtVStrRezMember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4.2.24.1. </w:t>
      </w:r>
      <w:hyperlink w:history="0" w:anchor="P20080" w:tooltip="Подраздел 2.24.1.">
        <w:r>
          <w:rPr>
            <w:sz w:val="24"/>
            <w:color w:val="0000ff"/>
          </w:rPr>
          <w:t xml:space="preserve">Подраздел 2.24.1</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dim-int:AktDogOsopoAxis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dim-int:AktDogOsgopAxis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Права требования по суброгациям и регрессам, не учтенные в страховых резервах</w:t>
            </w:r>
          </w:p>
        </w:tc>
        <w:tc>
          <w:tcPr>
            <w:tcW w:w="2948" w:type="dxa"/>
          </w:tcPr>
          <w:p>
            <w:pPr>
              <w:pStyle w:val="0"/>
            </w:pPr>
            <w:r>
              <w:rPr>
                <w:sz w:val="24"/>
              </w:rPr>
              <w:t xml:space="preserve">mem-int:PravTrebSubrRegrNeUchtVStrRezMember</w:t>
            </w:r>
          </w:p>
        </w:tc>
      </w:tr>
      <w:tr>
        <w:tc>
          <w:tcPr>
            <w:tcW w:w="907" w:type="dxa"/>
          </w:tcPr>
          <w:p>
            <w:pPr>
              <w:pStyle w:val="0"/>
            </w:pPr>
            <w:r>
              <w:rPr>
                <w:sz w:val="24"/>
              </w:rPr>
              <w:t xml:space="preserve">6</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7</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7.4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7.5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7.6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7.7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7.8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8</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9</w:t>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608" w:type="dxa"/>
          </w:tcPr>
          <w:p>
            <w:pPr>
              <w:pStyle w:val="0"/>
            </w:pPr>
            <w:r>
              <w:rPr>
                <w:sz w:val="24"/>
              </w:rPr>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10</w:t>
            </w:r>
          </w:p>
        </w:tc>
        <w:tc>
          <w:tcPr>
            <w:tcW w:w="2608" w:type="dxa"/>
          </w:tcPr>
          <w:p>
            <w:pPr>
              <w:pStyle w:val="0"/>
            </w:pPr>
            <w:r>
              <w:rPr>
                <w:sz w:val="24"/>
              </w:rPr>
              <w:t xml:space="preserve">Права требования относятся к правам требования к страховщику, основанным на суброгации или регрессе и установленным вступившим в законную силу решением суда</w:t>
            </w:r>
          </w:p>
        </w:tc>
        <w:tc>
          <w:tcPr>
            <w:tcW w:w="2608" w:type="dxa"/>
          </w:tcPr>
          <w:p>
            <w:pPr>
              <w:pStyle w:val="0"/>
            </w:pPr>
            <w:r>
              <w:rPr>
                <w:sz w:val="24"/>
              </w:rPr>
            </w:r>
          </w:p>
        </w:tc>
        <w:tc>
          <w:tcPr>
            <w:tcW w:w="2948" w:type="dxa"/>
          </w:tcPr>
          <w:p>
            <w:pPr>
              <w:pStyle w:val="0"/>
            </w:pPr>
            <w:r>
              <w:rPr>
                <w:sz w:val="24"/>
              </w:rPr>
              <w:t xml:space="preserve">dim-int:PravaTrebSootvAbz5p3.1.12.10p3.1_710PAxis</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4.2.25. </w:t>
      </w:r>
      <w:hyperlink w:history="0" w:anchor="P20178" w:tooltip="Подраздел 2.25.">
        <w:r>
          <w:rPr>
            <w:sz w:val="24"/>
            <w:color w:val="0000ff"/>
          </w:rPr>
          <w:t xml:space="preserve">Подраздел 2.25</w:t>
        </w:r>
      </w:hyperlink>
      <w:r>
        <w:rPr>
          <w:sz w:val="24"/>
        </w:rPr>
        <w:t xml:space="preserve"> "Права требования к медицинским организациям и учреждениям санаторно-курортного профиля"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к медицинским организациям и учреждениям санаторно-курортного профиля</w:t>
            </w:r>
          </w:p>
        </w:tc>
        <w:tc>
          <w:tcPr>
            <w:tcW w:w="2948" w:type="dxa"/>
          </w:tcPr>
          <w:p>
            <w:pPr>
              <w:pStyle w:val="0"/>
            </w:pPr>
            <w:r>
              <w:rPr>
                <w:sz w:val="24"/>
              </w:rPr>
              <w:t xml:space="preserve">mem-int:PravTrebMOSanKurMember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4.2.25.1. </w:t>
      </w:r>
      <w:hyperlink w:history="0" w:anchor="P20380" w:tooltip="Подраздел 2.25.1.">
        <w:r>
          <w:rPr>
            <w:sz w:val="24"/>
            <w:color w:val="0000ff"/>
          </w:rPr>
          <w:t xml:space="preserve">Подраздел 2.25.1</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к медицинским организациям и учреждениям санаторно-курортного профиля</w:t>
            </w:r>
          </w:p>
        </w:tc>
        <w:tc>
          <w:tcPr>
            <w:tcW w:w="2948" w:type="dxa"/>
          </w:tcPr>
          <w:p>
            <w:pPr>
              <w:pStyle w:val="0"/>
            </w:pPr>
            <w:r>
              <w:rPr>
                <w:sz w:val="24"/>
              </w:rPr>
              <w:t xml:space="preserve">mem-int:PravTrebMOSanKurMember</w:t>
            </w:r>
          </w:p>
        </w:tc>
      </w:tr>
      <w:tr>
        <w:tc>
          <w:tcPr>
            <w:tcW w:w="907" w:type="dxa"/>
          </w:tcPr>
          <w:p>
            <w:pPr>
              <w:pStyle w:val="0"/>
            </w:pPr>
            <w:r>
              <w:rPr>
                <w:sz w:val="24"/>
              </w:rPr>
              <w:t xml:space="preserve">5</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6</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6.5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6.6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6.7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6.8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7</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4.2.26. </w:t>
      </w:r>
      <w:hyperlink w:history="0" w:anchor="P20454" w:tooltip="Подраздел 2.26.">
        <w:r>
          <w:rPr>
            <w:sz w:val="24"/>
            <w:color w:val="0000ff"/>
          </w:rPr>
          <w:t xml:space="preserve">Подраздел 2.26</w:t>
        </w:r>
      </w:hyperlink>
      <w:r>
        <w:rPr>
          <w:sz w:val="24"/>
        </w:rPr>
        <w:t xml:space="preserve"> "Права требования по возврату излишне уплаченных (взысканных) страховых взносов по обязательному социальному страхованию"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по возврату излишне уплаченных (взысканных) страховых взносов по обязательному социальному страхованию</w:t>
            </w:r>
          </w:p>
        </w:tc>
        <w:tc>
          <w:tcPr>
            <w:tcW w:w="2948" w:type="dxa"/>
          </w:tcPr>
          <w:p>
            <w:pPr>
              <w:pStyle w:val="0"/>
            </w:pPr>
            <w:r>
              <w:rPr>
                <w:sz w:val="24"/>
              </w:rPr>
              <w:t xml:space="preserve">mem-int:PravTrebVozvrIzlUplStrVznObSocStrMember</w:t>
            </w:r>
          </w:p>
        </w:tc>
      </w:tr>
      <w:tr>
        <w:tc>
          <w:tcPr>
            <w:tcW w:w="907" w:type="dxa"/>
          </w:tcPr>
          <w:p>
            <w:pPr>
              <w:pStyle w:val="0"/>
            </w:pPr>
            <w:r>
              <w:rPr>
                <w:sz w:val="24"/>
              </w:rPr>
              <w:t xml:space="preserve">4</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dim-int:St_A_lnvest_Stredstva_Sr_Ss_Axis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4.2.27. </w:t>
      </w:r>
      <w:hyperlink w:history="0" w:anchor="P20524" w:tooltip="Подраздел 2.27.">
        <w:r>
          <w:rPr>
            <w:sz w:val="24"/>
            <w:color w:val="0000ff"/>
          </w:rPr>
          <w:t xml:space="preserve">Подраздел 2.27</w:t>
        </w:r>
      </w:hyperlink>
      <w:r>
        <w:rPr>
          <w:sz w:val="24"/>
        </w:rPr>
        <w:t xml:space="preserve"> "Права требования по авансовым платежам по налогам, задолженности бюджетов по налогам и сборам"</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по авансовым платежам по налогам, задолженности бюджетов по налогам и сборам</w:t>
            </w:r>
          </w:p>
        </w:tc>
        <w:tc>
          <w:tcPr>
            <w:tcW w:w="2948" w:type="dxa"/>
          </w:tcPr>
          <w:p>
            <w:pPr>
              <w:pStyle w:val="0"/>
            </w:pPr>
            <w:r>
              <w:rPr>
                <w:sz w:val="24"/>
              </w:rPr>
              <w:t xml:space="preserve">mem-int:PravTrebAvPlatNalZadBudgNalSborMember</w:t>
            </w:r>
          </w:p>
        </w:tc>
      </w:tr>
      <w:tr>
        <w:tc>
          <w:tcPr>
            <w:tcW w:w="907" w:type="dxa"/>
          </w:tcPr>
          <w:p>
            <w:pPr>
              <w:pStyle w:val="0"/>
            </w:pPr>
            <w:r>
              <w:rPr>
                <w:sz w:val="24"/>
              </w:rPr>
              <w:t xml:space="preserve">4</w:t>
            </w:r>
          </w:p>
        </w:tc>
        <w:tc>
          <w:tcPr>
            <w:tcW w:w="2608" w:type="dxa"/>
          </w:tcPr>
          <w:p>
            <w:pPr>
              <w:pStyle w:val="0"/>
            </w:pPr>
            <w:r>
              <w:rPr>
                <w:sz w:val="24"/>
              </w:rPr>
              <w:t xml:space="preserve">Вид налога</w:t>
            </w:r>
          </w:p>
        </w:tc>
        <w:tc>
          <w:tcPr>
            <w:tcW w:w="2608" w:type="dxa"/>
          </w:tcPr>
          <w:p>
            <w:pPr>
              <w:pStyle w:val="0"/>
            </w:pPr>
            <w:r>
              <w:rPr>
                <w:sz w:val="24"/>
              </w:rPr>
            </w:r>
          </w:p>
        </w:tc>
        <w:tc>
          <w:tcPr>
            <w:tcW w:w="2948" w:type="dxa"/>
          </w:tcPr>
          <w:p>
            <w:pPr>
              <w:pStyle w:val="0"/>
            </w:pPr>
            <w:r>
              <w:rPr>
                <w:sz w:val="24"/>
              </w:rPr>
              <w:t xml:space="preserve">dim-int:VidNalAxis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Налог на добавленную стоимость</w:t>
            </w:r>
          </w:p>
        </w:tc>
        <w:tc>
          <w:tcPr>
            <w:tcW w:w="2948" w:type="dxa"/>
          </w:tcPr>
          <w:p>
            <w:pPr>
              <w:pStyle w:val="0"/>
            </w:pPr>
            <w:r>
              <w:rPr>
                <w:sz w:val="24"/>
              </w:rPr>
              <w:t xml:space="preserve">mem-int:NalDobStMember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Налог на прибыль</w:t>
            </w:r>
          </w:p>
        </w:tc>
        <w:tc>
          <w:tcPr>
            <w:tcW w:w="2948" w:type="dxa"/>
          </w:tcPr>
          <w:p>
            <w:pPr>
              <w:pStyle w:val="0"/>
            </w:pPr>
            <w:r>
              <w:rPr>
                <w:sz w:val="24"/>
              </w:rPr>
              <w:t xml:space="preserve">mem-int:NalPribMember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4.2.28. </w:t>
      </w:r>
      <w:hyperlink w:history="0" w:anchor="P20626" w:tooltip="Подраздел 2.28.">
        <w:r>
          <w:rPr>
            <w:sz w:val="24"/>
            <w:color w:val="0000ff"/>
          </w:rPr>
          <w:t xml:space="preserve">Подраздел 2.28</w:t>
        </w:r>
      </w:hyperlink>
      <w:r>
        <w:rPr>
          <w:sz w:val="24"/>
        </w:rPr>
        <w:t xml:space="preserve"> "Права требования по сделке, направленной на последующий переход от страховщика права собственности на объект недвижимости"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по сделке, направленной на последующий переход от страховщика права собственности на объект недвижимости</w:t>
            </w:r>
          </w:p>
        </w:tc>
        <w:tc>
          <w:tcPr>
            <w:tcW w:w="2948" w:type="dxa"/>
          </w:tcPr>
          <w:p>
            <w:pPr>
              <w:pStyle w:val="0"/>
            </w:pPr>
            <w:r>
              <w:rPr>
                <w:sz w:val="24"/>
              </w:rPr>
              <w:t xml:space="preserve">mem-int:PravTrebSdelkPoslPerSOPravSobstNedvMember</w:t>
            </w:r>
          </w:p>
        </w:tc>
      </w:tr>
    </w:tbl>
    <w:p>
      <w:pPr>
        <w:pStyle w:val="0"/>
        <w:ind w:firstLine="540"/>
        <w:jc w:val="both"/>
      </w:pPr>
      <w:r>
        <w:rPr>
          <w:sz w:val="24"/>
        </w:rPr>
      </w:r>
    </w:p>
    <w:p>
      <w:pPr>
        <w:pStyle w:val="0"/>
        <w:outlineLvl w:val="4"/>
        <w:jc w:val="both"/>
      </w:pPr>
      <w:r>
        <w:rPr>
          <w:sz w:val="24"/>
        </w:rPr>
        <w:t xml:space="preserve">Подраздел 4.2.29. </w:t>
      </w:r>
      <w:hyperlink w:history="0" w:anchor="P20724" w:tooltip="Подраздел 2.29.">
        <w:r>
          <w:rPr>
            <w:sz w:val="24"/>
            <w:color w:val="0000ff"/>
          </w:rPr>
          <w:t xml:space="preserve">Подраздел 2.29</w:t>
        </w:r>
      </w:hyperlink>
      <w:r>
        <w:rPr>
          <w:sz w:val="24"/>
        </w:rPr>
        <w:t xml:space="preserve"> "Права требования, возникшие в связи с авансовыми платежами страховщика по договорам перестрахования, не учтенные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возникшие в связи с авансовыми платежами страховщика по договорам перестрахования, не учтенные в страховых резервах</w:t>
            </w:r>
          </w:p>
        </w:tc>
        <w:tc>
          <w:tcPr>
            <w:tcW w:w="2948" w:type="dxa"/>
          </w:tcPr>
          <w:p>
            <w:pPr>
              <w:pStyle w:val="0"/>
            </w:pPr>
            <w:r>
              <w:rPr>
                <w:sz w:val="24"/>
              </w:rPr>
              <w:t xml:space="preserve">mem-int:PravTrebAvPlatDogPstrNeUchtVStrRezMember</w:t>
            </w:r>
          </w:p>
        </w:tc>
      </w:tr>
      <w:tr>
        <w:tc>
          <w:tcPr>
            <w:tcW w:w="907" w:type="dxa"/>
          </w:tcPr>
          <w:p>
            <w:pPr>
              <w:pStyle w:val="0"/>
            </w:pPr>
            <w:r>
              <w:rPr>
                <w:sz w:val="24"/>
              </w:rPr>
              <w:t xml:space="preserve">5</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4.2.29.1. </w:t>
      </w:r>
      <w:hyperlink w:history="0" w:anchor="P21214" w:tooltip="Подраздел 2.29.1.">
        <w:r>
          <w:rPr>
            <w:sz w:val="24"/>
            <w:color w:val="0000ff"/>
          </w:rPr>
          <w:t xml:space="preserve">Подраздел 2.29.1</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Права требования, возникшие в связи с авансовыми платежами страховщика по договорам перестрахования, не учтенные в страховых резервах</w:t>
            </w:r>
          </w:p>
        </w:tc>
        <w:tc>
          <w:tcPr>
            <w:tcW w:w="2948" w:type="dxa"/>
          </w:tcPr>
          <w:p>
            <w:pPr>
              <w:pStyle w:val="0"/>
            </w:pPr>
            <w:r>
              <w:rPr>
                <w:sz w:val="24"/>
              </w:rPr>
              <w:t xml:space="preserve">mem-int:PravTrebAvPlatDogPstrNeUchtVStrRezMember</w:t>
            </w:r>
          </w:p>
        </w:tc>
      </w:tr>
      <w:tr>
        <w:tc>
          <w:tcPr>
            <w:tcW w:w="907" w:type="dxa"/>
          </w:tcPr>
          <w:p>
            <w:pPr>
              <w:pStyle w:val="0"/>
            </w:pPr>
            <w:r>
              <w:rPr>
                <w:sz w:val="24"/>
              </w:rPr>
              <w:t xml:space="preserve">5</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6</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6.5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6.6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6.7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6.8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7</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8</w:t>
            </w:r>
          </w:p>
        </w:tc>
        <w:tc>
          <w:tcPr>
            <w:tcW w:w="2608" w:type="dxa"/>
          </w:tcPr>
          <w:p>
            <w:pPr>
              <w:pStyle w:val="0"/>
            </w:pPr>
            <w:r>
              <w:rPr>
                <w:sz w:val="24"/>
              </w:rPr>
              <w:t xml:space="preserve">Права требования, возникшие в связи с авансовыми платежами страховщика по договору исходящего перестрахования, если такой договор не признан до расчетной даты включительно</w:t>
            </w:r>
          </w:p>
        </w:tc>
        <w:tc>
          <w:tcPr>
            <w:tcW w:w="2608" w:type="dxa"/>
          </w:tcPr>
          <w:p>
            <w:pPr>
              <w:pStyle w:val="0"/>
            </w:pPr>
            <w:r>
              <w:rPr>
                <w:sz w:val="24"/>
              </w:rPr>
            </w:r>
          </w:p>
        </w:tc>
        <w:tc>
          <w:tcPr>
            <w:tcW w:w="2948" w:type="dxa"/>
          </w:tcPr>
          <w:p>
            <w:pPr>
              <w:pStyle w:val="0"/>
            </w:pPr>
            <w:r>
              <w:rPr>
                <w:sz w:val="24"/>
              </w:rPr>
              <w:t xml:space="preserve">dim-int:PravTrebUdovlPunkt31121415Axis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4.2.30. </w:t>
      </w:r>
      <w:hyperlink w:history="0" w:anchor="P21296" w:tooltip="Подраздел 2.30.">
        <w:r>
          <w:rPr>
            <w:sz w:val="24"/>
            <w:color w:val="0000ff"/>
          </w:rPr>
          <w:t xml:space="preserve">Подраздел 2.30</w:t>
        </w:r>
      </w:hyperlink>
      <w:r>
        <w:rPr>
          <w:sz w:val="24"/>
        </w:rPr>
        <w:t xml:space="preserve"> "Права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учтенные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учтенные в страховых резервах</w:t>
            </w:r>
          </w:p>
        </w:tc>
        <w:tc>
          <w:tcPr>
            <w:tcW w:w="2948" w:type="dxa"/>
          </w:tcPr>
          <w:p>
            <w:pPr>
              <w:pStyle w:val="0"/>
            </w:pPr>
            <w:r>
              <w:rPr>
                <w:sz w:val="24"/>
              </w:rPr>
              <w:t xml:space="preserve">mem-int:PrTrebKPerZaIsklPTPoUregUbytIPTVoznVSvAvansPlSOPoDogPereNeUchtVStraxRezMember</w:t>
            </w:r>
          </w:p>
        </w:tc>
      </w:tr>
      <w:tr>
        <w:tc>
          <w:tcPr>
            <w:tcW w:w="907" w:type="dxa"/>
          </w:tcPr>
          <w:p>
            <w:pPr>
              <w:pStyle w:val="0"/>
            </w:pPr>
            <w:r>
              <w:rPr>
                <w:sz w:val="24"/>
              </w:rPr>
              <w:t xml:space="preserve">4</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4.2.30.1. </w:t>
      </w:r>
      <w:hyperlink w:history="0" w:anchor="P21878" w:tooltip="Подраздел 2.30.1.">
        <w:r>
          <w:rPr>
            <w:sz w:val="24"/>
            <w:color w:val="0000ff"/>
          </w:rPr>
          <w:t xml:space="preserve">Подраздел 2.30.1</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dim-int:AktDogOsopoAxis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dim-int:AktDogOsgopAxis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учтенные в страховых резервах</w:t>
            </w:r>
          </w:p>
        </w:tc>
        <w:tc>
          <w:tcPr>
            <w:tcW w:w="2948" w:type="dxa"/>
          </w:tcPr>
          <w:p>
            <w:pPr>
              <w:pStyle w:val="0"/>
            </w:pPr>
            <w:r>
              <w:rPr>
                <w:sz w:val="24"/>
              </w:rPr>
              <w:t xml:space="preserve">mem-int:PrTrebKPerZaIsklPTPoUregUbytIPTVoznVSvAvansPlSOPoDogPereNeUchtVStraxRezMember</w:t>
            </w:r>
          </w:p>
        </w:tc>
      </w:tr>
      <w:tr>
        <w:tc>
          <w:tcPr>
            <w:tcW w:w="907" w:type="dxa"/>
          </w:tcPr>
          <w:p>
            <w:pPr>
              <w:pStyle w:val="0"/>
            </w:pPr>
            <w:r>
              <w:rPr>
                <w:sz w:val="24"/>
              </w:rPr>
              <w:t xml:space="preserve">7</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8</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8.3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8.4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8.5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8.6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8.7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8.8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9</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10</w:t>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608" w:type="dxa"/>
          </w:tcPr>
          <w:p>
            <w:pPr>
              <w:pStyle w:val="0"/>
            </w:pPr>
            <w:r>
              <w:rPr>
                <w:sz w:val="24"/>
              </w:rPr>
            </w:r>
          </w:p>
        </w:tc>
        <w:tc>
          <w:tcPr>
            <w:tcW w:w="2948" w:type="dxa"/>
          </w:tcPr>
          <w:p>
            <w:pPr>
              <w:pStyle w:val="0"/>
            </w:pPr>
            <w:r>
              <w:rPr>
                <w:sz w:val="24"/>
              </w:rPr>
              <w:t xml:space="preserve">dim-int:RaschSootvAbz34Punkt311211Axis</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6"/>
        <w:jc w:val="both"/>
      </w:pPr>
      <w:r>
        <w:rPr>
          <w:sz w:val="24"/>
        </w:rPr>
        <w:t xml:space="preserve">Подраздел 4.2.30.1.1. </w:t>
      </w:r>
      <w:hyperlink w:history="0" w:anchor="P21976" w:tooltip="Подраздел 2.30.1.1.">
        <w:r>
          <w:rPr>
            <w:sz w:val="24"/>
            <w:color w:val="0000ff"/>
          </w:rPr>
          <w:t xml:space="preserve">Подраздел 2.30.1.1</w:t>
        </w:r>
      </w:hyperlink>
      <w:r>
        <w:rPr>
          <w:sz w:val="24"/>
        </w:rPr>
        <w:t xml:space="preserve"> "По отдельным контрагентам"</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Права требования к перестраховщикам, за исключением прав требования по урегулированию убытков и прав требования, возникших в связи с авансовыми платежами страховщика по договорам перестрахования, не учтенные в страховых резервах</w:t>
            </w:r>
          </w:p>
        </w:tc>
        <w:tc>
          <w:tcPr>
            <w:tcW w:w="2948" w:type="dxa"/>
          </w:tcPr>
          <w:p>
            <w:pPr>
              <w:pStyle w:val="0"/>
            </w:pPr>
            <w:r>
              <w:rPr>
                <w:sz w:val="24"/>
              </w:rPr>
              <w:t xml:space="preserve">mem-int:PrTrebKPerZaIskIPTPoUregUbytIPTVoznVSvAvansPlSOPoDogPereNeUchtVStraxRezMember</w:t>
            </w:r>
          </w:p>
        </w:tc>
      </w:tr>
    </w:tbl>
    <w:p>
      <w:pPr>
        <w:pStyle w:val="0"/>
        <w:ind w:firstLine="540"/>
        <w:jc w:val="both"/>
      </w:pPr>
      <w:r>
        <w:rPr>
          <w:sz w:val="24"/>
        </w:rPr>
      </w:r>
    </w:p>
    <w:p>
      <w:pPr>
        <w:pStyle w:val="0"/>
        <w:outlineLvl w:val="4"/>
        <w:jc w:val="both"/>
      </w:pPr>
      <w:r>
        <w:rPr>
          <w:sz w:val="24"/>
        </w:rPr>
        <w:t xml:space="preserve">Подраздел 4.2.31. </w:t>
      </w:r>
      <w:hyperlink w:history="0" w:anchor="P21994" w:tooltip="Подраздел 2.31.">
        <w:r>
          <w:rPr>
            <w:sz w:val="24"/>
            <w:color w:val="0000ff"/>
          </w:rPr>
          <w:t xml:space="preserve">Подраздел 2.31</w:t>
        </w:r>
      </w:hyperlink>
      <w:r>
        <w:rPr>
          <w:sz w:val="24"/>
        </w:rPr>
        <w:t xml:space="preserve"> "Права требования к профессиональным объединениям страховщиков, не учтенные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Права требования к профессиональным объединениям страховщиков, не учтенные в страховых резервах</w:t>
            </w:r>
          </w:p>
        </w:tc>
        <w:tc>
          <w:tcPr>
            <w:tcW w:w="2948" w:type="dxa"/>
          </w:tcPr>
          <w:p>
            <w:pPr>
              <w:pStyle w:val="0"/>
            </w:pPr>
            <w:r>
              <w:rPr>
                <w:sz w:val="24"/>
              </w:rPr>
              <w:t xml:space="preserve">mem-int:PrTrebKProfObedStraxovshNeUchtVStraxRezMember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4.2.32. </w:t>
      </w:r>
      <w:hyperlink w:history="0" w:anchor="P22140" w:tooltip="Подраздел 2.32.">
        <w:r>
          <w:rPr>
            <w:sz w:val="24"/>
            <w:color w:val="0000ff"/>
          </w:rPr>
          <w:t xml:space="preserve">Подраздел 2.32</w:t>
        </w:r>
      </w:hyperlink>
      <w:r>
        <w:rPr>
          <w:sz w:val="24"/>
        </w:rPr>
        <w:t xml:space="preserve"> "Прочие права требования по договорам страхования, сострахования и перестрахования, не учтенные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Прочие права требования по договорам страхования, сострахования и перестрахования, не учтенные в страховых резервах</w:t>
            </w:r>
          </w:p>
        </w:tc>
        <w:tc>
          <w:tcPr>
            <w:tcW w:w="2948" w:type="dxa"/>
          </w:tcPr>
          <w:p>
            <w:pPr>
              <w:pStyle w:val="0"/>
            </w:pPr>
            <w:r>
              <w:rPr>
                <w:sz w:val="24"/>
              </w:rPr>
              <w:t xml:space="preserve">mem-int:ProchPrTrebPoDogStrSostrIPerestrNeUchtVStraxRezMember</w:t>
            </w:r>
          </w:p>
        </w:tc>
      </w:tr>
      <w:tr>
        <w:tc>
          <w:tcPr>
            <w:tcW w:w="907" w:type="dxa"/>
          </w:tcPr>
          <w:p>
            <w:pPr>
              <w:pStyle w:val="0"/>
            </w:pPr>
            <w:r>
              <w:rPr>
                <w:sz w:val="24"/>
              </w:rPr>
              <w:t xml:space="preserve">5</w:t>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608" w:type="dxa"/>
          </w:tcPr>
          <w:p>
            <w:pPr>
              <w:pStyle w:val="0"/>
            </w:pPr>
            <w:r>
              <w:rPr>
                <w:sz w:val="24"/>
              </w:rPr>
            </w:r>
          </w:p>
        </w:tc>
        <w:tc>
          <w:tcPr>
            <w:tcW w:w="2948" w:type="dxa"/>
          </w:tcPr>
          <w:p>
            <w:pPr>
              <w:pStyle w:val="0"/>
            </w:pPr>
            <w:r>
              <w:rPr>
                <w:sz w:val="24"/>
              </w:rPr>
              <w:t xml:space="preserve">dim-int:PravaTrebVChUplStrPrDlyaPriobrInvPaevPoDogDolStrZhAxis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5"/>
        <w:jc w:val="both"/>
      </w:pPr>
      <w:r>
        <w:rPr>
          <w:sz w:val="24"/>
        </w:rPr>
        <w:t xml:space="preserve">Подраздел 4.2.32.1. </w:t>
      </w:r>
      <w:hyperlink w:history="0" w:anchor="P22666" w:tooltip="Подраздел 2.32.1.">
        <w:r>
          <w:rPr>
            <w:sz w:val="24"/>
            <w:color w:val="0000ff"/>
          </w:rPr>
          <w:t xml:space="preserve">Подраздел 2.32.1</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Прочие права требования по договорам страхования, сострахования и перестрахования, не учтенные в страховых резервах</w:t>
            </w:r>
          </w:p>
        </w:tc>
        <w:tc>
          <w:tcPr>
            <w:tcW w:w="2948" w:type="dxa"/>
          </w:tcPr>
          <w:p>
            <w:pPr>
              <w:pStyle w:val="0"/>
            </w:pPr>
            <w:r>
              <w:rPr>
                <w:sz w:val="24"/>
              </w:rPr>
              <w:t xml:space="preserve">mem-int:ProchPrTrebPoDogStrSostrIPerestrNeUchtVStraxRezMember</w:t>
            </w:r>
          </w:p>
        </w:tc>
      </w:tr>
      <w:tr>
        <w:tc>
          <w:tcPr>
            <w:tcW w:w="907" w:type="dxa"/>
          </w:tcPr>
          <w:p>
            <w:pPr>
              <w:pStyle w:val="0"/>
            </w:pPr>
            <w:r>
              <w:rPr>
                <w:sz w:val="24"/>
              </w:rPr>
              <w:t xml:space="preserve">6</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6.5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6.6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6.7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6.8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7</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8</w:t>
            </w:r>
          </w:p>
        </w:tc>
        <w:tc>
          <w:tcPr>
            <w:tcW w:w="2608" w:type="dxa"/>
          </w:tcPr>
          <w:p>
            <w:pPr>
              <w:pStyle w:val="0"/>
            </w:pPr>
            <w:r>
              <w:rPr>
                <w:sz w:val="24"/>
              </w:rPr>
              <w:t xml:space="preserve">Права требования в части уплаты страховых премий (взносов) для приобретения инвестиционных паев по договору долевого страхования жизни</w:t>
            </w:r>
          </w:p>
        </w:tc>
        <w:tc>
          <w:tcPr>
            <w:tcW w:w="2608" w:type="dxa"/>
          </w:tcPr>
          <w:p>
            <w:pPr>
              <w:pStyle w:val="0"/>
            </w:pPr>
            <w:r>
              <w:rPr>
                <w:sz w:val="24"/>
              </w:rPr>
            </w:r>
          </w:p>
        </w:tc>
        <w:tc>
          <w:tcPr>
            <w:tcW w:w="2948" w:type="dxa"/>
          </w:tcPr>
          <w:p>
            <w:pPr>
              <w:pStyle w:val="0"/>
            </w:pPr>
            <w:r>
              <w:rPr>
                <w:sz w:val="24"/>
              </w:rPr>
              <w:t xml:space="preserve">dim-int:PravaTrebVChUplStrPrDlyaPriobrInvPaevPoDogDolStrZhAxis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6"/>
        <w:jc w:val="both"/>
      </w:pPr>
      <w:r>
        <w:rPr>
          <w:sz w:val="24"/>
        </w:rPr>
        <w:t xml:space="preserve">Подраздел 4.2.32.1.1. </w:t>
      </w:r>
      <w:hyperlink w:history="0" w:anchor="P22748" w:tooltip="Подраздел 2.32.1.1.">
        <w:r>
          <w:rPr>
            <w:sz w:val="24"/>
            <w:color w:val="0000ff"/>
          </w:rPr>
          <w:t xml:space="preserve">Подраздел 2.32.1.1</w:t>
        </w:r>
      </w:hyperlink>
      <w:r>
        <w:rPr>
          <w:sz w:val="24"/>
        </w:rPr>
        <w:t xml:space="preserve"> "По отдельным контрагентам"</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Прочие права требования по договорам страхования, сострахования и перестрахования, не учтенные в страховых резервах</w:t>
            </w:r>
          </w:p>
        </w:tc>
        <w:tc>
          <w:tcPr>
            <w:tcW w:w="2948" w:type="dxa"/>
          </w:tcPr>
          <w:p>
            <w:pPr>
              <w:pStyle w:val="0"/>
            </w:pPr>
            <w:r>
              <w:rPr>
                <w:sz w:val="24"/>
              </w:rPr>
              <w:t xml:space="preserve">mem-int:ProchPrTrebPoDogStrSostrIPerestrNeUchtVStraxRezMember</w:t>
            </w:r>
          </w:p>
        </w:tc>
      </w:tr>
    </w:tbl>
    <w:p>
      <w:pPr>
        <w:pStyle w:val="0"/>
        <w:ind w:firstLine="540"/>
        <w:jc w:val="both"/>
      </w:pPr>
      <w:r>
        <w:rPr>
          <w:sz w:val="24"/>
        </w:rPr>
      </w:r>
    </w:p>
    <w:p>
      <w:pPr>
        <w:pStyle w:val="0"/>
        <w:outlineLvl w:val="4"/>
        <w:jc w:val="both"/>
      </w:pPr>
      <w:r>
        <w:rPr>
          <w:sz w:val="24"/>
        </w:rPr>
        <w:t xml:space="preserve">Подраздел 4.2.33. </w:t>
      </w:r>
      <w:hyperlink w:history="0" w:anchor="P22766" w:tooltip="Подраздел 2.33.">
        <w:r>
          <w:rPr>
            <w:sz w:val="24"/>
            <w:color w:val="0000ff"/>
          </w:rPr>
          <w:t xml:space="preserve">Подраздел 2.33</w:t>
        </w:r>
      </w:hyperlink>
      <w:r>
        <w:rPr>
          <w:sz w:val="24"/>
        </w:rPr>
        <w:t xml:space="preserve"> "Прочие права требования"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Прочие права требования</w:t>
            </w:r>
          </w:p>
        </w:tc>
        <w:tc>
          <w:tcPr>
            <w:tcW w:w="2948" w:type="dxa"/>
          </w:tcPr>
          <w:p>
            <w:pPr>
              <w:pStyle w:val="0"/>
            </w:pPr>
            <w:r>
              <w:rPr>
                <w:sz w:val="24"/>
              </w:rPr>
              <w:t xml:space="preserve">mem-int:PravTrebProchMember</w:t>
            </w:r>
          </w:p>
        </w:tc>
      </w:tr>
      <w:tr>
        <w:tc>
          <w:tcPr>
            <w:tcW w:w="907" w:type="dxa"/>
          </w:tcPr>
          <w:p>
            <w:pPr>
              <w:pStyle w:val="0"/>
            </w:pPr>
            <w:r>
              <w:rPr>
                <w:sz w:val="24"/>
              </w:rPr>
              <w:t xml:space="preserve">5</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w:t>
            </w:r>
          </w:p>
          <w:p>
            <w:pPr>
              <w:pStyle w:val="0"/>
            </w:pPr>
            <w:r>
              <w:rPr>
                <w:sz w:val="24"/>
              </w:rPr>
              <w:t xml:space="preserve">int:St_A_Invest_Stredstva_SS_Kapital_Member</w:t>
            </w:r>
          </w:p>
        </w:tc>
      </w:tr>
    </w:tbl>
    <w:p>
      <w:pPr>
        <w:pStyle w:val="0"/>
        <w:ind w:firstLine="540"/>
        <w:jc w:val="both"/>
      </w:pPr>
      <w:r>
        <w:rPr>
          <w:sz w:val="24"/>
        </w:rPr>
      </w:r>
    </w:p>
    <w:p>
      <w:pPr>
        <w:pStyle w:val="0"/>
        <w:outlineLvl w:val="5"/>
        <w:jc w:val="both"/>
      </w:pPr>
      <w:r>
        <w:rPr>
          <w:sz w:val="24"/>
        </w:rPr>
        <w:t xml:space="preserve">Подраздел 4.2.33.1. </w:t>
      </w:r>
      <w:hyperlink w:history="0" w:anchor="P23344" w:tooltip="Подраздел 2.33.1.">
        <w:r>
          <w:rPr>
            <w:sz w:val="24"/>
            <w:color w:val="0000ff"/>
          </w:rPr>
          <w:t xml:space="preserve">Подраздел 2.33.1</w:t>
        </w:r>
      </w:hyperlink>
      <w:r>
        <w:rPr>
          <w:sz w:val="24"/>
        </w:rPr>
        <w:t xml:space="preserve"> "Права требования, стоимость которых признана равной нулю"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Права требования относятся к правам требования в части уплаты просроченной задолженности</w:t>
            </w:r>
          </w:p>
        </w:tc>
        <w:tc>
          <w:tcPr>
            <w:tcW w:w="2608" w:type="dxa"/>
          </w:tcPr>
          <w:p>
            <w:pPr>
              <w:pStyle w:val="0"/>
            </w:pPr>
            <w:r>
              <w:rPr>
                <w:sz w:val="24"/>
              </w:rPr>
            </w:r>
          </w:p>
        </w:tc>
        <w:tc>
          <w:tcPr>
            <w:tcW w:w="2948" w:type="dxa"/>
          </w:tcPr>
          <w:p>
            <w:pPr>
              <w:pStyle w:val="0"/>
            </w:pPr>
            <w:r>
              <w:rPr>
                <w:sz w:val="24"/>
              </w:rPr>
              <w:t xml:space="preserve">dim-int:AktivSootvTrebPp3.1.13P3.1_710_PAxis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dim-int:AktivSootvTrebPp7921P792_781PAxis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5</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Прочие права требования</w:t>
            </w:r>
          </w:p>
        </w:tc>
        <w:tc>
          <w:tcPr>
            <w:tcW w:w="2948" w:type="dxa"/>
          </w:tcPr>
          <w:p>
            <w:pPr>
              <w:pStyle w:val="0"/>
            </w:pPr>
            <w:r>
              <w:rPr>
                <w:sz w:val="24"/>
              </w:rPr>
              <w:t xml:space="preserve">mem-int:PravTrebProchMember</w:t>
            </w:r>
          </w:p>
        </w:tc>
      </w:tr>
      <w:tr>
        <w:tc>
          <w:tcPr>
            <w:tcW w:w="907" w:type="dxa"/>
          </w:tcPr>
          <w:p>
            <w:pPr>
              <w:pStyle w:val="0"/>
            </w:pPr>
            <w:r>
              <w:rPr>
                <w:sz w:val="24"/>
              </w:rPr>
              <w:t xml:space="preserve">6</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6.5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6.6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6.7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6.8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7</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4.2.34. </w:t>
      </w:r>
      <w:hyperlink w:history="0" w:anchor="P23418" w:tooltip="Подраздел 2.34.">
        <w:r>
          <w:rPr>
            <w:sz w:val="24"/>
            <w:color w:val="0000ff"/>
          </w:rPr>
          <w:t xml:space="preserve">Подраздел 2.34</w:t>
        </w:r>
      </w:hyperlink>
      <w:r>
        <w:rPr>
          <w:sz w:val="24"/>
        </w:rPr>
        <w:t xml:space="preserve"> "Доля перестраховщиков в страховых резервах"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dim-int:AktDogOsopoAxis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dim-int:AktDogOsgopAxis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608" w:type="dxa"/>
          </w:tcPr>
          <w:p>
            <w:pPr>
              <w:pStyle w:val="0"/>
            </w:pPr>
            <w:r>
              <w:rPr>
                <w:sz w:val="24"/>
              </w:rPr>
            </w:r>
          </w:p>
        </w:tc>
        <w:tc>
          <w:tcPr>
            <w:tcW w:w="2948" w:type="dxa"/>
          </w:tcPr>
          <w:p>
            <w:pPr>
              <w:pStyle w:val="0"/>
            </w:pPr>
            <w:r>
              <w:rPr>
                <w:sz w:val="24"/>
              </w:rPr>
              <w:t xml:space="preserve">dim-int:AktDogUk311216Axis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Актив соответствует условию для признания стоимости доли перестраховщиков в страховых резервах, не равной нулю</w:t>
            </w:r>
          </w:p>
        </w:tc>
        <w:tc>
          <w:tcPr>
            <w:tcW w:w="2608" w:type="dxa"/>
          </w:tcPr>
          <w:p>
            <w:pPr>
              <w:pStyle w:val="0"/>
            </w:pPr>
            <w:r>
              <w:rPr>
                <w:sz w:val="24"/>
              </w:rPr>
            </w:r>
          </w:p>
        </w:tc>
        <w:tc>
          <w:tcPr>
            <w:tcW w:w="2948" w:type="dxa"/>
          </w:tcPr>
          <w:p>
            <w:pPr>
              <w:pStyle w:val="0"/>
            </w:pPr>
            <w:r>
              <w:rPr>
                <w:sz w:val="24"/>
              </w:rPr>
              <w:t xml:space="preserve">dim-int:AktivSootvTrebPp3.1.12.13P3.1PolN781PAxis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6</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7</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Доля перестраховщиков в страховых резервах</w:t>
            </w:r>
          </w:p>
        </w:tc>
        <w:tc>
          <w:tcPr>
            <w:tcW w:w="2948" w:type="dxa"/>
          </w:tcPr>
          <w:p>
            <w:pPr>
              <w:pStyle w:val="0"/>
            </w:pPr>
            <w:r>
              <w:rPr>
                <w:sz w:val="24"/>
              </w:rPr>
              <w:t xml:space="preserve">mem-int:DolPskStrRezMember</w:t>
            </w:r>
          </w:p>
        </w:tc>
      </w:tr>
      <w:tr>
        <w:tc>
          <w:tcPr>
            <w:tcW w:w="907" w:type="dxa"/>
          </w:tcPr>
          <w:p>
            <w:pPr>
              <w:pStyle w:val="0"/>
            </w:pPr>
            <w:r>
              <w:rPr>
                <w:sz w:val="24"/>
              </w:rPr>
              <w:t xml:space="preserve">8</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9</w:t>
            </w:r>
          </w:p>
        </w:tc>
        <w:tc>
          <w:tcPr>
            <w:tcW w:w="2608" w:type="dxa"/>
          </w:tcPr>
          <w:p>
            <w:pPr>
              <w:pStyle w:val="0"/>
            </w:pPr>
            <w:r>
              <w:rPr>
                <w:sz w:val="24"/>
              </w:rPr>
              <w:t xml:space="preserve">Доля перестраховщиков во вспомогательной величине ЗНУ</w:t>
            </w:r>
          </w:p>
        </w:tc>
        <w:tc>
          <w:tcPr>
            <w:tcW w:w="2608" w:type="dxa"/>
          </w:tcPr>
          <w:p>
            <w:pPr>
              <w:pStyle w:val="0"/>
            </w:pPr>
            <w:r>
              <w:rPr>
                <w:sz w:val="24"/>
              </w:rPr>
            </w:r>
          </w:p>
        </w:tc>
        <w:tc>
          <w:tcPr>
            <w:tcW w:w="2948" w:type="dxa"/>
          </w:tcPr>
          <w:p>
            <w:pPr>
              <w:pStyle w:val="0"/>
            </w:pPr>
            <w:r>
              <w:rPr>
                <w:sz w:val="24"/>
              </w:rPr>
              <w:t xml:space="preserve">dim-int:DZNUAxis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10</w:t>
            </w:r>
          </w:p>
        </w:tc>
        <w:tc>
          <w:tcPr>
            <w:tcW w:w="2608" w:type="dxa"/>
          </w:tcPr>
          <w:p>
            <w:pPr>
              <w:pStyle w:val="0"/>
            </w:pPr>
            <w:r>
              <w:rPr>
                <w:sz w:val="24"/>
              </w:rPr>
              <w:t xml:space="preserve">Наличие залога</w:t>
            </w:r>
          </w:p>
        </w:tc>
        <w:tc>
          <w:tcPr>
            <w:tcW w:w="2608" w:type="dxa"/>
          </w:tcPr>
          <w:p>
            <w:pPr>
              <w:pStyle w:val="0"/>
            </w:pPr>
            <w:r>
              <w:rPr>
                <w:sz w:val="24"/>
              </w:rPr>
            </w:r>
          </w:p>
        </w:tc>
        <w:tc>
          <w:tcPr>
            <w:tcW w:w="2948" w:type="dxa"/>
          </w:tcPr>
          <w:p>
            <w:pPr>
              <w:pStyle w:val="0"/>
            </w:pPr>
            <w:r>
              <w:rPr>
                <w:sz w:val="24"/>
              </w:rPr>
              <w:t xml:space="preserve">dim-int:NalichZalogAxis</w:t>
            </w:r>
          </w:p>
        </w:tc>
      </w:tr>
      <w:tr>
        <w:tc>
          <w:tcPr>
            <w:tcW w:w="907" w:type="dxa"/>
          </w:tcPr>
          <w:p>
            <w:pPr>
              <w:pStyle w:val="0"/>
            </w:pPr>
            <w:r>
              <w:rPr>
                <w:sz w:val="24"/>
              </w:rPr>
              <w:t xml:space="preserve">10.1</w:t>
            </w:r>
          </w:p>
        </w:tc>
        <w:tc>
          <w:tcPr>
            <w:tcW w:w="2608" w:type="dxa"/>
            <w:tcBorders>
              <w:right w:val="nil"/>
            </w:tcBorders>
          </w:tcPr>
          <w:p>
            <w:pPr>
              <w:pStyle w:val="0"/>
            </w:pPr>
            <w:r>
              <w:rPr>
                <w:sz w:val="24"/>
              </w:rPr>
            </w:r>
          </w:p>
        </w:tc>
        <w:tc>
          <w:tcPr>
            <w:tcW w:w="2608" w:type="dxa"/>
            <w:tcBorders>
              <w:left w:val="nil"/>
            </w:tcBorders>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11</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12</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4.2.35. </w:t>
      </w:r>
      <w:hyperlink w:history="0" w:anchor="P23936" w:tooltip="Подраздел 2.35.">
        <w:r>
          <w:rPr>
            <w:sz w:val="24"/>
            <w:color w:val="0000ff"/>
          </w:rPr>
          <w:t xml:space="preserve">Подраздел 2.35</w:t>
        </w:r>
      </w:hyperlink>
      <w:r>
        <w:rPr>
          <w:sz w:val="24"/>
        </w:rPr>
        <w:t xml:space="preserve"> "Средства обязательного медицинского страхования, не учитываемые при определении величины собственных средств (кроме прав требования)"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Средства обязательного медицинского страхования, не учитываемые при определении величины собственных средств</w:t>
            </w:r>
          </w:p>
        </w:tc>
        <w:tc>
          <w:tcPr>
            <w:tcW w:w="2948" w:type="dxa"/>
          </w:tcPr>
          <w:p>
            <w:pPr>
              <w:pStyle w:val="0"/>
            </w:pPr>
            <w:r>
              <w:rPr>
                <w:sz w:val="24"/>
              </w:rPr>
              <w:t xml:space="preserve">mem-int:Sredstva_OMS_P1.2.1P710Member</w:t>
            </w:r>
          </w:p>
        </w:tc>
      </w:tr>
    </w:tbl>
    <w:p>
      <w:pPr>
        <w:pStyle w:val="0"/>
        <w:ind w:firstLine="540"/>
        <w:jc w:val="both"/>
      </w:pPr>
      <w:r>
        <w:rPr>
          <w:sz w:val="24"/>
        </w:rPr>
      </w:r>
    </w:p>
    <w:p>
      <w:pPr>
        <w:pStyle w:val="0"/>
        <w:outlineLvl w:val="5"/>
        <w:jc w:val="both"/>
      </w:pPr>
      <w:r>
        <w:rPr>
          <w:sz w:val="24"/>
        </w:rPr>
        <w:t xml:space="preserve">Подраздел 4.2.35.1. </w:t>
      </w:r>
      <w:hyperlink w:history="0" w:anchor="P23986" w:tooltip="Подраздел 2.35.1.">
        <w:r>
          <w:rPr>
            <w:sz w:val="24"/>
            <w:color w:val="0000ff"/>
          </w:rPr>
          <w:t xml:space="preserve">Подраздел 2.35.1</w:t>
        </w:r>
      </w:hyperlink>
      <w:r>
        <w:rPr>
          <w:sz w:val="24"/>
        </w:rPr>
        <w:t xml:space="preserve"> "Права требования по обязательному медицинскому страхованию"</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Средства обязательного медицинского страхования, не учитываемые при определении величины собственных средств</w:t>
            </w:r>
          </w:p>
        </w:tc>
        <w:tc>
          <w:tcPr>
            <w:tcW w:w="2948" w:type="dxa"/>
          </w:tcPr>
          <w:p>
            <w:pPr>
              <w:pStyle w:val="0"/>
            </w:pPr>
            <w:r>
              <w:rPr>
                <w:sz w:val="24"/>
              </w:rPr>
              <w:t xml:space="preserve">mem-int:Sredstva_OMS_P1.2.1P710Member</w:t>
            </w:r>
          </w:p>
        </w:tc>
      </w:tr>
      <w:tr>
        <w:tc>
          <w:tcPr>
            <w:tcW w:w="907" w:type="dxa"/>
          </w:tcPr>
          <w:p>
            <w:pPr>
              <w:pStyle w:val="0"/>
            </w:pPr>
            <w:r>
              <w:rPr>
                <w:sz w:val="24"/>
              </w:rPr>
              <w:t xml:space="preserve">2</w:t>
            </w:r>
          </w:p>
        </w:tc>
        <w:tc>
          <w:tcPr>
            <w:tcW w:w="2608" w:type="dxa"/>
          </w:tcPr>
          <w:p>
            <w:pPr>
              <w:pStyle w:val="0"/>
            </w:pPr>
            <w:r>
              <w:rPr>
                <w:sz w:val="24"/>
              </w:rPr>
              <w:t xml:space="preserve">Вид прав требования</w:t>
            </w:r>
          </w:p>
        </w:tc>
        <w:tc>
          <w:tcPr>
            <w:tcW w:w="2608" w:type="dxa"/>
          </w:tcPr>
          <w:p>
            <w:pPr>
              <w:pStyle w:val="0"/>
            </w:pPr>
            <w:r>
              <w:rPr>
                <w:sz w:val="24"/>
              </w:rPr>
            </w:r>
          </w:p>
        </w:tc>
        <w:tc>
          <w:tcPr>
            <w:tcW w:w="2948" w:type="dxa"/>
          </w:tcPr>
          <w:p>
            <w:pPr>
              <w:pStyle w:val="0"/>
            </w:pPr>
            <w:r>
              <w:rPr>
                <w:sz w:val="24"/>
              </w:rPr>
              <w:t xml:space="preserve">dim-int:VidPravTrebovanijAxis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Права требования к территориальному фонду</w:t>
            </w:r>
          </w:p>
        </w:tc>
        <w:tc>
          <w:tcPr>
            <w:tcW w:w="2948" w:type="dxa"/>
          </w:tcPr>
          <w:p>
            <w:pPr>
              <w:pStyle w:val="0"/>
            </w:pPr>
            <w:r>
              <w:rPr>
                <w:sz w:val="24"/>
              </w:rPr>
              <w:t xml:space="preserve">mem-int:PravaTrebKTerrFonduMember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Права требования к медицинским организациям</w:t>
            </w:r>
          </w:p>
        </w:tc>
        <w:tc>
          <w:tcPr>
            <w:tcW w:w="2948" w:type="dxa"/>
          </w:tcPr>
          <w:p>
            <w:pPr>
              <w:pStyle w:val="0"/>
            </w:pPr>
            <w:r>
              <w:rPr>
                <w:sz w:val="24"/>
              </w:rPr>
              <w:t xml:space="preserve">mem-int:PravaTrebKMedOrgMember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Права требования по регрессам</w:t>
            </w:r>
          </w:p>
        </w:tc>
        <w:tc>
          <w:tcPr>
            <w:tcW w:w="2948" w:type="dxa"/>
          </w:tcPr>
          <w:p>
            <w:pPr>
              <w:pStyle w:val="0"/>
            </w:pPr>
            <w:r>
              <w:rPr>
                <w:sz w:val="24"/>
              </w:rPr>
              <w:t xml:space="preserve">mem-int:PravaTrebPoRegrMember</w:t>
            </w:r>
          </w:p>
        </w:tc>
      </w:tr>
      <w:tr>
        <w:tc>
          <w:tcPr>
            <w:tcW w:w="907" w:type="dxa"/>
          </w:tcPr>
          <w:p>
            <w:pPr>
              <w:pStyle w:val="0"/>
            </w:pPr>
            <w:r>
              <w:rPr>
                <w:sz w:val="24"/>
              </w:rPr>
              <w:t xml:space="preserve">3</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3.5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3.6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3.7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3.8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bl>
    <w:p>
      <w:pPr>
        <w:pStyle w:val="0"/>
        <w:ind w:firstLine="540"/>
        <w:jc w:val="both"/>
      </w:pPr>
      <w:r>
        <w:rPr>
          <w:sz w:val="24"/>
        </w:rPr>
      </w:r>
    </w:p>
    <w:p>
      <w:pPr>
        <w:pStyle w:val="0"/>
        <w:outlineLvl w:val="4"/>
        <w:jc w:val="both"/>
      </w:pPr>
      <w:r>
        <w:rPr>
          <w:sz w:val="24"/>
        </w:rPr>
        <w:t xml:space="preserve">Подраздел 4.2.36. </w:t>
      </w:r>
      <w:hyperlink w:history="0" w:anchor="P24048" w:tooltip="Подраздел 2.36.">
        <w:r>
          <w:rPr>
            <w:sz w:val="24"/>
            <w:color w:val="0000ff"/>
          </w:rPr>
          <w:t xml:space="preserve">Подраздел 2.36</w:t>
        </w:r>
      </w:hyperlink>
      <w:r>
        <w:rPr>
          <w:sz w:val="24"/>
        </w:rPr>
        <w:t xml:space="preserve"> "Товары, подпадающие под исключение, предусмотренное требованиями к финансовой устойчивости и платежеспособности страховщиков"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Товары, подпадающие под исключение, предусмотренное требованиями к финансовой устойчивости и платежеспособности страховщиков</w:t>
            </w:r>
          </w:p>
        </w:tc>
        <w:tc>
          <w:tcPr>
            <w:tcW w:w="2948" w:type="dxa"/>
          </w:tcPr>
          <w:p>
            <w:pPr>
              <w:pStyle w:val="0"/>
            </w:pPr>
            <w:r>
              <w:rPr>
                <w:sz w:val="24"/>
              </w:rPr>
              <w:t xml:space="preserve">mem-int:TovDopOrgTorgPodIskl312Member</w:t>
            </w:r>
          </w:p>
        </w:tc>
      </w:tr>
      <w:tr>
        <w:tc>
          <w:tcPr>
            <w:tcW w:w="907" w:type="dxa"/>
          </w:tcPr>
          <w:p>
            <w:pPr>
              <w:pStyle w:val="0"/>
            </w:pPr>
            <w:r>
              <w:rPr>
                <w:sz w:val="24"/>
              </w:rPr>
              <w:t xml:space="preserve">4</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dim-int:ArestObremObespMerPrepOtchAxis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mem-int:St_A_Invest_Stredstva_SR_Reg_Treb_Vidy_Strax_Member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r>
        <w:tc>
          <w:tcPr>
            <w:tcW w:w="907" w:type="dxa"/>
          </w:tcPr>
          <w:p>
            <w:pPr>
              <w:pStyle w:val="0"/>
            </w:pPr>
            <w:r>
              <w:rPr>
                <w:sz w:val="24"/>
              </w:rPr>
              <w:t xml:space="preserve">7</w:t>
            </w:r>
          </w:p>
        </w:tc>
        <w:tc>
          <w:tcPr>
            <w:tcW w:w="2608" w:type="dxa"/>
          </w:tcPr>
          <w:p>
            <w:pPr>
              <w:pStyle w:val="0"/>
            </w:pPr>
            <w:r>
              <w:rPr>
                <w:sz w:val="24"/>
              </w:rPr>
              <w:t xml:space="preserve">Территориальный признак</w:t>
            </w:r>
          </w:p>
        </w:tc>
        <w:tc>
          <w:tcPr>
            <w:tcW w:w="2608" w:type="dxa"/>
          </w:tcPr>
          <w:p>
            <w:pPr>
              <w:pStyle w:val="0"/>
            </w:pPr>
            <w:r>
              <w:rPr>
                <w:sz w:val="24"/>
              </w:rPr>
            </w:r>
          </w:p>
        </w:tc>
        <w:tc>
          <w:tcPr>
            <w:tcW w:w="2948" w:type="dxa"/>
          </w:tcPr>
          <w:p>
            <w:pPr>
              <w:pStyle w:val="0"/>
            </w:pPr>
            <w:r>
              <w:rPr>
                <w:sz w:val="24"/>
              </w:rPr>
              <w:t xml:space="preserve">dim-int:Terr_Priznak_Axis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На территории Российской Федерации</w:t>
            </w:r>
          </w:p>
        </w:tc>
        <w:tc>
          <w:tcPr>
            <w:tcW w:w="2948" w:type="dxa"/>
          </w:tcPr>
          <w:p>
            <w:pPr>
              <w:pStyle w:val="0"/>
            </w:pPr>
            <w:r>
              <w:rPr>
                <w:sz w:val="24"/>
              </w:rPr>
              <w:t xml:space="preserve">mem-int:AktivyNaTerRFMember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За пределами территории Российской Федерации</w:t>
            </w:r>
          </w:p>
        </w:tc>
        <w:tc>
          <w:tcPr>
            <w:tcW w:w="2948" w:type="dxa"/>
          </w:tcPr>
          <w:p>
            <w:pPr>
              <w:pStyle w:val="0"/>
            </w:pPr>
            <w:r>
              <w:rPr>
                <w:sz w:val="24"/>
              </w:rPr>
              <w:t xml:space="preserve">mem-int:AktivyZaPredRFMember</w:t>
            </w:r>
          </w:p>
        </w:tc>
      </w:tr>
      <w:tr>
        <w:tc>
          <w:tcPr>
            <w:tcW w:w="907" w:type="dxa"/>
          </w:tcPr>
          <w:p>
            <w:pPr>
              <w:pStyle w:val="0"/>
            </w:pPr>
            <w:r>
              <w:rPr>
                <w:sz w:val="24"/>
              </w:rPr>
              <w:t xml:space="preserve">8</w:t>
            </w:r>
          </w:p>
        </w:tc>
        <w:tc>
          <w:tcPr>
            <w:tcW w:w="2608" w:type="dxa"/>
          </w:tcPr>
          <w:p>
            <w:pPr>
              <w:pStyle w:val="0"/>
            </w:pPr>
            <w:r>
              <w:rPr>
                <w:sz w:val="24"/>
              </w:rPr>
              <w:t xml:space="preserve">Товар - аффинированное золото</w:t>
            </w:r>
          </w:p>
        </w:tc>
        <w:tc>
          <w:tcPr>
            <w:tcW w:w="2608" w:type="dxa"/>
          </w:tcPr>
          <w:p>
            <w:pPr>
              <w:pStyle w:val="0"/>
            </w:pPr>
            <w:r>
              <w:rPr>
                <w:sz w:val="24"/>
              </w:rPr>
            </w:r>
          </w:p>
        </w:tc>
        <w:tc>
          <w:tcPr>
            <w:tcW w:w="2948" w:type="dxa"/>
          </w:tcPr>
          <w:p>
            <w:pPr>
              <w:pStyle w:val="0"/>
            </w:pPr>
            <w:r>
              <w:rPr>
                <w:sz w:val="24"/>
              </w:rPr>
              <w:t xml:space="preserve">dim-int:TovarAffinirZolotoAxis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4.2.37. </w:t>
      </w:r>
      <w:hyperlink w:history="0" w:anchor="P24438" w:tooltip="Подраздел 2.37.">
        <w:r>
          <w:rPr>
            <w:sz w:val="24"/>
            <w:color w:val="0000ff"/>
          </w:rPr>
          <w:t xml:space="preserve">Подраздел 2.37</w:t>
        </w:r>
      </w:hyperlink>
      <w:r>
        <w:rPr>
          <w:sz w:val="24"/>
        </w:rPr>
        <w:t xml:space="preserve"> "Недвижимое имущество, соответствующее требованиям к финансовой устойчивости и платежеспособности страховщиков"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948"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Недвижимое имущество, соответствующее требованиям к финансовой устойчивости и платежеспособности страховщиков</w:t>
            </w:r>
          </w:p>
        </w:tc>
        <w:tc>
          <w:tcPr>
            <w:tcW w:w="2948" w:type="dxa"/>
          </w:tcPr>
          <w:p>
            <w:pPr>
              <w:pStyle w:val="0"/>
            </w:pPr>
            <w:r>
              <w:rPr>
                <w:sz w:val="24"/>
              </w:rPr>
              <w:t xml:space="preserve">mem-int:NedvPunkt36Member</w:t>
            </w:r>
          </w:p>
        </w:tc>
      </w:tr>
      <w:tr>
        <w:tc>
          <w:tcPr>
            <w:tcW w:w="907" w:type="dxa"/>
          </w:tcPr>
          <w:p>
            <w:pPr>
              <w:pStyle w:val="0"/>
            </w:pPr>
            <w:r>
              <w:rPr>
                <w:sz w:val="24"/>
              </w:rPr>
              <w:t xml:space="preserve">4</w:t>
            </w:r>
          </w:p>
        </w:tc>
        <w:tc>
          <w:tcPr>
            <w:tcW w:w="2608"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948" w:type="dxa"/>
          </w:tcPr>
          <w:p>
            <w:pPr>
              <w:pStyle w:val="0"/>
            </w:pPr>
            <w:r>
              <w:rPr>
                <w:sz w:val="24"/>
              </w:rPr>
              <w:t xml:space="preserve">dim-int:St_A_Invest_Stredstva_Sr_Ss_Axis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Страховые резервы</w:t>
            </w:r>
          </w:p>
        </w:tc>
        <w:tc>
          <w:tcPr>
            <w:tcW w:w="2948" w:type="dxa"/>
          </w:tcPr>
          <w:p>
            <w:pPr>
              <w:pStyle w:val="0"/>
            </w:pPr>
            <w:r>
              <w:rPr>
                <w:sz w:val="24"/>
              </w:rPr>
              <w:t xml:space="preserve">mem-int:St_A_Invest_Stredstva_SR_RegTreb_Vidy_Strax_Member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Собственные средства (капитал)</w:t>
            </w:r>
          </w:p>
        </w:tc>
        <w:tc>
          <w:tcPr>
            <w:tcW w:w="2948"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4"/>
        <w:jc w:val="both"/>
      </w:pPr>
      <w:r>
        <w:rPr>
          <w:sz w:val="24"/>
        </w:rPr>
        <w:t xml:space="preserve">Подраздел 4.2.38. </w:t>
      </w:r>
      <w:hyperlink w:history="0" w:anchor="P24924" w:tooltip="Подраздел 2.38.">
        <w:r>
          <w:rPr>
            <w:sz w:val="24"/>
            <w:color w:val="0000ff"/>
          </w:rPr>
          <w:t xml:space="preserve">Подраздел 2.38</w:t>
        </w:r>
      </w:hyperlink>
      <w:r>
        <w:rPr>
          <w:sz w:val="24"/>
        </w:rPr>
        <w:t xml:space="preserve"> "Вещи, кроме наличных денег, отдельных видов недвижимого имущества и прав аренды на земельные участки, товаров, подпадающих под исключение, предусмотренное требованиями к финансовой устойчивости и платежеспособности страховщиков, документарных облигаций и акций"</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Вещи, кроме наличных денег, отдельных видов недвижимого имущества и прав аренды на земельные участки, товаров, подпадающих под исключение, предусмотренное требованиями к финансовой устойчивости и платежеспособности страховщиков, документарных облигаций и акций</w:t>
            </w:r>
          </w:p>
        </w:tc>
        <w:tc>
          <w:tcPr>
            <w:tcW w:w="2948" w:type="dxa"/>
          </w:tcPr>
          <w:p>
            <w:pPr>
              <w:pStyle w:val="0"/>
            </w:pPr>
            <w:r>
              <w:rPr>
                <w:sz w:val="24"/>
              </w:rPr>
              <w:t xml:space="preserve">mem-int:VeshhiKrNedvPunkt3.6P3.1.2Member</w:t>
            </w:r>
          </w:p>
        </w:tc>
      </w:tr>
      <w:tr>
        <w:tc>
          <w:tcPr>
            <w:tcW w:w="907" w:type="dxa"/>
          </w:tcPr>
          <w:p>
            <w:pPr>
              <w:pStyle w:val="0"/>
            </w:pPr>
            <w:r>
              <w:rPr>
                <w:sz w:val="24"/>
              </w:rPr>
              <w:t xml:space="preserve">2</w:t>
            </w:r>
          </w:p>
        </w:tc>
        <w:tc>
          <w:tcPr>
            <w:tcW w:w="2608" w:type="dxa"/>
          </w:tcPr>
          <w:p>
            <w:pPr>
              <w:pStyle w:val="0"/>
            </w:pPr>
            <w:r>
              <w:rPr>
                <w:sz w:val="24"/>
              </w:rPr>
              <w:t xml:space="preserve">Категория вещей, в том числе недвижимости</w:t>
            </w:r>
          </w:p>
        </w:tc>
        <w:tc>
          <w:tcPr>
            <w:tcW w:w="2608" w:type="dxa"/>
          </w:tcPr>
          <w:p>
            <w:pPr>
              <w:pStyle w:val="0"/>
            </w:pPr>
            <w:r>
              <w:rPr>
                <w:sz w:val="24"/>
              </w:rPr>
            </w:r>
          </w:p>
        </w:tc>
        <w:tc>
          <w:tcPr>
            <w:tcW w:w="2948" w:type="dxa"/>
          </w:tcPr>
          <w:p>
            <w:pPr>
              <w:pStyle w:val="0"/>
            </w:pPr>
            <w:r>
              <w:rPr>
                <w:sz w:val="24"/>
              </w:rPr>
              <w:t xml:space="preserve">dim-int:KatVeshhAxis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Недвижимость</w:t>
            </w:r>
          </w:p>
        </w:tc>
        <w:tc>
          <w:tcPr>
            <w:tcW w:w="2948" w:type="dxa"/>
          </w:tcPr>
          <w:p>
            <w:pPr>
              <w:pStyle w:val="0"/>
            </w:pPr>
            <w:r>
              <w:rPr>
                <w:sz w:val="24"/>
              </w:rPr>
              <w:t xml:space="preserve">mem-int:NedvizhimostMember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Земельный участок</w:t>
            </w:r>
          </w:p>
        </w:tc>
        <w:tc>
          <w:tcPr>
            <w:tcW w:w="2948" w:type="dxa"/>
          </w:tcPr>
          <w:p>
            <w:pPr>
              <w:pStyle w:val="0"/>
            </w:pPr>
            <w:r>
              <w:rPr>
                <w:sz w:val="24"/>
              </w:rPr>
              <w:t xml:space="preserve">mem-int:Zemelnyj_uchastokMember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Транспортные средства</w:t>
            </w:r>
          </w:p>
        </w:tc>
        <w:tc>
          <w:tcPr>
            <w:tcW w:w="2948" w:type="dxa"/>
          </w:tcPr>
          <w:p>
            <w:pPr>
              <w:pStyle w:val="0"/>
            </w:pPr>
            <w:r>
              <w:rPr>
                <w:sz w:val="24"/>
              </w:rPr>
              <w:t xml:space="preserve">mem-int:TransportnyeSredstvaMember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Оргтехника</w:t>
            </w:r>
          </w:p>
        </w:tc>
        <w:tc>
          <w:tcPr>
            <w:tcW w:w="2948" w:type="dxa"/>
          </w:tcPr>
          <w:p>
            <w:pPr>
              <w:pStyle w:val="0"/>
            </w:pPr>
            <w:r>
              <w:rPr>
                <w:sz w:val="24"/>
              </w:rPr>
              <w:t xml:space="preserve">mem-int:Orgtexnika_Member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Иная категория</w:t>
            </w:r>
          </w:p>
        </w:tc>
        <w:tc>
          <w:tcPr>
            <w:tcW w:w="2948" w:type="dxa"/>
          </w:tcPr>
          <w:p>
            <w:pPr>
              <w:pStyle w:val="0"/>
            </w:pPr>
            <w:r>
              <w:rPr>
                <w:sz w:val="24"/>
              </w:rPr>
              <w:t xml:space="preserve">mem-int:InKategorMember</w:t>
            </w:r>
          </w:p>
        </w:tc>
      </w:tr>
      <w:tr>
        <w:tc>
          <w:tcPr>
            <w:tcW w:w="907" w:type="dxa"/>
          </w:tcPr>
          <w:p>
            <w:pPr>
              <w:pStyle w:val="0"/>
            </w:pPr>
            <w:r>
              <w:rPr>
                <w:sz w:val="24"/>
              </w:rPr>
              <w:t xml:space="preserve">3</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4</w:t>
            </w:r>
          </w:p>
        </w:tc>
        <w:tc>
          <w:tcPr>
            <w:tcW w:w="2608" w:type="dxa"/>
          </w:tcPr>
          <w:p>
            <w:pPr>
              <w:pStyle w:val="0"/>
            </w:pPr>
            <w:r>
              <w:rPr>
                <w:sz w:val="24"/>
              </w:rPr>
              <w:t xml:space="preserve">Территориальный признак</w:t>
            </w:r>
          </w:p>
        </w:tc>
        <w:tc>
          <w:tcPr>
            <w:tcW w:w="2608" w:type="dxa"/>
          </w:tcPr>
          <w:p>
            <w:pPr>
              <w:pStyle w:val="0"/>
            </w:pPr>
            <w:r>
              <w:rPr>
                <w:sz w:val="24"/>
              </w:rPr>
            </w:r>
          </w:p>
        </w:tc>
        <w:tc>
          <w:tcPr>
            <w:tcW w:w="2948" w:type="dxa"/>
          </w:tcPr>
          <w:p>
            <w:pPr>
              <w:pStyle w:val="0"/>
            </w:pPr>
            <w:r>
              <w:rPr>
                <w:sz w:val="24"/>
              </w:rPr>
              <w:t xml:space="preserve">dim-int:Terr_Priznak_Axis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На территории Российской Федерации</w:t>
            </w:r>
          </w:p>
        </w:tc>
        <w:tc>
          <w:tcPr>
            <w:tcW w:w="2948" w:type="dxa"/>
          </w:tcPr>
          <w:p>
            <w:pPr>
              <w:pStyle w:val="0"/>
            </w:pPr>
            <w:r>
              <w:rPr>
                <w:sz w:val="24"/>
              </w:rPr>
              <w:t xml:space="preserve">mem-int:AktivyNaTerRFMember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За пределами территории Российской Федерации</w:t>
            </w:r>
          </w:p>
        </w:tc>
        <w:tc>
          <w:tcPr>
            <w:tcW w:w="2948" w:type="dxa"/>
          </w:tcPr>
          <w:p>
            <w:pPr>
              <w:pStyle w:val="0"/>
            </w:pPr>
            <w:r>
              <w:rPr>
                <w:sz w:val="24"/>
              </w:rPr>
              <w:t xml:space="preserve">mem-int:AktivyZaPredRFMember</w:t>
            </w:r>
          </w:p>
        </w:tc>
      </w:tr>
    </w:tbl>
    <w:p>
      <w:pPr>
        <w:pStyle w:val="0"/>
        <w:ind w:firstLine="540"/>
        <w:jc w:val="both"/>
      </w:pPr>
      <w:r>
        <w:rPr>
          <w:sz w:val="24"/>
        </w:rPr>
      </w:r>
    </w:p>
    <w:p>
      <w:pPr>
        <w:pStyle w:val="0"/>
        <w:outlineLvl w:val="4"/>
        <w:jc w:val="both"/>
      </w:pPr>
      <w:r>
        <w:rPr>
          <w:sz w:val="24"/>
        </w:rPr>
        <w:t xml:space="preserve">Подраздел 4.2.39. </w:t>
      </w:r>
      <w:hyperlink w:history="0" w:anchor="P24966" w:tooltip="Подраздел 2.39.">
        <w:r>
          <w:rPr>
            <w:sz w:val="24"/>
            <w:color w:val="0000ff"/>
          </w:rPr>
          <w:t xml:space="preserve">Подраздел 2.39</w:t>
        </w:r>
      </w:hyperlink>
      <w:r>
        <w:rPr>
          <w:sz w:val="24"/>
        </w:rPr>
        <w:t xml:space="preserve"> "Права пользования по договору аренды"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Права пользования по договору аренды</w:t>
            </w:r>
          </w:p>
        </w:tc>
        <w:tc>
          <w:tcPr>
            <w:tcW w:w="2948" w:type="dxa"/>
          </w:tcPr>
          <w:p>
            <w:pPr>
              <w:pStyle w:val="0"/>
            </w:pPr>
            <w:r>
              <w:rPr>
                <w:sz w:val="24"/>
              </w:rPr>
              <w:t xml:space="preserve">mem-int:PravPolzDogArendMember</w:t>
            </w:r>
          </w:p>
        </w:tc>
      </w:tr>
    </w:tbl>
    <w:p>
      <w:pPr>
        <w:pStyle w:val="0"/>
        <w:ind w:firstLine="540"/>
        <w:jc w:val="both"/>
      </w:pPr>
      <w:r>
        <w:rPr>
          <w:sz w:val="24"/>
        </w:rPr>
      </w:r>
    </w:p>
    <w:p>
      <w:pPr>
        <w:pStyle w:val="0"/>
        <w:outlineLvl w:val="4"/>
        <w:jc w:val="both"/>
      </w:pPr>
      <w:r>
        <w:rPr>
          <w:sz w:val="24"/>
        </w:rPr>
        <w:t xml:space="preserve">Подраздел 4.2.40. </w:t>
      </w:r>
      <w:hyperlink w:history="0" w:anchor="P25028" w:tooltip="Подраздел 2.40.">
        <w:r>
          <w:rPr>
            <w:sz w:val="24"/>
            <w:color w:val="0000ff"/>
          </w:rPr>
          <w:t xml:space="preserve">Подраздел 2.40</w:t>
        </w:r>
      </w:hyperlink>
      <w:r>
        <w:rPr>
          <w:sz w:val="24"/>
        </w:rPr>
        <w:t xml:space="preserve"> "Прочие активы"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721"/>
        <w:gridCol w:w="2608"/>
        <w:gridCol w:w="2835"/>
      </w:tblGrid>
      <w:tr>
        <w:tc>
          <w:tcPr>
            <w:tcW w:w="907" w:type="dxa"/>
          </w:tcPr>
          <w:p>
            <w:pPr>
              <w:pStyle w:val="0"/>
              <w:jc w:val="center"/>
            </w:pPr>
            <w:r>
              <w:rPr>
                <w:sz w:val="24"/>
              </w:rPr>
              <w:t xml:space="preserve">Номер строки</w:t>
            </w:r>
          </w:p>
        </w:tc>
        <w:tc>
          <w:tcPr>
            <w:tcW w:w="2721"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835"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721" w:type="dxa"/>
          </w:tcPr>
          <w:p>
            <w:pPr>
              <w:pStyle w:val="0"/>
              <w:jc w:val="center"/>
            </w:pPr>
            <w:r>
              <w:rPr>
                <w:sz w:val="24"/>
              </w:rPr>
              <w:t xml:space="preserve">2</w:t>
            </w:r>
          </w:p>
        </w:tc>
        <w:tc>
          <w:tcPr>
            <w:tcW w:w="2608" w:type="dxa"/>
          </w:tcPr>
          <w:p>
            <w:pPr>
              <w:pStyle w:val="0"/>
              <w:jc w:val="center"/>
            </w:pPr>
            <w:r>
              <w:rPr>
                <w:sz w:val="24"/>
              </w:rPr>
              <w:t xml:space="preserve">3</w:t>
            </w:r>
          </w:p>
        </w:tc>
        <w:tc>
          <w:tcPr>
            <w:tcW w:w="2835" w:type="dxa"/>
          </w:tcPr>
          <w:p>
            <w:pPr>
              <w:pStyle w:val="0"/>
              <w:jc w:val="center"/>
            </w:pPr>
            <w:r>
              <w:rPr>
                <w:sz w:val="24"/>
              </w:rPr>
              <w:t xml:space="preserve">4</w:t>
            </w:r>
          </w:p>
        </w:tc>
      </w:tr>
      <w:tr>
        <w:tc>
          <w:tcPr>
            <w:tcW w:w="907" w:type="dxa"/>
          </w:tcPr>
          <w:p>
            <w:pPr>
              <w:pStyle w:val="0"/>
            </w:pPr>
            <w:r>
              <w:rPr>
                <w:sz w:val="24"/>
              </w:rPr>
              <w:t xml:space="preserve">1</w:t>
            </w:r>
          </w:p>
        </w:tc>
        <w:tc>
          <w:tcPr>
            <w:tcW w:w="2721" w:type="dxa"/>
          </w:tcPr>
          <w:p>
            <w:pPr>
              <w:pStyle w:val="0"/>
            </w:pPr>
            <w:r>
              <w:rPr>
                <w:sz w:val="24"/>
              </w:rPr>
              <w:t xml:space="preserve">Актив, подлежащий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835" w:type="dxa"/>
          </w:tcPr>
          <w:p>
            <w:pPr>
              <w:pStyle w:val="0"/>
            </w:pPr>
            <w:r>
              <w:rPr>
                <w:sz w:val="24"/>
              </w:rPr>
              <w:t xml:space="preserve">dim-int:AktivPodlezhSummVSootvSGl1_710PAxis</w:t>
            </w:r>
          </w:p>
        </w:tc>
      </w:tr>
      <w:tr>
        <w:tc>
          <w:tcPr>
            <w:tcW w:w="907" w:type="dxa"/>
          </w:tcPr>
          <w:p>
            <w:pPr>
              <w:pStyle w:val="0"/>
            </w:pPr>
            <w:r>
              <w:rPr>
                <w:sz w:val="24"/>
              </w:rPr>
              <w:t xml:space="preserve">1.1</w:t>
            </w:r>
          </w:p>
        </w:tc>
        <w:tc>
          <w:tcPr>
            <w:tcW w:w="2721" w:type="dxa"/>
          </w:tcPr>
          <w:p>
            <w:pPr>
              <w:pStyle w:val="0"/>
            </w:pPr>
            <w:r>
              <w:rPr>
                <w:sz w:val="24"/>
              </w:rPr>
            </w:r>
          </w:p>
        </w:tc>
        <w:tc>
          <w:tcPr>
            <w:tcW w:w="2608" w:type="dxa"/>
          </w:tcPr>
          <w:p>
            <w:pPr>
              <w:pStyle w:val="0"/>
            </w:pPr>
            <w:r>
              <w:rPr>
                <w:sz w:val="24"/>
              </w:rPr>
              <w:t xml:space="preserve">Да</w:t>
            </w:r>
          </w:p>
        </w:tc>
        <w:tc>
          <w:tcPr>
            <w:tcW w:w="2835" w:type="dxa"/>
          </w:tcPr>
          <w:p>
            <w:pPr>
              <w:pStyle w:val="0"/>
            </w:pPr>
            <w:r>
              <w:rPr>
                <w:sz w:val="24"/>
              </w:rPr>
              <w:t xml:space="preserve">mem-int:DaMember</w:t>
            </w:r>
          </w:p>
        </w:tc>
      </w:tr>
      <w:tr>
        <w:tc>
          <w:tcPr>
            <w:tcW w:w="907" w:type="dxa"/>
          </w:tcPr>
          <w:p>
            <w:pPr>
              <w:pStyle w:val="0"/>
            </w:pPr>
            <w:r>
              <w:rPr>
                <w:sz w:val="24"/>
              </w:rPr>
              <w:t xml:space="preserve">1.2</w:t>
            </w:r>
          </w:p>
        </w:tc>
        <w:tc>
          <w:tcPr>
            <w:tcW w:w="2721" w:type="dxa"/>
          </w:tcPr>
          <w:p>
            <w:pPr>
              <w:pStyle w:val="0"/>
            </w:pPr>
            <w:r>
              <w:rPr>
                <w:sz w:val="24"/>
              </w:rPr>
            </w:r>
          </w:p>
        </w:tc>
        <w:tc>
          <w:tcPr>
            <w:tcW w:w="2608" w:type="dxa"/>
          </w:tcPr>
          <w:p>
            <w:pPr>
              <w:pStyle w:val="0"/>
            </w:pPr>
            <w:r>
              <w:rPr>
                <w:sz w:val="24"/>
              </w:rPr>
              <w:t xml:space="preserve">Нет</w:t>
            </w:r>
          </w:p>
        </w:tc>
        <w:tc>
          <w:tcPr>
            <w:tcW w:w="2835" w:type="dxa"/>
          </w:tcPr>
          <w:p>
            <w:pPr>
              <w:pStyle w:val="0"/>
            </w:pPr>
            <w:r>
              <w:rPr>
                <w:sz w:val="24"/>
              </w:rPr>
              <w:t xml:space="preserve">mem-int:NetMember</w:t>
            </w:r>
          </w:p>
        </w:tc>
      </w:tr>
      <w:tr>
        <w:tc>
          <w:tcPr>
            <w:tcW w:w="907" w:type="dxa"/>
          </w:tcPr>
          <w:p>
            <w:pPr>
              <w:pStyle w:val="0"/>
            </w:pPr>
            <w:r>
              <w:rPr>
                <w:sz w:val="24"/>
              </w:rPr>
              <w:t xml:space="preserve">2</w:t>
            </w:r>
          </w:p>
        </w:tc>
        <w:tc>
          <w:tcPr>
            <w:tcW w:w="2721" w:type="dxa"/>
          </w:tcPr>
          <w:p>
            <w:pPr>
              <w:pStyle w:val="0"/>
            </w:pPr>
            <w:r>
              <w:rPr>
                <w:sz w:val="24"/>
              </w:rPr>
              <w:t xml:space="preserve">Актив включен в перечень активов, стоимость которых страховщик признает равной нулю, установленный во внутреннем документе страховщика</w:t>
            </w:r>
          </w:p>
        </w:tc>
        <w:tc>
          <w:tcPr>
            <w:tcW w:w="2608" w:type="dxa"/>
          </w:tcPr>
          <w:p>
            <w:pPr>
              <w:pStyle w:val="0"/>
            </w:pPr>
            <w:r>
              <w:rPr>
                <w:sz w:val="24"/>
              </w:rPr>
            </w:r>
          </w:p>
        </w:tc>
        <w:tc>
          <w:tcPr>
            <w:tcW w:w="2835" w:type="dxa"/>
          </w:tcPr>
          <w:p>
            <w:pPr>
              <w:pStyle w:val="0"/>
            </w:pPr>
            <w:r>
              <w:rPr>
                <w:sz w:val="24"/>
              </w:rPr>
              <w:t xml:space="preserve">dim-int:AktivSootvTrebPp3.1.25P3.1_710PAxis</w:t>
            </w:r>
          </w:p>
        </w:tc>
      </w:tr>
      <w:tr>
        <w:tc>
          <w:tcPr>
            <w:tcW w:w="907" w:type="dxa"/>
          </w:tcPr>
          <w:p>
            <w:pPr>
              <w:pStyle w:val="0"/>
            </w:pPr>
            <w:r>
              <w:rPr>
                <w:sz w:val="24"/>
              </w:rPr>
              <w:t xml:space="preserve">2.1</w:t>
            </w:r>
          </w:p>
        </w:tc>
        <w:tc>
          <w:tcPr>
            <w:tcW w:w="2721" w:type="dxa"/>
          </w:tcPr>
          <w:p>
            <w:pPr>
              <w:pStyle w:val="0"/>
            </w:pPr>
            <w:r>
              <w:rPr>
                <w:sz w:val="24"/>
              </w:rPr>
            </w:r>
          </w:p>
        </w:tc>
        <w:tc>
          <w:tcPr>
            <w:tcW w:w="2608" w:type="dxa"/>
          </w:tcPr>
          <w:p>
            <w:pPr>
              <w:pStyle w:val="0"/>
            </w:pPr>
            <w:r>
              <w:rPr>
                <w:sz w:val="24"/>
              </w:rPr>
              <w:t xml:space="preserve">Да</w:t>
            </w:r>
          </w:p>
        </w:tc>
        <w:tc>
          <w:tcPr>
            <w:tcW w:w="2835" w:type="dxa"/>
          </w:tcPr>
          <w:p>
            <w:pPr>
              <w:pStyle w:val="0"/>
            </w:pPr>
            <w:r>
              <w:rPr>
                <w:sz w:val="24"/>
              </w:rPr>
              <w:t xml:space="preserve">mem-int:DaMember</w:t>
            </w:r>
          </w:p>
        </w:tc>
      </w:tr>
      <w:tr>
        <w:tc>
          <w:tcPr>
            <w:tcW w:w="907" w:type="dxa"/>
          </w:tcPr>
          <w:p>
            <w:pPr>
              <w:pStyle w:val="0"/>
            </w:pPr>
            <w:r>
              <w:rPr>
                <w:sz w:val="24"/>
              </w:rPr>
              <w:t xml:space="preserve">2.2</w:t>
            </w:r>
          </w:p>
        </w:tc>
        <w:tc>
          <w:tcPr>
            <w:tcW w:w="2721" w:type="dxa"/>
          </w:tcPr>
          <w:p>
            <w:pPr>
              <w:pStyle w:val="0"/>
            </w:pPr>
            <w:r>
              <w:rPr>
                <w:sz w:val="24"/>
              </w:rPr>
            </w:r>
          </w:p>
        </w:tc>
        <w:tc>
          <w:tcPr>
            <w:tcW w:w="2608" w:type="dxa"/>
          </w:tcPr>
          <w:p>
            <w:pPr>
              <w:pStyle w:val="0"/>
            </w:pPr>
            <w:r>
              <w:rPr>
                <w:sz w:val="24"/>
              </w:rPr>
              <w:t xml:space="preserve">Нет</w:t>
            </w:r>
          </w:p>
        </w:tc>
        <w:tc>
          <w:tcPr>
            <w:tcW w:w="2835" w:type="dxa"/>
          </w:tcPr>
          <w:p>
            <w:pPr>
              <w:pStyle w:val="0"/>
            </w:pPr>
            <w:r>
              <w:rPr>
                <w:sz w:val="24"/>
              </w:rPr>
              <w:t xml:space="preserve">mem-int:NetMember</w:t>
            </w:r>
          </w:p>
        </w:tc>
      </w:tr>
      <w:tr>
        <w:tc>
          <w:tcPr>
            <w:tcW w:w="907" w:type="dxa"/>
          </w:tcPr>
          <w:p>
            <w:pPr>
              <w:pStyle w:val="0"/>
            </w:pPr>
            <w:r>
              <w:rPr>
                <w:sz w:val="24"/>
              </w:rPr>
              <w:t xml:space="preserve">3</w:t>
            </w:r>
          </w:p>
        </w:tc>
        <w:tc>
          <w:tcPr>
            <w:tcW w:w="2721" w:type="dxa"/>
          </w:tcPr>
          <w:p>
            <w:pPr>
              <w:pStyle w:val="0"/>
            </w:pPr>
            <w:r>
              <w:rPr>
                <w:sz w:val="24"/>
              </w:rPr>
              <w:t xml:space="preserve">Вид актива</w:t>
            </w:r>
          </w:p>
        </w:tc>
        <w:tc>
          <w:tcPr>
            <w:tcW w:w="2608" w:type="dxa"/>
          </w:tcPr>
          <w:p>
            <w:pPr>
              <w:pStyle w:val="0"/>
            </w:pPr>
            <w:r>
              <w:rPr>
                <w:sz w:val="24"/>
              </w:rPr>
            </w:r>
          </w:p>
        </w:tc>
        <w:tc>
          <w:tcPr>
            <w:tcW w:w="2835" w:type="dxa"/>
          </w:tcPr>
          <w:p>
            <w:pPr>
              <w:pStyle w:val="0"/>
            </w:pPr>
            <w:r>
              <w:rPr>
                <w:sz w:val="24"/>
              </w:rPr>
              <w:t xml:space="preserve">dim-int:KlassAktAxis</w:t>
            </w:r>
          </w:p>
        </w:tc>
      </w:tr>
      <w:tr>
        <w:tc>
          <w:tcPr>
            <w:tcW w:w="907" w:type="dxa"/>
          </w:tcPr>
          <w:p>
            <w:pPr>
              <w:pStyle w:val="0"/>
            </w:pPr>
            <w:r>
              <w:rPr>
                <w:sz w:val="24"/>
              </w:rPr>
              <w:t xml:space="preserve">3.1</w:t>
            </w:r>
          </w:p>
        </w:tc>
        <w:tc>
          <w:tcPr>
            <w:tcW w:w="2721" w:type="dxa"/>
          </w:tcPr>
          <w:p>
            <w:pPr>
              <w:pStyle w:val="0"/>
            </w:pPr>
            <w:r>
              <w:rPr>
                <w:sz w:val="24"/>
              </w:rPr>
            </w:r>
          </w:p>
        </w:tc>
        <w:tc>
          <w:tcPr>
            <w:tcW w:w="2608" w:type="dxa"/>
          </w:tcPr>
          <w:p>
            <w:pPr>
              <w:pStyle w:val="0"/>
            </w:pPr>
            <w:r>
              <w:rPr>
                <w:sz w:val="24"/>
              </w:rPr>
              <w:t xml:space="preserve">Прочие активы</w:t>
            </w:r>
          </w:p>
        </w:tc>
        <w:tc>
          <w:tcPr>
            <w:tcW w:w="2835" w:type="dxa"/>
          </w:tcPr>
          <w:p>
            <w:pPr>
              <w:pStyle w:val="0"/>
            </w:pPr>
            <w:r>
              <w:rPr>
                <w:sz w:val="24"/>
              </w:rPr>
              <w:t xml:space="preserve">mem-int:ProchieAktivyMember</w:t>
            </w:r>
          </w:p>
        </w:tc>
      </w:tr>
      <w:tr>
        <w:tc>
          <w:tcPr>
            <w:tcW w:w="907" w:type="dxa"/>
          </w:tcPr>
          <w:p>
            <w:pPr>
              <w:pStyle w:val="0"/>
            </w:pPr>
            <w:r>
              <w:rPr>
                <w:sz w:val="24"/>
              </w:rPr>
              <w:t xml:space="preserve">4</w:t>
            </w:r>
          </w:p>
        </w:tc>
        <w:tc>
          <w:tcPr>
            <w:tcW w:w="2721"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835" w:type="dxa"/>
          </w:tcPr>
          <w:p>
            <w:pPr>
              <w:pStyle w:val="0"/>
            </w:pPr>
            <w:r>
              <w:rPr>
                <w:sz w:val="24"/>
              </w:rPr>
              <w:t xml:space="preserve">dim-int:GarPoruchSootvPunkt318Axis</w:t>
            </w:r>
          </w:p>
        </w:tc>
      </w:tr>
      <w:tr>
        <w:tc>
          <w:tcPr>
            <w:tcW w:w="907" w:type="dxa"/>
          </w:tcPr>
          <w:p>
            <w:pPr>
              <w:pStyle w:val="0"/>
            </w:pPr>
            <w:r>
              <w:rPr>
                <w:sz w:val="24"/>
              </w:rPr>
              <w:t xml:space="preserve">4.1</w:t>
            </w:r>
          </w:p>
        </w:tc>
        <w:tc>
          <w:tcPr>
            <w:tcW w:w="2721" w:type="dxa"/>
          </w:tcPr>
          <w:p>
            <w:pPr>
              <w:pStyle w:val="0"/>
            </w:pPr>
            <w:r>
              <w:rPr>
                <w:sz w:val="24"/>
              </w:rPr>
            </w:r>
          </w:p>
        </w:tc>
        <w:tc>
          <w:tcPr>
            <w:tcW w:w="2608" w:type="dxa"/>
          </w:tcPr>
          <w:p>
            <w:pPr>
              <w:pStyle w:val="0"/>
            </w:pPr>
            <w:r>
              <w:rPr>
                <w:sz w:val="24"/>
              </w:rPr>
              <w:t xml:space="preserve">Да</w:t>
            </w:r>
          </w:p>
        </w:tc>
        <w:tc>
          <w:tcPr>
            <w:tcW w:w="2835" w:type="dxa"/>
          </w:tcPr>
          <w:p>
            <w:pPr>
              <w:pStyle w:val="0"/>
            </w:pPr>
            <w:r>
              <w:rPr>
                <w:sz w:val="24"/>
              </w:rPr>
              <w:t xml:space="preserve">mem-int:DaMember</w:t>
            </w:r>
          </w:p>
        </w:tc>
      </w:tr>
      <w:tr>
        <w:tc>
          <w:tcPr>
            <w:tcW w:w="907" w:type="dxa"/>
          </w:tcPr>
          <w:p>
            <w:pPr>
              <w:pStyle w:val="0"/>
            </w:pPr>
            <w:r>
              <w:rPr>
                <w:sz w:val="24"/>
              </w:rPr>
              <w:t xml:space="preserve">4.2</w:t>
            </w:r>
          </w:p>
        </w:tc>
        <w:tc>
          <w:tcPr>
            <w:tcW w:w="2721" w:type="dxa"/>
          </w:tcPr>
          <w:p>
            <w:pPr>
              <w:pStyle w:val="0"/>
            </w:pPr>
            <w:r>
              <w:rPr>
                <w:sz w:val="24"/>
              </w:rPr>
            </w:r>
          </w:p>
        </w:tc>
        <w:tc>
          <w:tcPr>
            <w:tcW w:w="2608" w:type="dxa"/>
          </w:tcPr>
          <w:p>
            <w:pPr>
              <w:pStyle w:val="0"/>
            </w:pPr>
            <w:r>
              <w:rPr>
                <w:sz w:val="24"/>
              </w:rPr>
              <w:t xml:space="preserve">Нет</w:t>
            </w:r>
          </w:p>
        </w:tc>
        <w:tc>
          <w:tcPr>
            <w:tcW w:w="2835" w:type="dxa"/>
          </w:tcPr>
          <w:p>
            <w:pPr>
              <w:pStyle w:val="0"/>
            </w:pPr>
            <w:r>
              <w:rPr>
                <w:sz w:val="24"/>
              </w:rPr>
              <w:t xml:space="preserve">mem-int:NetMember</w:t>
            </w:r>
          </w:p>
        </w:tc>
      </w:tr>
      <w:tr>
        <w:tc>
          <w:tcPr>
            <w:tcW w:w="907" w:type="dxa"/>
          </w:tcPr>
          <w:p>
            <w:pPr>
              <w:pStyle w:val="0"/>
            </w:pPr>
            <w:r>
              <w:rPr>
                <w:sz w:val="24"/>
              </w:rPr>
              <w:t xml:space="preserve">4.3</w:t>
            </w:r>
          </w:p>
        </w:tc>
        <w:tc>
          <w:tcPr>
            <w:tcW w:w="2721" w:type="dxa"/>
          </w:tcPr>
          <w:p>
            <w:pPr>
              <w:pStyle w:val="0"/>
            </w:pPr>
            <w:r>
              <w:rPr>
                <w:sz w:val="24"/>
              </w:rPr>
            </w:r>
          </w:p>
        </w:tc>
        <w:tc>
          <w:tcPr>
            <w:tcW w:w="2608" w:type="dxa"/>
          </w:tcPr>
          <w:p>
            <w:pPr>
              <w:pStyle w:val="0"/>
            </w:pPr>
            <w:r>
              <w:rPr>
                <w:sz w:val="24"/>
              </w:rPr>
              <w:t xml:space="preserve">Неприменимо</w:t>
            </w:r>
          </w:p>
        </w:tc>
        <w:tc>
          <w:tcPr>
            <w:tcW w:w="2835" w:type="dxa"/>
          </w:tcPr>
          <w:p>
            <w:pPr>
              <w:pStyle w:val="0"/>
            </w:pPr>
            <w:r>
              <w:rPr>
                <w:sz w:val="24"/>
              </w:rPr>
              <w:t xml:space="preserve">mem-int:NeprimenimoMember</w:t>
            </w:r>
          </w:p>
        </w:tc>
      </w:tr>
      <w:tr>
        <w:tc>
          <w:tcPr>
            <w:tcW w:w="907" w:type="dxa"/>
          </w:tcPr>
          <w:p>
            <w:pPr>
              <w:pStyle w:val="0"/>
            </w:pPr>
            <w:r>
              <w:rPr>
                <w:sz w:val="24"/>
              </w:rPr>
              <w:t xml:space="preserve">5</w:t>
            </w:r>
          </w:p>
        </w:tc>
        <w:tc>
          <w:tcPr>
            <w:tcW w:w="2721"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835" w:type="dxa"/>
          </w:tcPr>
          <w:p>
            <w:pPr>
              <w:pStyle w:val="0"/>
            </w:pPr>
            <w:r>
              <w:rPr>
                <w:sz w:val="24"/>
              </w:rPr>
              <w:t xml:space="preserve">dim-int:ArestObremObespMerPrepOtchAxis</w:t>
            </w:r>
          </w:p>
        </w:tc>
      </w:tr>
      <w:tr>
        <w:tc>
          <w:tcPr>
            <w:tcW w:w="907" w:type="dxa"/>
          </w:tcPr>
          <w:p>
            <w:pPr>
              <w:pStyle w:val="0"/>
            </w:pPr>
            <w:r>
              <w:rPr>
                <w:sz w:val="24"/>
              </w:rPr>
              <w:t xml:space="preserve">5.1</w:t>
            </w:r>
          </w:p>
        </w:tc>
        <w:tc>
          <w:tcPr>
            <w:tcW w:w="2721" w:type="dxa"/>
          </w:tcPr>
          <w:p>
            <w:pPr>
              <w:pStyle w:val="0"/>
            </w:pPr>
            <w:r>
              <w:rPr>
                <w:sz w:val="24"/>
              </w:rPr>
            </w:r>
          </w:p>
        </w:tc>
        <w:tc>
          <w:tcPr>
            <w:tcW w:w="2608" w:type="dxa"/>
          </w:tcPr>
          <w:p>
            <w:pPr>
              <w:pStyle w:val="0"/>
            </w:pPr>
            <w:r>
              <w:rPr>
                <w:sz w:val="24"/>
              </w:rPr>
              <w:t xml:space="preserve">Да</w:t>
            </w:r>
          </w:p>
        </w:tc>
        <w:tc>
          <w:tcPr>
            <w:tcW w:w="2835" w:type="dxa"/>
          </w:tcPr>
          <w:p>
            <w:pPr>
              <w:pStyle w:val="0"/>
            </w:pPr>
            <w:r>
              <w:rPr>
                <w:sz w:val="24"/>
              </w:rPr>
              <w:t xml:space="preserve">mem-int:DaMember</w:t>
            </w:r>
          </w:p>
        </w:tc>
      </w:tr>
      <w:tr>
        <w:tc>
          <w:tcPr>
            <w:tcW w:w="907" w:type="dxa"/>
          </w:tcPr>
          <w:p>
            <w:pPr>
              <w:pStyle w:val="0"/>
            </w:pPr>
            <w:r>
              <w:rPr>
                <w:sz w:val="24"/>
              </w:rPr>
              <w:t xml:space="preserve">5.2</w:t>
            </w:r>
          </w:p>
        </w:tc>
        <w:tc>
          <w:tcPr>
            <w:tcW w:w="2721" w:type="dxa"/>
          </w:tcPr>
          <w:p>
            <w:pPr>
              <w:pStyle w:val="0"/>
            </w:pPr>
            <w:r>
              <w:rPr>
                <w:sz w:val="24"/>
              </w:rPr>
            </w:r>
          </w:p>
        </w:tc>
        <w:tc>
          <w:tcPr>
            <w:tcW w:w="2608" w:type="dxa"/>
          </w:tcPr>
          <w:p>
            <w:pPr>
              <w:pStyle w:val="0"/>
            </w:pPr>
            <w:r>
              <w:rPr>
                <w:sz w:val="24"/>
              </w:rPr>
              <w:t xml:space="preserve">Нет</w:t>
            </w:r>
          </w:p>
        </w:tc>
        <w:tc>
          <w:tcPr>
            <w:tcW w:w="2835" w:type="dxa"/>
          </w:tcPr>
          <w:p>
            <w:pPr>
              <w:pStyle w:val="0"/>
            </w:pPr>
            <w:r>
              <w:rPr>
                <w:sz w:val="24"/>
              </w:rPr>
              <w:t xml:space="preserve">mem-int:NetMember</w:t>
            </w:r>
          </w:p>
        </w:tc>
      </w:tr>
      <w:tr>
        <w:tc>
          <w:tcPr>
            <w:tcW w:w="907" w:type="dxa"/>
          </w:tcPr>
          <w:p>
            <w:pPr>
              <w:pStyle w:val="0"/>
            </w:pPr>
            <w:r>
              <w:rPr>
                <w:sz w:val="24"/>
              </w:rPr>
              <w:t xml:space="preserve">6</w:t>
            </w:r>
          </w:p>
        </w:tc>
        <w:tc>
          <w:tcPr>
            <w:tcW w:w="2721"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835" w:type="dxa"/>
          </w:tcPr>
          <w:p>
            <w:pPr>
              <w:pStyle w:val="0"/>
            </w:pPr>
            <w:r>
              <w:rPr>
                <w:sz w:val="24"/>
              </w:rPr>
              <w:t xml:space="preserve">dim-int:RiskAktPeredStrlAxis</w:t>
            </w:r>
          </w:p>
        </w:tc>
      </w:tr>
      <w:tr>
        <w:tc>
          <w:tcPr>
            <w:tcW w:w="907" w:type="dxa"/>
          </w:tcPr>
          <w:p>
            <w:pPr>
              <w:pStyle w:val="0"/>
            </w:pPr>
            <w:r>
              <w:rPr>
                <w:sz w:val="24"/>
              </w:rPr>
              <w:t xml:space="preserve">6.1</w:t>
            </w:r>
          </w:p>
        </w:tc>
        <w:tc>
          <w:tcPr>
            <w:tcW w:w="2721" w:type="dxa"/>
          </w:tcPr>
          <w:p>
            <w:pPr>
              <w:pStyle w:val="0"/>
            </w:pPr>
            <w:r>
              <w:rPr>
                <w:sz w:val="24"/>
              </w:rPr>
            </w:r>
          </w:p>
        </w:tc>
        <w:tc>
          <w:tcPr>
            <w:tcW w:w="2608" w:type="dxa"/>
          </w:tcPr>
          <w:p>
            <w:pPr>
              <w:pStyle w:val="0"/>
            </w:pPr>
            <w:r>
              <w:rPr>
                <w:sz w:val="24"/>
              </w:rPr>
              <w:t xml:space="preserve">Да</w:t>
            </w:r>
          </w:p>
        </w:tc>
        <w:tc>
          <w:tcPr>
            <w:tcW w:w="2835" w:type="dxa"/>
          </w:tcPr>
          <w:p>
            <w:pPr>
              <w:pStyle w:val="0"/>
            </w:pPr>
            <w:r>
              <w:rPr>
                <w:sz w:val="24"/>
              </w:rPr>
              <w:t xml:space="preserve">mem-int:DaMember</w:t>
            </w:r>
          </w:p>
        </w:tc>
      </w:tr>
      <w:tr>
        <w:tc>
          <w:tcPr>
            <w:tcW w:w="907" w:type="dxa"/>
          </w:tcPr>
          <w:p>
            <w:pPr>
              <w:pStyle w:val="0"/>
            </w:pPr>
            <w:r>
              <w:rPr>
                <w:sz w:val="24"/>
              </w:rPr>
              <w:t xml:space="preserve">6.2</w:t>
            </w:r>
          </w:p>
        </w:tc>
        <w:tc>
          <w:tcPr>
            <w:tcW w:w="2721" w:type="dxa"/>
          </w:tcPr>
          <w:p>
            <w:pPr>
              <w:pStyle w:val="0"/>
            </w:pPr>
            <w:r>
              <w:rPr>
                <w:sz w:val="24"/>
              </w:rPr>
            </w:r>
          </w:p>
        </w:tc>
        <w:tc>
          <w:tcPr>
            <w:tcW w:w="2608" w:type="dxa"/>
          </w:tcPr>
          <w:p>
            <w:pPr>
              <w:pStyle w:val="0"/>
            </w:pPr>
            <w:r>
              <w:rPr>
                <w:sz w:val="24"/>
              </w:rPr>
              <w:t xml:space="preserve">Нет</w:t>
            </w:r>
          </w:p>
        </w:tc>
        <w:tc>
          <w:tcPr>
            <w:tcW w:w="2835" w:type="dxa"/>
          </w:tcPr>
          <w:p>
            <w:pPr>
              <w:pStyle w:val="0"/>
            </w:pPr>
            <w:r>
              <w:rPr>
                <w:sz w:val="24"/>
              </w:rPr>
              <w:t xml:space="preserve">mem-int:NetMember</w:t>
            </w:r>
          </w:p>
        </w:tc>
      </w:tr>
      <w:tr>
        <w:tc>
          <w:tcPr>
            <w:tcW w:w="907" w:type="dxa"/>
          </w:tcPr>
          <w:p>
            <w:pPr>
              <w:pStyle w:val="0"/>
            </w:pPr>
            <w:r>
              <w:rPr>
                <w:sz w:val="24"/>
              </w:rPr>
              <w:t xml:space="preserve">6.3</w:t>
            </w:r>
          </w:p>
        </w:tc>
        <w:tc>
          <w:tcPr>
            <w:tcW w:w="2721" w:type="dxa"/>
          </w:tcPr>
          <w:p>
            <w:pPr>
              <w:pStyle w:val="0"/>
            </w:pPr>
            <w:r>
              <w:rPr>
                <w:sz w:val="24"/>
              </w:rPr>
            </w:r>
          </w:p>
        </w:tc>
        <w:tc>
          <w:tcPr>
            <w:tcW w:w="2608" w:type="dxa"/>
          </w:tcPr>
          <w:p>
            <w:pPr>
              <w:pStyle w:val="0"/>
            </w:pPr>
            <w:r>
              <w:rPr>
                <w:sz w:val="24"/>
              </w:rPr>
              <w:t xml:space="preserve">Неприменимо</w:t>
            </w:r>
          </w:p>
        </w:tc>
        <w:tc>
          <w:tcPr>
            <w:tcW w:w="2835" w:type="dxa"/>
          </w:tcPr>
          <w:p>
            <w:pPr>
              <w:pStyle w:val="0"/>
            </w:pPr>
            <w:r>
              <w:rPr>
                <w:sz w:val="24"/>
              </w:rPr>
              <w:t xml:space="preserve">mem-int:NeprimenimoMember</w:t>
            </w:r>
          </w:p>
        </w:tc>
      </w:tr>
      <w:tr>
        <w:tc>
          <w:tcPr>
            <w:tcW w:w="907" w:type="dxa"/>
          </w:tcPr>
          <w:p>
            <w:pPr>
              <w:pStyle w:val="0"/>
            </w:pPr>
            <w:r>
              <w:rPr>
                <w:sz w:val="24"/>
              </w:rPr>
              <w:t xml:space="preserve">7</w:t>
            </w:r>
          </w:p>
        </w:tc>
        <w:tc>
          <w:tcPr>
            <w:tcW w:w="2721" w:type="dxa"/>
          </w:tcPr>
          <w:p>
            <w:pPr>
              <w:pStyle w:val="0"/>
            </w:pPr>
            <w:r>
              <w:rPr>
                <w:sz w:val="24"/>
              </w:rPr>
              <w:t xml:space="preserve">Стоимость активов, в которые инвестированы средства страховых резервов, собственные средства (капитал)</w:t>
            </w:r>
          </w:p>
        </w:tc>
        <w:tc>
          <w:tcPr>
            <w:tcW w:w="2608" w:type="dxa"/>
          </w:tcPr>
          <w:p>
            <w:pPr>
              <w:pStyle w:val="0"/>
            </w:pPr>
            <w:r>
              <w:rPr>
                <w:sz w:val="24"/>
              </w:rPr>
            </w:r>
          </w:p>
        </w:tc>
        <w:tc>
          <w:tcPr>
            <w:tcW w:w="2835" w:type="dxa"/>
          </w:tcPr>
          <w:p>
            <w:pPr>
              <w:pStyle w:val="0"/>
            </w:pPr>
            <w:r>
              <w:rPr>
                <w:sz w:val="24"/>
              </w:rPr>
              <w:t xml:space="preserve">dim-int:St_A_Invest_Stredstva_Sr_Ss_Axis</w:t>
            </w:r>
          </w:p>
        </w:tc>
      </w:tr>
      <w:tr>
        <w:tc>
          <w:tcPr>
            <w:tcW w:w="907" w:type="dxa"/>
          </w:tcPr>
          <w:p>
            <w:pPr>
              <w:pStyle w:val="0"/>
            </w:pPr>
            <w:r>
              <w:rPr>
                <w:sz w:val="24"/>
              </w:rPr>
              <w:t xml:space="preserve">7.1</w:t>
            </w:r>
          </w:p>
        </w:tc>
        <w:tc>
          <w:tcPr>
            <w:tcW w:w="2721" w:type="dxa"/>
          </w:tcPr>
          <w:p>
            <w:pPr>
              <w:pStyle w:val="0"/>
            </w:pPr>
            <w:r>
              <w:rPr>
                <w:sz w:val="24"/>
              </w:rPr>
            </w:r>
          </w:p>
        </w:tc>
        <w:tc>
          <w:tcPr>
            <w:tcW w:w="2608" w:type="dxa"/>
          </w:tcPr>
          <w:p>
            <w:pPr>
              <w:pStyle w:val="0"/>
            </w:pPr>
            <w:r>
              <w:rPr>
                <w:sz w:val="24"/>
              </w:rPr>
              <w:t xml:space="preserve">Страховые резервы</w:t>
            </w:r>
          </w:p>
        </w:tc>
        <w:tc>
          <w:tcPr>
            <w:tcW w:w="2835" w:type="dxa"/>
          </w:tcPr>
          <w:p>
            <w:pPr>
              <w:pStyle w:val="0"/>
            </w:pPr>
            <w:r>
              <w:rPr>
                <w:sz w:val="24"/>
              </w:rPr>
              <w:t xml:space="preserve">mem-int:St_A_Invest_Stredstva_SR_Reg_Treb_Vidy_Strax_Member</w:t>
            </w:r>
          </w:p>
        </w:tc>
      </w:tr>
      <w:tr>
        <w:tc>
          <w:tcPr>
            <w:tcW w:w="907" w:type="dxa"/>
          </w:tcPr>
          <w:p>
            <w:pPr>
              <w:pStyle w:val="0"/>
            </w:pPr>
            <w:r>
              <w:rPr>
                <w:sz w:val="24"/>
              </w:rPr>
              <w:t xml:space="preserve">7.2</w:t>
            </w:r>
          </w:p>
        </w:tc>
        <w:tc>
          <w:tcPr>
            <w:tcW w:w="2721" w:type="dxa"/>
          </w:tcPr>
          <w:p>
            <w:pPr>
              <w:pStyle w:val="0"/>
            </w:pPr>
            <w:r>
              <w:rPr>
                <w:sz w:val="24"/>
              </w:rPr>
            </w:r>
          </w:p>
        </w:tc>
        <w:tc>
          <w:tcPr>
            <w:tcW w:w="2608" w:type="dxa"/>
          </w:tcPr>
          <w:p>
            <w:pPr>
              <w:pStyle w:val="0"/>
            </w:pPr>
            <w:r>
              <w:rPr>
                <w:sz w:val="24"/>
              </w:rPr>
              <w:t xml:space="preserve">Собственные средства (капитал)</w:t>
            </w:r>
          </w:p>
        </w:tc>
        <w:tc>
          <w:tcPr>
            <w:tcW w:w="2835" w:type="dxa"/>
          </w:tcPr>
          <w:p>
            <w:pPr>
              <w:pStyle w:val="0"/>
            </w:pPr>
            <w:r>
              <w:rPr>
                <w:sz w:val="24"/>
              </w:rPr>
              <w:t xml:space="preserve">mem-int:St_A_Invest_Stredstva_SS_Kapital_Member</w:t>
            </w:r>
          </w:p>
        </w:tc>
      </w:tr>
    </w:tbl>
    <w:p>
      <w:pPr>
        <w:pStyle w:val="0"/>
        <w:ind w:firstLine="540"/>
        <w:jc w:val="both"/>
      </w:pPr>
      <w:r>
        <w:rPr>
          <w:sz w:val="24"/>
        </w:rPr>
      </w:r>
    </w:p>
    <w:p>
      <w:pPr>
        <w:pStyle w:val="0"/>
        <w:outlineLvl w:val="3"/>
        <w:jc w:val="both"/>
      </w:pPr>
      <w:r>
        <w:rPr>
          <w:sz w:val="24"/>
        </w:rPr>
        <w:t xml:space="preserve">Подраздел 4.3. </w:t>
      </w:r>
      <w:hyperlink w:history="0" w:anchor="P25242" w:tooltip="Раздел 3.">
        <w:r>
          <w:rPr>
            <w:sz w:val="24"/>
            <w:color w:val="0000ff"/>
          </w:rPr>
          <w:t xml:space="preserve">Раздел 3</w:t>
        </w:r>
      </w:hyperlink>
      <w:r>
        <w:rPr>
          <w:sz w:val="24"/>
        </w:rPr>
        <w:t xml:space="preserve"> "Отдельные виды обязательств"</w:t>
      </w:r>
    </w:p>
    <w:p>
      <w:pPr>
        <w:pStyle w:val="0"/>
        <w:ind w:firstLine="540"/>
        <w:jc w:val="both"/>
      </w:pPr>
      <w:r>
        <w:rPr>
          <w:sz w:val="24"/>
        </w:rPr>
      </w:r>
    </w:p>
    <w:p>
      <w:pPr>
        <w:pStyle w:val="0"/>
        <w:outlineLvl w:val="4"/>
        <w:jc w:val="both"/>
      </w:pPr>
      <w:r>
        <w:rPr>
          <w:sz w:val="24"/>
        </w:rPr>
        <w:t xml:space="preserve">Подраздел 4.3.1. </w:t>
      </w:r>
      <w:hyperlink w:history="0" w:anchor="P25244" w:tooltip="Подраздел 3.1.">
        <w:r>
          <w:rPr>
            <w:sz w:val="24"/>
            <w:color w:val="0000ff"/>
          </w:rPr>
          <w:t xml:space="preserve">Подраздел 3.1</w:t>
        </w:r>
      </w:hyperlink>
      <w:r>
        <w:rPr>
          <w:sz w:val="24"/>
        </w:rPr>
        <w:t xml:space="preserve"> "Обязательства, возникшие в результате заключения страховщиком срочных сделок"</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Обязательства, возникшие в результате заключения страховщиком срочных сделок</w:t>
            </w:r>
          </w:p>
        </w:tc>
        <w:tc>
          <w:tcPr>
            <w:tcW w:w="2948" w:type="dxa"/>
          </w:tcPr>
          <w:p>
            <w:pPr>
              <w:pStyle w:val="0"/>
            </w:pPr>
            <w:r>
              <w:rPr>
                <w:sz w:val="24"/>
              </w:rPr>
              <w:t xml:space="preserve">mem-int:SrochSdelObPol710PMember</w:t>
            </w:r>
          </w:p>
        </w:tc>
      </w:tr>
      <w:tr>
        <w:tc>
          <w:tcPr>
            <w:tcW w:w="907" w:type="dxa"/>
          </w:tcPr>
          <w:p>
            <w:pPr>
              <w:pStyle w:val="0"/>
            </w:pPr>
            <w:r>
              <w:rPr>
                <w:sz w:val="24"/>
              </w:rPr>
              <w:t xml:space="preserve">2</w:t>
            </w:r>
          </w:p>
        </w:tc>
        <w:tc>
          <w:tcPr>
            <w:tcW w:w="2608" w:type="dxa"/>
          </w:tcPr>
          <w:p>
            <w:pPr>
              <w:pStyle w:val="0"/>
            </w:pPr>
            <w:r>
              <w:rPr>
                <w:sz w:val="24"/>
              </w:rPr>
              <w:t xml:space="preserve">Вид структурной сделки</w:t>
            </w:r>
          </w:p>
        </w:tc>
        <w:tc>
          <w:tcPr>
            <w:tcW w:w="2608" w:type="dxa"/>
          </w:tcPr>
          <w:p>
            <w:pPr>
              <w:pStyle w:val="0"/>
            </w:pPr>
            <w:r>
              <w:rPr>
                <w:sz w:val="24"/>
              </w:rPr>
            </w:r>
          </w:p>
        </w:tc>
        <w:tc>
          <w:tcPr>
            <w:tcW w:w="2948" w:type="dxa"/>
          </w:tcPr>
          <w:p>
            <w:pPr>
              <w:pStyle w:val="0"/>
            </w:pPr>
            <w:r>
              <w:rPr>
                <w:sz w:val="24"/>
              </w:rPr>
              <w:t xml:space="preserve">dim-int:VidStrSdelkiAxis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Форвард</w:t>
            </w:r>
          </w:p>
        </w:tc>
        <w:tc>
          <w:tcPr>
            <w:tcW w:w="2948" w:type="dxa"/>
          </w:tcPr>
          <w:p>
            <w:pPr>
              <w:pStyle w:val="0"/>
            </w:pPr>
            <w:r>
              <w:rPr>
                <w:sz w:val="24"/>
              </w:rPr>
              <w:t xml:space="preserve">mem-int:ForvardMember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Опцион "на продажу" (put)</w:t>
            </w:r>
          </w:p>
        </w:tc>
        <w:tc>
          <w:tcPr>
            <w:tcW w:w="2948" w:type="dxa"/>
          </w:tcPr>
          <w:p>
            <w:pPr>
              <w:pStyle w:val="0"/>
            </w:pPr>
            <w:r>
              <w:rPr>
                <w:sz w:val="24"/>
              </w:rPr>
              <w:t xml:space="preserve">mem-int:OpczionPutMember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Опцион "на покупку" (call)</w:t>
            </w:r>
          </w:p>
        </w:tc>
        <w:tc>
          <w:tcPr>
            <w:tcW w:w="2948" w:type="dxa"/>
          </w:tcPr>
          <w:p>
            <w:pPr>
              <w:pStyle w:val="0"/>
            </w:pPr>
            <w:r>
              <w:rPr>
                <w:sz w:val="24"/>
              </w:rPr>
              <w:t xml:space="preserve">mem-int:OpczionKolMember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Фьючерс</w:t>
            </w:r>
          </w:p>
        </w:tc>
        <w:tc>
          <w:tcPr>
            <w:tcW w:w="2948" w:type="dxa"/>
          </w:tcPr>
          <w:p>
            <w:pPr>
              <w:pStyle w:val="0"/>
            </w:pPr>
            <w:r>
              <w:rPr>
                <w:sz w:val="24"/>
              </w:rPr>
              <w:t xml:space="preserve">mem-int:FyuchersMember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Своп</w:t>
            </w:r>
          </w:p>
        </w:tc>
        <w:tc>
          <w:tcPr>
            <w:tcW w:w="2948" w:type="dxa"/>
          </w:tcPr>
          <w:p>
            <w:pPr>
              <w:pStyle w:val="0"/>
            </w:pPr>
            <w:r>
              <w:rPr>
                <w:sz w:val="24"/>
              </w:rPr>
              <w:t xml:space="preserve">mem-int:SvopMember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Не является производным финансовым инструментом</w:t>
            </w:r>
          </w:p>
        </w:tc>
        <w:tc>
          <w:tcPr>
            <w:tcW w:w="2948" w:type="dxa"/>
          </w:tcPr>
          <w:p>
            <w:pPr>
              <w:pStyle w:val="0"/>
            </w:pPr>
            <w:r>
              <w:rPr>
                <w:sz w:val="24"/>
              </w:rPr>
              <w:t xml:space="preserve">mem-int:NeYavlPFIMember</w:t>
            </w:r>
          </w:p>
        </w:tc>
      </w:tr>
      <w:tr>
        <w:tc>
          <w:tcPr>
            <w:tcW w:w="907" w:type="dxa"/>
          </w:tcPr>
          <w:p>
            <w:pPr>
              <w:pStyle w:val="0"/>
            </w:pPr>
            <w:r>
              <w:rPr>
                <w:sz w:val="24"/>
              </w:rPr>
              <w:t xml:space="preserve">3</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5"/>
        <w:jc w:val="both"/>
      </w:pPr>
      <w:r>
        <w:rPr>
          <w:sz w:val="24"/>
        </w:rPr>
        <w:t xml:space="preserve">Подраздел 4.3.1.1. </w:t>
      </w:r>
      <w:hyperlink w:history="0" w:anchor="P25918" w:tooltip="Подраздел 3.1.1.">
        <w:r>
          <w:rPr>
            <w:sz w:val="24"/>
            <w:color w:val="0000ff"/>
          </w:rPr>
          <w:t xml:space="preserve">Подраздел 3.1.1</w:t>
        </w:r>
      </w:hyperlink>
      <w:r>
        <w:rPr>
          <w:sz w:val="24"/>
        </w:rPr>
        <w:t xml:space="preserve"> "Базисные активы по срочной сделке или активы, от которых зависит поток по облигации"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базисного актива по срочной сделке или актива, от которого зависит поток по облигации</w:t>
            </w:r>
          </w:p>
        </w:tc>
        <w:tc>
          <w:tcPr>
            <w:tcW w:w="2608" w:type="dxa"/>
          </w:tcPr>
          <w:p>
            <w:pPr>
              <w:pStyle w:val="0"/>
            </w:pPr>
            <w:r>
              <w:rPr>
                <w:sz w:val="24"/>
              </w:rPr>
            </w:r>
          </w:p>
        </w:tc>
        <w:tc>
          <w:tcPr>
            <w:tcW w:w="2948" w:type="dxa"/>
          </w:tcPr>
          <w:p>
            <w:pPr>
              <w:pStyle w:val="0"/>
            </w:pPr>
            <w:r>
              <w:rPr>
                <w:sz w:val="24"/>
              </w:rPr>
              <w:t xml:space="preserve">dim-int:VidBazAktSrSdelZavPotStrOblAxis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Акции,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mem-int:AkcziiStKotNePriznRavnNulP3.1PolN781Member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Акции и паи иностранных инвестиционных фондов,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mem-int:AkcziiPIIFStKotNePriznRavnNulP3.1PolN781Member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Облигации,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mem-int:ObligacziiStKotNePriznRavnNulP3.1PolN781Member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Недвижимое имущество и имущественные права на недвижимое имущество,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mem-int:NedvImIImPrNaNedvStoimKotNePriznRavnNulP3.1PolN781Member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Товары, стоимость которых не признается равной нулю в соответствии с требованиями к финансовой устойчивости и платежеспособности страховщиков</w:t>
            </w:r>
          </w:p>
        </w:tc>
        <w:tc>
          <w:tcPr>
            <w:tcW w:w="2948" w:type="dxa"/>
          </w:tcPr>
          <w:p>
            <w:pPr>
              <w:pStyle w:val="0"/>
            </w:pPr>
            <w:r>
              <w:rPr>
                <w:sz w:val="24"/>
              </w:rPr>
              <w:t xml:space="preserve">mem-int:TovaryStKotNePriznRavnNulP3.1PolN781Member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Процентные ставки</w:t>
            </w:r>
          </w:p>
        </w:tc>
        <w:tc>
          <w:tcPr>
            <w:tcW w:w="2948" w:type="dxa"/>
          </w:tcPr>
          <w:p>
            <w:pPr>
              <w:pStyle w:val="0"/>
            </w:pPr>
            <w:r>
              <w:rPr>
                <w:sz w:val="24"/>
              </w:rPr>
              <w:t xml:space="preserve">mem-int:ProczStavkiMember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Уровень инфляции</w:t>
            </w:r>
          </w:p>
        </w:tc>
        <w:tc>
          <w:tcPr>
            <w:tcW w:w="2948" w:type="dxa"/>
          </w:tcPr>
          <w:p>
            <w:pPr>
              <w:pStyle w:val="0"/>
            </w:pPr>
            <w:r>
              <w:rPr>
                <w:sz w:val="24"/>
              </w:rPr>
              <w:t xml:space="preserve">mem-int:UrInflMember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Курс валют или валюта</w:t>
            </w:r>
          </w:p>
        </w:tc>
        <w:tc>
          <w:tcPr>
            <w:tcW w:w="2948" w:type="dxa"/>
          </w:tcPr>
          <w:p>
            <w:pPr>
              <w:pStyle w:val="0"/>
            </w:pPr>
            <w:r>
              <w:rPr>
                <w:sz w:val="24"/>
              </w:rPr>
              <w:t xml:space="preserve">mem-int:KursValMember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Индекс на указанные базисные активы</w:t>
            </w:r>
          </w:p>
        </w:tc>
        <w:tc>
          <w:tcPr>
            <w:tcW w:w="2948" w:type="dxa"/>
          </w:tcPr>
          <w:p>
            <w:pPr>
              <w:pStyle w:val="0"/>
            </w:pPr>
            <w:r>
              <w:rPr>
                <w:sz w:val="24"/>
              </w:rPr>
              <w:t xml:space="preserve">mem-int:IndUkBazAktMember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Факт исполнения или неисполнения обязательств третьими лицами</w:t>
            </w:r>
          </w:p>
        </w:tc>
        <w:tc>
          <w:tcPr>
            <w:tcW w:w="2948" w:type="dxa"/>
          </w:tcPr>
          <w:p>
            <w:pPr>
              <w:pStyle w:val="0"/>
            </w:pPr>
            <w:r>
              <w:rPr>
                <w:sz w:val="24"/>
              </w:rPr>
              <w:t xml:space="preserve">mem-int:IspNeispObyazTrLiczMember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2</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Обязательства, возникшие в результате заключения страховщиком срочных сделок</w:t>
            </w:r>
          </w:p>
        </w:tc>
        <w:tc>
          <w:tcPr>
            <w:tcW w:w="2948" w:type="dxa"/>
          </w:tcPr>
          <w:p>
            <w:pPr>
              <w:pStyle w:val="0"/>
            </w:pPr>
            <w:r>
              <w:rPr>
                <w:sz w:val="24"/>
              </w:rPr>
              <w:t xml:space="preserve">mem-int:SrochSdelObPol710PMember</w:t>
            </w:r>
          </w:p>
        </w:tc>
      </w:tr>
    </w:tbl>
    <w:p>
      <w:pPr>
        <w:pStyle w:val="0"/>
        <w:ind w:firstLine="540"/>
        <w:jc w:val="both"/>
      </w:pPr>
      <w:r>
        <w:rPr>
          <w:sz w:val="24"/>
        </w:rPr>
      </w:r>
    </w:p>
    <w:p>
      <w:pPr>
        <w:pStyle w:val="0"/>
        <w:outlineLvl w:val="4"/>
        <w:jc w:val="both"/>
      </w:pPr>
      <w:r>
        <w:rPr>
          <w:sz w:val="24"/>
        </w:rPr>
        <w:t xml:space="preserve">Подраздел 4.3.2. </w:t>
      </w:r>
      <w:hyperlink w:history="0" w:anchor="P25948" w:tooltip="Подраздел 3.2.">
        <w:r>
          <w:rPr>
            <w:sz w:val="24"/>
            <w:color w:val="0000ff"/>
          </w:rPr>
          <w:t xml:space="preserve">Подраздел 3.2</w:t>
        </w:r>
      </w:hyperlink>
      <w:r>
        <w:rPr>
          <w:sz w:val="24"/>
        </w:rPr>
        <w:t xml:space="preserve"> "Выпущенные долговые ценные бумаги"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Выпущенные долговые ценные бумаги</w:t>
            </w:r>
          </w:p>
        </w:tc>
        <w:tc>
          <w:tcPr>
            <w:tcW w:w="2948" w:type="dxa"/>
          </w:tcPr>
          <w:p>
            <w:pPr>
              <w:pStyle w:val="0"/>
            </w:pPr>
            <w:r>
              <w:rPr>
                <w:sz w:val="24"/>
              </w:rPr>
              <w:t xml:space="preserve">mem-int:Vypushh_Dolg_CZBMember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4.3.3. </w:t>
      </w:r>
      <w:hyperlink w:history="0" w:anchor="P26070" w:tooltip="Подраздел 3.3.">
        <w:r>
          <w:rPr>
            <w:sz w:val="24"/>
            <w:color w:val="0000ff"/>
          </w:rPr>
          <w:t xml:space="preserve">Подраздел 3.3</w:t>
        </w:r>
      </w:hyperlink>
      <w:r>
        <w:rPr>
          <w:sz w:val="24"/>
        </w:rPr>
        <w:t xml:space="preserve"> "Займы и прочие привлеченные средства (кроме субординированных займов, выпущенных долговых ценных бумаг)"</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Займы и прочие привлеченные средства (кроме субординированных займов, выпущенных долговых ценных бумаг)</w:t>
            </w:r>
          </w:p>
        </w:tc>
        <w:tc>
          <w:tcPr>
            <w:tcW w:w="2948" w:type="dxa"/>
          </w:tcPr>
          <w:p>
            <w:pPr>
              <w:pStyle w:val="0"/>
            </w:pPr>
            <w:r>
              <w:rPr>
                <w:sz w:val="24"/>
              </w:rPr>
              <w:t xml:space="preserve">mem-int:ZajmyIProchiePrivlechennyeSredstvaMember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4.3.4. </w:t>
      </w:r>
      <w:hyperlink w:history="0" w:anchor="P26192" w:tooltip="Подраздел 3.4.">
        <w:r>
          <w:rPr>
            <w:sz w:val="24"/>
            <w:color w:val="0000ff"/>
          </w:rPr>
          <w:t xml:space="preserve">Подраздел 3.4</w:t>
        </w:r>
      </w:hyperlink>
      <w:r>
        <w:rPr>
          <w:sz w:val="24"/>
        </w:rPr>
        <w:t xml:space="preserve"> "Субординированные займы"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Субординированные займы</w:t>
            </w:r>
          </w:p>
        </w:tc>
        <w:tc>
          <w:tcPr>
            <w:tcW w:w="2948" w:type="dxa"/>
          </w:tcPr>
          <w:p>
            <w:pPr>
              <w:pStyle w:val="0"/>
            </w:pPr>
            <w:r>
              <w:rPr>
                <w:sz w:val="24"/>
              </w:rPr>
              <w:t xml:space="preserve">mem-int:SubordZajmyMember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4.3.5. </w:t>
      </w:r>
      <w:hyperlink w:history="0" w:anchor="P26338" w:tooltip="Подраздел 3.5.">
        <w:r>
          <w:rPr>
            <w:sz w:val="24"/>
            <w:color w:val="0000ff"/>
          </w:rPr>
          <w:t xml:space="preserve">Подраздел 3.5</w:t>
        </w:r>
      </w:hyperlink>
      <w:r>
        <w:rPr>
          <w:sz w:val="24"/>
        </w:rPr>
        <w:t xml:space="preserve"> "Страховые резервы по страхованию жизни"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Страховые резервы по страхованию жизни</w:t>
            </w:r>
          </w:p>
        </w:tc>
        <w:tc>
          <w:tcPr>
            <w:tcW w:w="2948" w:type="dxa"/>
          </w:tcPr>
          <w:p>
            <w:pPr>
              <w:pStyle w:val="0"/>
            </w:pPr>
            <w:r>
              <w:rPr>
                <w:sz w:val="24"/>
              </w:rPr>
              <w:t xml:space="preserve">mem-int:StraxRezStrZhiznMember</w:t>
            </w:r>
          </w:p>
        </w:tc>
      </w:tr>
    </w:tbl>
    <w:p>
      <w:pPr>
        <w:pStyle w:val="0"/>
        <w:ind w:firstLine="540"/>
        <w:jc w:val="both"/>
      </w:pPr>
      <w:r>
        <w:rPr>
          <w:sz w:val="24"/>
        </w:rPr>
      </w:r>
    </w:p>
    <w:p>
      <w:pPr>
        <w:pStyle w:val="0"/>
        <w:outlineLvl w:val="5"/>
        <w:jc w:val="both"/>
      </w:pPr>
      <w:r>
        <w:rPr>
          <w:sz w:val="24"/>
        </w:rPr>
        <w:t xml:space="preserve">Подраздел 4.3.5.1. </w:t>
      </w:r>
      <w:hyperlink w:history="0" w:anchor="P26412" w:tooltip="Подраздел 3.5.1.">
        <w:r>
          <w:rPr>
            <w:sz w:val="24"/>
            <w:color w:val="0000ff"/>
          </w:rPr>
          <w:t xml:space="preserve">Подраздел 3.5.1</w:t>
        </w:r>
      </w:hyperlink>
      <w:r>
        <w:rPr>
          <w:sz w:val="24"/>
        </w:rPr>
        <w:t xml:space="preserve"> "Резерв инвестиционных обязательств"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Резерв инвестиционных обязательств</w:t>
            </w:r>
          </w:p>
        </w:tc>
        <w:tc>
          <w:tcPr>
            <w:tcW w:w="2948" w:type="dxa"/>
          </w:tcPr>
          <w:p>
            <w:pPr>
              <w:pStyle w:val="0"/>
            </w:pPr>
            <w:r>
              <w:rPr>
                <w:sz w:val="24"/>
              </w:rPr>
              <w:t xml:space="preserve">mem-int:RezervInvestObyazMember</w:t>
            </w:r>
          </w:p>
        </w:tc>
      </w:tr>
      <w:tr>
        <w:tc>
          <w:tcPr>
            <w:tcW w:w="907" w:type="dxa"/>
          </w:tcPr>
          <w:p>
            <w:pPr>
              <w:pStyle w:val="0"/>
            </w:pPr>
            <w:r>
              <w:rPr>
                <w:sz w:val="24"/>
              </w:rPr>
              <w:t xml:space="preserve">2</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dim-int:RiskAktPeredStrlAxis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4.3.6. </w:t>
      </w:r>
      <w:hyperlink w:history="0" w:anchor="P26606" w:tooltip="Подраздел 3.6.">
        <w:r>
          <w:rPr>
            <w:sz w:val="24"/>
            <w:color w:val="0000ff"/>
          </w:rPr>
          <w:t xml:space="preserve">Подраздел 3.6</w:t>
        </w:r>
      </w:hyperlink>
      <w:r>
        <w:rPr>
          <w:sz w:val="24"/>
        </w:rPr>
        <w:t xml:space="preserve"> "Страховые резервы по страхованию иному, чем страхование жизни"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Страховые резервы по страхованию иному, чем страхование жизни</w:t>
            </w:r>
          </w:p>
        </w:tc>
        <w:tc>
          <w:tcPr>
            <w:tcW w:w="2948" w:type="dxa"/>
          </w:tcPr>
          <w:p>
            <w:pPr>
              <w:pStyle w:val="0"/>
            </w:pPr>
            <w:r>
              <w:rPr>
                <w:sz w:val="24"/>
              </w:rPr>
              <w:t xml:space="preserve">mem-int:StraxRezStrInoeChemZhiznMember</w:t>
            </w:r>
          </w:p>
        </w:tc>
      </w:tr>
    </w:tbl>
    <w:p>
      <w:pPr>
        <w:pStyle w:val="0"/>
        <w:ind w:firstLine="540"/>
        <w:jc w:val="both"/>
      </w:pPr>
      <w:r>
        <w:rPr>
          <w:sz w:val="24"/>
        </w:rPr>
      </w:r>
    </w:p>
    <w:p>
      <w:pPr>
        <w:pStyle w:val="0"/>
        <w:outlineLvl w:val="4"/>
        <w:jc w:val="both"/>
      </w:pPr>
      <w:r>
        <w:rPr>
          <w:sz w:val="24"/>
        </w:rPr>
        <w:t xml:space="preserve">Подраздел 4.3.7. </w:t>
      </w:r>
      <w:hyperlink w:history="0" w:anchor="P26680" w:tooltip="Подраздел 3.7.">
        <w:r>
          <w:rPr>
            <w:sz w:val="24"/>
            <w:color w:val="0000ff"/>
          </w:rPr>
          <w:t xml:space="preserve">Подраздел 3.7</w:t>
        </w:r>
      </w:hyperlink>
      <w:r>
        <w:rPr>
          <w:sz w:val="24"/>
        </w:rPr>
        <w:t xml:space="preserve"> "Обязательства по обязательному медицинскому страхованию, не учитываемые при определении величины собственных средств"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Обязательства по обязательному медицинскому страхованию, не учитываемые при определении величины собственных средств</w:t>
            </w:r>
          </w:p>
        </w:tc>
        <w:tc>
          <w:tcPr>
            <w:tcW w:w="2948" w:type="dxa"/>
          </w:tcPr>
          <w:p>
            <w:pPr>
              <w:pStyle w:val="0"/>
            </w:pPr>
            <w:r>
              <w:rPr>
                <w:sz w:val="24"/>
              </w:rPr>
              <w:t xml:space="preserve">mem-int:ObyazPoOMSSootvTrebP1.3.1P1.3P710PMember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4.3.8. </w:t>
      </w:r>
      <w:hyperlink w:history="0" w:anchor="P26714" w:tooltip="Подраздел 3.8.">
        <w:r>
          <w:rPr>
            <w:sz w:val="24"/>
            <w:color w:val="0000ff"/>
          </w:rPr>
          <w:t xml:space="preserve">Подраздел 3.8</w:t>
        </w:r>
      </w:hyperlink>
      <w:r>
        <w:rPr>
          <w:sz w:val="24"/>
        </w:rPr>
        <w:t xml:space="preserve"> "Обязательства инвестиционного фонда, включенные в состав обязательств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Обязательства инвестиционного фонда, включенные в состав обязательств страховщика</w:t>
            </w:r>
          </w:p>
        </w:tc>
        <w:tc>
          <w:tcPr>
            <w:tcW w:w="2948" w:type="dxa"/>
          </w:tcPr>
          <w:p>
            <w:pPr>
              <w:pStyle w:val="0"/>
            </w:pPr>
            <w:r>
              <w:rPr>
                <w:sz w:val="24"/>
              </w:rPr>
              <w:t xml:space="preserve">mem-int:ObInvestFondaP1.4.4Р1.4P710Member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4.3.9. </w:t>
      </w:r>
      <w:hyperlink w:history="0" w:anchor="P26816" w:tooltip="Подраздел 3.9.">
        <w:r>
          <w:rPr>
            <w:sz w:val="24"/>
            <w:color w:val="0000ff"/>
          </w:rPr>
          <w:t xml:space="preserve">Подраздел 3.9</w:t>
        </w:r>
      </w:hyperlink>
      <w:r>
        <w:rPr>
          <w:sz w:val="24"/>
        </w:rPr>
        <w:t xml:space="preserve"> "Отложенные налоговые обязательства"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Отложенные налоговые обязательства</w:t>
            </w:r>
          </w:p>
        </w:tc>
        <w:tc>
          <w:tcPr>
            <w:tcW w:w="2948" w:type="dxa"/>
          </w:tcPr>
          <w:p>
            <w:pPr>
              <w:pStyle w:val="0"/>
            </w:pPr>
            <w:r>
              <w:rPr>
                <w:sz w:val="24"/>
              </w:rPr>
              <w:t xml:space="preserve">mem-int:DeferredTaxLiabilitiesMember</w:t>
            </w:r>
          </w:p>
        </w:tc>
      </w:tr>
    </w:tbl>
    <w:p>
      <w:pPr>
        <w:pStyle w:val="0"/>
        <w:ind w:firstLine="540"/>
        <w:jc w:val="both"/>
      </w:pPr>
      <w:r>
        <w:rPr>
          <w:sz w:val="24"/>
        </w:rPr>
      </w:r>
    </w:p>
    <w:p>
      <w:pPr>
        <w:pStyle w:val="0"/>
        <w:outlineLvl w:val="4"/>
        <w:jc w:val="both"/>
      </w:pPr>
      <w:r>
        <w:rPr>
          <w:sz w:val="24"/>
        </w:rPr>
        <w:t xml:space="preserve">Подраздел 4.3.10. </w:t>
      </w:r>
      <w:hyperlink w:history="0" w:anchor="P26914" w:tooltip="Подраздел 3.10.">
        <w:r>
          <w:rPr>
            <w:sz w:val="24"/>
            <w:color w:val="0000ff"/>
          </w:rPr>
          <w:t xml:space="preserve">Подраздел 3.10</w:t>
        </w:r>
      </w:hyperlink>
      <w:r>
        <w:rPr>
          <w:sz w:val="24"/>
        </w:rPr>
        <w:t xml:space="preserve"> "Обязательства по договору аренды"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Обязательства по договору аренды</w:t>
            </w:r>
          </w:p>
        </w:tc>
        <w:tc>
          <w:tcPr>
            <w:tcW w:w="2948" w:type="dxa"/>
          </w:tcPr>
          <w:p>
            <w:pPr>
              <w:pStyle w:val="0"/>
            </w:pPr>
            <w:r>
              <w:rPr>
                <w:sz w:val="24"/>
              </w:rPr>
              <w:t xml:space="preserve">mem-int:ObyazatelstvaPoArendeMember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4.3.11. </w:t>
      </w:r>
      <w:hyperlink w:history="0" w:anchor="P27036" w:tooltip="Подраздел 3.11.">
        <w:r>
          <w:rPr>
            <w:sz w:val="24"/>
            <w:color w:val="0000ff"/>
          </w:rPr>
          <w:t xml:space="preserve">Подраздел 3.11</w:t>
        </w:r>
      </w:hyperlink>
      <w:r>
        <w:rPr>
          <w:sz w:val="24"/>
        </w:rPr>
        <w:t xml:space="preserve"> "Прочие обязательства"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Прочие обязательства</w:t>
            </w:r>
          </w:p>
        </w:tc>
        <w:tc>
          <w:tcPr>
            <w:tcW w:w="2948" w:type="dxa"/>
          </w:tcPr>
          <w:p>
            <w:pPr>
              <w:pStyle w:val="0"/>
            </w:pPr>
            <w:r>
              <w:rPr>
                <w:sz w:val="24"/>
              </w:rPr>
              <w:t xml:space="preserve">mem-int:ProchieObyazatelstvaMember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Обязательство по долевому страхованию жизни</w:t>
            </w:r>
          </w:p>
        </w:tc>
        <w:tc>
          <w:tcPr>
            <w:tcW w:w="2608" w:type="dxa"/>
          </w:tcPr>
          <w:p>
            <w:pPr>
              <w:pStyle w:val="0"/>
            </w:pPr>
            <w:r>
              <w:rPr>
                <w:sz w:val="24"/>
              </w:rPr>
            </w:r>
          </w:p>
        </w:tc>
        <w:tc>
          <w:tcPr>
            <w:tcW w:w="2948" w:type="dxa"/>
          </w:tcPr>
          <w:p>
            <w:pPr>
              <w:pStyle w:val="0"/>
            </w:pPr>
            <w:r>
              <w:rPr>
                <w:sz w:val="24"/>
              </w:rPr>
              <w:t xml:space="preserve">dim-int:ObyazatelstvoPoDolevomuStraxovaniyuZHizniAxis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По приобретению инвестиционных паев</w:t>
            </w:r>
          </w:p>
        </w:tc>
        <w:tc>
          <w:tcPr>
            <w:tcW w:w="2948" w:type="dxa"/>
          </w:tcPr>
          <w:p>
            <w:pPr>
              <w:pStyle w:val="0"/>
            </w:pPr>
            <w:r>
              <w:rPr>
                <w:sz w:val="24"/>
              </w:rPr>
              <w:t xml:space="preserve">mem-int:PoPriobreteniyuInvesticzionnyxPaevMember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По выплате денежной компенсации в связи с погашением инвестиционных паев</w:t>
            </w:r>
          </w:p>
        </w:tc>
        <w:tc>
          <w:tcPr>
            <w:tcW w:w="2948" w:type="dxa"/>
          </w:tcPr>
          <w:p>
            <w:pPr>
              <w:pStyle w:val="0"/>
            </w:pPr>
            <w:r>
              <w:rPr>
                <w:sz w:val="24"/>
              </w:rPr>
              <w:t xml:space="preserve">mem-int:PoVyplateDenKompensVSvyaziSPogasheniemInvPaevMember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По оплате приобретенных у страхователя инвестиционных паев закрытых паевых инвестиционных фондов</w:t>
            </w:r>
          </w:p>
        </w:tc>
        <w:tc>
          <w:tcPr>
            <w:tcW w:w="2948" w:type="dxa"/>
          </w:tcPr>
          <w:p>
            <w:pPr>
              <w:pStyle w:val="0"/>
            </w:pPr>
            <w:r>
              <w:rPr>
                <w:sz w:val="24"/>
              </w:rPr>
              <w:t xml:space="preserve">mem-int:PoOplatePriobretUStraxInvPaevZakrPaevInvFondovMember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По выплате гарантируемой суммы</w:t>
            </w:r>
          </w:p>
        </w:tc>
        <w:tc>
          <w:tcPr>
            <w:tcW w:w="2948" w:type="dxa"/>
          </w:tcPr>
          <w:p>
            <w:pPr>
              <w:pStyle w:val="0"/>
            </w:pPr>
            <w:r>
              <w:rPr>
                <w:sz w:val="24"/>
              </w:rPr>
              <w:t xml:space="preserve">mem-int:PoVyplateGarantiruemojSummyMember</w:t>
            </w:r>
          </w:p>
        </w:tc>
      </w:tr>
      <w:tr>
        <w:tc>
          <w:tcPr>
            <w:tcW w:w="907" w:type="dxa"/>
          </w:tcPr>
          <w:p>
            <w:pPr>
              <w:pStyle w:val="0"/>
            </w:pPr>
            <w:r>
              <w:rPr>
                <w:sz w:val="24"/>
              </w:rPr>
              <w:t xml:space="preserve">3.5</w:t>
            </w:r>
          </w:p>
        </w:tc>
        <w:tc>
          <w:tcPr>
            <w:tcW w:w="2608" w:type="dxa"/>
          </w:tcPr>
          <w:p>
            <w:pPr>
              <w:pStyle w:val="0"/>
            </w:pPr>
            <w:r>
              <w:rPr>
                <w:sz w:val="24"/>
              </w:rPr>
            </w:r>
          </w:p>
        </w:tc>
        <w:tc>
          <w:tcPr>
            <w:tcW w:w="2608" w:type="dxa"/>
          </w:tcPr>
          <w:p>
            <w:pPr>
              <w:pStyle w:val="0"/>
            </w:pPr>
            <w:r>
              <w:rPr>
                <w:sz w:val="24"/>
              </w:rPr>
              <w:t xml:space="preserve">Прочее обязательство</w:t>
            </w:r>
          </w:p>
        </w:tc>
        <w:tc>
          <w:tcPr>
            <w:tcW w:w="2948" w:type="dxa"/>
          </w:tcPr>
          <w:p>
            <w:pPr>
              <w:pStyle w:val="0"/>
            </w:pPr>
            <w:r>
              <w:rPr>
                <w:sz w:val="24"/>
              </w:rPr>
              <w:t xml:space="preserve">mem-int:ProcheeObyazatelstvoMember</w:t>
            </w:r>
          </w:p>
        </w:tc>
      </w:tr>
      <w:tr>
        <w:tc>
          <w:tcPr>
            <w:tcW w:w="907" w:type="dxa"/>
          </w:tcPr>
          <w:p>
            <w:pPr>
              <w:pStyle w:val="0"/>
            </w:pPr>
            <w:r>
              <w:rPr>
                <w:sz w:val="24"/>
              </w:rPr>
              <w:t xml:space="preserve">3.6</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Обязательство является выпущенным цифровым финансовым активом</w:t>
            </w:r>
          </w:p>
        </w:tc>
        <w:tc>
          <w:tcPr>
            <w:tcW w:w="2608" w:type="dxa"/>
          </w:tcPr>
          <w:p>
            <w:pPr>
              <w:pStyle w:val="0"/>
            </w:pPr>
            <w:r>
              <w:rPr>
                <w:sz w:val="24"/>
              </w:rPr>
            </w:r>
          </w:p>
        </w:tc>
        <w:tc>
          <w:tcPr>
            <w:tcW w:w="2948" w:type="dxa"/>
          </w:tcPr>
          <w:p>
            <w:pPr>
              <w:pStyle w:val="0"/>
            </w:pPr>
            <w:r>
              <w:rPr>
                <w:sz w:val="24"/>
              </w:rPr>
              <w:t xml:space="preserve">dim-int:ObyazatelstvoYavlVypushhennymCzifrFinAktivomAxis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4.3.12. </w:t>
      </w:r>
      <w:hyperlink w:history="0" w:anchor="P27178" w:tooltip="Подраздел 3.12.">
        <w:r>
          <w:rPr>
            <w:sz w:val="24"/>
            <w:color w:val="0000ff"/>
          </w:rPr>
          <w:t xml:space="preserve">Подраздел 3.12</w:t>
        </w:r>
      </w:hyperlink>
      <w:r>
        <w:rPr>
          <w:sz w:val="24"/>
        </w:rPr>
        <w:t xml:space="preserve"> "Выданные поручительства и независимые гарантии"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Выданные поручительства и независимые гарантии</w:t>
            </w:r>
          </w:p>
        </w:tc>
        <w:tc>
          <w:tcPr>
            <w:tcW w:w="2948" w:type="dxa"/>
          </w:tcPr>
          <w:p>
            <w:pPr>
              <w:pStyle w:val="0"/>
            </w:pPr>
            <w:r>
              <w:rPr>
                <w:sz w:val="24"/>
              </w:rPr>
              <w:t xml:space="preserve">mem-int:VydPoruchINezavGarantMember</w:t>
            </w:r>
          </w:p>
        </w:tc>
      </w:tr>
    </w:tbl>
    <w:p>
      <w:pPr>
        <w:pStyle w:val="0"/>
        <w:ind w:firstLine="540"/>
        <w:jc w:val="both"/>
      </w:pPr>
      <w:r>
        <w:rPr>
          <w:sz w:val="24"/>
        </w:rPr>
      </w:r>
    </w:p>
    <w:p>
      <w:pPr>
        <w:pStyle w:val="0"/>
        <w:outlineLvl w:val="4"/>
        <w:jc w:val="both"/>
      </w:pPr>
      <w:r>
        <w:rPr>
          <w:sz w:val="24"/>
        </w:rPr>
        <w:t xml:space="preserve">Подраздел 4.3.13. </w:t>
      </w:r>
      <w:hyperlink w:history="0" w:anchor="P27280" w:tooltip="Подраздел 3.13.">
        <w:r>
          <w:rPr>
            <w:sz w:val="24"/>
            <w:color w:val="0000ff"/>
          </w:rPr>
          <w:t xml:space="preserve">Подраздел 3.13</w:t>
        </w:r>
      </w:hyperlink>
      <w:r>
        <w:rPr>
          <w:sz w:val="24"/>
        </w:rPr>
        <w:t xml:space="preserve"> "Прочие внебалансовые обязательства"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Прочие внебалансовые обязательства</w:t>
            </w:r>
          </w:p>
        </w:tc>
        <w:tc>
          <w:tcPr>
            <w:tcW w:w="2948" w:type="dxa"/>
          </w:tcPr>
          <w:p>
            <w:pPr>
              <w:pStyle w:val="0"/>
            </w:pPr>
            <w:r>
              <w:rPr>
                <w:sz w:val="24"/>
              </w:rPr>
              <w:t xml:space="preserve">mem-int:ProchVnebalansObMember</w:t>
            </w:r>
          </w:p>
        </w:tc>
      </w:tr>
      <w:tr>
        <w:tc>
          <w:tcPr>
            <w:tcW w:w="907" w:type="dxa"/>
          </w:tcPr>
          <w:p>
            <w:pPr>
              <w:pStyle w:val="0"/>
            </w:pPr>
            <w:r>
              <w:rPr>
                <w:sz w:val="24"/>
              </w:rPr>
              <w:t xml:space="preserve">2</w:t>
            </w:r>
          </w:p>
        </w:tc>
        <w:tc>
          <w:tcPr>
            <w:tcW w:w="2608" w:type="dxa"/>
          </w:tcPr>
          <w:p>
            <w:pPr>
              <w:pStyle w:val="0"/>
            </w:pPr>
            <w:r>
              <w:rPr>
                <w:sz w:val="24"/>
              </w:rPr>
              <w:t xml:space="preserve">Обязательство, подлежащее суммированию в соответствии с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dim-int:ObyazPodlezhSummVSootvSGl1_710PAxis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4"/>
        <w:jc w:val="both"/>
      </w:pPr>
      <w:r>
        <w:rPr>
          <w:sz w:val="24"/>
        </w:rPr>
        <w:t xml:space="preserve">Подраздел 4.3.14. </w:t>
      </w:r>
      <w:hyperlink w:history="0" w:anchor="P27362" w:tooltip="Подраздел 3.14.">
        <w:r>
          <w:rPr>
            <w:sz w:val="24"/>
            <w:color w:val="0000ff"/>
          </w:rPr>
          <w:t xml:space="preserve">Подраздел 3.14</w:t>
        </w:r>
      </w:hyperlink>
      <w:r>
        <w:rPr>
          <w:sz w:val="24"/>
        </w:rPr>
        <w:t xml:space="preserve"> "Дополнительные обязательства, возникающие в силу закона или заключенного договора"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Дополнительные обязательства, возникающие в силу закона или заключенного договора</w:t>
            </w:r>
          </w:p>
        </w:tc>
        <w:tc>
          <w:tcPr>
            <w:tcW w:w="2948" w:type="dxa"/>
          </w:tcPr>
          <w:p>
            <w:pPr>
              <w:pStyle w:val="0"/>
            </w:pPr>
            <w:r>
              <w:rPr>
                <w:sz w:val="24"/>
              </w:rPr>
              <w:t xml:space="preserve">mem-int:DopObyazVoznVSiluZakIliZaklDogMember</w:t>
            </w:r>
          </w:p>
        </w:tc>
      </w:tr>
    </w:tbl>
    <w:p>
      <w:pPr>
        <w:pStyle w:val="0"/>
        <w:ind w:firstLine="540"/>
        <w:jc w:val="both"/>
      </w:pPr>
      <w:r>
        <w:rPr>
          <w:sz w:val="24"/>
        </w:rPr>
      </w:r>
    </w:p>
    <w:p>
      <w:pPr>
        <w:pStyle w:val="0"/>
        <w:outlineLvl w:val="3"/>
        <w:jc w:val="both"/>
      </w:pPr>
      <w:r>
        <w:rPr>
          <w:sz w:val="24"/>
        </w:rPr>
        <w:t xml:space="preserve">Подраздел 4.4. </w:t>
      </w:r>
      <w:hyperlink w:history="0" w:anchor="P27640" w:tooltip="Раздел 8.">
        <w:r>
          <w:rPr>
            <w:sz w:val="24"/>
            <w:color w:val="0000ff"/>
          </w:rPr>
          <w:t xml:space="preserve">Раздел 8</w:t>
        </w:r>
      </w:hyperlink>
      <w:r>
        <w:rPr>
          <w:sz w:val="24"/>
        </w:rPr>
        <w:t xml:space="preserve"> "Потоки по отдельным видам активов"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актива</w:t>
            </w:r>
          </w:p>
        </w:tc>
        <w:tc>
          <w:tcPr>
            <w:tcW w:w="2608" w:type="dxa"/>
          </w:tcPr>
          <w:p>
            <w:pPr>
              <w:pStyle w:val="0"/>
            </w:pPr>
            <w:r>
              <w:rPr>
                <w:sz w:val="24"/>
              </w:rPr>
            </w:r>
          </w:p>
        </w:tc>
        <w:tc>
          <w:tcPr>
            <w:tcW w:w="2948" w:type="dxa"/>
          </w:tcPr>
          <w:p>
            <w:pPr>
              <w:pStyle w:val="0"/>
            </w:pPr>
            <w:r>
              <w:rPr>
                <w:sz w:val="24"/>
              </w:rPr>
              <w:t xml:space="preserve">dim-int:KlassAktAxis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Банковские вклады (депозиты)</w:t>
            </w:r>
          </w:p>
        </w:tc>
        <w:tc>
          <w:tcPr>
            <w:tcW w:w="2948" w:type="dxa"/>
          </w:tcPr>
          <w:p>
            <w:pPr>
              <w:pStyle w:val="0"/>
            </w:pPr>
            <w:r>
              <w:rPr>
                <w:sz w:val="24"/>
              </w:rPr>
              <w:t xml:space="preserve">mem-int:DepozityMember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Облигации</w:t>
            </w:r>
          </w:p>
        </w:tc>
        <w:tc>
          <w:tcPr>
            <w:tcW w:w="2948" w:type="dxa"/>
          </w:tcPr>
          <w:p>
            <w:pPr>
              <w:pStyle w:val="0"/>
            </w:pPr>
            <w:r>
              <w:rPr>
                <w:sz w:val="24"/>
              </w:rPr>
              <w:t xml:space="preserve">mem-int:ObligacziiMember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Займы выданные, кроме прав требования по обязательствам страхователя - физического лица по возврату займа, полученного при осуществлении страхования жизни</w:t>
            </w:r>
          </w:p>
        </w:tc>
        <w:tc>
          <w:tcPr>
            <w:tcW w:w="2948" w:type="dxa"/>
          </w:tcPr>
          <w:p>
            <w:pPr>
              <w:pStyle w:val="0"/>
            </w:pPr>
            <w:r>
              <w:rPr>
                <w:sz w:val="24"/>
              </w:rPr>
              <w:t xml:space="preserve">mem-int:Zajmy_Krome_Sl_Dog_Szh_Member</w:t>
            </w:r>
          </w:p>
        </w:tc>
      </w:tr>
    </w:tbl>
    <w:p>
      <w:pPr>
        <w:pStyle w:val="0"/>
        <w:ind w:firstLine="540"/>
        <w:jc w:val="both"/>
      </w:pPr>
      <w:r>
        <w:rPr>
          <w:sz w:val="24"/>
        </w:rPr>
      </w:r>
    </w:p>
    <w:p>
      <w:pPr>
        <w:pStyle w:val="0"/>
        <w:outlineLvl w:val="3"/>
        <w:jc w:val="both"/>
      </w:pPr>
      <w:r>
        <w:rPr>
          <w:sz w:val="24"/>
        </w:rPr>
        <w:t xml:space="preserve">Подраздел 4.5. </w:t>
      </w:r>
      <w:hyperlink w:history="0" w:anchor="P27690" w:tooltip="Раздел 9.">
        <w:r>
          <w:rPr>
            <w:sz w:val="24"/>
            <w:color w:val="0000ff"/>
          </w:rPr>
          <w:t xml:space="preserve">Раздел 9</w:t>
        </w:r>
      </w:hyperlink>
      <w:r>
        <w:rPr>
          <w:sz w:val="24"/>
        </w:rPr>
        <w:t xml:space="preserve"> "Потоки по отдельным видам обязательств"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обязательства</w:t>
            </w:r>
          </w:p>
        </w:tc>
        <w:tc>
          <w:tcPr>
            <w:tcW w:w="2608" w:type="dxa"/>
          </w:tcPr>
          <w:p>
            <w:pPr>
              <w:pStyle w:val="0"/>
            </w:pPr>
            <w:r>
              <w:rPr>
                <w:sz w:val="24"/>
              </w:rPr>
            </w:r>
          </w:p>
        </w:tc>
        <w:tc>
          <w:tcPr>
            <w:tcW w:w="2948" w:type="dxa"/>
          </w:tcPr>
          <w:p>
            <w:pPr>
              <w:pStyle w:val="0"/>
            </w:pPr>
            <w:r>
              <w:rPr>
                <w:sz w:val="24"/>
              </w:rPr>
              <w:t xml:space="preserve">dim-int:KlassObAxis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Субординированные займы</w:t>
            </w:r>
          </w:p>
        </w:tc>
        <w:tc>
          <w:tcPr>
            <w:tcW w:w="2948" w:type="dxa"/>
          </w:tcPr>
          <w:p>
            <w:pPr>
              <w:pStyle w:val="0"/>
            </w:pPr>
            <w:r>
              <w:rPr>
                <w:sz w:val="24"/>
              </w:rPr>
              <w:t xml:space="preserve">mem-int:SubordZajmyMember</w:t>
            </w:r>
          </w:p>
        </w:tc>
      </w:tr>
    </w:tbl>
    <w:p>
      <w:pPr>
        <w:pStyle w:val="0"/>
        <w:ind w:firstLine="540"/>
        <w:jc w:val="both"/>
      </w:pPr>
      <w:r>
        <w:rPr>
          <w:sz w:val="24"/>
        </w:rPr>
      </w:r>
    </w:p>
    <w:p>
      <w:pPr>
        <w:pStyle w:val="0"/>
        <w:outlineLvl w:val="3"/>
        <w:jc w:val="both"/>
      </w:pPr>
      <w:r>
        <w:rPr>
          <w:sz w:val="24"/>
        </w:rPr>
        <w:t xml:space="preserve">Подраздел 4.6. </w:t>
      </w:r>
      <w:hyperlink w:history="0" w:anchor="P27770" w:tooltip="Раздел 11.">
        <w:r>
          <w:rPr>
            <w:sz w:val="24"/>
            <w:color w:val="0000ff"/>
          </w:rPr>
          <w:t xml:space="preserve">Раздел 11</w:t>
        </w:r>
      </w:hyperlink>
      <w:r>
        <w:rPr>
          <w:sz w:val="24"/>
        </w:rPr>
        <w:t xml:space="preserve"> "Финансовые активы и обязательства в разрезе валют и сроков, оставшихся до погашения активов и обязательств"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Основные валюты</w:t>
            </w:r>
          </w:p>
        </w:tc>
        <w:tc>
          <w:tcPr>
            <w:tcW w:w="2608" w:type="dxa"/>
          </w:tcPr>
          <w:p>
            <w:pPr>
              <w:pStyle w:val="0"/>
            </w:pPr>
            <w:r>
              <w:rPr>
                <w:sz w:val="24"/>
              </w:rPr>
            </w:r>
          </w:p>
        </w:tc>
        <w:tc>
          <w:tcPr>
            <w:tcW w:w="2948" w:type="dxa"/>
          </w:tcPr>
          <w:p>
            <w:pPr>
              <w:pStyle w:val="0"/>
            </w:pPr>
            <w:r>
              <w:rPr>
                <w:sz w:val="24"/>
              </w:rPr>
              <w:t xml:space="preserve">dim-int:OsnovnyeValyutyAxis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Рубли</w:t>
            </w:r>
          </w:p>
        </w:tc>
        <w:tc>
          <w:tcPr>
            <w:tcW w:w="2948" w:type="dxa"/>
          </w:tcPr>
          <w:p>
            <w:pPr>
              <w:pStyle w:val="0"/>
            </w:pPr>
            <w:r>
              <w:rPr>
                <w:sz w:val="24"/>
              </w:rPr>
              <w:t xml:space="preserve">mem-int:Valyuta_643RubRossijskijRublMember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Доллары США</w:t>
            </w:r>
          </w:p>
        </w:tc>
        <w:tc>
          <w:tcPr>
            <w:tcW w:w="2948" w:type="dxa"/>
          </w:tcPr>
          <w:p>
            <w:pPr>
              <w:pStyle w:val="0"/>
            </w:pPr>
            <w:r>
              <w:rPr>
                <w:sz w:val="24"/>
              </w:rPr>
              <w:t xml:space="preserve">mem-int:Valyuta_840UsdDollarSshaMember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Евро</w:t>
            </w:r>
          </w:p>
        </w:tc>
        <w:tc>
          <w:tcPr>
            <w:tcW w:w="2948" w:type="dxa"/>
          </w:tcPr>
          <w:p>
            <w:pPr>
              <w:pStyle w:val="0"/>
            </w:pPr>
            <w:r>
              <w:rPr>
                <w:sz w:val="24"/>
              </w:rPr>
              <w:t xml:space="preserve">mem-int:Valyuta_978EurEvroMember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Юани</w:t>
            </w:r>
          </w:p>
        </w:tc>
        <w:tc>
          <w:tcPr>
            <w:tcW w:w="2948" w:type="dxa"/>
          </w:tcPr>
          <w:p>
            <w:pPr>
              <w:pStyle w:val="0"/>
            </w:pPr>
            <w:r>
              <w:rPr>
                <w:sz w:val="24"/>
              </w:rPr>
              <w:t xml:space="preserve">mem-int:Valyuta_156CnyYUanMember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Прочие валюты</w:t>
            </w:r>
          </w:p>
        </w:tc>
        <w:tc>
          <w:tcPr>
            <w:tcW w:w="2948" w:type="dxa"/>
          </w:tcPr>
          <w:p>
            <w:pPr>
              <w:pStyle w:val="0"/>
            </w:pPr>
            <w:r>
              <w:rPr>
                <w:sz w:val="24"/>
              </w:rPr>
              <w:t xml:space="preserve">mem-int:ProchieValyutyMember</w:t>
            </w:r>
          </w:p>
        </w:tc>
      </w:tr>
      <w:tr>
        <w:tc>
          <w:tcPr>
            <w:tcW w:w="907" w:type="dxa"/>
          </w:tcPr>
          <w:p>
            <w:pPr>
              <w:pStyle w:val="0"/>
            </w:pPr>
            <w:r>
              <w:rPr>
                <w:sz w:val="24"/>
              </w:rPr>
              <w:t xml:space="preserve">2</w:t>
            </w:r>
          </w:p>
        </w:tc>
        <w:tc>
          <w:tcPr>
            <w:tcW w:w="2608" w:type="dxa"/>
          </w:tcPr>
          <w:p>
            <w:pPr>
              <w:pStyle w:val="0"/>
            </w:pPr>
            <w:r>
              <w:rPr>
                <w:sz w:val="24"/>
              </w:rPr>
              <w:t xml:space="preserve">Сумма в разрезе ожидаемых сроков до погашения (для страховщика, имеющего лицензию на осуществление добровольного страхования жизни)</w:t>
            </w:r>
          </w:p>
        </w:tc>
        <w:tc>
          <w:tcPr>
            <w:tcW w:w="2608" w:type="dxa"/>
          </w:tcPr>
          <w:p>
            <w:pPr>
              <w:pStyle w:val="0"/>
            </w:pPr>
            <w:r>
              <w:rPr>
                <w:sz w:val="24"/>
              </w:rPr>
            </w:r>
          </w:p>
        </w:tc>
        <w:tc>
          <w:tcPr>
            <w:tcW w:w="2948" w:type="dxa"/>
          </w:tcPr>
          <w:p>
            <w:pPr>
              <w:pStyle w:val="0"/>
            </w:pPr>
            <w:r>
              <w:rPr>
                <w:sz w:val="24"/>
              </w:rPr>
              <w:t xml:space="preserve">dim-int:Summa_Razrez_Ozhid_Srokov_Pogash_So_Licz_Dszh__Axis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До 3 месяцев</w:t>
            </w:r>
          </w:p>
        </w:tc>
        <w:tc>
          <w:tcPr>
            <w:tcW w:w="2948" w:type="dxa"/>
          </w:tcPr>
          <w:p>
            <w:pPr>
              <w:pStyle w:val="0"/>
            </w:pPr>
            <w:r>
              <w:rPr>
                <w:sz w:val="24"/>
              </w:rPr>
              <w:t xml:space="preserve">mem-int:Do_3_Mes_Member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От 3 месяцев до 1 года</w:t>
            </w:r>
          </w:p>
        </w:tc>
        <w:tc>
          <w:tcPr>
            <w:tcW w:w="2948" w:type="dxa"/>
          </w:tcPr>
          <w:p>
            <w:pPr>
              <w:pStyle w:val="0"/>
            </w:pPr>
            <w:r>
              <w:rPr>
                <w:sz w:val="24"/>
              </w:rPr>
              <w:t xml:space="preserve">mem-int:Ot_3_Mes_Do_1_God_Member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От 1 года до 3 лет</w:t>
            </w:r>
          </w:p>
        </w:tc>
        <w:tc>
          <w:tcPr>
            <w:tcW w:w="2948" w:type="dxa"/>
          </w:tcPr>
          <w:p>
            <w:pPr>
              <w:pStyle w:val="0"/>
            </w:pPr>
            <w:r>
              <w:rPr>
                <w:sz w:val="24"/>
              </w:rPr>
              <w:t xml:space="preserve">mem-int:Ot_1_Do_3_Let_Member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От 3 до 5 лет</w:t>
            </w:r>
          </w:p>
        </w:tc>
        <w:tc>
          <w:tcPr>
            <w:tcW w:w="2948" w:type="dxa"/>
          </w:tcPr>
          <w:p>
            <w:pPr>
              <w:pStyle w:val="0"/>
            </w:pPr>
            <w:r>
              <w:rPr>
                <w:sz w:val="24"/>
              </w:rPr>
              <w:t xml:space="preserve">mem-int:Ot_3_Do_5_Let_Member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От 5 до 15 лет</w:t>
            </w:r>
          </w:p>
        </w:tc>
        <w:tc>
          <w:tcPr>
            <w:tcW w:w="2948" w:type="dxa"/>
          </w:tcPr>
          <w:p>
            <w:pPr>
              <w:pStyle w:val="0"/>
            </w:pPr>
            <w:r>
              <w:rPr>
                <w:sz w:val="24"/>
              </w:rPr>
              <w:t xml:space="preserve">mem-int:Ot_5_Do_15_Let_Member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Свыше 15 лет</w:t>
            </w:r>
          </w:p>
        </w:tc>
        <w:tc>
          <w:tcPr>
            <w:tcW w:w="2948" w:type="dxa"/>
          </w:tcPr>
          <w:p>
            <w:pPr>
              <w:pStyle w:val="0"/>
            </w:pPr>
            <w:r>
              <w:rPr>
                <w:sz w:val="24"/>
              </w:rPr>
              <w:t xml:space="preserve">mem-int:Svyshe_15_Let_Member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Итого</w:t>
            </w:r>
          </w:p>
        </w:tc>
        <w:tc>
          <w:tcPr>
            <w:tcW w:w="2948" w:type="dxa"/>
          </w:tcPr>
          <w:p>
            <w:pPr>
              <w:pStyle w:val="0"/>
            </w:pPr>
            <w:r>
              <w:rPr>
                <w:sz w:val="24"/>
              </w:rPr>
              <w:t xml:space="preserve">mem-int:ItogoNPMember</w:t>
            </w:r>
          </w:p>
        </w:tc>
      </w:tr>
      <w:tr>
        <w:tc>
          <w:tcPr>
            <w:tcW w:w="907" w:type="dxa"/>
          </w:tcPr>
          <w:p>
            <w:pPr>
              <w:pStyle w:val="0"/>
            </w:pPr>
            <w:r>
              <w:rPr>
                <w:sz w:val="24"/>
              </w:rPr>
              <w:t xml:space="preserve">3</w:t>
            </w:r>
          </w:p>
        </w:tc>
        <w:tc>
          <w:tcPr>
            <w:tcW w:w="2608" w:type="dxa"/>
          </w:tcPr>
          <w:p>
            <w:pPr>
              <w:pStyle w:val="0"/>
            </w:pPr>
            <w:r>
              <w:rPr>
                <w:sz w:val="24"/>
              </w:rPr>
              <w:t xml:space="preserve">Сумма в разрезе ожидаемых сроков до погашения (для страховщика, не имеющего лицензии на осуществление добровольного страхования жизни)</w:t>
            </w:r>
          </w:p>
        </w:tc>
        <w:tc>
          <w:tcPr>
            <w:tcW w:w="2608" w:type="dxa"/>
          </w:tcPr>
          <w:p>
            <w:pPr>
              <w:pStyle w:val="0"/>
            </w:pPr>
            <w:r>
              <w:rPr>
                <w:sz w:val="24"/>
              </w:rPr>
            </w:r>
          </w:p>
        </w:tc>
        <w:tc>
          <w:tcPr>
            <w:tcW w:w="2948" w:type="dxa"/>
          </w:tcPr>
          <w:p>
            <w:pPr>
              <w:pStyle w:val="0"/>
            </w:pPr>
            <w:r>
              <w:rPr>
                <w:sz w:val="24"/>
              </w:rPr>
              <w:t xml:space="preserve">dim-int:Summa_Razrez_Ozhid_Srokov_Pogash_So_Bez_Licz_Dszh_Axis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До 3 месяцев</w:t>
            </w:r>
          </w:p>
        </w:tc>
        <w:tc>
          <w:tcPr>
            <w:tcW w:w="2948" w:type="dxa"/>
          </w:tcPr>
          <w:p>
            <w:pPr>
              <w:pStyle w:val="0"/>
            </w:pPr>
            <w:r>
              <w:rPr>
                <w:sz w:val="24"/>
              </w:rPr>
              <w:t xml:space="preserve">mem-int:Do_3_Mes_Member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От 3 месяцев до 1 года</w:t>
            </w:r>
          </w:p>
        </w:tc>
        <w:tc>
          <w:tcPr>
            <w:tcW w:w="2948" w:type="dxa"/>
          </w:tcPr>
          <w:p>
            <w:pPr>
              <w:pStyle w:val="0"/>
            </w:pPr>
            <w:r>
              <w:rPr>
                <w:sz w:val="24"/>
              </w:rPr>
              <w:t xml:space="preserve">mem-int:Ot_3_Mes_Do_1_God_Member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Свыше 1 года</w:t>
            </w:r>
          </w:p>
        </w:tc>
        <w:tc>
          <w:tcPr>
            <w:tcW w:w="2948" w:type="dxa"/>
          </w:tcPr>
          <w:p>
            <w:pPr>
              <w:pStyle w:val="0"/>
            </w:pPr>
            <w:r>
              <w:rPr>
                <w:sz w:val="24"/>
              </w:rPr>
              <w:t xml:space="preserve">mem-int:Svyshe_1_Goda_Member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Итого</w:t>
            </w:r>
          </w:p>
        </w:tc>
        <w:tc>
          <w:tcPr>
            <w:tcW w:w="2948" w:type="dxa"/>
          </w:tcPr>
          <w:p>
            <w:pPr>
              <w:pStyle w:val="0"/>
            </w:pPr>
            <w:r>
              <w:rPr>
                <w:sz w:val="24"/>
              </w:rPr>
              <w:t xml:space="preserve">mem-int:ItogoNPMember</w:t>
            </w:r>
          </w:p>
        </w:tc>
      </w:tr>
      <w:tr>
        <w:tc>
          <w:tcPr>
            <w:tcW w:w="907" w:type="dxa"/>
          </w:tcPr>
          <w:p>
            <w:pPr>
              <w:pStyle w:val="0"/>
            </w:pPr>
            <w:r>
              <w:rPr>
                <w:sz w:val="24"/>
              </w:rPr>
              <w:t xml:space="preserve">4</w:t>
            </w:r>
          </w:p>
        </w:tc>
        <w:tc>
          <w:tcPr>
            <w:tcW w:w="2608" w:type="dxa"/>
          </w:tcPr>
          <w:p>
            <w:pPr>
              <w:pStyle w:val="0"/>
            </w:pPr>
            <w:r>
              <w:rPr>
                <w:sz w:val="24"/>
              </w:rPr>
              <w:t xml:space="preserve">Тип долговых инструментов</w:t>
            </w:r>
          </w:p>
        </w:tc>
        <w:tc>
          <w:tcPr>
            <w:tcW w:w="2608" w:type="dxa"/>
          </w:tcPr>
          <w:p>
            <w:pPr>
              <w:pStyle w:val="0"/>
            </w:pPr>
            <w:r>
              <w:rPr>
                <w:sz w:val="24"/>
              </w:rPr>
            </w:r>
          </w:p>
        </w:tc>
        <w:tc>
          <w:tcPr>
            <w:tcW w:w="2948" w:type="dxa"/>
          </w:tcPr>
          <w:p>
            <w:pPr>
              <w:pStyle w:val="0"/>
            </w:pPr>
            <w:r>
              <w:rPr>
                <w:sz w:val="24"/>
              </w:rPr>
              <w:t xml:space="preserve">dim-int:TipDolgovyxInstrumentovAxis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Долговые ценные бумаги</w:t>
            </w:r>
          </w:p>
        </w:tc>
        <w:tc>
          <w:tcPr>
            <w:tcW w:w="2948" w:type="dxa"/>
          </w:tcPr>
          <w:p>
            <w:pPr>
              <w:pStyle w:val="0"/>
            </w:pPr>
            <w:r>
              <w:rPr>
                <w:sz w:val="24"/>
              </w:rPr>
              <w:t xml:space="preserve">mem-int:DolgovyeCZennyeBumagiMember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Депозиты в кредитных организациях и банках-нерезидентах</w:t>
            </w:r>
          </w:p>
        </w:tc>
        <w:tc>
          <w:tcPr>
            <w:tcW w:w="2948" w:type="dxa"/>
          </w:tcPr>
          <w:p>
            <w:pPr>
              <w:pStyle w:val="0"/>
            </w:pPr>
            <w:r>
              <w:rPr>
                <w:sz w:val="24"/>
              </w:rPr>
              <w:t xml:space="preserve">mem-int:DepozityVKreditnyxOrganizacziyaxIBankaxNerezidentaxMember</w:t>
            </w:r>
          </w:p>
        </w:tc>
      </w:tr>
    </w:tbl>
    <w:p>
      <w:pPr>
        <w:pStyle w:val="0"/>
        <w:ind w:firstLine="540"/>
        <w:jc w:val="both"/>
      </w:pPr>
      <w:r>
        <w:rPr>
          <w:sz w:val="24"/>
        </w:rPr>
      </w:r>
    </w:p>
    <w:p>
      <w:pPr>
        <w:pStyle w:val="0"/>
        <w:outlineLvl w:val="2"/>
        <w:jc w:val="both"/>
      </w:pPr>
      <w:r>
        <w:rPr>
          <w:sz w:val="24"/>
        </w:rPr>
        <w:t xml:space="preserve">Раздел 5. Отчетность по </w:t>
      </w:r>
      <w:hyperlink w:history="0" w:anchor="P29159" w:tooltip="Отчетность по форме 0420155">
        <w:r>
          <w:rPr>
            <w:sz w:val="24"/>
            <w:color w:val="0000ff"/>
          </w:rPr>
          <w:t xml:space="preserve">форме 0420155</w:t>
        </w:r>
      </w:hyperlink>
      <w:r>
        <w:rPr>
          <w:sz w:val="24"/>
        </w:rPr>
        <w:t xml:space="preserve"> "Отчет о страховых резервах страховщика"</w:t>
      </w:r>
    </w:p>
    <w:p>
      <w:pPr>
        <w:pStyle w:val="0"/>
        <w:ind w:firstLine="540"/>
        <w:jc w:val="both"/>
      </w:pPr>
      <w:r>
        <w:rPr>
          <w:sz w:val="24"/>
        </w:rPr>
      </w:r>
    </w:p>
    <w:p>
      <w:pPr>
        <w:pStyle w:val="0"/>
        <w:outlineLvl w:val="3"/>
        <w:jc w:val="both"/>
      </w:pPr>
      <w:r>
        <w:rPr>
          <w:sz w:val="24"/>
        </w:rPr>
        <w:t xml:space="preserve">Подраздел 5.1. </w:t>
      </w:r>
      <w:hyperlink w:history="0" w:anchor="P29174" w:tooltip="Раздел 1.">
        <w:r>
          <w:rPr>
            <w:sz w:val="24"/>
            <w:color w:val="0000ff"/>
          </w:rPr>
          <w:t xml:space="preserve">Раздел 1</w:t>
        </w:r>
      </w:hyperlink>
      <w:r>
        <w:rPr>
          <w:sz w:val="24"/>
        </w:rPr>
        <w:t xml:space="preserve"> "Страховые резервы и доля перестраховщиков в них"</w:t>
      </w:r>
    </w:p>
    <w:p>
      <w:pPr>
        <w:pStyle w:val="0"/>
        <w:ind w:firstLine="540"/>
        <w:jc w:val="both"/>
      </w:pPr>
      <w:r>
        <w:rPr>
          <w:sz w:val="24"/>
        </w:rPr>
      </w:r>
    </w:p>
    <w:p>
      <w:pPr>
        <w:pStyle w:val="0"/>
        <w:outlineLvl w:val="4"/>
        <w:jc w:val="both"/>
      </w:pPr>
      <w:r>
        <w:rPr>
          <w:sz w:val="24"/>
        </w:rPr>
        <w:t xml:space="preserve">Подраздел 5.1.1. </w:t>
      </w:r>
      <w:hyperlink w:history="0" w:anchor="P29176" w:tooltip="Подраздел 1.1.">
        <w:r>
          <w:rPr>
            <w:sz w:val="24"/>
            <w:color w:val="0000ff"/>
          </w:rPr>
          <w:t xml:space="preserve">Подраздел 1.1</w:t>
        </w:r>
      </w:hyperlink>
      <w:r>
        <w:rPr>
          <w:sz w:val="24"/>
        </w:rPr>
        <w:t xml:space="preserve"> "Страховые резервы, всего"</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bl>
    <w:p>
      <w:pPr>
        <w:pStyle w:val="0"/>
        <w:ind w:firstLine="540"/>
        <w:jc w:val="both"/>
      </w:pPr>
      <w:r>
        <w:rPr>
          <w:sz w:val="24"/>
        </w:rPr>
      </w:r>
    </w:p>
    <w:p>
      <w:pPr>
        <w:pStyle w:val="0"/>
        <w:outlineLvl w:val="4"/>
        <w:jc w:val="both"/>
      </w:pPr>
      <w:r>
        <w:rPr>
          <w:sz w:val="24"/>
        </w:rPr>
        <w:t xml:space="preserve">Подраздел 5.1.2. </w:t>
      </w:r>
      <w:hyperlink w:history="0" w:anchor="P29338" w:tooltip="Подраздел 1.2.">
        <w:r>
          <w:rPr>
            <w:sz w:val="24"/>
            <w:color w:val="0000ff"/>
          </w:rPr>
          <w:t xml:space="preserve">Подраздел 1.2</w:t>
        </w:r>
      </w:hyperlink>
      <w:r>
        <w:rPr>
          <w:sz w:val="24"/>
        </w:rPr>
        <w:t xml:space="preserve"> "Страховые резервы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5.1.3. </w:t>
      </w:r>
      <w:hyperlink w:history="0" w:anchor="P29572" w:tooltip="Подраздел 1.3.">
        <w:r>
          <w:rPr>
            <w:sz w:val="24"/>
            <w:color w:val="0000ff"/>
          </w:rPr>
          <w:t xml:space="preserve">Подраздел 1.3</w:t>
        </w:r>
      </w:hyperlink>
      <w:r>
        <w:rPr>
          <w:sz w:val="24"/>
        </w:rPr>
        <w:t xml:space="preserve"> "Страховые резервы, рассчитанные актуарными методами, согласованными с Банком России,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3"/>
        <w:jc w:val="both"/>
      </w:pPr>
      <w:r>
        <w:rPr>
          <w:sz w:val="24"/>
        </w:rPr>
        <w:t xml:space="preserve">Подраздел 5.2. </w:t>
      </w:r>
      <w:hyperlink w:history="0" w:anchor="P29818" w:tooltip="Раздел 2.">
        <w:r>
          <w:rPr>
            <w:sz w:val="24"/>
            <w:color w:val="0000ff"/>
          </w:rPr>
          <w:t xml:space="preserve">Раздел 2</w:t>
        </w:r>
      </w:hyperlink>
      <w:r>
        <w:rPr>
          <w:sz w:val="24"/>
        </w:rPr>
        <w:t xml:space="preserve"> "Сведения для расчета страховых резервов и доли перестраховщиков в них"</w:t>
      </w:r>
    </w:p>
    <w:p>
      <w:pPr>
        <w:pStyle w:val="0"/>
        <w:ind w:firstLine="540"/>
        <w:jc w:val="both"/>
      </w:pPr>
      <w:r>
        <w:rPr>
          <w:sz w:val="24"/>
        </w:rPr>
      </w:r>
    </w:p>
    <w:p>
      <w:pPr>
        <w:pStyle w:val="0"/>
        <w:outlineLvl w:val="4"/>
        <w:jc w:val="both"/>
      </w:pPr>
      <w:r>
        <w:rPr>
          <w:sz w:val="24"/>
        </w:rPr>
        <w:t xml:space="preserve">Подраздел 5.2.1. </w:t>
      </w:r>
      <w:hyperlink w:history="0" w:anchor="P29820" w:tooltip="Подраздел 2.1.">
        <w:r>
          <w:rPr>
            <w:sz w:val="24"/>
            <w:color w:val="0000ff"/>
          </w:rPr>
          <w:t xml:space="preserve">Подраздел 2.1</w:t>
        </w:r>
      </w:hyperlink>
      <w:r>
        <w:rPr>
          <w:sz w:val="24"/>
        </w:rPr>
        <w:t xml:space="preserve"> "Заработанная страховая премия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 </w:t>
      </w:r>
      <w:hyperlink w:history="0" w:anchor="P29838" w:tooltip="Подраздел 2.2.">
        <w:r>
          <w:rPr>
            <w:sz w:val="24"/>
            <w:color w:val="0000ff"/>
          </w:rPr>
          <w:t xml:space="preserve">Подраздел 2.2</w:t>
        </w:r>
      </w:hyperlink>
      <w:r>
        <w:rPr>
          <w:sz w:val="24"/>
        </w:rPr>
        <w:t xml:space="preserve"> "Вспомогательная величина ЗНУ с разбивкой по кварталам наступления страхового случая и формирования вспомогательной величины ЗНУ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5.2.3. </w:t>
      </w:r>
      <w:hyperlink w:history="0" w:anchor="P29856" w:tooltip="Подраздел 2.3.">
        <w:r>
          <w:rPr>
            <w:sz w:val="24"/>
            <w:color w:val="0000ff"/>
          </w:rPr>
          <w:t xml:space="preserve">Подраздел 2.3</w:t>
        </w:r>
      </w:hyperlink>
      <w:r>
        <w:rPr>
          <w:sz w:val="24"/>
        </w:rPr>
        <w:t xml:space="preserve"> "Доля перестраховщиков во вспомогательной величине ЗНУ с разбивкой по кварталам наступления страхового случая и формирования вспомогательной величины ЗНУ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5.2.4. </w:t>
      </w:r>
      <w:hyperlink w:history="0" w:anchor="P29874" w:tooltip="Подраздел 2.4.">
        <w:r>
          <w:rPr>
            <w:sz w:val="24"/>
            <w:color w:val="0000ff"/>
          </w:rPr>
          <w:t xml:space="preserve">Подраздел 2.4</w:t>
        </w:r>
      </w:hyperlink>
      <w:r>
        <w:rPr>
          <w:sz w:val="24"/>
        </w:rPr>
        <w:t xml:space="preserve"> "Страховые выплаты с разбивкой по кварталам наступления страхового случая и оплаты убытков (нарастающим итогом)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5.2.5. </w:t>
      </w:r>
      <w:hyperlink w:history="0" w:anchor="P29892" w:tooltip="Подраздел 2.5.">
        <w:r>
          <w:rPr>
            <w:sz w:val="24"/>
            <w:color w:val="0000ff"/>
          </w:rPr>
          <w:t xml:space="preserve">Подраздел 2.5</w:t>
        </w:r>
      </w:hyperlink>
      <w:r>
        <w:rPr>
          <w:sz w:val="24"/>
        </w:rPr>
        <w:t xml:space="preserve"> "Корректировка треугольника развития убытков (исключенные страховые выплаты) с разбивкой по кварталам наступления страхового случая и оплаты убытков (нарастающим итогом)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5.2.6. </w:t>
      </w:r>
      <w:hyperlink w:history="0" w:anchor="P29910" w:tooltip="Подраздел 2.6.">
        <w:r>
          <w:rPr>
            <w:sz w:val="24"/>
            <w:color w:val="0000ff"/>
          </w:rPr>
          <w:t xml:space="preserve">Подраздел 2.6</w:t>
        </w:r>
      </w:hyperlink>
      <w:r>
        <w:rPr>
          <w:sz w:val="24"/>
        </w:rPr>
        <w:t xml:space="preserve"> "Количество страховых случаев с разбивкой по кварталам наступления страхового случая и оплаты убытков (нарастающим итогом)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5.2.7. </w:t>
      </w:r>
      <w:hyperlink w:history="0" w:anchor="P29928" w:tooltip="Подраздел 2.7.">
        <w:r>
          <w:rPr>
            <w:sz w:val="24"/>
            <w:color w:val="0000ff"/>
          </w:rPr>
          <w:t xml:space="preserve">Подраздел 2.7</w:t>
        </w:r>
      </w:hyperlink>
      <w:r>
        <w:rPr>
          <w:sz w:val="24"/>
        </w:rPr>
        <w:t xml:space="preserve"> "Доля перестраховщиков в страховых выплатах с разбивкой по кварталам наступления страхового случая и оплаты убытков (нарастающим итогом)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5.2.8. </w:t>
      </w:r>
      <w:hyperlink w:history="0" w:anchor="P29946" w:tooltip="Подраздел 2.8.">
        <w:r>
          <w:rPr>
            <w:sz w:val="24"/>
            <w:color w:val="0000ff"/>
          </w:rPr>
          <w:t xml:space="preserve">Подраздел 2.8</w:t>
        </w:r>
      </w:hyperlink>
      <w:r>
        <w:rPr>
          <w:sz w:val="24"/>
        </w:rPr>
        <w:t xml:space="preserve"> "Корректировка треугольника развития доли перестраховщиков в исключенных страховых выплатах с разбивкой по кварталам наступления страхового случая и оплаты убытков (нарастающим итогом)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5.2.9. </w:t>
      </w:r>
      <w:hyperlink w:history="0" w:anchor="P29964" w:tooltip="Подраздел 2.9.">
        <w:r>
          <w:rPr>
            <w:sz w:val="24"/>
            <w:color w:val="0000ff"/>
          </w:rPr>
          <w:t xml:space="preserve">Подраздел 2.9</w:t>
        </w:r>
      </w:hyperlink>
      <w:r>
        <w:rPr>
          <w:sz w:val="24"/>
        </w:rPr>
        <w:t xml:space="preserve"> "Расчет величины стабилизационного резерва по учетной группе 9"</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bl>
    <w:p>
      <w:pPr>
        <w:pStyle w:val="0"/>
        <w:ind w:firstLine="540"/>
        <w:jc w:val="both"/>
      </w:pPr>
      <w:r>
        <w:rPr>
          <w:sz w:val="24"/>
        </w:rPr>
      </w:r>
    </w:p>
    <w:p>
      <w:pPr>
        <w:pStyle w:val="0"/>
        <w:outlineLvl w:val="4"/>
        <w:jc w:val="both"/>
      </w:pPr>
      <w:r>
        <w:rPr>
          <w:sz w:val="24"/>
        </w:rPr>
        <w:t xml:space="preserve">Подраздел 5.2.10. </w:t>
      </w:r>
      <w:hyperlink w:history="0" w:anchor="P30310" w:tooltip="Подраздел 2.10.">
        <w:r>
          <w:rPr>
            <w:sz w:val="24"/>
            <w:color w:val="0000ff"/>
          </w:rPr>
          <w:t xml:space="preserve">Подраздел 2.10</w:t>
        </w:r>
      </w:hyperlink>
      <w:r>
        <w:rPr>
          <w:sz w:val="24"/>
        </w:rPr>
        <w:t xml:space="preserve"> "Вспомогательная величина СтР по учетным группам 5, 8, 11, 15"</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bl>
    <w:p>
      <w:pPr>
        <w:pStyle w:val="0"/>
        <w:ind w:firstLine="540"/>
        <w:jc w:val="both"/>
      </w:pPr>
      <w:r>
        <w:rPr>
          <w:sz w:val="24"/>
        </w:rPr>
      </w:r>
    </w:p>
    <w:p>
      <w:pPr>
        <w:pStyle w:val="0"/>
        <w:outlineLvl w:val="4"/>
        <w:jc w:val="both"/>
      </w:pPr>
      <w:r>
        <w:rPr>
          <w:sz w:val="24"/>
        </w:rPr>
        <w:t xml:space="preserve">Подраздел 5.2.11. </w:t>
      </w:r>
      <w:hyperlink w:history="0" w:anchor="P30332" w:tooltip="Подраздел 2.11.">
        <w:r>
          <w:rPr>
            <w:sz w:val="24"/>
            <w:color w:val="0000ff"/>
          </w:rPr>
          <w:t xml:space="preserve">Подраздел 2.11</w:t>
        </w:r>
      </w:hyperlink>
      <w:r>
        <w:rPr>
          <w:sz w:val="24"/>
        </w:rPr>
        <w:t xml:space="preserve"> "Вспомогательная величина СтР по учетным группам, кроме учетных групп 5, 8, 11, 15"</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bl>
    <w:p>
      <w:pPr>
        <w:pStyle w:val="0"/>
        <w:ind w:firstLine="540"/>
        <w:jc w:val="both"/>
      </w:pPr>
      <w:r>
        <w:rPr>
          <w:sz w:val="24"/>
        </w:rPr>
      </w:r>
    </w:p>
    <w:p>
      <w:pPr>
        <w:pStyle w:val="0"/>
        <w:outlineLvl w:val="4"/>
        <w:jc w:val="both"/>
      </w:pPr>
      <w:r>
        <w:rPr>
          <w:sz w:val="24"/>
        </w:rPr>
        <w:t xml:space="preserve">Подраздел 5.2.12. </w:t>
      </w:r>
      <w:hyperlink w:history="0" w:anchor="P30342" w:tooltip="Подраздел 2.12.">
        <w:r>
          <w:rPr>
            <w:sz w:val="24"/>
            <w:color w:val="0000ff"/>
          </w:rPr>
          <w:t xml:space="preserve">Подраздел 2.12</w:t>
        </w:r>
      </w:hyperlink>
      <w:r>
        <w:rPr>
          <w:sz w:val="24"/>
        </w:rPr>
        <w:t xml:space="preserve"> "Поступления по суброгациям, регрессам и от реализации годных остатков с разбивкой по кварталам наступления страхового случая и поступления (нарастающим итогом)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bl>
    <w:p>
      <w:pPr>
        <w:pStyle w:val="0"/>
        <w:ind w:firstLine="540"/>
        <w:jc w:val="both"/>
      </w:pPr>
      <w:r>
        <w:rPr>
          <w:sz w:val="24"/>
        </w:rPr>
      </w:r>
    </w:p>
    <w:p>
      <w:pPr>
        <w:pStyle w:val="0"/>
        <w:outlineLvl w:val="4"/>
        <w:jc w:val="both"/>
      </w:pPr>
      <w:r>
        <w:rPr>
          <w:sz w:val="24"/>
        </w:rPr>
        <w:t xml:space="preserve">Подраздел 5.2.13. </w:t>
      </w:r>
      <w:hyperlink w:history="0" w:anchor="P30360" w:tooltip="Подраздел 2.13.">
        <w:r>
          <w:rPr>
            <w:sz w:val="24"/>
            <w:color w:val="0000ff"/>
          </w:rPr>
          <w:t xml:space="preserve">Подраздел 2.13</w:t>
        </w:r>
      </w:hyperlink>
      <w:r>
        <w:rPr>
          <w:sz w:val="24"/>
        </w:rPr>
        <w:t xml:space="preserve"> "Совокупный размер прав требования по суброгациям и регрессам по страховым случаям, относящимся к i-му кварталу наступления убытков,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bl>
    <w:p>
      <w:pPr>
        <w:pStyle w:val="0"/>
        <w:ind w:firstLine="540"/>
        <w:jc w:val="both"/>
      </w:pPr>
      <w:r>
        <w:rPr>
          <w:sz w:val="24"/>
        </w:rPr>
      </w:r>
    </w:p>
    <w:p>
      <w:pPr>
        <w:pStyle w:val="0"/>
        <w:outlineLvl w:val="4"/>
        <w:jc w:val="both"/>
      </w:pPr>
      <w:r>
        <w:rPr>
          <w:sz w:val="24"/>
        </w:rPr>
        <w:t xml:space="preserve">Подраздел 5.2.14. </w:t>
      </w:r>
      <w:hyperlink w:history="0" w:anchor="P30378" w:tooltip="Подраздел 2.14.">
        <w:r>
          <w:rPr>
            <w:sz w:val="24"/>
            <w:color w:val="0000ff"/>
          </w:rPr>
          <w:t xml:space="preserve">Подраздел 2.14</w:t>
        </w:r>
      </w:hyperlink>
      <w:r>
        <w:rPr>
          <w:sz w:val="24"/>
        </w:rPr>
        <w:t xml:space="preserve"> "Входящие денежные потоки при оценке ожидаемой величины обязательств по резерву премий (ДПП)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5.2.15. </w:t>
      </w:r>
      <w:hyperlink w:history="0" w:anchor="P30400" w:tooltip="Подраздел 2.15.">
        <w:r>
          <w:rPr>
            <w:sz w:val="24"/>
            <w:color w:val="0000ff"/>
          </w:rPr>
          <w:t xml:space="preserve">Подраздел 2.15</w:t>
        </w:r>
      </w:hyperlink>
      <w:r>
        <w:rPr>
          <w:sz w:val="24"/>
        </w:rPr>
        <w:t xml:space="preserve"> "Исходящие денежные потоки при оценке ожидаемой величины обязательств по резерву премий (ДПП)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5.2.16. </w:t>
      </w:r>
      <w:hyperlink w:history="0" w:anchor="P30422" w:tooltip="Подраздел 2.16.">
        <w:r>
          <w:rPr>
            <w:sz w:val="24"/>
            <w:color w:val="0000ff"/>
          </w:rPr>
          <w:t xml:space="preserve">Подраздел 2.16</w:t>
        </w:r>
      </w:hyperlink>
      <w:r>
        <w:rPr>
          <w:sz w:val="24"/>
        </w:rPr>
        <w:t xml:space="preserve"> "Входящие денежные потоки при оценке доли перестраховщиков в резерве премий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5.2.17. </w:t>
      </w:r>
      <w:hyperlink w:history="0" w:anchor="P30444" w:tooltip="Подраздел 2.17.">
        <w:r>
          <w:rPr>
            <w:sz w:val="24"/>
            <w:color w:val="0000ff"/>
          </w:rPr>
          <w:t xml:space="preserve">Подраздел 2.17</w:t>
        </w:r>
      </w:hyperlink>
      <w:r>
        <w:rPr>
          <w:sz w:val="24"/>
        </w:rPr>
        <w:t xml:space="preserve"> "Исходящие денежные потоки при оценке доли перестраховщиков в резерве премий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5.2.18. </w:t>
      </w:r>
      <w:hyperlink w:history="0" w:anchor="P30466" w:tooltip="Подраздел 2.18.">
        <w:r>
          <w:rPr>
            <w:sz w:val="24"/>
            <w:color w:val="0000ff"/>
          </w:rPr>
          <w:t xml:space="preserve">Подраздел 2.18</w:t>
        </w:r>
      </w:hyperlink>
      <w:r>
        <w:rPr>
          <w:sz w:val="24"/>
        </w:rPr>
        <w:t xml:space="preserve"> "Входящие денежные потоки при оценке ожидаемой величины обязательств по резерву убытков (ДПУ)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mem-int:Uchct_Gruppa_12Member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5.2.19. </w:t>
      </w:r>
      <w:hyperlink w:history="0" w:anchor="P30488" w:tooltip="Подраздел 2.19.">
        <w:r>
          <w:rPr>
            <w:sz w:val="24"/>
            <w:color w:val="0000ff"/>
          </w:rPr>
          <w:t xml:space="preserve">Подраздел 2.19</w:t>
        </w:r>
      </w:hyperlink>
      <w:r>
        <w:rPr>
          <w:sz w:val="24"/>
        </w:rPr>
        <w:t xml:space="preserve"> "Исходящие денежные потоки при оценке ожидаемой величины обязательств по резерву убытков (ДПУ)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5.2.20. </w:t>
      </w:r>
      <w:hyperlink w:history="0" w:anchor="P30510" w:tooltip="Подраздел 2.20.">
        <w:r>
          <w:rPr>
            <w:sz w:val="24"/>
            <w:color w:val="0000ff"/>
          </w:rPr>
          <w:t xml:space="preserve">Подраздел 2.20</w:t>
        </w:r>
      </w:hyperlink>
      <w:r>
        <w:rPr>
          <w:sz w:val="24"/>
        </w:rPr>
        <w:t xml:space="preserve"> "Входящие денежные потоки при оценке доли перестраховщиков в резерве убытков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5.2.21. </w:t>
      </w:r>
      <w:hyperlink w:history="0" w:anchor="P30532" w:tooltip="Подраздел 2.21.">
        <w:r>
          <w:rPr>
            <w:sz w:val="24"/>
            <w:color w:val="0000ff"/>
          </w:rPr>
          <w:t xml:space="preserve">Подраздел 2.21</w:t>
        </w:r>
      </w:hyperlink>
      <w:r>
        <w:rPr>
          <w:sz w:val="24"/>
        </w:rPr>
        <w:t xml:space="preserve"> "Исходящие денежные потоки при оценке доли перестраховщиков в резерве убытков до дисконтирования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5.2.22. </w:t>
      </w:r>
      <w:hyperlink w:history="0" w:anchor="P30554" w:tooltip="Подраздел 2.22.">
        <w:r>
          <w:rPr>
            <w:sz w:val="24"/>
            <w:color w:val="0000ff"/>
          </w:rPr>
          <w:t xml:space="preserve">Подраздел 2.22</w:t>
        </w:r>
      </w:hyperlink>
      <w:r>
        <w:rPr>
          <w:sz w:val="24"/>
        </w:rPr>
        <w:t xml:space="preserve"> "Раскрытие дополнительных показателей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5.2.23. </w:t>
      </w:r>
      <w:hyperlink w:history="0" w:anchor="P30736" w:tooltip="Подраздел 2.23.">
        <w:r>
          <w:rPr>
            <w:sz w:val="24"/>
            <w:color w:val="0000ff"/>
          </w:rPr>
          <w:t xml:space="preserve">Подраздел 2.23</w:t>
        </w:r>
      </w:hyperlink>
      <w:r>
        <w:rPr>
          <w:sz w:val="24"/>
        </w:rPr>
        <w:t xml:space="preserve"> "Прогноз денежных потоков при расчете вспомогательной величины РМ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bl>
    <w:p>
      <w:pPr>
        <w:pStyle w:val="0"/>
        <w:ind w:firstLine="540"/>
        <w:jc w:val="both"/>
      </w:pPr>
      <w:r>
        <w:rPr>
          <w:sz w:val="24"/>
        </w:rPr>
      </w:r>
    </w:p>
    <w:p>
      <w:pPr>
        <w:pStyle w:val="0"/>
        <w:outlineLvl w:val="4"/>
        <w:jc w:val="both"/>
      </w:pPr>
      <w:r>
        <w:rPr>
          <w:sz w:val="24"/>
        </w:rPr>
        <w:t xml:space="preserve">Подраздел 5.2.24. </w:t>
      </w:r>
      <w:hyperlink w:history="0" w:anchor="P30754" w:tooltip="Подраздел 2.24.">
        <w:r>
          <w:rPr>
            <w:sz w:val="24"/>
            <w:color w:val="0000ff"/>
          </w:rPr>
          <w:t xml:space="preserve">Подраздел 2.24</w:t>
        </w:r>
      </w:hyperlink>
      <w:r>
        <w:rPr>
          <w:sz w:val="24"/>
        </w:rPr>
        <w:t xml:space="preserve"> "Количество договоров страхования, сострахования и входящего перестрахования, досрочно прекративших свое действие, с разбивкой по кварталам прекращения их действия и признания (нарастающим итогом)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5.2.25. </w:t>
      </w:r>
      <w:hyperlink w:history="0" w:anchor="P30772" w:tooltip="Подраздел 2.25.">
        <w:r>
          <w:rPr>
            <w:sz w:val="24"/>
            <w:color w:val="0000ff"/>
          </w:rPr>
          <w:t xml:space="preserve">Подраздел 2.25</w:t>
        </w:r>
      </w:hyperlink>
      <w:r>
        <w:rPr>
          <w:sz w:val="24"/>
        </w:rPr>
        <w:t xml:space="preserve"> "Премия, комиссия, выплаты по расторжениям, выплаты по страховым случаям, прочие расходы и доходы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5.2.26. </w:t>
      </w:r>
      <w:hyperlink w:history="0" w:anchor="P31226" w:tooltip="Подраздел 2.26.">
        <w:r>
          <w:rPr>
            <w:sz w:val="24"/>
            <w:color w:val="0000ff"/>
          </w:rPr>
          <w:t xml:space="preserve">Подраздел 2.26</w:t>
        </w:r>
      </w:hyperlink>
      <w:r>
        <w:rPr>
          <w:sz w:val="24"/>
        </w:rPr>
        <w:t xml:space="preserve"> "Размер прав требования и обязательств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Детализация прав требования и обязательств</w:t>
            </w:r>
          </w:p>
        </w:tc>
        <w:tc>
          <w:tcPr>
            <w:tcW w:w="2608" w:type="dxa"/>
          </w:tcPr>
          <w:p>
            <w:pPr>
              <w:pStyle w:val="0"/>
            </w:pPr>
            <w:r>
              <w:rPr>
                <w:sz w:val="24"/>
              </w:rPr>
            </w:r>
          </w:p>
        </w:tc>
        <w:tc>
          <w:tcPr>
            <w:tcW w:w="2948" w:type="dxa"/>
          </w:tcPr>
          <w:p>
            <w:pPr>
              <w:pStyle w:val="0"/>
            </w:pPr>
            <w:r>
              <w:rPr>
                <w:sz w:val="24"/>
              </w:rPr>
              <w:t xml:space="preserve">dim-int:DetalizacziyaPravTrebIObyazAxis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всего</w:t>
            </w:r>
          </w:p>
        </w:tc>
        <w:tc>
          <w:tcPr>
            <w:tcW w:w="2948" w:type="dxa"/>
          </w:tcPr>
          <w:p>
            <w:pPr>
              <w:pStyle w:val="0"/>
            </w:pPr>
            <w:r>
              <w:rPr>
                <w:sz w:val="24"/>
              </w:rPr>
              <w:t xml:space="preserve">mem-int:NerDPSrokPlatDoRaschDatyMember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страховым премиям по договорам страхования, сострахования и входящего перестрахования</w:t>
            </w:r>
          </w:p>
        </w:tc>
        <w:tc>
          <w:tcPr>
            <w:tcW w:w="2948" w:type="dxa"/>
          </w:tcPr>
          <w:p>
            <w:pPr>
              <w:pStyle w:val="0"/>
            </w:pPr>
            <w:r>
              <w:rPr>
                <w:sz w:val="24"/>
              </w:rPr>
              <w:t xml:space="preserve">mem-int:NerDPSrokPlatDoRaschDatyPoStrPrPoDogStrIVxodPerMember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отчислениям в фонды компенсационных выплат</w:t>
            </w:r>
          </w:p>
        </w:tc>
        <w:tc>
          <w:tcPr>
            <w:tcW w:w="2948" w:type="dxa"/>
          </w:tcPr>
          <w:p>
            <w:pPr>
              <w:pStyle w:val="0"/>
            </w:pPr>
            <w:r>
              <w:rPr>
                <w:sz w:val="24"/>
              </w:rPr>
              <w:t xml:space="preserve">mem-int:NerDPSrokPlatDoRaschDatyPoOtchislVFondyKompVyplMember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прямым расходам на заключение договоров страхования, сострахования и входящего перестрахования</w:t>
            </w:r>
          </w:p>
        </w:tc>
        <w:tc>
          <w:tcPr>
            <w:tcW w:w="2948" w:type="dxa"/>
          </w:tcPr>
          <w:p>
            <w:pPr>
              <w:pStyle w:val="0"/>
            </w:pPr>
            <w:r>
              <w:rPr>
                <w:sz w:val="24"/>
              </w:rPr>
              <w:t xml:space="preserve">mem-int:NerDPSrokPlatDoRaschDatyPoPryamRasxZaklDogMember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прочим аквизиционным расходам, кроме прямых расходов на заключение договоров страхования, сострахования и входящего перестрахования</w:t>
            </w:r>
          </w:p>
        </w:tc>
        <w:tc>
          <w:tcPr>
            <w:tcW w:w="2948" w:type="dxa"/>
          </w:tcPr>
          <w:p>
            <w:pPr>
              <w:pStyle w:val="0"/>
            </w:pPr>
            <w:r>
              <w:rPr>
                <w:sz w:val="24"/>
              </w:rPr>
              <w:t xml:space="preserve">mem-int:NerDPSrokPlatDoRasDatProchAkvRasxKrPrRasxZaklDogMember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страховым премиям по договорам исходящего перестрахования</w:t>
            </w:r>
          </w:p>
        </w:tc>
        <w:tc>
          <w:tcPr>
            <w:tcW w:w="2948" w:type="dxa"/>
          </w:tcPr>
          <w:p>
            <w:pPr>
              <w:pStyle w:val="0"/>
            </w:pPr>
            <w:r>
              <w:rPr>
                <w:sz w:val="24"/>
              </w:rPr>
              <w:t xml:space="preserve">mem-int:NerDPSrokPlatDoRaschDatyPoStrPremPoDogIsxodPerMember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перестраховочному вознаграждению</w:t>
            </w:r>
          </w:p>
        </w:tc>
        <w:tc>
          <w:tcPr>
            <w:tcW w:w="2948" w:type="dxa"/>
          </w:tcPr>
          <w:p>
            <w:pPr>
              <w:pStyle w:val="0"/>
            </w:pPr>
            <w:r>
              <w:rPr>
                <w:sz w:val="24"/>
              </w:rPr>
              <w:t xml:space="preserve">mem-int:NerDPSrokPlatDoRaschDatyPoPerVoznagrazhdeniyuMember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выплатам в связи с досрочным прекращением договоров страхования, сострахования и входящего перестрахования</w:t>
            </w:r>
          </w:p>
        </w:tc>
        <w:tc>
          <w:tcPr>
            <w:tcW w:w="2948" w:type="dxa"/>
          </w:tcPr>
          <w:p>
            <w:pPr>
              <w:pStyle w:val="0"/>
            </w:pPr>
            <w:r>
              <w:rPr>
                <w:sz w:val="24"/>
              </w:rPr>
              <w:t xml:space="preserve">mem-int:NerDPSrokPlatDoRaschDatyPoVyplDosrPrekDogStrIVxPerMember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выплатам в связи с досрочным прекращением договоров исходящего перестрахования</w:t>
            </w:r>
          </w:p>
        </w:tc>
        <w:tc>
          <w:tcPr>
            <w:tcW w:w="2948" w:type="dxa"/>
          </w:tcPr>
          <w:p>
            <w:pPr>
              <w:pStyle w:val="0"/>
            </w:pPr>
            <w:r>
              <w:rPr>
                <w:sz w:val="24"/>
              </w:rPr>
              <w:t xml:space="preserve">mem-int:NerDPSrokPlatDoRaschDatyPoVyplDosrPrekDogIsxPerMember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возмещению доли перестраховщиков в страховых выплатах</w:t>
            </w:r>
          </w:p>
        </w:tc>
        <w:tc>
          <w:tcPr>
            <w:tcW w:w="2948" w:type="dxa"/>
          </w:tcPr>
          <w:p>
            <w:pPr>
              <w:pStyle w:val="0"/>
            </w:pPr>
            <w:r>
              <w:rPr>
                <w:sz w:val="24"/>
              </w:rPr>
              <w:t xml:space="preserve">mem-int:NerDPSrokPlatDoRaschDatyPoVozmDoliPerVStrVyplMember</w:t>
            </w:r>
          </w:p>
        </w:tc>
      </w:tr>
      <w:tr>
        <w:tc>
          <w:tcPr>
            <w:tcW w:w="907" w:type="dxa"/>
          </w:tcPr>
          <w:p>
            <w:pPr>
              <w:pStyle w:val="0"/>
            </w:pPr>
            <w:r>
              <w:rPr>
                <w:sz w:val="24"/>
              </w:rPr>
              <w:t xml:space="preserve">1.1.10</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возмещению доли перестраховщиков в поступлениях по суброгациям и регрессам</w:t>
            </w:r>
          </w:p>
        </w:tc>
        <w:tc>
          <w:tcPr>
            <w:tcW w:w="2948" w:type="dxa"/>
          </w:tcPr>
          <w:p>
            <w:pPr>
              <w:pStyle w:val="0"/>
            </w:pPr>
            <w:r>
              <w:rPr>
                <w:sz w:val="24"/>
              </w:rPr>
              <w:t xml:space="preserve">mem-int:NerDPSrokPlatDoRaschDatyPoVozmDoliPerVPostSubIRegMember</w:t>
            </w:r>
          </w:p>
        </w:tc>
      </w:tr>
      <w:tr>
        <w:tc>
          <w:tcPr>
            <w:tcW w:w="907" w:type="dxa"/>
          </w:tcPr>
          <w:p>
            <w:pPr>
              <w:pStyle w:val="0"/>
            </w:pPr>
            <w:r>
              <w:rPr>
                <w:sz w:val="24"/>
              </w:rPr>
              <w:t xml:space="preserve">1.1.11</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возмещению доли перестраховщиков в поступлениях от реализации годных остатков</w:t>
            </w:r>
          </w:p>
        </w:tc>
        <w:tc>
          <w:tcPr>
            <w:tcW w:w="2948" w:type="dxa"/>
          </w:tcPr>
          <w:p>
            <w:pPr>
              <w:pStyle w:val="0"/>
            </w:pPr>
            <w:r>
              <w:rPr>
                <w:sz w:val="24"/>
              </w:rPr>
              <w:t xml:space="preserve">mem-int:NerDPSrokPlatDoRaschDatyPoVozmDoliPerPostOtRealGOMember</w:t>
            </w:r>
          </w:p>
        </w:tc>
      </w:tr>
      <w:tr>
        <w:tc>
          <w:tcPr>
            <w:tcW w:w="907" w:type="dxa"/>
          </w:tcPr>
          <w:p>
            <w:pPr>
              <w:pStyle w:val="0"/>
            </w:pPr>
            <w:r>
              <w:rPr>
                <w:sz w:val="24"/>
              </w:rPr>
              <w:t xml:space="preserve">1.1.12</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тантьемам</w:t>
            </w:r>
          </w:p>
        </w:tc>
        <w:tc>
          <w:tcPr>
            <w:tcW w:w="2948" w:type="dxa"/>
          </w:tcPr>
          <w:p>
            <w:pPr>
              <w:pStyle w:val="0"/>
            </w:pPr>
            <w:r>
              <w:rPr>
                <w:sz w:val="24"/>
              </w:rPr>
              <w:t xml:space="preserve">mem-int:NerDPSrokPlatDoRaschDatyPoTantemamMember</w:t>
            </w:r>
          </w:p>
        </w:tc>
      </w:tr>
      <w:tr>
        <w:tc>
          <w:tcPr>
            <w:tcW w:w="907" w:type="dxa"/>
          </w:tcPr>
          <w:p>
            <w:pPr>
              <w:pStyle w:val="0"/>
            </w:pPr>
            <w:r>
              <w:rPr>
                <w:sz w:val="24"/>
              </w:rPr>
              <w:t xml:space="preserve">1.1.13</w:t>
            </w:r>
          </w:p>
        </w:tc>
        <w:tc>
          <w:tcPr>
            <w:tcW w:w="2608" w:type="dxa"/>
          </w:tcPr>
          <w:p>
            <w:pPr>
              <w:pStyle w:val="0"/>
            </w:pPr>
            <w:r>
              <w:rPr>
                <w:sz w:val="24"/>
              </w:rPr>
            </w:r>
          </w:p>
        </w:tc>
        <w:tc>
          <w:tcPr>
            <w:tcW w:w="2608" w:type="dxa"/>
          </w:tcPr>
          <w:p>
            <w:pPr>
              <w:pStyle w:val="0"/>
            </w:pPr>
            <w:r>
              <w:rPr>
                <w:sz w:val="24"/>
              </w:rPr>
              <w:t xml:space="preserve">Нереализованные прочие денежные потоки по договорам страхования, сострахования и входящего перестрахования (расшифровать)</w:t>
            </w:r>
          </w:p>
        </w:tc>
        <w:tc>
          <w:tcPr>
            <w:tcW w:w="2948" w:type="dxa"/>
          </w:tcPr>
          <w:p>
            <w:pPr>
              <w:pStyle w:val="0"/>
            </w:pPr>
            <w:r>
              <w:rPr>
                <w:sz w:val="24"/>
              </w:rPr>
              <w:t xml:space="preserve">mem-int:NerDPSrokPlatDoRaschDatyProchiePoDogStrIVxodPerMember</w:t>
            </w:r>
          </w:p>
        </w:tc>
      </w:tr>
      <w:tr>
        <w:tc>
          <w:tcPr>
            <w:tcW w:w="907" w:type="dxa"/>
          </w:tcPr>
          <w:p>
            <w:pPr>
              <w:pStyle w:val="0"/>
            </w:pPr>
            <w:r>
              <w:rPr>
                <w:sz w:val="24"/>
              </w:rPr>
              <w:t xml:space="preserve">1.1.14</w:t>
            </w:r>
          </w:p>
        </w:tc>
        <w:tc>
          <w:tcPr>
            <w:tcW w:w="2608" w:type="dxa"/>
          </w:tcPr>
          <w:p>
            <w:pPr>
              <w:pStyle w:val="0"/>
            </w:pPr>
            <w:r>
              <w:rPr>
                <w:sz w:val="24"/>
              </w:rPr>
            </w:r>
          </w:p>
        </w:tc>
        <w:tc>
          <w:tcPr>
            <w:tcW w:w="2608" w:type="dxa"/>
          </w:tcPr>
          <w:p>
            <w:pPr>
              <w:pStyle w:val="0"/>
            </w:pPr>
            <w:r>
              <w:rPr>
                <w:sz w:val="24"/>
              </w:rPr>
              <w:t xml:space="preserve">Нереализованные прочие денежные потоки по договорам исходящего перестрахования (расшифровать)</w:t>
            </w:r>
          </w:p>
        </w:tc>
        <w:tc>
          <w:tcPr>
            <w:tcW w:w="2948" w:type="dxa"/>
          </w:tcPr>
          <w:p>
            <w:pPr>
              <w:pStyle w:val="0"/>
            </w:pPr>
            <w:r>
              <w:rPr>
                <w:sz w:val="24"/>
              </w:rPr>
              <w:t xml:space="preserve">mem-int:NerDPSrokPlatDoRaschDatyProchiePoDogIsxPerMember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Денежные потоки по страховым премиям по договорам страхования, сострахования и входящего перестрахования</w:t>
            </w:r>
          </w:p>
        </w:tc>
        <w:tc>
          <w:tcPr>
            <w:tcW w:w="2948" w:type="dxa"/>
          </w:tcPr>
          <w:p>
            <w:pPr>
              <w:pStyle w:val="0"/>
            </w:pPr>
            <w:r>
              <w:rPr>
                <w:sz w:val="24"/>
              </w:rPr>
              <w:t xml:space="preserve">mem-int:DPPoStrPremUplZaStrPokrDoDatyVerxGranDogMember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Денежные потоки по оплате расходов на заключение (аквизицию) договоров страхования, сострахования и входящего перестрахования, соответствующие страховым премиям</w:t>
            </w:r>
          </w:p>
        </w:tc>
        <w:tc>
          <w:tcPr>
            <w:tcW w:w="2948" w:type="dxa"/>
          </w:tcPr>
          <w:p>
            <w:pPr>
              <w:pStyle w:val="0"/>
            </w:pPr>
            <w:r>
              <w:rPr>
                <w:sz w:val="24"/>
              </w:rPr>
              <w:t xml:space="preserve">mem-int:DPOplRasxZaklDogStrIVxPerZaPredStrPokrDoDatVerxGrMember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Денежные потоки по излишне полученным от страхователя денежным средствам и по страховым премиям, поступившим ранее срока</w:t>
            </w:r>
          </w:p>
        </w:tc>
        <w:tc>
          <w:tcPr>
            <w:tcW w:w="2948" w:type="dxa"/>
          </w:tcPr>
          <w:p>
            <w:pPr>
              <w:pStyle w:val="0"/>
            </w:pPr>
            <w:r>
              <w:rPr>
                <w:sz w:val="24"/>
              </w:rPr>
              <w:t xml:space="preserve">mem-int:DPPoIzlishnePoluchennymDSIStrPremPostupRaneeSrokaMember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Денежные потоки по оплате расходов на заключение (аквизицию) договоров страхования, сострахования и входящего перестрахования, соответствующие денежным потокам по излишне полученным от страхователя денежным средствам и по страховым премиям, поступившим ранее срока</w:t>
            </w:r>
          </w:p>
        </w:tc>
        <w:tc>
          <w:tcPr>
            <w:tcW w:w="2948" w:type="dxa"/>
          </w:tcPr>
          <w:p>
            <w:pPr>
              <w:pStyle w:val="0"/>
            </w:pPr>
            <w:r>
              <w:rPr>
                <w:sz w:val="24"/>
              </w:rPr>
              <w:t xml:space="preserve">mem-int:DPPoOplRasxNaZaklPoIzlPolDSIStrPremPostRaneeSrMember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выплатам страхового возмещения по страховому случаю (в том числе денежные потоки по суброгациям и регрессам)</w:t>
            </w:r>
          </w:p>
        </w:tc>
        <w:tc>
          <w:tcPr>
            <w:tcW w:w="2948" w:type="dxa"/>
          </w:tcPr>
          <w:p>
            <w:pPr>
              <w:pStyle w:val="0"/>
            </w:pPr>
            <w:r>
              <w:rPr>
                <w:sz w:val="24"/>
              </w:rPr>
              <w:t xml:space="preserve">mem-int:NerDPDenPotokiIspolObyazVRezVyplDoRaschDatyMember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Прочие нереализованные денежные потоки, связанные с исполнением обязательств по договорам страхования, сострахования и входящего перестрахования</w:t>
            </w:r>
          </w:p>
        </w:tc>
        <w:tc>
          <w:tcPr>
            <w:tcW w:w="2948" w:type="dxa"/>
          </w:tcPr>
          <w:p>
            <w:pPr>
              <w:pStyle w:val="0"/>
            </w:pPr>
            <w:r>
              <w:rPr>
                <w:sz w:val="24"/>
              </w:rPr>
              <w:t xml:space="preserve">mem-int:ProchNereaDPVyplDoRaschDatyMember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Денежные потоки по возврату страхователем - физическим лицом займа</w:t>
            </w:r>
          </w:p>
        </w:tc>
        <w:tc>
          <w:tcPr>
            <w:tcW w:w="2948" w:type="dxa"/>
          </w:tcPr>
          <w:p>
            <w:pPr>
              <w:pStyle w:val="0"/>
            </w:pPr>
            <w:r>
              <w:rPr>
                <w:sz w:val="24"/>
              </w:rPr>
              <w:t xml:space="preserve">mem-int:DenPotokiPoVozvratuStrovatelemFLZajmaMember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Денежные потоки по правам требования к страховым организациям в рамках соглашения о прямом возмещении убытков</w:t>
            </w:r>
          </w:p>
        </w:tc>
        <w:tc>
          <w:tcPr>
            <w:tcW w:w="2948" w:type="dxa"/>
          </w:tcPr>
          <w:p>
            <w:pPr>
              <w:pStyle w:val="0"/>
            </w:pPr>
            <w:r>
              <w:rPr>
                <w:sz w:val="24"/>
              </w:rPr>
              <w:t xml:space="preserve">mem-int:DenPotPoPravamTrebKStrOrgPVUDoUkDatyMember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Денежные потоки по страховым премиям по договорам долевого страхования жизни, направляемым на приобретение инвестиционных паев, и по возвратам таких страховых премий</w:t>
            </w:r>
          </w:p>
        </w:tc>
        <w:tc>
          <w:tcPr>
            <w:tcW w:w="2948" w:type="dxa"/>
          </w:tcPr>
          <w:p>
            <w:pPr>
              <w:pStyle w:val="0"/>
            </w:pPr>
            <w:r>
              <w:rPr>
                <w:sz w:val="24"/>
              </w:rPr>
              <w:t xml:space="preserve">mem-int:DPPoStrPrPoDDolStraxZhNaprNaPriobrInvPaevIPoVozvrMember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Денежные потоки по операциям, связанным с приобретением инвестиционных паев по договору долевого страхования жизни</w:t>
            </w:r>
          </w:p>
        </w:tc>
        <w:tc>
          <w:tcPr>
            <w:tcW w:w="2948" w:type="dxa"/>
          </w:tcPr>
          <w:p>
            <w:pPr>
              <w:pStyle w:val="0"/>
            </w:pPr>
            <w:r>
              <w:rPr>
                <w:sz w:val="24"/>
              </w:rPr>
              <w:t xml:space="preserve">mem-int:DPPoOperPriobrInvPaevPoDDolStraxZhMember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Денежные потоки по возврату страховых премий при досрочном прекращении договоров страхования, сострахования и входящего перестрахования</w:t>
            </w:r>
          </w:p>
        </w:tc>
        <w:tc>
          <w:tcPr>
            <w:tcW w:w="2948" w:type="dxa"/>
          </w:tcPr>
          <w:p>
            <w:pPr>
              <w:pStyle w:val="0"/>
            </w:pPr>
            <w:r>
              <w:rPr>
                <w:sz w:val="24"/>
              </w:rPr>
              <w:t xml:space="preserve">mem-int:DPPoVozvratuStraxPrPriDosrPrDogStrSostrVxPerestrMember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Денежные потоки по оплате расходов на заключение (аквизицию) договоров страхования, сострахования и входящего перестрахования, соответствующие денежным потокам по возврату страховых премий при их досрочном прекращении</w:t>
            </w:r>
          </w:p>
        </w:tc>
        <w:tc>
          <w:tcPr>
            <w:tcW w:w="2948" w:type="dxa"/>
          </w:tcPr>
          <w:p>
            <w:pPr>
              <w:pStyle w:val="0"/>
            </w:pPr>
            <w:r>
              <w:rPr>
                <w:sz w:val="24"/>
              </w:rPr>
              <w:t xml:space="preserve">mem-int:DPPoOplRasxNaZaklDogStrSostrVxPerDPpoVozvStrPrPrDPMember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всего</w:t>
            </w:r>
          </w:p>
        </w:tc>
        <w:tc>
          <w:tcPr>
            <w:tcW w:w="2948" w:type="dxa"/>
          </w:tcPr>
          <w:p>
            <w:pPr>
              <w:pStyle w:val="0"/>
            </w:pPr>
            <w:r>
              <w:rPr>
                <w:sz w:val="24"/>
              </w:rPr>
              <w:t xml:space="preserve">mem-int:DPPoDogIsxPerPoOsnDogPolUplKromeNerDPMember</w:t>
            </w:r>
          </w:p>
        </w:tc>
      </w:tr>
      <w:tr>
        <w:tc>
          <w:tcPr>
            <w:tcW w:w="907" w:type="dxa"/>
          </w:tcPr>
          <w:p>
            <w:pPr>
              <w:pStyle w:val="0"/>
            </w:pPr>
            <w:r>
              <w:rPr>
                <w:sz w:val="24"/>
              </w:rPr>
              <w:t xml:space="preserve">1.14.1</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по страховым премиям</w:t>
            </w:r>
          </w:p>
        </w:tc>
        <w:tc>
          <w:tcPr>
            <w:tcW w:w="2948" w:type="dxa"/>
          </w:tcPr>
          <w:p>
            <w:pPr>
              <w:pStyle w:val="0"/>
            </w:pPr>
            <w:r>
              <w:rPr>
                <w:sz w:val="24"/>
              </w:rPr>
              <w:t xml:space="preserve">mem-int:DPPoDogIsxPerPoOsnDogPolUplKrNerDPPoStrPremIsxPerMember</w:t>
            </w:r>
          </w:p>
        </w:tc>
      </w:tr>
      <w:tr>
        <w:tc>
          <w:tcPr>
            <w:tcW w:w="907" w:type="dxa"/>
          </w:tcPr>
          <w:p>
            <w:pPr>
              <w:pStyle w:val="0"/>
            </w:pPr>
            <w:r>
              <w:rPr>
                <w:sz w:val="24"/>
              </w:rPr>
              <w:t xml:space="preserve">1.14.2</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по перестраховочному вознаграждению</w:t>
            </w:r>
          </w:p>
        </w:tc>
        <w:tc>
          <w:tcPr>
            <w:tcW w:w="2948" w:type="dxa"/>
          </w:tcPr>
          <w:p>
            <w:pPr>
              <w:pStyle w:val="0"/>
            </w:pPr>
            <w:r>
              <w:rPr>
                <w:sz w:val="24"/>
              </w:rPr>
              <w:t xml:space="preserve">mem-int:DPPoDogIsxPerPoOsnDogPolUplKromeNerDPPoPerVoznagrMember</w:t>
            </w:r>
          </w:p>
        </w:tc>
      </w:tr>
      <w:tr>
        <w:tc>
          <w:tcPr>
            <w:tcW w:w="907" w:type="dxa"/>
          </w:tcPr>
          <w:p>
            <w:pPr>
              <w:pStyle w:val="0"/>
            </w:pPr>
            <w:r>
              <w:rPr>
                <w:sz w:val="24"/>
              </w:rPr>
              <w:t xml:space="preserve">1.14.3</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по выплатам в связи с досрочным прекращением договоров исходящего перестрахования</w:t>
            </w:r>
          </w:p>
        </w:tc>
        <w:tc>
          <w:tcPr>
            <w:tcW w:w="2948" w:type="dxa"/>
          </w:tcPr>
          <w:p>
            <w:pPr>
              <w:pStyle w:val="0"/>
            </w:pPr>
            <w:r>
              <w:rPr>
                <w:sz w:val="24"/>
              </w:rPr>
              <w:t xml:space="preserve">mem-int:DPPoDogIsxPerPoOsnDogUplKrNerDPPoVyplDosrPrDogIStrMember</w:t>
            </w:r>
          </w:p>
        </w:tc>
      </w:tr>
      <w:tr>
        <w:tc>
          <w:tcPr>
            <w:tcW w:w="907" w:type="dxa"/>
          </w:tcPr>
          <w:p>
            <w:pPr>
              <w:pStyle w:val="0"/>
            </w:pPr>
            <w:r>
              <w:rPr>
                <w:sz w:val="24"/>
              </w:rPr>
              <w:t xml:space="preserve">1.14.4</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по возмещению доли перестраховщиков в страховых выплатах</w:t>
            </w:r>
          </w:p>
        </w:tc>
        <w:tc>
          <w:tcPr>
            <w:tcW w:w="2948" w:type="dxa"/>
          </w:tcPr>
          <w:p>
            <w:pPr>
              <w:pStyle w:val="0"/>
            </w:pPr>
            <w:r>
              <w:rPr>
                <w:sz w:val="24"/>
              </w:rPr>
              <w:t xml:space="preserve">mem-int:DPPoDogIsxPerOsnDogPolUplKrNerDPPoVozmDPerVStrVyplMember</w:t>
            </w:r>
          </w:p>
        </w:tc>
      </w:tr>
      <w:tr>
        <w:tc>
          <w:tcPr>
            <w:tcW w:w="907" w:type="dxa"/>
          </w:tcPr>
          <w:p>
            <w:pPr>
              <w:pStyle w:val="0"/>
            </w:pPr>
            <w:r>
              <w:rPr>
                <w:sz w:val="24"/>
              </w:rPr>
              <w:t xml:space="preserve">1.14.5</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по возмещению доли перестраховщиков в поступлениях по суброгациям и регрессам</w:t>
            </w:r>
          </w:p>
        </w:tc>
        <w:tc>
          <w:tcPr>
            <w:tcW w:w="2948" w:type="dxa"/>
          </w:tcPr>
          <w:p>
            <w:pPr>
              <w:pStyle w:val="0"/>
            </w:pPr>
            <w:r>
              <w:rPr>
                <w:sz w:val="24"/>
              </w:rPr>
              <w:t xml:space="preserve">mem-int:DPPoDogIsxPerOsnDogKrNerDPPoVozDPerVPostPoSubRegMember</w:t>
            </w:r>
          </w:p>
        </w:tc>
      </w:tr>
      <w:tr>
        <w:tc>
          <w:tcPr>
            <w:tcW w:w="907" w:type="dxa"/>
          </w:tcPr>
          <w:p>
            <w:pPr>
              <w:pStyle w:val="0"/>
            </w:pPr>
            <w:r>
              <w:rPr>
                <w:sz w:val="24"/>
              </w:rPr>
              <w:t xml:space="preserve">1.14.6</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по возмещению доли перестраховщиков в поступлениях от реализации годных остатков</w:t>
            </w:r>
          </w:p>
        </w:tc>
        <w:tc>
          <w:tcPr>
            <w:tcW w:w="2948" w:type="dxa"/>
          </w:tcPr>
          <w:p>
            <w:pPr>
              <w:pStyle w:val="0"/>
            </w:pPr>
            <w:r>
              <w:rPr>
                <w:sz w:val="24"/>
              </w:rPr>
              <w:t xml:space="preserve">mem-int:DPDogIsxPerOsnDogPolUplKrNerDPPoVozDPerVPostRealGOMember</w:t>
            </w:r>
          </w:p>
        </w:tc>
      </w:tr>
      <w:tr>
        <w:tc>
          <w:tcPr>
            <w:tcW w:w="907" w:type="dxa"/>
          </w:tcPr>
          <w:p>
            <w:pPr>
              <w:pStyle w:val="0"/>
            </w:pPr>
            <w:r>
              <w:rPr>
                <w:sz w:val="24"/>
              </w:rPr>
              <w:t xml:space="preserve">1.14.7</w:t>
            </w:r>
          </w:p>
        </w:tc>
        <w:tc>
          <w:tcPr>
            <w:tcW w:w="2608" w:type="dxa"/>
          </w:tcPr>
          <w:p>
            <w:pPr>
              <w:pStyle w:val="0"/>
            </w:pPr>
            <w:r>
              <w:rPr>
                <w:sz w:val="24"/>
              </w:rPr>
            </w:r>
          </w:p>
        </w:tc>
        <w:tc>
          <w:tcPr>
            <w:tcW w:w="2608" w:type="dxa"/>
          </w:tcPr>
          <w:p>
            <w:pPr>
              <w:pStyle w:val="0"/>
            </w:pPr>
            <w:r>
              <w:rPr>
                <w:sz w:val="24"/>
              </w:rPr>
              <w:t xml:space="preserve">Денежные потоки по договорам исходящего перестрахования: по тантьемам</w:t>
            </w:r>
          </w:p>
        </w:tc>
        <w:tc>
          <w:tcPr>
            <w:tcW w:w="2948" w:type="dxa"/>
          </w:tcPr>
          <w:p>
            <w:pPr>
              <w:pStyle w:val="0"/>
            </w:pPr>
            <w:r>
              <w:rPr>
                <w:sz w:val="24"/>
              </w:rPr>
              <w:t xml:space="preserve">mem-int:DPPoDogIsxPerPoOsnDogPolUplKromeNerDPPoTantemamMember</w:t>
            </w:r>
          </w:p>
        </w:tc>
      </w:tr>
      <w:tr>
        <w:tc>
          <w:tcPr>
            <w:tcW w:w="907" w:type="dxa"/>
          </w:tcPr>
          <w:p>
            <w:pPr>
              <w:pStyle w:val="0"/>
            </w:pPr>
            <w:r>
              <w:rPr>
                <w:sz w:val="24"/>
              </w:rPr>
              <w:t xml:space="preserve">1.14.8</w:t>
            </w:r>
          </w:p>
        </w:tc>
        <w:tc>
          <w:tcPr>
            <w:tcW w:w="2608" w:type="dxa"/>
          </w:tcPr>
          <w:p>
            <w:pPr>
              <w:pStyle w:val="0"/>
            </w:pPr>
            <w:r>
              <w:rPr>
                <w:sz w:val="24"/>
              </w:rPr>
            </w:r>
          </w:p>
        </w:tc>
        <w:tc>
          <w:tcPr>
            <w:tcW w:w="2608" w:type="dxa"/>
          </w:tcPr>
          <w:p>
            <w:pPr>
              <w:pStyle w:val="0"/>
            </w:pPr>
            <w:r>
              <w:rPr>
                <w:sz w:val="24"/>
              </w:rPr>
              <w:t xml:space="preserve">Прочие денежные потоки по договорам исходящего перестрахования (расшифровать)</w:t>
            </w:r>
          </w:p>
        </w:tc>
        <w:tc>
          <w:tcPr>
            <w:tcW w:w="2948" w:type="dxa"/>
          </w:tcPr>
          <w:p>
            <w:pPr>
              <w:pStyle w:val="0"/>
            </w:pPr>
            <w:r>
              <w:rPr>
                <w:sz w:val="24"/>
              </w:rPr>
              <w:t xml:space="preserve">mem-int:ProchDPPoDogIsxPerPoOsnDogPolUplKrNerDPoDogIsxPerMember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Денежные потоки в части депо премий и депо убытков</w:t>
            </w:r>
          </w:p>
        </w:tc>
        <w:tc>
          <w:tcPr>
            <w:tcW w:w="2948" w:type="dxa"/>
          </w:tcPr>
          <w:p>
            <w:pPr>
              <w:pStyle w:val="0"/>
            </w:pPr>
            <w:r>
              <w:rPr>
                <w:sz w:val="24"/>
              </w:rPr>
              <w:t xml:space="preserve">mem-int:DenPotokiDepoPremijIDepoUbytkovMember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Денежные потоки по исполнению обязательств перестрахователя по уплате перестраховщику дополнительных платежей</w:t>
            </w:r>
          </w:p>
        </w:tc>
        <w:tc>
          <w:tcPr>
            <w:tcW w:w="2948" w:type="dxa"/>
          </w:tcPr>
          <w:p>
            <w:pPr>
              <w:pStyle w:val="0"/>
            </w:pPr>
            <w:r>
              <w:rPr>
                <w:sz w:val="24"/>
              </w:rPr>
              <w:t xml:space="preserve">mem-int:DPPoIspolnObyazPerPoUplatePerDopPlatejMember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Денежные потоки по возврату страховой премии (ее части) при досрочном прекращении договора исходящего перестрахования</w:t>
            </w:r>
          </w:p>
        </w:tc>
        <w:tc>
          <w:tcPr>
            <w:tcW w:w="2948" w:type="dxa"/>
          </w:tcPr>
          <w:p>
            <w:pPr>
              <w:pStyle w:val="0"/>
            </w:pPr>
            <w:r>
              <w:rPr>
                <w:sz w:val="24"/>
              </w:rPr>
              <w:t xml:space="preserve">mem-int:DPPoVozvratuStrPremiiPriDosrochPrekrashDogIsxPerMember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доле перестраховщиков в поступивших страховщику денежных средствах по суброгациям и регрессам</w:t>
            </w:r>
          </w:p>
        </w:tc>
        <w:tc>
          <w:tcPr>
            <w:tcW w:w="2948" w:type="dxa"/>
          </w:tcPr>
          <w:p>
            <w:pPr>
              <w:pStyle w:val="0"/>
            </w:pPr>
            <w:r>
              <w:rPr>
                <w:sz w:val="24"/>
              </w:rPr>
              <w:t xml:space="preserve">mem-int:NerDPPoDolePerPoSubrIRegrKrNerDPSrokPlatDoRasDatMember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Нереализованные денежные потоки по доле перестраховщиков в поступивших страховщику денежных средствах от реализации годных остатков</w:t>
            </w:r>
          </w:p>
        </w:tc>
        <w:tc>
          <w:tcPr>
            <w:tcW w:w="2948" w:type="dxa"/>
          </w:tcPr>
          <w:p>
            <w:pPr>
              <w:pStyle w:val="0"/>
            </w:pPr>
            <w:r>
              <w:rPr>
                <w:sz w:val="24"/>
              </w:rPr>
              <w:t xml:space="preserve">mem-int:NerDPPoDolPerVPostOtRealGOKrNerDPSrokPlatDoRasDatMember</w:t>
            </w:r>
          </w:p>
        </w:tc>
      </w:tr>
      <w:tr>
        <w:tc>
          <w:tcPr>
            <w:tcW w:w="907" w:type="dxa"/>
          </w:tcPr>
          <w:p>
            <w:pPr>
              <w:pStyle w:val="0"/>
            </w:pPr>
            <w:r>
              <w:rPr>
                <w:sz w:val="24"/>
              </w:rPr>
              <w:t xml:space="preserve">2</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2.14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2.15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2.16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2.17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mem-int:UchetGruppa_16Member</w:t>
            </w:r>
          </w:p>
        </w:tc>
      </w:tr>
      <w:tr>
        <w:tc>
          <w:tcPr>
            <w:tcW w:w="907" w:type="dxa"/>
          </w:tcPr>
          <w:p>
            <w:pPr>
              <w:pStyle w:val="0"/>
            </w:pPr>
            <w:r>
              <w:rPr>
                <w:sz w:val="24"/>
              </w:rPr>
              <w:t xml:space="preserve">2.18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2.19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2.20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4"/>
        <w:jc w:val="both"/>
      </w:pPr>
      <w:r>
        <w:rPr>
          <w:sz w:val="24"/>
        </w:rPr>
        <w:t xml:space="preserve">Подраздел 5.2.27. </w:t>
      </w:r>
      <w:hyperlink w:history="0" w:anchor="P31292" w:tooltip="Подраздел 2.27.">
        <w:r>
          <w:rPr>
            <w:sz w:val="24"/>
            <w:color w:val="0000ff"/>
          </w:rPr>
          <w:t xml:space="preserve">Подраздел 2.27</w:t>
        </w:r>
      </w:hyperlink>
      <w:r>
        <w:rPr>
          <w:sz w:val="24"/>
        </w:rPr>
        <w:t xml:space="preserve"> "Ретроспективный анализ достаточности оценки ожидаемой величины обязательств по резерву убытков (ДПУ) - брутто-перестрахование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bl>
    <w:p>
      <w:pPr>
        <w:pStyle w:val="0"/>
        <w:ind w:firstLine="540"/>
        <w:jc w:val="both"/>
      </w:pPr>
      <w:r>
        <w:rPr>
          <w:sz w:val="24"/>
        </w:rPr>
      </w:r>
    </w:p>
    <w:p>
      <w:pPr>
        <w:pStyle w:val="0"/>
        <w:outlineLvl w:val="4"/>
        <w:jc w:val="both"/>
      </w:pPr>
      <w:r>
        <w:rPr>
          <w:sz w:val="24"/>
        </w:rPr>
        <w:t xml:space="preserve">Подраздел 5.2.28. </w:t>
      </w:r>
      <w:hyperlink w:history="0" w:anchor="P31406" w:tooltip="Подраздел 2.28.">
        <w:r>
          <w:rPr>
            <w:sz w:val="24"/>
            <w:color w:val="0000ff"/>
          </w:rPr>
          <w:t xml:space="preserve">Подраздел 2.28</w:t>
        </w:r>
      </w:hyperlink>
      <w:r>
        <w:rPr>
          <w:sz w:val="24"/>
        </w:rPr>
        <w:t xml:space="preserve"> "Ретроспективный анализ достаточности оценки ожидаемой величины обязательств по резерву убытков (ДПУ) - нетто-перестрахование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bl>
    <w:p>
      <w:pPr>
        <w:pStyle w:val="0"/>
        <w:ind w:firstLine="540"/>
        <w:jc w:val="both"/>
      </w:pPr>
      <w:r>
        <w:rPr>
          <w:sz w:val="24"/>
        </w:rPr>
      </w:r>
    </w:p>
    <w:p>
      <w:pPr>
        <w:pStyle w:val="0"/>
        <w:outlineLvl w:val="4"/>
        <w:jc w:val="both"/>
      </w:pPr>
      <w:r>
        <w:rPr>
          <w:sz w:val="24"/>
        </w:rPr>
        <w:t xml:space="preserve">Подраздел 5.2.29. </w:t>
      </w:r>
      <w:hyperlink w:history="0" w:anchor="P31520" w:tooltip="Подраздел 2.29.">
        <w:r>
          <w:rPr>
            <w:sz w:val="24"/>
            <w:color w:val="0000ff"/>
          </w:rPr>
          <w:t xml:space="preserve">Подраздел 2.29</w:t>
        </w:r>
      </w:hyperlink>
      <w:r>
        <w:rPr>
          <w:sz w:val="24"/>
        </w:rPr>
        <w:t xml:space="preserve"> "Сумма выплат потерпевшим по их требованиям о прямом возмещении убытков (без учета дополнительного возмещения убытков потерпевшим) по учетной группе 3"</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bl>
    <w:p>
      <w:pPr>
        <w:pStyle w:val="0"/>
        <w:ind w:firstLine="540"/>
        <w:jc w:val="both"/>
      </w:pPr>
      <w:r>
        <w:rPr>
          <w:sz w:val="24"/>
        </w:rPr>
      </w:r>
    </w:p>
    <w:p>
      <w:pPr>
        <w:pStyle w:val="0"/>
        <w:outlineLvl w:val="4"/>
        <w:jc w:val="both"/>
      </w:pPr>
      <w:r>
        <w:rPr>
          <w:sz w:val="24"/>
        </w:rPr>
        <w:t xml:space="preserve">Подраздел 5.2.30. </w:t>
      </w:r>
      <w:hyperlink w:history="0" w:anchor="P31534" w:tooltip="Подраздел 2.30.">
        <w:r>
          <w:rPr>
            <w:sz w:val="24"/>
            <w:color w:val="0000ff"/>
          </w:rPr>
          <w:t xml:space="preserve">Подраздел 2.30</w:t>
        </w:r>
      </w:hyperlink>
      <w:r>
        <w:rPr>
          <w:sz w:val="24"/>
        </w:rPr>
        <w:t xml:space="preserve"> "Количество оплаченных требований потерпевших о прямом возмещении убытков (без учета дополнительного возмещения убытков потерпевшим) по учетной группе 3"</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bl>
    <w:p>
      <w:pPr>
        <w:pStyle w:val="0"/>
        <w:ind w:firstLine="540"/>
        <w:jc w:val="both"/>
      </w:pPr>
      <w:r>
        <w:rPr>
          <w:sz w:val="24"/>
        </w:rPr>
      </w:r>
    </w:p>
    <w:p>
      <w:pPr>
        <w:pStyle w:val="0"/>
        <w:outlineLvl w:val="4"/>
        <w:jc w:val="both"/>
      </w:pPr>
      <w:r>
        <w:rPr>
          <w:sz w:val="24"/>
        </w:rPr>
        <w:t xml:space="preserve">Подраздел 5.2.31. </w:t>
      </w:r>
      <w:hyperlink w:history="0" w:anchor="P31548" w:tooltip="Подраздел 2.31.">
        <w:r>
          <w:rPr>
            <w:sz w:val="24"/>
            <w:color w:val="0000ff"/>
          </w:rPr>
          <w:t xml:space="preserve">Подраздел 2.31</w:t>
        </w:r>
      </w:hyperlink>
      <w:r>
        <w:rPr>
          <w:sz w:val="24"/>
        </w:rPr>
        <w:t xml:space="preserve"> "Сумма выплат потерпевшим по их требованиям о прямом возмещении убытков (дополнительное возмещение убытков потерпевшим) по учетной группе 3"</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bl>
    <w:p>
      <w:pPr>
        <w:pStyle w:val="0"/>
        <w:ind w:firstLine="540"/>
        <w:jc w:val="both"/>
      </w:pPr>
      <w:r>
        <w:rPr>
          <w:sz w:val="24"/>
        </w:rPr>
      </w:r>
    </w:p>
    <w:p>
      <w:pPr>
        <w:pStyle w:val="0"/>
        <w:outlineLvl w:val="4"/>
        <w:jc w:val="both"/>
      </w:pPr>
      <w:r>
        <w:rPr>
          <w:sz w:val="24"/>
        </w:rPr>
        <w:t xml:space="preserve">Подраздел 5.2.32. </w:t>
      </w:r>
      <w:hyperlink w:history="0" w:anchor="P31562" w:tooltip="Подраздел 2.32.">
        <w:r>
          <w:rPr>
            <w:sz w:val="24"/>
            <w:color w:val="0000ff"/>
          </w:rPr>
          <w:t xml:space="preserve">Подраздел 2.32</w:t>
        </w:r>
      </w:hyperlink>
      <w:r>
        <w:rPr>
          <w:sz w:val="24"/>
        </w:rPr>
        <w:t xml:space="preserve"> "Количество оплаченных требований потерпевших о прямом возмещении убытков (дополнительное возмещение убытков потерпевшим) по учетной группе 3"</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bl>
    <w:p>
      <w:pPr>
        <w:pStyle w:val="0"/>
        <w:ind w:firstLine="540"/>
        <w:jc w:val="both"/>
      </w:pPr>
      <w:r>
        <w:rPr>
          <w:sz w:val="24"/>
        </w:rPr>
      </w:r>
    </w:p>
    <w:p>
      <w:pPr>
        <w:pStyle w:val="0"/>
        <w:outlineLvl w:val="4"/>
        <w:jc w:val="both"/>
      </w:pPr>
      <w:r>
        <w:rPr>
          <w:sz w:val="24"/>
        </w:rPr>
        <w:t xml:space="preserve">Подраздел 5.2.33. </w:t>
      </w:r>
      <w:hyperlink w:history="0" w:anchor="P31576" w:tooltip="Подраздел 2.33.">
        <w:r>
          <w:rPr>
            <w:sz w:val="24"/>
            <w:color w:val="0000ff"/>
          </w:rPr>
          <w:t xml:space="preserve">Подраздел 2.33</w:t>
        </w:r>
      </w:hyperlink>
      <w:r>
        <w:rPr>
          <w:sz w:val="24"/>
        </w:rPr>
        <w:t xml:space="preserve"> "Сумма поступивших денежных средств по требованиям об оплате возмещенного вреда по учетной группе 3"</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bl>
    <w:p>
      <w:pPr>
        <w:pStyle w:val="0"/>
        <w:ind w:firstLine="540"/>
        <w:jc w:val="both"/>
      </w:pPr>
      <w:r>
        <w:rPr>
          <w:sz w:val="24"/>
        </w:rPr>
      </w:r>
    </w:p>
    <w:p>
      <w:pPr>
        <w:pStyle w:val="0"/>
        <w:outlineLvl w:val="4"/>
        <w:jc w:val="both"/>
      </w:pPr>
      <w:r>
        <w:rPr>
          <w:sz w:val="24"/>
        </w:rPr>
        <w:t xml:space="preserve">Подраздел 5.2.34. </w:t>
      </w:r>
      <w:hyperlink w:history="0" w:anchor="P31590" w:tooltip="Подраздел 2.34.">
        <w:r>
          <w:rPr>
            <w:sz w:val="24"/>
            <w:color w:val="0000ff"/>
          </w:rPr>
          <w:t xml:space="preserve">Подраздел 2.34</w:t>
        </w:r>
      </w:hyperlink>
      <w:r>
        <w:rPr>
          <w:sz w:val="24"/>
        </w:rPr>
        <w:t xml:space="preserve"> "Количество требований об оплате возмещенного вреда, по которым поступили денежные средства, по учетной группе 3"</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bl>
    <w:p>
      <w:pPr>
        <w:pStyle w:val="0"/>
        <w:ind w:firstLine="540"/>
        <w:jc w:val="both"/>
      </w:pPr>
      <w:r>
        <w:rPr>
          <w:sz w:val="24"/>
        </w:rPr>
      </w:r>
    </w:p>
    <w:p>
      <w:pPr>
        <w:pStyle w:val="0"/>
        <w:outlineLvl w:val="4"/>
        <w:jc w:val="both"/>
      </w:pPr>
      <w:r>
        <w:rPr>
          <w:sz w:val="24"/>
        </w:rPr>
        <w:t xml:space="preserve">Подраздел 5.2.35. </w:t>
      </w:r>
      <w:hyperlink w:history="0" w:anchor="P31604" w:tooltip="Подраздел 2.35.">
        <w:r>
          <w:rPr>
            <w:sz w:val="24"/>
            <w:color w:val="0000ff"/>
          </w:rPr>
          <w:t xml:space="preserve">Подраздел 2.35</w:t>
        </w:r>
      </w:hyperlink>
      <w:r>
        <w:rPr>
          <w:sz w:val="24"/>
        </w:rPr>
        <w:t xml:space="preserve"> "Денежные потоки при оценке страховых резервов по учетной группе (дополнительной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dim-int:Perechcn_Uchet_Grupp_Axis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2"/>
        <w:jc w:val="both"/>
      </w:pPr>
      <w:r>
        <w:rPr>
          <w:sz w:val="24"/>
        </w:rPr>
        <w:t xml:space="preserve">Раздел 6. Отчетность по </w:t>
      </w:r>
      <w:hyperlink w:history="0" w:anchor="P31933" w:tooltip="Отчетность по форме 0420156">
        <w:r>
          <w:rPr>
            <w:sz w:val="24"/>
            <w:color w:val="0000ff"/>
          </w:rPr>
          <w:t xml:space="preserve">форме 0420156</w:t>
        </w:r>
      </w:hyperlink>
      <w:r>
        <w:rPr>
          <w:sz w:val="24"/>
        </w:rPr>
        <w:t xml:space="preserve"> "Отчет о платежеспособности страховщика"</w:t>
      </w:r>
    </w:p>
    <w:p>
      <w:pPr>
        <w:pStyle w:val="0"/>
        <w:ind w:firstLine="540"/>
        <w:jc w:val="both"/>
      </w:pPr>
      <w:r>
        <w:rPr>
          <w:sz w:val="24"/>
        </w:rPr>
      </w:r>
    </w:p>
    <w:p>
      <w:pPr>
        <w:pStyle w:val="0"/>
        <w:outlineLvl w:val="3"/>
        <w:jc w:val="both"/>
      </w:pPr>
      <w:r>
        <w:rPr>
          <w:sz w:val="24"/>
        </w:rPr>
        <w:t xml:space="preserve">Подраздел 6.1. </w:t>
      </w:r>
      <w:hyperlink w:history="0" w:anchor="P32060" w:tooltip="Подраздел 2.1.">
        <w:r>
          <w:rPr>
            <w:sz w:val="24"/>
            <w:color w:val="0000ff"/>
          </w:rPr>
          <w:t xml:space="preserve">Подраздел 2.1</w:t>
        </w:r>
      </w:hyperlink>
      <w:r>
        <w:rPr>
          <w:sz w:val="24"/>
        </w:rPr>
        <w:t xml:space="preserve"> "Расчет нормативного размера маржи платежеспособности по страхованию жизни"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3"/>
        <w:jc w:val="both"/>
      </w:pPr>
      <w:r>
        <w:rPr>
          <w:sz w:val="24"/>
        </w:rPr>
        <w:t xml:space="preserve">Подраздел 6.2. </w:t>
      </w:r>
      <w:hyperlink w:history="0" w:anchor="P32150" w:tooltip="Подраздел 2.2.">
        <w:r>
          <w:rPr>
            <w:sz w:val="24"/>
            <w:color w:val="0000ff"/>
          </w:rPr>
          <w:t xml:space="preserve">Подраздел 2.2</w:t>
        </w:r>
      </w:hyperlink>
      <w:r>
        <w:rPr>
          <w:sz w:val="24"/>
        </w:rPr>
        <w:t xml:space="preserve"> "Расчет нормативного размера маржи платежеспособности по страхованию иному, чем страхование жизни"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bl>
    <w:p>
      <w:pPr>
        <w:pStyle w:val="0"/>
        <w:ind w:firstLine="540"/>
        <w:jc w:val="both"/>
      </w:pPr>
      <w:r>
        <w:rPr>
          <w:sz w:val="24"/>
        </w:rPr>
      </w:r>
    </w:p>
    <w:p>
      <w:pPr>
        <w:pStyle w:val="0"/>
        <w:outlineLvl w:val="3"/>
        <w:jc w:val="both"/>
      </w:pPr>
      <w:r>
        <w:rPr>
          <w:sz w:val="24"/>
        </w:rPr>
        <w:t xml:space="preserve">Подраздел 6.3. </w:t>
      </w:r>
      <w:hyperlink w:history="0" w:anchor="P32328" w:tooltip="Раздел 3.">
        <w:r>
          <w:rPr>
            <w:sz w:val="24"/>
            <w:color w:val="0000ff"/>
          </w:rPr>
          <w:t xml:space="preserve">Раздел 3</w:t>
        </w:r>
      </w:hyperlink>
      <w:r>
        <w:rPr>
          <w:sz w:val="24"/>
        </w:rPr>
        <w:t xml:space="preserve"> "Оценка риска 2"</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категория</w:t>
            </w:r>
          </w:p>
        </w:tc>
        <w:tc>
          <w:tcPr>
            <w:tcW w:w="2948" w:type="dxa"/>
          </w:tcPr>
          <w:p>
            <w:pPr>
              <w:pStyle w:val="0"/>
            </w:pPr>
            <w:r>
              <w:rPr>
                <w:sz w:val="24"/>
              </w:rPr>
              <w:t xml:space="preserve">mem-int:Kategor1Member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4 категория</w:t>
            </w:r>
          </w:p>
        </w:tc>
        <w:tc>
          <w:tcPr>
            <w:tcW w:w="2948" w:type="dxa"/>
          </w:tcPr>
          <w:p>
            <w:pPr>
              <w:pStyle w:val="0"/>
            </w:pPr>
            <w:r>
              <w:rPr>
                <w:sz w:val="24"/>
              </w:rPr>
              <w:t xml:space="preserve">mem-int:Kategor4Member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5 категория</w:t>
            </w:r>
          </w:p>
        </w:tc>
        <w:tc>
          <w:tcPr>
            <w:tcW w:w="2948" w:type="dxa"/>
          </w:tcPr>
          <w:p>
            <w:pPr>
              <w:pStyle w:val="0"/>
            </w:pPr>
            <w:r>
              <w:rPr>
                <w:sz w:val="24"/>
              </w:rPr>
              <w:t xml:space="preserve">mem-int:Kategor5Member</w:t>
            </w:r>
          </w:p>
        </w:tc>
      </w:tr>
    </w:tbl>
    <w:p>
      <w:pPr>
        <w:pStyle w:val="0"/>
        <w:ind w:firstLine="540"/>
        <w:jc w:val="both"/>
      </w:pPr>
      <w:r>
        <w:rPr>
          <w:sz w:val="24"/>
        </w:rPr>
      </w:r>
    </w:p>
    <w:p>
      <w:pPr>
        <w:pStyle w:val="0"/>
        <w:outlineLvl w:val="4"/>
        <w:jc w:val="both"/>
      </w:pPr>
      <w:r>
        <w:rPr>
          <w:sz w:val="24"/>
        </w:rPr>
        <w:t xml:space="preserve">Подраздел 6.3.1. </w:t>
      </w:r>
      <w:hyperlink w:history="0" w:anchor="P32402" w:tooltip="Подраздел 3.1.">
        <w:r>
          <w:rPr>
            <w:sz w:val="24"/>
            <w:color w:val="0000ff"/>
          </w:rPr>
          <w:t xml:space="preserve">Подраздел 3.1</w:t>
        </w:r>
      </w:hyperlink>
      <w:r>
        <w:rPr>
          <w:sz w:val="24"/>
        </w:rPr>
        <w:t xml:space="preserve"> "Оценка риска 2, определенная по второй - пятой категориям контрагентов"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dim-int:KatKontrOczRisk2Axis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4 категория</w:t>
            </w:r>
          </w:p>
        </w:tc>
        <w:tc>
          <w:tcPr>
            <w:tcW w:w="2948" w:type="dxa"/>
          </w:tcPr>
          <w:p>
            <w:pPr>
              <w:pStyle w:val="0"/>
            </w:pPr>
            <w:r>
              <w:rPr>
                <w:sz w:val="24"/>
              </w:rPr>
              <w:t xml:space="preserve">mem-int:Kategor4Member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5 категория</w:t>
            </w:r>
          </w:p>
        </w:tc>
        <w:tc>
          <w:tcPr>
            <w:tcW w:w="2948" w:type="dxa"/>
          </w:tcPr>
          <w:p>
            <w:pPr>
              <w:pStyle w:val="0"/>
            </w:pPr>
            <w:r>
              <w:rPr>
                <w:sz w:val="24"/>
              </w:rPr>
              <w:t xml:space="preserve">mem-int:Kategor5Member</w:t>
            </w:r>
          </w:p>
        </w:tc>
      </w:tr>
    </w:tbl>
    <w:p>
      <w:pPr>
        <w:pStyle w:val="0"/>
        <w:ind w:firstLine="540"/>
        <w:jc w:val="both"/>
      </w:pPr>
      <w:r>
        <w:rPr>
          <w:sz w:val="24"/>
        </w:rPr>
      </w:r>
    </w:p>
    <w:p>
      <w:pPr>
        <w:pStyle w:val="0"/>
        <w:outlineLvl w:val="2"/>
        <w:jc w:val="both"/>
      </w:pPr>
      <w:r>
        <w:rPr>
          <w:sz w:val="24"/>
        </w:rPr>
        <w:t xml:space="preserve">Раздел 7. Отчетность по </w:t>
      </w:r>
      <w:hyperlink w:history="0" w:anchor="P32577" w:tooltip="Отчетность по форме 0420157">
        <w:r>
          <w:rPr>
            <w:sz w:val="24"/>
            <w:color w:val="0000ff"/>
          </w:rPr>
          <w:t xml:space="preserve">форме 0420157</w:t>
        </w:r>
      </w:hyperlink>
      <w:r>
        <w:rPr>
          <w:sz w:val="24"/>
        </w:rPr>
        <w:t xml:space="preserve"> "Отчет об операциях перестрахования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Территориальный признак</w:t>
            </w:r>
          </w:p>
        </w:tc>
        <w:tc>
          <w:tcPr>
            <w:tcW w:w="2608" w:type="dxa"/>
          </w:tcPr>
          <w:p>
            <w:pPr>
              <w:pStyle w:val="0"/>
            </w:pPr>
            <w:r>
              <w:rPr>
                <w:sz w:val="24"/>
              </w:rPr>
            </w:r>
          </w:p>
        </w:tc>
        <w:tc>
          <w:tcPr>
            <w:tcW w:w="2948" w:type="dxa"/>
          </w:tcPr>
          <w:p>
            <w:pPr>
              <w:pStyle w:val="0"/>
            </w:pPr>
            <w:r>
              <w:rPr>
                <w:sz w:val="24"/>
              </w:rPr>
              <w:t xml:space="preserve">dim-int:Terr_Priznak_Axis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На территории Российской Федерации</w:t>
            </w:r>
          </w:p>
        </w:tc>
        <w:tc>
          <w:tcPr>
            <w:tcW w:w="2948" w:type="dxa"/>
          </w:tcPr>
          <w:p>
            <w:pPr>
              <w:pStyle w:val="0"/>
            </w:pPr>
            <w:r>
              <w:rPr>
                <w:sz w:val="24"/>
              </w:rPr>
              <w:t xml:space="preserve">mem-int:Terr_Rf_Member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За пределами территории Российской Федерации</w:t>
            </w:r>
          </w:p>
        </w:tc>
        <w:tc>
          <w:tcPr>
            <w:tcW w:w="2948" w:type="dxa"/>
          </w:tcPr>
          <w:p>
            <w:pPr>
              <w:pStyle w:val="0"/>
            </w:pPr>
            <w:r>
              <w:rPr>
                <w:sz w:val="24"/>
              </w:rPr>
              <w:t xml:space="preserve">mem-int:Za_Predelami_Rf_Member</w:t>
            </w:r>
          </w:p>
        </w:tc>
      </w:tr>
      <w:tr>
        <w:tc>
          <w:tcPr>
            <w:tcW w:w="907" w:type="dxa"/>
          </w:tcPr>
          <w:p>
            <w:pPr>
              <w:pStyle w:val="0"/>
            </w:pPr>
            <w:r>
              <w:rPr>
                <w:sz w:val="24"/>
              </w:rPr>
              <w:t xml:space="preserve">2</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2.14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2.15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2.16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2.17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2.18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2.19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2.20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r>
        <w:tc>
          <w:tcPr>
            <w:tcW w:w="907" w:type="dxa"/>
          </w:tcPr>
          <w:p>
            <w:pPr>
              <w:pStyle w:val="0"/>
            </w:pPr>
            <w:r>
              <w:rPr>
                <w:sz w:val="24"/>
              </w:rPr>
              <w:t xml:space="preserve">3</w:t>
            </w:r>
          </w:p>
        </w:tc>
        <w:tc>
          <w:tcPr>
            <w:tcW w:w="2608" w:type="dxa"/>
          </w:tcPr>
          <w:p>
            <w:pPr>
              <w:pStyle w:val="0"/>
            </w:pPr>
            <w:r>
              <w:rPr>
                <w:sz w:val="24"/>
              </w:rPr>
              <w:t xml:space="preserve">Формы перестрахования</w:t>
            </w:r>
          </w:p>
        </w:tc>
        <w:tc>
          <w:tcPr>
            <w:tcW w:w="2608" w:type="dxa"/>
          </w:tcPr>
          <w:p>
            <w:pPr>
              <w:pStyle w:val="0"/>
            </w:pPr>
            <w:r>
              <w:rPr>
                <w:sz w:val="24"/>
              </w:rPr>
            </w:r>
          </w:p>
        </w:tc>
        <w:tc>
          <w:tcPr>
            <w:tcW w:w="2948" w:type="dxa"/>
          </w:tcPr>
          <w:p>
            <w:pPr>
              <w:pStyle w:val="0"/>
            </w:pPr>
            <w:r>
              <w:rPr>
                <w:sz w:val="24"/>
              </w:rPr>
              <w:t xml:space="preserve">dim-int:Formy_Perestrax_Axis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Факультативное</w:t>
            </w:r>
          </w:p>
        </w:tc>
        <w:tc>
          <w:tcPr>
            <w:tcW w:w="2948" w:type="dxa"/>
          </w:tcPr>
          <w:p>
            <w:pPr>
              <w:pStyle w:val="0"/>
            </w:pPr>
            <w:r>
              <w:rPr>
                <w:sz w:val="24"/>
              </w:rPr>
              <w:t xml:space="preserve">mem-int:Fakultativnoe_Member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Облигаторное</w:t>
            </w:r>
          </w:p>
        </w:tc>
        <w:tc>
          <w:tcPr>
            <w:tcW w:w="2948" w:type="dxa"/>
          </w:tcPr>
          <w:p>
            <w:pPr>
              <w:pStyle w:val="0"/>
            </w:pPr>
            <w:r>
              <w:rPr>
                <w:sz w:val="24"/>
              </w:rPr>
              <w:t xml:space="preserve">mem-int:Obligatornoe_Member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Факультативно-облигаторное</w:t>
            </w:r>
          </w:p>
        </w:tc>
        <w:tc>
          <w:tcPr>
            <w:tcW w:w="2948" w:type="dxa"/>
          </w:tcPr>
          <w:p>
            <w:pPr>
              <w:pStyle w:val="0"/>
            </w:pPr>
            <w:r>
              <w:rPr>
                <w:sz w:val="24"/>
              </w:rPr>
              <w:t xml:space="preserve">mem-int:Fak_Oblig_Member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Облигаторно-факультативное</w:t>
            </w:r>
          </w:p>
        </w:tc>
        <w:tc>
          <w:tcPr>
            <w:tcW w:w="2948" w:type="dxa"/>
          </w:tcPr>
          <w:p>
            <w:pPr>
              <w:pStyle w:val="0"/>
            </w:pPr>
            <w:r>
              <w:rPr>
                <w:sz w:val="24"/>
              </w:rPr>
              <w:t xml:space="preserve">mem-int:Oblig_Fak_Member</w:t>
            </w:r>
          </w:p>
        </w:tc>
      </w:tr>
    </w:tbl>
    <w:p>
      <w:pPr>
        <w:pStyle w:val="0"/>
        <w:ind w:firstLine="540"/>
        <w:jc w:val="both"/>
      </w:pPr>
      <w:r>
        <w:rPr>
          <w:sz w:val="24"/>
        </w:rPr>
      </w:r>
    </w:p>
    <w:p>
      <w:pPr>
        <w:pStyle w:val="0"/>
        <w:outlineLvl w:val="2"/>
        <w:jc w:val="both"/>
      </w:pPr>
      <w:r>
        <w:rPr>
          <w:sz w:val="24"/>
        </w:rPr>
        <w:t xml:space="preserve">Раздел 8. Отчетность по </w:t>
      </w:r>
      <w:hyperlink w:history="0" w:anchor="P32937" w:tooltip="Отчетность по форме 0420158">
        <w:r>
          <w:rPr>
            <w:sz w:val="24"/>
            <w:color w:val="0000ff"/>
          </w:rPr>
          <w:t xml:space="preserve">форме 0420158</w:t>
        </w:r>
      </w:hyperlink>
      <w:r>
        <w:rPr>
          <w:sz w:val="24"/>
        </w:rPr>
        <w:t xml:space="preserve"> "Отчет о структуре финансового результата страховщика"</w:t>
      </w:r>
    </w:p>
    <w:p>
      <w:pPr>
        <w:pStyle w:val="0"/>
        <w:ind w:firstLine="540"/>
        <w:jc w:val="both"/>
      </w:pPr>
      <w:r>
        <w:rPr>
          <w:sz w:val="24"/>
        </w:rPr>
      </w:r>
    </w:p>
    <w:p>
      <w:pPr>
        <w:pStyle w:val="0"/>
        <w:outlineLvl w:val="3"/>
        <w:jc w:val="both"/>
      </w:pPr>
      <w:r>
        <w:rPr>
          <w:sz w:val="24"/>
        </w:rPr>
        <w:t xml:space="preserve">Подраздел 8.1. </w:t>
      </w:r>
      <w:hyperlink w:history="0" w:anchor="P32952" w:tooltip="Раздел 1.">
        <w:r>
          <w:rPr>
            <w:sz w:val="24"/>
            <w:color w:val="0000ff"/>
          </w:rPr>
          <w:t xml:space="preserve">Раздел 1</w:t>
        </w:r>
      </w:hyperlink>
      <w:r>
        <w:rPr>
          <w:sz w:val="24"/>
        </w:rPr>
        <w:t xml:space="preserve"> "Структура финансового результата по группам видов страхования"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Группы договоров</w:t>
            </w:r>
          </w:p>
        </w:tc>
        <w:tc>
          <w:tcPr>
            <w:tcW w:w="2608" w:type="dxa"/>
          </w:tcPr>
          <w:p>
            <w:pPr>
              <w:pStyle w:val="0"/>
            </w:pPr>
            <w:r>
              <w:rPr>
                <w:sz w:val="24"/>
              </w:rPr>
            </w:r>
          </w:p>
        </w:tc>
        <w:tc>
          <w:tcPr>
            <w:tcW w:w="2948" w:type="dxa"/>
          </w:tcPr>
          <w:p>
            <w:pPr>
              <w:pStyle w:val="0"/>
            </w:pPr>
            <w:r>
              <w:rPr>
                <w:sz w:val="24"/>
              </w:rPr>
              <w:t xml:space="preserve">dim-int:GrDogAxis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Группы договоров страхования и выпущенных (принятых) договоров перестрахования</w:t>
            </w:r>
          </w:p>
        </w:tc>
        <w:tc>
          <w:tcPr>
            <w:tcW w:w="2948" w:type="dxa"/>
          </w:tcPr>
          <w:p>
            <w:pPr>
              <w:pStyle w:val="0"/>
            </w:pPr>
            <w:r>
              <w:rPr>
                <w:sz w:val="24"/>
              </w:rPr>
              <w:t xml:space="preserve">mem-int:ItogoGrDogStrVypPrinDogPerMember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Группы удерживаемых (переданных) договоров перестрахования</w:t>
            </w:r>
          </w:p>
        </w:tc>
        <w:tc>
          <w:tcPr>
            <w:tcW w:w="2948" w:type="dxa"/>
          </w:tcPr>
          <w:p>
            <w:pPr>
              <w:pStyle w:val="0"/>
            </w:pPr>
            <w:r>
              <w:rPr>
                <w:sz w:val="24"/>
              </w:rPr>
              <w:t xml:space="preserve">mem-int:ItogoGrUdPerDogPerMember</w:t>
            </w:r>
          </w:p>
        </w:tc>
      </w:tr>
      <w:tr>
        <w:tc>
          <w:tcPr>
            <w:tcW w:w="907" w:type="dxa"/>
          </w:tcPr>
          <w:p>
            <w:pPr>
              <w:pStyle w:val="0"/>
            </w:pPr>
            <w:r>
              <w:rPr>
                <w:sz w:val="24"/>
              </w:rPr>
              <w:t xml:space="preserve">2</w:t>
            </w:r>
          </w:p>
        </w:tc>
        <w:tc>
          <w:tcPr>
            <w:tcW w:w="2608" w:type="dxa"/>
          </w:tcPr>
          <w:p>
            <w:pPr>
              <w:pStyle w:val="0"/>
            </w:pPr>
            <w:r>
              <w:rPr>
                <w:sz w:val="24"/>
              </w:rPr>
              <w:t xml:space="preserve">Группы видов страхования</w:t>
            </w:r>
          </w:p>
        </w:tc>
        <w:tc>
          <w:tcPr>
            <w:tcW w:w="2608" w:type="dxa"/>
          </w:tcPr>
          <w:p>
            <w:pPr>
              <w:pStyle w:val="0"/>
            </w:pPr>
            <w:r>
              <w:rPr>
                <w:sz w:val="24"/>
              </w:rPr>
            </w:r>
          </w:p>
        </w:tc>
        <w:tc>
          <w:tcPr>
            <w:tcW w:w="2948" w:type="dxa"/>
          </w:tcPr>
          <w:p>
            <w:pPr>
              <w:pStyle w:val="0"/>
            </w:pPr>
            <w:r>
              <w:rPr>
                <w:sz w:val="24"/>
              </w:rPr>
              <w:t xml:space="preserve">dim-int:PoLiniyamBiznesaAxis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Всего по группам видов страхования</w:t>
            </w:r>
          </w:p>
        </w:tc>
        <w:tc>
          <w:tcPr>
            <w:tcW w:w="2948" w:type="dxa"/>
          </w:tcPr>
          <w:p>
            <w:pPr>
              <w:pStyle w:val="0"/>
            </w:pPr>
            <w:r>
              <w:rPr>
                <w:sz w:val="24"/>
              </w:rPr>
              <w:t xml:space="preserve">mem-int:VsegoPoLiniyamBiznesaMember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mem-int:ObzStrGrOtvVITranspSrMember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Автострахование, включая страхование от несчастных случаев и болезней на транспорте</w:t>
            </w:r>
          </w:p>
        </w:tc>
        <w:tc>
          <w:tcPr>
            <w:tcW w:w="2948" w:type="dxa"/>
          </w:tcPr>
          <w:p>
            <w:pPr>
              <w:pStyle w:val="0"/>
            </w:pPr>
            <w:r>
              <w:rPr>
                <w:sz w:val="24"/>
              </w:rPr>
              <w:t xml:space="preserve">mem-int:AvtostrKaskoDsagoNSTranspMember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Страхование от несчастных случаев и болезней лиц, выезжающих за пределы постоянного места жительства, и медицинское страхование</w:t>
            </w:r>
          </w:p>
        </w:tc>
        <w:tc>
          <w:tcPr>
            <w:tcW w:w="2948" w:type="dxa"/>
          </w:tcPr>
          <w:p>
            <w:pPr>
              <w:pStyle w:val="0"/>
            </w:pPr>
            <w:r>
              <w:rPr>
                <w:sz w:val="24"/>
              </w:rPr>
              <w:t xml:space="preserve">mem-int:MediczinaDMSVZRMember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Страхование от несчастных случаев и болезней (кроме страхования от несчастных случаев и болезней, включенного в другие группы видов страхования)</w:t>
            </w:r>
          </w:p>
        </w:tc>
        <w:tc>
          <w:tcPr>
            <w:tcW w:w="2948" w:type="dxa"/>
          </w:tcPr>
          <w:p>
            <w:pPr>
              <w:pStyle w:val="0"/>
            </w:pPr>
            <w:r>
              <w:rPr>
                <w:sz w:val="24"/>
              </w:rPr>
              <w:t xml:space="preserve">mem-int:NSKrVkhodInGrMember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Корпоративное страхование (имущество, ответственность, предпринимательские и финансовые риски)</w:t>
            </w:r>
          </w:p>
        </w:tc>
        <w:tc>
          <w:tcPr>
            <w:tcW w:w="2948" w:type="dxa"/>
          </w:tcPr>
          <w:p>
            <w:pPr>
              <w:pStyle w:val="0"/>
            </w:pPr>
            <w:r>
              <w:rPr>
                <w:sz w:val="24"/>
              </w:rPr>
              <w:t xml:space="preserve">mem-int:KorpStrImOtvFinMember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Розничное страхование (имущество, ответственность)</w:t>
            </w:r>
          </w:p>
        </w:tc>
        <w:tc>
          <w:tcPr>
            <w:tcW w:w="2948" w:type="dxa"/>
          </w:tcPr>
          <w:p>
            <w:pPr>
              <w:pStyle w:val="0"/>
            </w:pPr>
            <w:r>
              <w:rPr>
                <w:sz w:val="24"/>
              </w:rPr>
              <w:t xml:space="preserve">mem-int:RoznStrImOtvMember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Ипотечное страхование</w:t>
            </w:r>
          </w:p>
        </w:tc>
        <w:tc>
          <w:tcPr>
            <w:tcW w:w="2948" w:type="dxa"/>
          </w:tcPr>
          <w:p>
            <w:pPr>
              <w:pStyle w:val="0"/>
            </w:pPr>
            <w:r>
              <w:rPr>
                <w:sz w:val="24"/>
              </w:rPr>
              <w:t xml:space="preserve">mem-int:IpotStrMember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Прочее кредитное страхование</w:t>
            </w:r>
          </w:p>
        </w:tc>
        <w:tc>
          <w:tcPr>
            <w:tcW w:w="2948" w:type="dxa"/>
          </w:tcPr>
          <w:p>
            <w:pPr>
              <w:pStyle w:val="0"/>
            </w:pPr>
            <w:r>
              <w:rPr>
                <w:sz w:val="24"/>
              </w:rPr>
              <w:t xml:space="preserve">mem-int:ProchKredStrMember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Инвестиционное страхование жизни</w:t>
            </w:r>
          </w:p>
        </w:tc>
        <w:tc>
          <w:tcPr>
            <w:tcW w:w="2948" w:type="dxa"/>
          </w:tcPr>
          <w:p>
            <w:pPr>
              <w:pStyle w:val="0"/>
            </w:pPr>
            <w:r>
              <w:rPr>
                <w:sz w:val="24"/>
              </w:rPr>
              <w:t xml:space="preserve">mem-int:InvStrZhMember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Накопительное страхование жизни</w:t>
            </w:r>
          </w:p>
        </w:tc>
        <w:tc>
          <w:tcPr>
            <w:tcW w:w="2948" w:type="dxa"/>
          </w:tcPr>
          <w:p>
            <w:pPr>
              <w:pStyle w:val="0"/>
            </w:pPr>
            <w:r>
              <w:rPr>
                <w:sz w:val="24"/>
              </w:rPr>
              <w:t xml:space="preserve">mem-int:NakopStrZhMember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Пенсионное страхование</w:t>
            </w:r>
          </w:p>
        </w:tc>
        <w:tc>
          <w:tcPr>
            <w:tcW w:w="2948" w:type="dxa"/>
          </w:tcPr>
          <w:p>
            <w:pPr>
              <w:pStyle w:val="0"/>
            </w:pPr>
            <w:r>
              <w:rPr>
                <w:sz w:val="24"/>
              </w:rPr>
              <w:t xml:space="preserve">mem-int:PensStrMember</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Прочее страхование жизни</w:t>
            </w:r>
          </w:p>
        </w:tc>
        <w:tc>
          <w:tcPr>
            <w:tcW w:w="2948" w:type="dxa"/>
          </w:tcPr>
          <w:p>
            <w:pPr>
              <w:pStyle w:val="0"/>
            </w:pPr>
            <w:r>
              <w:rPr>
                <w:sz w:val="24"/>
              </w:rPr>
              <w:t xml:space="preserve">mem-int:ProchStrZhMember</w:t>
            </w:r>
          </w:p>
        </w:tc>
      </w:tr>
    </w:tbl>
    <w:p>
      <w:pPr>
        <w:pStyle w:val="0"/>
        <w:ind w:firstLine="540"/>
        <w:jc w:val="both"/>
      </w:pPr>
      <w:r>
        <w:rPr>
          <w:sz w:val="24"/>
        </w:rPr>
      </w:r>
    </w:p>
    <w:p>
      <w:pPr>
        <w:pStyle w:val="0"/>
        <w:outlineLvl w:val="3"/>
        <w:jc w:val="both"/>
      </w:pPr>
      <w:r>
        <w:rPr>
          <w:sz w:val="24"/>
        </w:rPr>
        <w:t xml:space="preserve">Подраздел 8.2. </w:t>
      </w:r>
      <w:hyperlink w:history="0" w:anchor="P33222" w:tooltip="Раздел 2.">
        <w:r>
          <w:rPr>
            <w:sz w:val="24"/>
            <w:color w:val="0000ff"/>
          </w:rPr>
          <w:t xml:space="preserve">Раздел 2</w:t>
        </w:r>
      </w:hyperlink>
      <w:r>
        <w:rPr>
          <w:sz w:val="24"/>
        </w:rPr>
        <w:t xml:space="preserve"> "Структура финансового результата по портфелям договоров"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Группы договоров</w:t>
            </w:r>
          </w:p>
        </w:tc>
        <w:tc>
          <w:tcPr>
            <w:tcW w:w="2608" w:type="dxa"/>
          </w:tcPr>
          <w:p>
            <w:pPr>
              <w:pStyle w:val="0"/>
            </w:pPr>
            <w:r>
              <w:rPr>
                <w:sz w:val="24"/>
              </w:rPr>
            </w:r>
          </w:p>
        </w:tc>
        <w:tc>
          <w:tcPr>
            <w:tcW w:w="2948" w:type="dxa"/>
          </w:tcPr>
          <w:p>
            <w:pPr>
              <w:pStyle w:val="0"/>
            </w:pPr>
            <w:r>
              <w:rPr>
                <w:sz w:val="24"/>
              </w:rPr>
              <w:t xml:space="preserve">dim-int:GrDogAxis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Группы договоров страхования и выпущенных (принятых) договоров перестрахования</w:t>
            </w:r>
          </w:p>
        </w:tc>
        <w:tc>
          <w:tcPr>
            <w:tcW w:w="2948" w:type="dxa"/>
          </w:tcPr>
          <w:p>
            <w:pPr>
              <w:pStyle w:val="0"/>
            </w:pPr>
            <w:r>
              <w:rPr>
                <w:sz w:val="24"/>
              </w:rPr>
              <w:t xml:space="preserve">mem-int:ItogoGrDogStrVypPrinDogPerMember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Группы удерживаемых (переданных) договоров перестрахования</w:t>
            </w:r>
          </w:p>
        </w:tc>
        <w:tc>
          <w:tcPr>
            <w:tcW w:w="2948" w:type="dxa"/>
          </w:tcPr>
          <w:p>
            <w:pPr>
              <w:pStyle w:val="0"/>
            </w:pPr>
            <w:r>
              <w:rPr>
                <w:sz w:val="24"/>
              </w:rPr>
              <w:t xml:space="preserve">mem-int:ItogoGrUdPerDogPerMember</w:t>
            </w:r>
          </w:p>
        </w:tc>
      </w:tr>
      <w:tr>
        <w:tc>
          <w:tcPr>
            <w:tcW w:w="907" w:type="dxa"/>
          </w:tcPr>
          <w:p>
            <w:pPr>
              <w:pStyle w:val="0"/>
            </w:pPr>
            <w:r>
              <w:rPr>
                <w:sz w:val="24"/>
              </w:rPr>
              <w:t xml:space="preserve">2</w:t>
            </w:r>
          </w:p>
        </w:tc>
        <w:tc>
          <w:tcPr>
            <w:tcW w:w="2608" w:type="dxa"/>
          </w:tcPr>
          <w:p>
            <w:pPr>
              <w:pStyle w:val="0"/>
            </w:pPr>
            <w:r>
              <w:rPr>
                <w:sz w:val="24"/>
              </w:rPr>
              <w:t xml:space="preserve">Группы видов страхования</w:t>
            </w:r>
          </w:p>
        </w:tc>
        <w:tc>
          <w:tcPr>
            <w:tcW w:w="2608" w:type="dxa"/>
          </w:tcPr>
          <w:p>
            <w:pPr>
              <w:pStyle w:val="0"/>
            </w:pPr>
            <w:r>
              <w:rPr>
                <w:sz w:val="24"/>
              </w:rPr>
            </w:r>
          </w:p>
        </w:tc>
        <w:tc>
          <w:tcPr>
            <w:tcW w:w="2948" w:type="dxa"/>
          </w:tcPr>
          <w:p>
            <w:pPr>
              <w:pStyle w:val="0"/>
            </w:pPr>
            <w:r>
              <w:rPr>
                <w:sz w:val="24"/>
              </w:rPr>
              <w:t xml:space="preserve">dim-int:PoLiniyamBiznesaAxis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Всего по группам видов страхования</w:t>
            </w:r>
          </w:p>
        </w:tc>
        <w:tc>
          <w:tcPr>
            <w:tcW w:w="2948" w:type="dxa"/>
          </w:tcPr>
          <w:p>
            <w:pPr>
              <w:pStyle w:val="0"/>
            </w:pPr>
            <w:r>
              <w:rPr>
                <w:sz w:val="24"/>
              </w:rPr>
              <w:t xml:space="preserve">mem-int:VsegoPoLiniyamBiznesaMember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mem-int:ObzStrGrOtvVlTranspSrMember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Автострахование, включая страхование от несчастных случаев и болезней на транспорте</w:t>
            </w:r>
          </w:p>
        </w:tc>
        <w:tc>
          <w:tcPr>
            <w:tcW w:w="2948" w:type="dxa"/>
          </w:tcPr>
          <w:p>
            <w:pPr>
              <w:pStyle w:val="0"/>
            </w:pPr>
            <w:r>
              <w:rPr>
                <w:sz w:val="24"/>
              </w:rPr>
              <w:t xml:space="preserve">mem-int:AvtostrKaskoDsagoNSTranspMember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Страхование от несчастных случаев и болезней лиц, выезжающих за пределы постоянного места жительства, и медицинское страхование</w:t>
            </w:r>
          </w:p>
        </w:tc>
        <w:tc>
          <w:tcPr>
            <w:tcW w:w="2948" w:type="dxa"/>
          </w:tcPr>
          <w:p>
            <w:pPr>
              <w:pStyle w:val="0"/>
            </w:pPr>
            <w:r>
              <w:rPr>
                <w:sz w:val="24"/>
              </w:rPr>
              <w:t xml:space="preserve">mem-int:MediczinaDMSVZRMember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Страхование от несчастных случаев и болезней (кроме страхования от несчастных случаев и болезней, включенного в другие группы видов страхования)</w:t>
            </w:r>
          </w:p>
        </w:tc>
        <w:tc>
          <w:tcPr>
            <w:tcW w:w="2948" w:type="dxa"/>
          </w:tcPr>
          <w:p>
            <w:pPr>
              <w:pStyle w:val="0"/>
            </w:pPr>
            <w:r>
              <w:rPr>
                <w:sz w:val="24"/>
              </w:rPr>
              <w:t xml:space="preserve">mem-int:NSKrVkhodInGrMember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Корпоративное страхование (имущество, ответственность, предпринимательские и финансовые риски)</w:t>
            </w:r>
          </w:p>
        </w:tc>
        <w:tc>
          <w:tcPr>
            <w:tcW w:w="2948" w:type="dxa"/>
          </w:tcPr>
          <w:p>
            <w:pPr>
              <w:pStyle w:val="0"/>
            </w:pPr>
            <w:r>
              <w:rPr>
                <w:sz w:val="24"/>
              </w:rPr>
              <w:t xml:space="preserve">mem-int:KorpStrImOtvFinMember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Розничное страхование (имущество, ответственность)</w:t>
            </w:r>
          </w:p>
        </w:tc>
        <w:tc>
          <w:tcPr>
            <w:tcW w:w="2948" w:type="dxa"/>
          </w:tcPr>
          <w:p>
            <w:pPr>
              <w:pStyle w:val="0"/>
            </w:pPr>
            <w:r>
              <w:rPr>
                <w:sz w:val="24"/>
              </w:rPr>
              <w:t xml:space="preserve">mem-int:RoznStrlmOtvMember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Ипотечное страхование</w:t>
            </w:r>
          </w:p>
        </w:tc>
        <w:tc>
          <w:tcPr>
            <w:tcW w:w="2948" w:type="dxa"/>
          </w:tcPr>
          <w:p>
            <w:pPr>
              <w:pStyle w:val="0"/>
            </w:pPr>
            <w:r>
              <w:rPr>
                <w:sz w:val="24"/>
              </w:rPr>
              <w:t xml:space="preserve">mem-int:IpotStrMember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Прочее кредитное страхование</w:t>
            </w:r>
          </w:p>
        </w:tc>
        <w:tc>
          <w:tcPr>
            <w:tcW w:w="2948" w:type="dxa"/>
          </w:tcPr>
          <w:p>
            <w:pPr>
              <w:pStyle w:val="0"/>
            </w:pPr>
            <w:r>
              <w:rPr>
                <w:sz w:val="24"/>
              </w:rPr>
              <w:t xml:space="preserve">mem-int:ProchKredStrMember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Инвестиционное страхование жизни</w:t>
            </w:r>
          </w:p>
        </w:tc>
        <w:tc>
          <w:tcPr>
            <w:tcW w:w="2948" w:type="dxa"/>
          </w:tcPr>
          <w:p>
            <w:pPr>
              <w:pStyle w:val="0"/>
            </w:pPr>
            <w:r>
              <w:rPr>
                <w:sz w:val="24"/>
              </w:rPr>
              <w:t xml:space="preserve">mem-int:InvStrZhMember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Накопительное страхование жизни</w:t>
            </w:r>
          </w:p>
        </w:tc>
        <w:tc>
          <w:tcPr>
            <w:tcW w:w="2948" w:type="dxa"/>
          </w:tcPr>
          <w:p>
            <w:pPr>
              <w:pStyle w:val="0"/>
            </w:pPr>
            <w:r>
              <w:rPr>
                <w:sz w:val="24"/>
              </w:rPr>
              <w:t xml:space="preserve">mem-int:NakopStrZhMember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Пенсионное страхование</w:t>
            </w:r>
          </w:p>
        </w:tc>
        <w:tc>
          <w:tcPr>
            <w:tcW w:w="2948" w:type="dxa"/>
          </w:tcPr>
          <w:p>
            <w:pPr>
              <w:pStyle w:val="0"/>
            </w:pPr>
            <w:r>
              <w:rPr>
                <w:sz w:val="24"/>
              </w:rPr>
              <w:t xml:space="preserve">mem-int:PensStrMember</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Прочее страхование жизни</w:t>
            </w:r>
          </w:p>
        </w:tc>
        <w:tc>
          <w:tcPr>
            <w:tcW w:w="2948" w:type="dxa"/>
          </w:tcPr>
          <w:p>
            <w:pPr>
              <w:pStyle w:val="0"/>
            </w:pPr>
            <w:r>
              <w:rPr>
                <w:sz w:val="24"/>
              </w:rPr>
              <w:t xml:space="preserve">mem-int:ProchStrZhMember</w:t>
            </w:r>
          </w:p>
        </w:tc>
      </w:tr>
    </w:tbl>
    <w:p>
      <w:pPr>
        <w:pStyle w:val="0"/>
        <w:ind w:firstLine="540"/>
        <w:jc w:val="both"/>
      </w:pPr>
      <w:r>
        <w:rPr>
          <w:sz w:val="24"/>
        </w:rPr>
      </w:r>
    </w:p>
    <w:p>
      <w:pPr>
        <w:pStyle w:val="0"/>
        <w:outlineLvl w:val="3"/>
        <w:jc w:val="both"/>
      </w:pPr>
      <w:r>
        <w:rPr>
          <w:sz w:val="24"/>
        </w:rPr>
        <w:t xml:space="preserve">Подраздел 8.3. </w:t>
      </w:r>
      <w:hyperlink w:history="0" w:anchor="P33608" w:tooltip="Раздел 3.">
        <w:r>
          <w:rPr>
            <w:sz w:val="24"/>
            <w:color w:val="0000ff"/>
          </w:rPr>
          <w:t xml:space="preserve">Раздел 3</w:t>
        </w:r>
      </w:hyperlink>
      <w:r>
        <w:rPr>
          <w:sz w:val="24"/>
        </w:rPr>
        <w:t xml:space="preserve"> "Структура финансового результата по страхованию жизни по учетным группам"</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Виды выплат</w:t>
            </w:r>
          </w:p>
        </w:tc>
        <w:tc>
          <w:tcPr>
            <w:tcW w:w="2608" w:type="dxa"/>
          </w:tcPr>
          <w:p>
            <w:pPr>
              <w:pStyle w:val="0"/>
            </w:pPr>
            <w:r>
              <w:rPr>
                <w:sz w:val="24"/>
              </w:rPr>
            </w:r>
          </w:p>
        </w:tc>
        <w:tc>
          <w:tcPr>
            <w:tcW w:w="2948" w:type="dxa"/>
          </w:tcPr>
          <w:p>
            <w:pPr>
              <w:pStyle w:val="0"/>
            </w:pPr>
            <w:r>
              <w:rPr>
                <w:sz w:val="24"/>
              </w:rPr>
              <w:t xml:space="preserve">dim-int:Vidy_Vypl_Axis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Выплаты по риску смерти</w:t>
            </w:r>
          </w:p>
        </w:tc>
        <w:tc>
          <w:tcPr>
            <w:tcW w:w="2948" w:type="dxa"/>
          </w:tcPr>
          <w:p>
            <w:pPr>
              <w:pStyle w:val="0"/>
            </w:pPr>
            <w:r>
              <w:rPr>
                <w:sz w:val="24"/>
              </w:rPr>
              <w:t xml:space="preserve">mem-int:Risk_Smerti_Member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Выплаты по риску дожития до определенного возраста или срока</w:t>
            </w:r>
          </w:p>
        </w:tc>
        <w:tc>
          <w:tcPr>
            <w:tcW w:w="2948" w:type="dxa"/>
          </w:tcPr>
          <w:p>
            <w:pPr>
              <w:pStyle w:val="0"/>
            </w:pPr>
            <w:r>
              <w:rPr>
                <w:sz w:val="24"/>
              </w:rPr>
              <w:t xml:space="preserve">mem-int:Risk_Dozhitiya_Member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Выплаты по риску утраты трудоспособности (инвалидности)</w:t>
            </w:r>
          </w:p>
        </w:tc>
        <w:tc>
          <w:tcPr>
            <w:tcW w:w="2948" w:type="dxa"/>
          </w:tcPr>
          <w:p>
            <w:pPr>
              <w:pStyle w:val="0"/>
            </w:pPr>
            <w:r>
              <w:rPr>
                <w:sz w:val="24"/>
              </w:rPr>
              <w:t xml:space="preserve">mem-int:Risk_Utr_Trudosp_Member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Выплаты по риску наступления иного события в жизни застрахованного</w:t>
            </w:r>
          </w:p>
        </w:tc>
        <w:tc>
          <w:tcPr>
            <w:tcW w:w="2948" w:type="dxa"/>
          </w:tcPr>
          <w:p>
            <w:pPr>
              <w:pStyle w:val="0"/>
            </w:pPr>
            <w:r>
              <w:rPr>
                <w:sz w:val="24"/>
              </w:rPr>
              <w:t xml:space="preserve">mem-int:Risk_Inoe_Sobyt_Zhizni_Member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Выкупные суммы</w:t>
            </w:r>
          </w:p>
        </w:tc>
        <w:tc>
          <w:tcPr>
            <w:tcW w:w="2948" w:type="dxa"/>
          </w:tcPr>
          <w:p>
            <w:pPr>
              <w:pStyle w:val="0"/>
            </w:pPr>
            <w:r>
              <w:rPr>
                <w:sz w:val="24"/>
              </w:rPr>
              <w:t xml:space="preserve">mem-int:Vykup_Summy_Dog_Szh_Member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Негарантированные выплаты</w:t>
            </w:r>
          </w:p>
        </w:tc>
        <w:tc>
          <w:tcPr>
            <w:tcW w:w="2948" w:type="dxa"/>
          </w:tcPr>
          <w:p>
            <w:pPr>
              <w:pStyle w:val="0"/>
            </w:pPr>
            <w:r>
              <w:rPr>
                <w:sz w:val="24"/>
              </w:rPr>
              <w:t xml:space="preserve">mem-int:SumFaktProizvNegarantVyplatMember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Дополнительные выплаты</w:t>
            </w:r>
          </w:p>
        </w:tc>
        <w:tc>
          <w:tcPr>
            <w:tcW w:w="2948" w:type="dxa"/>
          </w:tcPr>
          <w:p>
            <w:pPr>
              <w:pStyle w:val="0"/>
            </w:pPr>
            <w:r>
              <w:rPr>
                <w:sz w:val="24"/>
              </w:rPr>
              <w:t xml:space="preserve">mem-int:SumFaktProizvDopVyplatMember</w:t>
            </w:r>
          </w:p>
        </w:tc>
      </w:tr>
      <w:tr>
        <w:tc>
          <w:tcPr>
            <w:tcW w:w="907" w:type="dxa"/>
          </w:tcPr>
          <w:p>
            <w:pPr>
              <w:pStyle w:val="0"/>
            </w:pPr>
            <w:r>
              <w:rPr>
                <w:sz w:val="24"/>
              </w:rPr>
              <w:t xml:space="preserve">2</w:t>
            </w:r>
          </w:p>
        </w:tc>
        <w:tc>
          <w:tcPr>
            <w:tcW w:w="2608" w:type="dxa"/>
          </w:tcPr>
          <w:p>
            <w:pPr>
              <w:pStyle w:val="0"/>
            </w:pPr>
            <w:r>
              <w:rPr>
                <w:sz w:val="24"/>
              </w:rPr>
              <w:t xml:space="preserve">Виды доли перестраховщиков в выплатах</w:t>
            </w:r>
          </w:p>
        </w:tc>
        <w:tc>
          <w:tcPr>
            <w:tcW w:w="2608" w:type="dxa"/>
          </w:tcPr>
          <w:p>
            <w:pPr>
              <w:pStyle w:val="0"/>
            </w:pPr>
            <w:r>
              <w:rPr>
                <w:sz w:val="24"/>
              </w:rPr>
            </w:r>
          </w:p>
        </w:tc>
        <w:tc>
          <w:tcPr>
            <w:tcW w:w="2948" w:type="dxa"/>
          </w:tcPr>
          <w:p>
            <w:pPr>
              <w:pStyle w:val="0"/>
            </w:pPr>
            <w:r>
              <w:rPr>
                <w:sz w:val="24"/>
              </w:rPr>
              <w:t xml:space="preserve">dim-int:VidyDoliPrstrVVypAxis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Выплаты по риску смерти</w:t>
            </w:r>
          </w:p>
        </w:tc>
        <w:tc>
          <w:tcPr>
            <w:tcW w:w="2948" w:type="dxa"/>
          </w:tcPr>
          <w:p>
            <w:pPr>
              <w:pStyle w:val="0"/>
            </w:pPr>
            <w:r>
              <w:rPr>
                <w:sz w:val="24"/>
              </w:rPr>
              <w:t xml:space="preserve">mem-int:Risk_Smerti_Member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Выплаты по риску утраты трудоспособности (инвалидности)</w:t>
            </w:r>
          </w:p>
        </w:tc>
        <w:tc>
          <w:tcPr>
            <w:tcW w:w="2948" w:type="dxa"/>
          </w:tcPr>
          <w:p>
            <w:pPr>
              <w:pStyle w:val="0"/>
            </w:pPr>
            <w:r>
              <w:rPr>
                <w:sz w:val="24"/>
              </w:rPr>
              <w:t xml:space="preserve">mem-int:Risk_Utr_Trudosp_Member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Выплаты по риску наступления иного события в жизни застрахованного</w:t>
            </w:r>
          </w:p>
        </w:tc>
        <w:tc>
          <w:tcPr>
            <w:tcW w:w="2948" w:type="dxa"/>
          </w:tcPr>
          <w:p>
            <w:pPr>
              <w:pStyle w:val="0"/>
            </w:pPr>
            <w:r>
              <w:rPr>
                <w:sz w:val="24"/>
              </w:rPr>
              <w:t xml:space="preserve">mem-int:Risk_Inoe_Sobyt_Zhizni_Member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Выкупные суммы</w:t>
            </w:r>
          </w:p>
        </w:tc>
        <w:tc>
          <w:tcPr>
            <w:tcW w:w="2948" w:type="dxa"/>
          </w:tcPr>
          <w:p>
            <w:pPr>
              <w:pStyle w:val="0"/>
            </w:pPr>
            <w:r>
              <w:rPr>
                <w:sz w:val="24"/>
              </w:rPr>
              <w:t xml:space="preserve">mem-int:Vykup_Summy_Dog_Szh_Member</w:t>
            </w:r>
          </w:p>
        </w:tc>
      </w:tr>
      <w:tr>
        <w:tc>
          <w:tcPr>
            <w:tcW w:w="907" w:type="dxa"/>
          </w:tcPr>
          <w:p>
            <w:pPr>
              <w:pStyle w:val="0"/>
            </w:pPr>
            <w:r>
              <w:rPr>
                <w:sz w:val="24"/>
              </w:rPr>
              <w:t xml:space="preserve">3</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Всего по учетным группам по страхованию жизни</w:t>
            </w:r>
          </w:p>
        </w:tc>
        <w:tc>
          <w:tcPr>
            <w:tcW w:w="2948" w:type="dxa"/>
          </w:tcPr>
          <w:p>
            <w:pPr>
              <w:pStyle w:val="0"/>
            </w:pPr>
            <w:r>
              <w:rPr>
                <w:sz w:val="24"/>
              </w:rPr>
              <w:t xml:space="preserve">mem-int:UchetGruppyItogoZhMember</w:t>
            </w:r>
          </w:p>
        </w:tc>
      </w:tr>
      <w:tr>
        <w:tc>
          <w:tcPr>
            <w:tcW w:w="907" w:type="dxa"/>
          </w:tcPr>
          <w:p>
            <w:pPr>
              <w:pStyle w:val="0"/>
            </w:pPr>
            <w:r>
              <w:rPr>
                <w:sz w:val="24"/>
              </w:rPr>
              <w:t xml:space="preserve">3.1.1</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3.1.2</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3.1.3</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3.1.4</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3"/>
        <w:jc w:val="both"/>
      </w:pPr>
      <w:r>
        <w:rPr>
          <w:sz w:val="24"/>
        </w:rPr>
        <w:t xml:space="preserve">Подраздел 8.4. </w:t>
      </w:r>
      <w:hyperlink w:history="0" w:anchor="P33962" w:tooltip="Раздел 4.">
        <w:r>
          <w:rPr>
            <w:sz w:val="24"/>
            <w:color w:val="0000ff"/>
          </w:rPr>
          <w:t xml:space="preserve">Раздел 4</w:t>
        </w:r>
      </w:hyperlink>
      <w:r>
        <w:rPr>
          <w:sz w:val="24"/>
        </w:rPr>
        <w:t xml:space="preserve"> "Структура финансового результата по страхованию иному, чем страхование жизни, по учетной группе"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Всего по учетным группам по страхованию иному, чем страхование жизни</w:t>
            </w:r>
          </w:p>
        </w:tc>
        <w:tc>
          <w:tcPr>
            <w:tcW w:w="2948" w:type="dxa"/>
          </w:tcPr>
          <w:p>
            <w:pPr>
              <w:pStyle w:val="0"/>
            </w:pPr>
            <w:r>
              <w:rPr>
                <w:sz w:val="24"/>
              </w:rPr>
              <w:t xml:space="preserve">mem-int:UchetGruppyItogoNezhMember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bl>
    <w:p>
      <w:pPr>
        <w:pStyle w:val="0"/>
        <w:ind w:firstLine="540"/>
        <w:jc w:val="both"/>
      </w:pPr>
      <w:r>
        <w:rPr>
          <w:sz w:val="24"/>
        </w:rPr>
      </w:r>
    </w:p>
    <w:p>
      <w:pPr>
        <w:pStyle w:val="0"/>
        <w:outlineLvl w:val="2"/>
        <w:jc w:val="both"/>
      </w:pPr>
      <w:r>
        <w:rPr>
          <w:sz w:val="24"/>
        </w:rPr>
        <w:t xml:space="preserve">Раздел 9. Отчетность по </w:t>
      </w:r>
      <w:hyperlink w:history="0" w:anchor="P34526" w:tooltip="Отчетность по форме 0420159">
        <w:r>
          <w:rPr>
            <w:sz w:val="24"/>
            <w:color w:val="0000ff"/>
          </w:rPr>
          <w:t xml:space="preserve">форме 0420159</w:t>
        </w:r>
      </w:hyperlink>
      <w:r>
        <w:rPr>
          <w:sz w:val="24"/>
        </w:rPr>
        <w:t xml:space="preserve"> "Сведения о сделках страховщика"</w:t>
      </w:r>
    </w:p>
    <w:p>
      <w:pPr>
        <w:pStyle w:val="0"/>
        <w:ind w:firstLine="540"/>
        <w:jc w:val="both"/>
      </w:pPr>
      <w:r>
        <w:rPr>
          <w:sz w:val="24"/>
        </w:rPr>
      </w:r>
    </w:p>
    <w:p>
      <w:pPr>
        <w:pStyle w:val="0"/>
        <w:outlineLvl w:val="3"/>
        <w:jc w:val="both"/>
      </w:pPr>
      <w:r>
        <w:rPr>
          <w:sz w:val="24"/>
        </w:rPr>
        <w:t xml:space="preserve">Подраздел 9.1. </w:t>
      </w:r>
      <w:hyperlink w:history="0" w:anchor="P34699" w:tooltip="Раздел 2.">
        <w:r>
          <w:rPr>
            <w:sz w:val="24"/>
            <w:color w:val="0000ff"/>
          </w:rPr>
          <w:t xml:space="preserve">Раздел 2</w:t>
        </w:r>
      </w:hyperlink>
      <w:r>
        <w:rPr>
          <w:sz w:val="24"/>
        </w:rPr>
        <w:t xml:space="preserve"> "Договоры страхования, сострахования, заключенные при участии посредников"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Типы страхования</w:t>
            </w:r>
          </w:p>
        </w:tc>
        <w:tc>
          <w:tcPr>
            <w:tcW w:w="2608" w:type="dxa"/>
          </w:tcPr>
          <w:p>
            <w:pPr>
              <w:pStyle w:val="0"/>
            </w:pPr>
            <w:r>
              <w:rPr>
                <w:sz w:val="24"/>
              </w:rPr>
            </w:r>
          </w:p>
        </w:tc>
        <w:tc>
          <w:tcPr>
            <w:tcW w:w="2948" w:type="dxa"/>
          </w:tcPr>
          <w:p>
            <w:pPr>
              <w:pStyle w:val="0"/>
            </w:pPr>
            <w:r>
              <w:rPr>
                <w:sz w:val="24"/>
              </w:rPr>
              <w:t xml:space="preserve">dim-int:Tipy_Strax_Axis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Страхование жизни</w:t>
            </w:r>
          </w:p>
        </w:tc>
        <w:tc>
          <w:tcPr>
            <w:tcW w:w="2948" w:type="dxa"/>
          </w:tcPr>
          <w:p>
            <w:pPr>
              <w:pStyle w:val="0"/>
            </w:pPr>
            <w:r>
              <w:rPr>
                <w:sz w:val="24"/>
              </w:rPr>
              <w:t xml:space="preserve">mem-int:Szh_Member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Страхование иное, чем страхование жизни</w:t>
            </w:r>
          </w:p>
        </w:tc>
        <w:tc>
          <w:tcPr>
            <w:tcW w:w="2948" w:type="dxa"/>
          </w:tcPr>
          <w:p>
            <w:pPr>
              <w:pStyle w:val="0"/>
            </w:pPr>
            <w:r>
              <w:rPr>
                <w:sz w:val="24"/>
              </w:rPr>
              <w:t xml:space="preserve">mem-int:Strax_Krome_Szh_Member</w:t>
            </w:r>
          </w:p>
        </w:tc>
      </w:tr>
    </w:tbl>
    <w:p>
      <w:pPr>
        <w:pStyle w:val="0"/>
        <w:ind w:firstLine="540"/>
        <w:jc w:val="both"/>
      </w:pPr>
      <w:r>
        <w:rPr>
          <w:sz w:val="24"/>
        </w:rPr>
      </w:r>
    </w:p>
    <w:p>
      <w:pPr>
        <w:pStyle w:val="0"/>
        <w:outlineLvl w:val="3"/>
        <w:jc w:val="both"/>
      </w:pPr>
      <w:r>
        <w:rPr>
          <w:sz w:val="24"/>
        </w:rPr>
        <w:t xml:space="preserve">Подраздел 9.2. </w:t>
      </w:r>
      <w:hyperlink w:history="0" w:anchor="P35129" w:tooltip="Раздел 5.">
        <w:r>
          <w:rPr>
            <w:sz w:val="24"/>
            <w:color w:val="0000ff"/>
          </w:rPr>
          <w:t xml:space="preserve">Раздел 5</w:t>
        </w:r>
      </w:hyperlink>
      <w:r>
        <w:rPr>
          <w:sz w:val="24"/>
        </w:rPr>
        <w:t xml:space="preserve"> "Страхователи (перестрахователи) по договорам страхования, сострахования и входящего перестрахования"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dim-int:Perechen_Uchet_Grupp_Axis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2.2 - обязательное государственное страхование военнослужащих и приравненных к ним лиц</w:t>
            </w:r>
          </w:p>
        </w:tc>
        <w:tc>
          <w:tcPr>
            <w:tcW w:w="2948" w:type="dxa"/>
          </w:tcPr>
          <w:p>
            <w:pPr>
              <w:pStyle w:val="0"/>
            </w:pPr>
            <w:r>
              <w:rPr>
                <w:sz w:val="24"/>
              </w:rPr>
              <w:t xml:space="preserve">mem-int:Uchet_Gruppa_2_2_Member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3 - 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mem-int:Uchet_Gruppa_3Member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5 - обязательное страхование гражданской ответственности перевозчика</w:t>
            </w:r>
          </w:p>
        </w:tc>
        <w:tc>
          <w:tcPr>
            <w:tcW w:w="2948" w:type="dxa"/>
          </w:tcPr>
          <w:p>
            <w:pPr>
              <w:pStyle w:val="0"/>
            </w:pPr>
            <w:r>
              <w:rPr>
                <w:sz w:val="24"/>
              </w:rPr>
              <w:t xml:space="preserve">mem-int:Uchet_Gruppa_5Member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11 - обязательное страхование гражданской ответственности владельца опасного объекта</w:t>
            </w:r>
          </w:p>
        </w:tc>
        <w:tc>
          <w:tcPr>
            <w:tcW w:w="2948" w:type="dxa"/>
          </w:tcPr>
          <w:p>
            <w:pPr>
              <w:pStyle w:val="0"/>
            </w:pPr>
            <w:r>
              <w:rPr>
                <w:sz w:val="24"/>
              </w:rPr>
              <w:t xml:space="preserve">mem-int:Uchet_Gruppa_11Member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mem-int:Uchet_Gruppa_12Member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1.19</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1.20</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2"/>
        <w:jc w:val="both"/>
      </w:pPr>
      <w:r>
        <w:rPr>
          <w:sz w:val="24"/>
        </w:rPr>
        <w:t xml:space="preserve">Раздел 10. Отчетность по </w:t>
      </w:r>
      <w:hyperlink w:history="0" w:anchor="P37230" w:tooltip="Отчетность по форме 0420163">
        <w:r>
          <w:rPr>
            <w:sz w:val="24"/>
            <w:color w:val="0000ff"/>
          </w:rPr>
          <w:t xml:space="preserve">форме 0420163</w:t>
        </w:r>
      </w:hyperlink>
      <w:r>
        <w:rPr>
          <w:sz w:val="24"/>
        </w:rPr>
        <w:t xml:space="preserve"> "Отчет об операциях со связанными сторонами страховщика"</w:t>
      </w:r>
    </w:p>
    <w:p>
      <w:pPr>
        <w:pStyle w:val="0"/>
        <w:ind w:firstLine="540"/>
        <w:jc w:val="both"/>
      </w:pPr>
      <w:r>
        <w:rPr>
          <w:sz w:val="24"/>
        </w:rPr>
      </w:r>
    </w:p>
    <w:p>
      <w:pPr>
        <w:pStyle w:val="0"/>
        <w:outlineLvl w:val="3"/>
        <w:jc w:val="both"/>
      </w:pPr>
      <w:r>
        <w:rPr>
          <w:sz w:val="24"/>
        </w:rPr>
        <w:t xml:space="preserve">Подраздел 10.1. </w:t>
      </w:r>
      <w:hyperlink w:history="0" w:anchor="P37270" w:tooltip="Раздел 2. Остатки по операциям со связанными сторонами">
        <w:r>
          <w:rPr>
            <w:sz w:val="24"/>
            <w:color w:val="0000ff"/>
          </w:rPr>
          <w:t xml:space="preserve">Раздел 2</w:t>
        </w:r>
      </w:hyperlink>
      <w:r>
        <w:rPr>
          <w:sz w:val="24"/>
        </w:rPr>
        <w:t xml:space="preserve"> "Остатки по операциям со связанными сторонами"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2</w:t>
            </w:r>
          </w:p>
        </w:tc>
        <w:tc>
          <w:tcPr>
            <w:tcW w:w="2608" w:type="dxa"/>
          </w:tcPr>
          <w:p>
            <w:pPr>
              <w:pStyle w:val="0"/>
            </w:pPr>
            <w:r>
              <w:rPr>
                <w:sz w:val="24"/>
              </w:rPr>
              <w:t xml:space="preserve">Наименование показателя бухгалтерского баланса</w:t>
            </w:r>
          </w:p>
        </w:tc>
        <w:tc>
          <w:tcPr>
            <w:tcW w:w="2608" w:type="dxa"/>
          </w:tcPr>
          <w:p>
            <w:pPr>
              <w:pStyle w:val="0"/>
            </w:pPr>
            <w:r>
              <w:rPr>
                <w:sz w:val="24"/>
              </w:rPr>
            </w:r>
          </w:p>
        </w:tc>
        <w:tc>
          <w:tcPr>
            <w:tcW w:w="2948" w:type="dxa"/>
          </w:tcPr>
          <w:p>
            <w:pPr>
              <w:pStyle w:val="0"/>
            </w:pPr>
            <w:r>
              <w:rPr>
                <w:sz w:val="24"/>
              </w:rPr>
              <w:t xml:space="preserve">dim-int:NaimPokazatelyaBuxBalansaAxis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Денежные средства</w:t>
            </w:r>
          </w:p>
        </w:tc>
        <w:tc>
          <w:tcPr>
            <w:tcW w:w="2948" w:type="dxa"/>
          </w:tcPr>
          <w:p>
            <w:pPr>
              <w:pStyle w:val="0"/>
            </w:pPr>
            <w:r>
              <w:rPr>
                <w:sz w:val="24"/>
              </w:rPr>
              <w:t xml:space="preserve">mem-int:DenezhnyeSredstvaMember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Финансовые активы, в обязательном порядке классифицируемые как оцениваемые по справедливой стоимости через прибыль или убыток</w:t>
            </w:r>
          </w:p>
        </w:tc>
        <w:tc>
          <w:tcPr>
            <w:tcW w:w="2948" w:type="dxa"/>
          </w:tcPr>
          <w:p>
            <w:pPr>
              <w:pStyle w:val="0"/>
            </w:pPr>
            <w:r>
              <w:rPr>
                <w:sz w:val="24"/>
              </w:rPr>
              <w:t xml:space="preserve">mem-int:FinansovyeAktivyVObyazatelnomPoryadkeKlassificziruemyeKakOczenivaemyePoSpravedlivojStoimostiCHerezPribylIliUbytokMember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Финансовые активы, классифицируемые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mem-int:FAKlasKakOczenPoSSCherezPribIliUbytPoUsmotrStraxovshhikaMember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Долговые инструменты</w:t>
            </w:r>
          </w:p>
        </w:tc>
        <w:tc>
          <w:tcPr>
            <w:tcW w:w="2948" w:type="dxa"/>
          </w:tcPr>
          <w:p>
            <w:pPr>
              <w:pStyle w:val="0"/>
            </w:pPr>
            <w:r>
              <w:rPr>
                <w:sz w:val="24"/>
              </w:rPr>
              <w:t xml:space="preserve">mem-int:DolgovyeInstrumentyMember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Долевые инструменты</w:t>
            </w:r>
          </w:p>
        </w:tc>
        <w:tc>
          <w:tcPr>
            <w:tcW w:w="2948" w:type="dxa"/>
          </w:tcPr>
          <w:p>
            <w:pPr>
              <w:pStyle w:val="0"/>
            </w:pPr>
            <w:r>
              <w:rPr>
                <w:sz w:val="24"/>
              </w:rPr>
              <w:t xml:space="preserve">mem-int:DolevyeInstrumentyMember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Депозиты и прочие размещенные средства в кредитных организациях и банках-нерезидентах</w:t>
            </w:r>
          </w:p>
        </w:tc>
        <w:tc>
          <w:tcPr>
            <w:tcW w:w="2948" w:type="dxa"/>
          </w:tcPr>
          <w:p>
            <w:pPr>
              <w:pStyle w:val="0"/>
            </w:pPr>
            <w:r>
              <w:rPr>
                <w:sz w:val="24"/>
              </w:rPr>
              <w:t xml:space="preserve">mem-int:DepozityIProchieRazmeshhennyeSredstvaVKreditnyxOrganizacziyaxIBankaxNerezidentaxMember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Займы, прочие размещенные средства и прочая дебиторская задолженность</w:t>
            </w:r>
          </w:p>
        </w:tc>
        <w:tc>
          <w:tcPr>
            <w:tcW w:w="2948" w:type="dxa"/>
          </w:tcPr>
          <w:p>
            <w:pPr>
              <w:pStyle w:val="0"/>
            </w:pPr>
            <w:r>
              <w:rPr>
                <w:sz w:val="24"/>
              </w:rPr>
              <w:t xml:space="preserve">mem-int:ZajmyProchieRazmeshhennyeSredstvaIProchayaDebitorskayaZadolzhennostMember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Дебиторская задолженность по договорам обязательного медицинского страхования</w:t>
            </w:r>
          </w:p>
        </w:tc>
        <w:tc>
          <w:tcPr>
            <w:tcW w:w="2948" w:type="dxa"/>
          </w:tcPr>
          <w:p>
            <w:pPr>
              <w:pStyle w:val="0"/>
            </w:pPr>
            <w:r>
              <w:rPr>
                <w:sz w:val="24"/>
              </w:rPr>
              <w:t xml:space="preserve">mem-int:DZPoDogOMSMember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Активы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714"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948" w:type="dxa"/>
          </w:tcPr>
          <w:p>
            <w:pPr>
              <w:pStyle w:val="0"/>
            </w:pPr>
            <w:r>
              <w:rPr>
                <w:sz w:val="24"/>
              </w:rPr>
              <w:t xml:space="preserve">mem-int:AktPoPorDogStrVypPrinDogPerIFRS17Member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Активы по портфелям договоров страхования, учитываемых на счетах бухгалтерского учета в соответствии с требованиями </w:t>
            </w:r>
            <w:hyperlink w:history="0" r:id="rId715"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948" w:type="dxa"/>
          </w:tcPr>
          <w:p>
            <w:pPr>
              <w:pStyle w:val="0"/>
            </w:pPr>
            <w:r>
              <w:rPr>
                <w:sz w:val="24"/>
              </w:rPr>
              <w:t xml:space="preserve">mem-int:AktPoPorDogStrIFRS17Member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Активы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716"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948" w:type="dxa"/>
          </w:tcPr>
          <w:p>
            <w:pPr>
              <w:pStyle w:val="0"/>
            </w:pPr>
            <w:r>
              <w:rPr>
                <w:sz w:val="24"/>
              </w:rPr>
              <w:t xml:space="preserve">mem-int:AktPoPorUdPerDogPerIFRS17Member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Инвестиции в ассоциированные предприятия</w:t>
            </w:r>
          </w:p>
        </w:tc>
        <w:tc>
          <w:tcPr>
            <w:tcW w:w="2948" w:type="dxa"/>
          </w:tcPr>
          <w:p>
            <w:pPr>
              <w:pStyle w:val="0"/>
            </w:pPr>
            <w:r>
              <w:rPr>
                <w:sz w:val="24"/>
              </w:rPr>
              <w:t xml:space="preserve">mem-int:InvesticziiVAssocziirovannyePredpriyatiyaMember</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Инвестиции в совместно контролируемые предприятия</w:t>
            </w:r>
          </w:p>
        </w:tc>
        <w:tc>
          <w:tcPr>
            <w:tcW w:w="2948" w:type="dxa"/>
          </w:tcPr>
          <w:p>
            <w:pPr>
              <w:pStyle w:val="0"/>
            </w:pPr>
            <w:r>
              <w:rPr>
                <w:sz w:val="24"/>
              </w:rPr>
              <w:t xml:space="preserve">mem-int:InvesticziiVSovmestnoKontroliruemyePredpriyatiyaMember</w:t>
            </w:r>
          </w:p>
        </w:tc>
      </w:tr>
      <w:tr>
        <w:tc>
          <w:tcPr>
            <w:tcW w:w="907" w:type="dxa"/>
          </w:tcPr>
          <w:p>
            <w:pPr>
              <w:pStyle w:val="0"/>
            </w:pPr>
            <w:r>
              <w:rPr>
                <w:sz w:val="24"/>
              </w:rPr>
              <w:t xml:space="preserve">2.14</w:t>
            </w:r>
          </w:p>
        </w:tc>
        <w:tc>
          <w:tcPr>
            <w:tcW w:w="2608" w:type="dxa"/>
          </w:tcPr>
          <w:p>
            <w:pPr>
              <w:pStyle w:val="0"/>
            </w:pPr>
            <w:r>
              <w:rPr>
                <w:sz w:val="24"/>
              </w:rPr>
            </w:r>
          </w:p>
        </w:tc>
        <w:tc>
          <w:tcPr>
            <w:tcW w:w="2608" w:type="dxa"/>
          </w:tcPr>
          <w:p>
            <w:pPr>
              <w:pStyle w:val="0"/>
            </w:pPr>
            <w:r>
              <w:rPr>
                <w:sz w:val="24"/>
              </w:rPr>
              <w:t xml:space="preserve">Инвестиции в дочерние предприятия</w:t>
            </w:r>
          </w:p>
        </w:tc>
        <w:tc>
          <w:tcPr>
            <w:tcW w:w="2948" w:type="dxa"/>
          </w:tcPr>
          <w:p>
            <w:pPr>
              <w:pStyle w:val="0"/>
            </w:pPr>
            <w:r>
              <w:rPr>
                <w:sz w:val="24"/>
              </w:rPr>
              <w:t xml:space="preserve">mem-int:InvesticziiVDocherniePredpriyatiyaMember</w:t>
            </w:r>
          </w:p>
        </w:tc>
      </w:tr>
      <w:tr>
        <w:tc>
          <w:tcPr>
            <w:tcW w:w="907" w:type="dxa"/>
          </w:tcPr>
          <w:p>
            <w:pPr>
              <w:pStyle w:val="0"/>
            </w:pPr>
            <w:r>
              <w:rPr>
                <w:sz w:val="24"/>
              </w:rPr>
              <w:t xml:space="preserve">2.15</w:t>
            </w:r>
          </w:p>
        </w:tc>
        <w:tc>
          <w:tcPr>
            <w:tcW w:w="2608" w:type="dxa"/>
          </w:tcPr>
          <w:p>
            <w:pPr>
              <w:pStyle w:val="0"/>
            </w:pPr>
            <w:r>
              <w:rPr>
                <w:sz w:val="24"/>
              </w:rPr>
            </w:r>
          </w:p>
        </w:tc>
        <w:tc>
          <w:tcPr>
            <w:tcW w:w="2608" w:type="dxa"/>
          </w:tcPr>
          <w:p>
            <w:pPr>
              <w:pStyle w:val="0"/>
            </w:pPr>
            <w:r>
              <w:rPr>
                <w:sz w:val="24"/>
              </w:rPr>
              <w:t xml:space="preserve">Активы (активы выбывающих групп), классифицируемые как предназначенные для продажи</w:t>
            </w:r>
          </w:p>
        </w:tc>
        <w:tc>
          <w:tcPr>
            <w:tcW w:w="2948" w:type="dxa"/>
          </w:tcPr>
          <w:p>
            <w:pPr>
              <w:pStyle w:val="0"/>
            </w:pPr>
            <w:r>
              <w:rPr>
                <w:sz w:val="24"/>
              </w:rPr>
              <w:t xml:space="preserve">mem-int:AktivyVybyvayushhixGruppKlassificziruemyeKakPrednaznachennyeDlyaProdazhiMember</w:t>
            </w:r>
          </w:p>
        </w:tc>
      </w:tr>
      <w:tr>
        <w:tc>
          <w:tcPr>
            <w:tcW w:w="907" w:type="dxa"/>
          </w:tcPr>
          <w:p>
            <w:pPr>
              <w:pStyle w:val="0"/>
            </w:pPr>
            <w:r>
              <w:rPr>
                <w:sz w:val="24"/>
              </w:rPr>
              <w:t xml:space="preserve">2.16</w:t>
            </w:r>
          </w:p>
        </w:tc>
        <w:tc>
          <w:tcPr>
            <w:tcW w:w="2608" w:type="dxa"/>
          </w:tcPr>
          <w:p>
            <w:pPr>
              <w:pStyle w:val="0"/>
            </w:pPr>
            <w:r>
              <w:rPr>
                <w:sz w:val="24"/>
              </w:rPr>
            </w:r>
          </w:p>
        </w:tc>
        <w:tc>
          <w:tcPr>
            <w:tcW w:w="2608" w:type="dxa"/>
          </w:tcPr>
          <w:p>
            <w:pPr>
              <w:pStyle w:val="0"/>
            </w:pPr>
            <w:r>
              <w:rPr>
                <w:sz w:val="24"/>
              </w:rPr>
              <w:t xml:space="preserve">Инвестиционное имущество и капитальные вложения в него</w:t>
            </w:r>
          </w:p>
        </w:tc>
        <w:tc>
          <w:tcPr>
            <w:tcW w:w="2948" w:type="dxa"/>
          </w:tcPr>
          <w:p>
            <w:pPr>
              <w:pStyle w:val="0"/>
            </w:pPr>
            <w:r>
              <w:rPr>
                <w:sz w:val="24"/>
              </w:rPr>
              <w:t xml:space="preserve">mem-int:InvestImIKapVlozhVNegoMember</w:t>
            </w:r>
          </w:p>
        </w:tc>
      </w:tr>
      <w:tr>
        <w:tc>
          <w:tcPr>
            <w:tcW w:w="907" w:type="dxa"/>
          </w:tcPr>
          <w:p>
            <w:pPr>
              <w:pStyle w:val="0"/>
            </w:pPr>
            <w:r>
              <w:rPr>
                <w:sz w:val="24"/>
              </w:rPr>
              <w:t xml:space="preserve">2.17</w:t>
            </w:r>
          </w:p>
        </w:tc>
        <w:tc>
          <w:tcPr>
            <w:tcW w:w="2608" w:type="dxa"/>
          </w:tcPr>
          <w:p>
            <w:pPr>
              <w:pStyle w:val="0"/>
            </w:pPr>
            <w:r>
              <w:rPr>
                <w:sz w:val="24"/>
              </w:rPr>
            </w:r>
          </w:p>
        </w:tc>
        <w:tc>
          <w:tcPr>
            <w:tcW w:w="2608" w:type="dxa"/>
          </w:tcPr>
          <w:p>
            <w:pPr>
              <w:pStyle w:val="0"/>
            </w:pPr>
            <w:r>
              <w:rPr>
                <w:sz w:val="24"/>
              </w:rPr>
              <w:t xml:space="preserve">Нематериальные активы и капитальные вложения в них</w:t>
            </w:r>
          </w:p>
        </w:tc>
        <w:tc>
          <w:tcPr>
            <w:tcW w:w="2948" w:type="dxa"/>
          </w:tcPr>
          <w:p>
            <w:pPr>
              <w:pStyle w:val="0"/>
            </w:pPr>
            <w:r>
              <w:rPr>
                <w:sz w:val="24"/>
              </w:rPr>
              <w:t xml:space="preserve">mem-int:NMAIKapVlozhVNixMember</w:t>
            </w:r>
          </w:p>
        </w:tc>
      </w:tr>
      <w:tr>
        <w:tc>
          <w:tcPr>
            <w:tcW w:w="907" w:type="dxa"/>
          </w:tcPr>
          <w:p>
            <w:pPr>
              <w:pStyle w:val="0"/>
            </w:pPr>
            <w:r>
              <w:rPr>
                <w:sz w:val="24"/>
              </w:rPr>
              <w:t xml:space="preserve">2.18</w:t>
            </w:r>
          </w:p>
        </w:tc>
        <w:tc>
          <w:tcPr>
            <w:tcW w:w="2608" w:type="dxa"/>
          </w:tcPr>
          <w:p>
            <w:pPr>
              <w:pStyle w:val="0"/>
            </w:pPr>
            <w:r>
              <w:rPr>
                <w:sz w:val="24"/>
              </w:rPr>
            </w:r>
          </w:p>
        </w:tc>
        <w:tc>
          <w:tcPr>
            <w:tcW w:w="2608" w:type="dxa"/>
          </w:tcPr>
          <w:p>
            <w:pPr>
              <w:pStyle w:val="0"/>
            </w:pPr>
            <w:r>
              <w:rPr>
                <w:sz w:val="24"/>
              </w:rPr>
              <w:t xml:space="preserve">Основные средства и капитальные вложения в них</w:t>
            </w:r>
          </w:p>
        </w:tc>
        <w:tc>
          <w:tcPr>
            <w:tcW w:w="2948" w:type="dxa"/>
          </w:tcPr>
          <w:p>
            <w:pPr>
              <w:pStyle w:val="0"/>
            </w:pPr>
            <w:r>
              <w:rPr>
                <w:sz w:val="24"/>
              </w:rPr>
              <w:t xml:space="preserve">mem-int:OSIKapVlozhVNixMember</w:t>
            </w:r>
          </w:p>
        </w:tc>
      </w:tr>
      <w:tr>
        <w:tc>
          <w:tcPr>
            <w:tcW w:w="907" w:type="dxa"/>
          </w:tcPr>
          <w:p>
            <w:pPr>
              <w:pStyle w:val="0"/>
            </w:pPr>
            <w:r>
              <w:rPr>
                <w:sz w:val="24"/>
              </w:rPr>
              <w:t xml:space="preserve">2.19</w:t>
            </w:r>
          </w:p>
        </w:tc>
        <w:tc>
          <w:tcPr>
            <w:tcW w:w="2608" w:type="dxa"/>
          </w:tcPr>
          <w:p>
            <w:pPr>
              <w:pStyle w:val="0"/>
            </w:pPr>
            <w:r>
              <w:rPr>
                <w:sz w:val="24"/>
              </w:rPr>
            </w:r>
          </w:p>
        </w:tc>
        <w:tc>
          <w:tcPr>
            <w:tcW w:w="2608" w:type="dxa"/>
          </w:tcPr>
          <w:p>
            <w:pPr>
              <w:pStyle w:val="0"/>
            </w:pPr>
            <w:r>
              <w:rPr>
                <w:sz w:val="24"/>
              </w:rPr>
              <w:t xml:space="preserve">Требования по текущему налогу на прибыль</w:t>
            </w:r>
          </w:p>
        </w:tc>
        <w:tc>
          <w:tcPr>
            <w:tcW w:w="2948" w:type="dxa"/>
          </w:tcPr>
          <w:p>
            <w:pPr>
              <w:pStyle w:val="0"/>
            </w:pPr>
            <w:r>
              <w:rPr>
                <w:sz w:val="24"/>
              </w:rPr>
              <w:t xml:space="preserve">mem-int:TrebPoTekNalNaPribMember</w:t>
            </w:r>
          </w:p>
        </w:tc>
      </w:tr>
      <w:tr>
        <w:tc>
          <w:tcPr>
            <w:tcW w:w="907" w:type="dxa"/>
          </w:tcPr>
          <w:p>
            <w:pPr>
              <w:pStyle w:val="0"/>
            </w:pPr>
            <w:r>
              <w:rPr>
                <w:sz w:val="24"/>
              </w:rPr>
              <w:t xml:space="preserve">2.20</w:t>
            </w:r>
          </w:p>
        </w:tc>
        <w:tc>
          <w:tcPr>
            <w:tcW w:w="2608" w:type="dxa"/>
          </w:tcPr>
          <w:p>
            <w:pPr>
              <w:pStyle w:val="0"/>
            </w:pPr>
            <w:r>
              <w:rPr>
                <w:sz w:val="24"/>
              </w:rPr>
            </w:r>
          </w:p>
        </w:tc>
        <w:tc>
          <w:tcPr>
            <w:tcW w:w="2608" w:type="dxa"/>
          </w:tcPr>
          <w:p>
            <w:pPr>
              <w:pStyle w:val="0"/>
            </w:pPr>
            <w:r>
              <w:rPr>
                <w:sz w:val="24"/>
              </w:rPr>
              <w:t xml:space="preserve">Отложенные налоговые активы</w:t>
            </w:r>
          </w:p>
        </w:tc>
        <w:tc>
          <w:tcPr>
            <w:tcW w:w="2948" w:type="dxa"/>
          </w:tcPr>
          <w:p>
            <w:pPr>
              <w:pStyle w:val="0"/>
            </w:pPr>
            <w:r>
              <w:rPr>
                <w:sz w:val="24"/>
              </w:rPr>
              <w:t xml:space="preserve">mem-int:OtlNalAktMember</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Прочие активы</w:t>
            </w:r>
          </w:p>
        </w:tc>
        <w:tc>
          <w:tcPr>
            <w:tcW w:w="2948" w:type="dxa"/>
          </w:tcPr>
          <w:p>
            <w:pPr>
              <w:pStyle w:val="0"/>
            </w:pPr>
            <w:r>
              <w:rPr>
                <w:sz w:val="24"/>
              </w:rPr>
              <w:t xml:space="preserve">mem-int:ProchieAktivyMember</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Финансовые обязательства, в обязательном порядке классифицируемые как оцениваемые по справедливой стоимости через прибыль или убыток</w:t>
            </w:r>
          </w:p>
        </w:tc>
        <w:tc>
          <w:tcPr>
            <w:tcW w:w="2948" w:type="dxa"/>
          </w:tcPr>
          <w:p>
            <w:pPr>
              <w:pStyle w:val="0"/>
            </w:pPr>
            <w:r>
              <w:rPr>
                <w:sz w:val="24"/>
              </w:rPr>
              <w:t xml:space="preserve">mem-int:FinansovyeObyazatelstvaVObyazatelnomPoryadkeKlassificziruemyeKakOczenivaemyePoSpravedlivojStoimostiCHerezPribylIliUbytokMember</w:t>
            </w:r>
          </w:p>
        </w:tc>
      </w:tr>
      <w:tr>
        <w:tc>
          <w:tcPr>
            <w:tcW w:w="907" w:type="dxa"/>
          </w:tcPr>
          <w:p>
            <w:pPr>
              <w:pStyle w:val="0"/>
            </w:pPr>
            <w:r>
              <w:rPr>
                <w:sz w:val="24"/>
              </w:rPr>
              <w:t xml:space="preserve">2.23</w:t>
            </w:r>
          </w:p>
        </w:tc>
        <w:tc>
          <w:tcPr>
            <w:tcW w:w="2608" w:type="dxa"/>
          </w:tcPr>
          <w:p>
            <w:pPr>
              <w:pStyle w:val="0"/>
            </w:pPr>
            <w:r>
              <w:rPr>
                <w:sz w:val="24"/>
              </w:rPr>
            </w:r>
          </w:p>
        </w:tc>
        <w:tc>
          <w:tcPr>
            <w:tcW w:w="2608" w:type="dxa"/>
          </w:tcPr>
          <w:p>
            <w:pPr>
              <w:pStyle w:val="0"/>
            </w:pPr>
            <w:r>
              <w:rPr>
                <w:sz w:val="24"/>
              </w:rPr>
              <w:t xml:space="preserve">Финансовые обязательства, классифицируемые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mem-int:FOKlasKakOczenPoSSCherezPribIliUbytPoUsmotrStraxovshhikaMember</w:t>
            </w:r>
          </w:p>
        </w:tc>
      </w:tr>
      <w:tr>
        <w:tc>
          <w:tcPr>
            <w:tcW w:w="907" w:type="dxa"/>
          </w:tcPr>
          <w:p>
            <w:pPr>
              <w:pStyle w:val="0"/>
            </w:pPr>
            <w:r>
              <w:rPr>
                <w:sz w:val="24"/>
              </w:rPr>
              <w:t xml:space="preserve">2.24</w:t>
            </w:r>
          </w:p>
        </w:tc>
        <w:tc>
          <w:tcPr>
            <w:tcW w:w="2608" w:type="dxa"/>
          </w:tcPr>
          <w:p>
            <w:pPr>
              <w:pStyle w:val="0"/>
            </w:pPr>
            <w:r>
              <w:rPr>
                <w:sz w:val="24"/>
              </w:rPr>
            </w:r>
          </w:p>
        </w:tc>
        <w:tc>
          <w:tcPr>
            <w:tcW w:w="2608" w:type="dxa"/>
          </w:tcPr>
          <w:p>
            <w:pPr>
              <w:pStyle w:val="0"/>
            </w:pPr>
            <w:r>
              <w:rPr>
                <w:sz w:val="24"/>
              </w:rPr>
              <w:t xml:space="preserve">Обязательства по договорам страхования</w:t>
            </w:r>
          </w:p>
        </w:tc>
        <w:tc>
          <w:tcPr>
            <w:tcW w:w="2948" w:type="dxa"/>
          </w:tcPr>
          <w:p>
            <w:pPr>
              <w:pStyle w:val="0"/>
            </w:pPr>
            <w:r>
              <w:rPr>
                <w:sz w:val="24"/>
              </w:rPr>
              <w:t xml:space="preserve">mem-int:ObyazPoDogStrMember</w:t>
            </w:r>
          </w:p>
        </w:tc>
      </w:tr>
      <w:tr>
        <w:tc>
          <w:tcPr>
            <w:tcW w:w="907" w:type="dxa"/>
          </w:tcPr>
          <w:p>
            <w:pPr>
              <w:pStyle w:val="0"/>
            </w:pPr>
            <w:r>
              <w:rPr>
                <w:sz w:val="24"/>
              </w:rPr>
              <w:t xml:space="preserve">2.25</w:t>
            </w:r>
          </w:p>
        </w:tc>
        <w:tc>
          <w:tcPr>
            <w:tcW w:w="2608" w:type="dxa"/>
          </w:tcPr>
          <w:p>
            <w:pPr>
              <w:pStyle w:val="0"/>
            </w:pPr>
            <w:r>
              <w:rPr>
                <w:sz w:val="24"/>
              </w:rPr>
            </w:r>
          </w:p>
        </w:tc>
        <w:tc>
          <w:tcPr>
            <w:tcW w:w="2608" w:type="dxa"/>
          </w:tcPr>
          <w:p>
            <w:pPr>
              <w:pStyle w:val="0"/>
            </w:pPr>
            <w:r>
              <w:rPr>
                <w:sz w:val="24"/>
              </w:rPr>
              <w:t xml:space="preserve">Кредиты, займы и прочие привлеченные средства</w:t>
            </w:r>
          </w:p>
        </w:tc>
        <w:tc>
          <w:tcPr>
            <w:tcW w:w="2948" w:type="dxa"/>
          </w:tcPr>
          <w:p>
            <w:pPr>
              <w:pStyle w:val="0"/>
            </w:pPr>
            <w:r>
              <w:rPr>
                <w:sz w:val="24"/>
              </w:rPr>
              <w:t xml:space="preserve">mem-int:KreditZajmProchPrivSredPoAmortStoimMember</w:t>
            </w:r>
          </w:p>
        </w:tc>
      </w:tr>
      <w:tr>
        <w:tc>
          <w:tcPr>
            <w:tcW w:w="907" w:type="dxa"/>
          </w:tcPr>
          <w:p>
            <w:pPr>
              <w:pStyle w:val="0"/>
            </w:pPr>
            <w:r>
              <w:rPr>
                <w:sz w:val="24"/>
              </w:rPr>
              <w:t xml:space="preserve">2.26</w:t>
            </w:r>
          </w:p>
        </w:tc>
        <w:tc>
          <w:tcPr>
            <w:tcW w:w="2608" w:type="dxa"/>
          </w:tcPr>
          <w:p>
            <w:pPr>
              <w:pStyle w:val="0"/>
            </w:pPr>
            <w:r>
              <w:rPr>
                <w:sz w:val="24"/>
              </w:rPr>
            </w:r>
          </w:p>
        </w:tc>
        <w:tc>
          <w:tcPr>
            <w:tcW w:w="2608" w:type="dxa"/>
          </w:tcPr>
          <w:p>
            <w:pPr>
              <w:pStyle w:val="0"/>
            </w:pPr>
            <w:r>
              <w:rPr>
                <w:sz w:val="24"/>
              </w:rPr>
              <w:t xml:space="preserve">Выпущенные долговые ценные бумаги</w:t>
            </w:r>
          </w:p>
        </w:tc>
        <w:tc>
          <w:tcPr>
            <w:tcW w:w="2948" w:type="dxa"/>
          </w:tcPr>
          <w:p>
            <w:pPr>
              <w:pStyle w:val="0"/>
            </w:pPr>
            <w:r>
              <w:rPr>
                <w:sz w:val="24"/>
              </w:rPr>
              <w:t xml:space="preserve">mem-int:DebtSecuritiesMember</w:t>
            </w:r>
          </w:p>
        </w:tc>
      </w:tr>
      <w:tr>
        <w:tc>
          <w:tcPr>
            <w:tcW w:w="907" w:type="dxa"/>
          </w:tcPr>
          <w:p>
            <w:pPr>
              <w:pStyle w:val="0"/>
            </w:pPr>
            <w:r>
              <w:rPr>
                <w:sz w:val="24"/>
              </w:rPr>
              <w:t xml:space="preserve">2.27</w:t>
            </w:r>
          </w:p>
        </w:tc>
        <w:tc>
          <w:tcPr>
            <w:tcW w:w="2608" w:type="dxa"/>
          </w:tcPr>
          <w:p>
            <w:pPr>
              <w:pStyle w:val="0"/>
            </w:pPr>
            <w:r>
              <w:rPr>
                <w:sz w:val="24"/>
              </w:rPr>
            </w:r>
          </w:p>
        </w:tc>
        <w:tc>
          <w:tcPr>
            <w:tcW w:w="2608" w:type="dxa"/>
          </w:tcPr>
          <w:p>
            <w:pPr>
              <w:pStyle w:val="0"/>
            </w:pPr>
            <w:r>
              <w:rPr>
                <w:sz w:val="24"/>
              </w:rPr>
              <w:t xml:space="preserve">Кредиторская задолженность по договорам обязательного медицинского страхования</w:t>
            </w:r>
          </w:p>
        </w:tc>
        <w:tc>
          <w:tcPr>
            <w:tcW w:w="2948" w:type="dxa"/>
          </w:tcPr>
          <w:p>
            <w:pPr>
              <w:pStyle w:val="0"/>
            </w:pPr>
            <w:r>
              <w:rPr>
                <w:sz w:val="24"/>
              </w:rPr>
              <w:t xml:space="preserve">mem-int:KZPoDogOMSMember</w:t>
            </w:r>
          </w:p>
        </w:tc>
      </w:tr>
      <w:tr>
        <w:tc>
          <w:tcPr>
            <w:tcW w:w="907" w:type="dxa"/>
          </w:tcPr>
          <w:p>
            <w:pPr>
              <w:pStyle w:val="0"/>
            </w:pPr>
            <w:r>
              <w:rPr>
                <w:sz w:val="24"/>
              </w:rPr>
              <w:t xml:space="preserve">2.28</w:t>
            </w:r>
          </w:p>
        </w:tc>
        <w:tc>
          <w:tcPr>
            <w:tcW w:w="2608" w:type="dxa"/>
          </w:tcPr>
          <w:p>
            <w:pPr>
              <w:pStyle w:val="0"/>
            </w:pPr>
            <w:r>
              <w:rPr>
                <w:sz w:val="24"/>
              </w:rPr>
            </w:r>
          </w:p>
        </w:tc>
        <w:tc>
          <w:tcPr>
            <w:tcW w:w="2608" w:type="dxa"/>
          </w:tcPr>
          <w:p>
            <w:pPr>
              <w:pStyle w:val="0"/>
            </w:pPr>
            <w:r>
              <w:rPr>
                <w:sz w:val="24"/>
              </w:rPr>
              <w:t xml:space="preserve">Прочая кредиторская задолженность</w:t>
            </w:r>
          </w:p>
        </w:tc>
        <w:tc>
          <w:tcPr>
            <w:tcW w:w="2948" w:type="dxa"/>
          </w:tcPr>
          <w:p>
            <w:pPr>
              <w:pStyle w:val="0"/>
            </w:pPr>
            <w:r>
              <w:rPr>
                <w:sz w:val="24"/>
              </w:rPr>
              <w:t xml:space="preserve">mem-int:Prochaya_KZ_Member</w:t>
            </w:r>
          </w:p>
        </w:tc>
      </w:tr>
      <w:tr>
        <w:tc>
          <w:tcPr>
            <w:tcW w:w="907" w:type="dxa"/>
          </w:tcPr>
          <w:p>
            <w:pPr>
              <w:pStyle w:val="0"/>
            </w:pPr>
            <w:r>
              <w:rPr>
                <w:sz w:val="24"/>
              </w:rPr>
              <w:t xml:space="preserve">2.29</w:t>
            </w:r>
          </w:p>
        </w:tc>
        <w:tc>
          <w:tcPr>
            <w:tcW w:w="2608" w:type="dxa"/>
          </w:tcPr>
          <w:p>
            <w:pPr>
              <w:pStyle w:val="0"/>
            </w:pPr>
            <w:r>
              <w:rPr>
                <w:sz w:val="24"/>
              </w:rPr>
            </w:r>
          </w:p>
        </w:tc>
        <w:tc>
          <w:tcPr>
            <w:tcW w:w="2608" w:type="dxa"/>
          </w:tcPr>
          <w:p>
            <w:pPr>
              <w:pStyle w:val="0"/>
            </w:pPr>
            <w:r>
              <w:rPr>
                <w:sz w:val="24"/>
              </w:rPr>
              <w:t xml:space="preserve">Обязательства выбывающих групп, классифицированных как предназначенные для продажи</w:t>
            </w:r>
          </w:p>
        </w:tc>
        <w:tc>
          <w:tcPr>
            <w:tcW w:w="2948" w:type="dxa"/>
          </w:tcPr>
          <w:p>
            <w:pPr>
              <w:pStyle w:val="0"/>
            </w:pPr>
            <w:r>
              <w:rPr>
                <w:sz w:val="24"/>
              </w:rPr>
              <w:t xml:space="preserve">mem-int:ObyazVybGruppKlassifKakPrednazDlyaProdazhMember</w:t>
            </w:r>
          </w:p>
        </w:tc>
      </w:tr>
      <w:tr>
        <w:tc>
          <w:tcPr>
            <w:tcW w:w="907" w:type="dxa"/>
          </w:tcPr>
          <w:p>
            <w:pPr>
              <w:pStyle w:val="0"/>
            </w:pPr>
            <w:r>
              <w:rPr>
                <w:sz w:val="24"/>
              </w:rPr>
              <w:t xml:space="preserve">2.30</w:t>
            </w:r>
          </w:p>
        </w:tc>
        <w:tc>
          <w:tcPr>
            <w:tcW w:w="2608" w:type="dxa"/>
          </w:tcPr>
          <w:p>
            <w:pPr>
              <w:pStyle w:val="0"/>
            </w:pPr>
            <w:r>
              <w:rPr>
                <w:sz w:val="24"/>
              </w:rPr>
            </w:r>
          </w:p>
        </w:tc>
        <w:tc>
          <w:tcPr>
            <w:tcW w:w="2608" w:type="dxa"/>
          </w:tcPr>
          <w:p>
            <w:pPr>
              <w:pStyle w:val="0"/>
            </w:pPr>
            <w:r>
              <w:rPr>
                <w:sz w:val="24"/>
              </w:rPr>
              <w:t xml:space="preserve">Обязательства по портфелям договоров страхования и выпущенных (принятых) договоров перестрахования, учитываемых на счетах бухгалтерского учета в соответствии с требованиями </w:t>
            </w:r>
            <w:hyperlink w:history="0" r:id="rId717"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948" w:type="dxa"/>
          </w:tcPr>
          <w:p>
            <w:pPr>
              <w:pStyle w:val="0"/>
            </w:pPr>
            <w:r>
              <w:rPr>
                <w:sz w:val="24"/>
              </w:rPr>
              <w:t xml:space="preserve">mem-int:ObPoPorDogStrVypPrinDogPerIFRS17Member</w:t>
            </w:r>
          </w:p>
        </w:tc>
      </w:tr>
      <w:tr>
        <w:tc>
          <w:tcPr>
            <w:tcW w:w="907" w:type="dxa"/>
          </w:tcPr>
          <w:p>
            <w:pPr>
              <w:pStyle w:val="0"/>
            </w:pPr>
            <w:r>
              <w:rPr>
                <w:sz w:val="24"/>
              </w:rPr>
              <w:t xml:space="preserve">2.31</w:t>
            </w:r>
          </w:p>
        </w:tc>
        <w:tc>
          <w:tcPr>
            <w:tcW w:w="2608" w:type="dxa"/>
          </w:tcPr>
          <w:p>
            <w:pPr>
              <w:pStyle w:val="0"/>
            </w:pPr>
            <w:r>
              <w:rPr>
                <w:sz w:val="24"/>
              </w:rPr>
            </w:r>
          </w:p>
        </w:tc>
        <w:tc>
          <w:tcPr>
            <w:tcW w:w="2608" w:type="dxa"/>
          </w:tcPr>
          <w:p>
            <w:pPr>
              <w:pStyle w:val="0"/>
            </w:pPr>
            <w:r>
              <w:rPr>
                <w:sz w:val="24"/>
              </w:rPr>
              <w:t xml:space="preserve">Обязательства по портфелям договоров страхования, учитываемых на счетах бухгалтерского учета в соответствии с требованиями </w:t>
            </w:r>
            <w:hyperlink w:history="0" r:id="rId718"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948" w:type="dxa"/>
          </w:tcPr>
          <w:p>
            <w:pPr>
              <w:pStyle w:val="0"/>
            </w:pPr>
            <w:r>
              <w:rPr>
                <w:sz w:val="24"/>
              </w:rPr>
              <w:t xml:space="preserve">mem-int:ObPoPorDogStrIFRS17Member</w:t>
            </w:r>
          </w:p>
        </w:tc>
      </w:tr>
      <w:tr>
        <w:tc>
          <w:tcPr>
            <w:tcW w:w="907" w:type="dxa"/>
          </w:tcPr>
          <w:p>
            <w:pPr>
              <w:pStyle w:val="0"/>
            </w:pPr>
            <w:r>
              <w:rPr>
                <w:sz w:val="24"/>
              </w:rPr>
              <w:t xml:space="preserve">2.32</w:t>
            </w:r>
          </w:p>
        </w:tc>
        <w:tc>
          <w:tcPr>
            <w:tcW w:w="2608" w:type="dxa"/>
          </w:tcPr>
          <w:p>
            <w:pPr>
              <w:pStyle w:val="0"/>
            </w:pPr>
            <w:r>
              <w:rPr>
                <w:sz w:val="24"/>
              </w:rPr>
            </w:r>
          </w:p>
        </w:tc>
        <w:tc>
          <w:tcPr>
            <w:tcW w:w="2608" w:type="dxa"/>
          </w:tcPr>
          <w:p>
            <w:pPr>
              <w:pStyle w:val="0"/>
            </w:pPr>
            <w:r>
              <w:rPr>
                <w:sz w:val="24"/>
              </w:rPr>
              <w:t xml:space="preserve">Обязательства по портфелям удерживаемых (переданных) договоров перестрахования, учитываемых на счетах бухгалтерского учета в соответствии с требованиями </w:t>
            </w:r>
            <w:hyperlink w:history="0" r:id="rId719" w:tooltip="&quot;Международный стандарт финансовой отчетности (IFRS) 17 &quot;Договоры страхования&quot; (введен в действие на территории Российской Федерации Приказом Минфина России от 20.04.2021 N 65н) (ред. от 04.10.2023) {КонсультантПлюс}">
              <w:r>
                <w:rPr>
                  <w:sz w:val="24"/>
                  <w:color w:val="0000ff"/>
                </w:rPr>
                <w:t xml:space="preserve">МСФО (IFRS) 17</w:t>
              </w:r>
            </w:hyperlink>
          </w:p>
        </w:tc>
        <w:tc>
          <w:tcPr>
            <w:tcW w:w="2948" w:type="dxa"/>
          </w:tcPr>
          <w:p>
            <w:pPr>
              <w:pStyle w:val="0"/>
            </w:pPr>
            <w:r>
              <w:rPr>
                <w:sz w:val="24"/>
              </w:rPr>
              <w:t xml:space="preserve">mem-int:ObPoPorUdPerDogPerIFRS17Member</w:t>
            </w:r>
          </w:p>
        </w:tc>
      </w:tr>
      <w:tr>
        <w:tc>
          <w:tcPr>
            <w:tcW w:w="907" w:type="dxa"/>
          </w:tcPr>
          <w:p>
            <w:pPr>
              <w:pStyle w:val="0"/>
            </w:pPr>
            <w:r>
              <w:rPr>
                <w:sz w:val="24"/>
              </w:rPr>
              <w:t xml:space="preserve">2.33</w:t>
            </w:r>
          </w:p>
        </w:tc>
        <w:tc>
          <w:tcPr>
            <w:tcW w:w="2608" w:type="dxa"/>
          </w:tcPr>
          <w:p>
            <w:pPr>
              <w:pStyle w:val="0"/>
            </w:pPr>
            <w:r>
              <w:rPr>
                <w:sz w:val="24"/>
              </w:rPr>
            </w:r>
          </w:p>
        </w:tc>
        <w:tc>
          <w:tcPr>
            <w:tcW w:w="2608" w:type="dxa"/>
          </w:tcPr>
          <w:p>
            <w:pPr>
              <w:pStyle w:val="0"/>
            </w:pPr>
            <w:r>
              <w:rPr>
                <w:sz w:val="24"/>
              </w:rPr>
              <w:t xml:space="preserve">Обязательства по выплате вознаграждений работникам по окончании трудовой деятельности, не ограниченных фиксируемыми платежами</w:t>
            </w:r>
          </w:p>
        </w:tc>
        <w:tc>
          <w:tcPr>
            <w:tcW w:w="2948" w:type="dxa"/>
          </w:tcPr>
          <w:p>
            <w:pPr>
              <w:pStyle w:val="0"/>
            </w:pPr>
            <w:r>
              <w:rPr>
                <w:sz w:val="24"/>
              </w:rPr>
              <w:t xml:space="preserve">mem-int:ObyazPoVoznRabotnPoOkTrudDeyatNeOgrFiksPlatMember</w:t>
            </w:r>
          </w:p>
        </w:tc>
      </w:tr>
      <w:tr>
        <w:tc>
          <w:tcPr>
            <w:tcW w:w="907" w:type="dxa"/>
          </w:tcPr>
          <w:p>
            <w:pPr>
              <w:pStyle w:val="0"/>
            </w:pPr>
            <w:r>
              <w:rPr>
                <w:sz w:val="24"/>
              </w:rPr>
              <w:t xml:space="preserve">2.34</w:t>
            </w:r>
          </w:p>
        </w:tc>
        <w:tc>
          <w:tcPr>
            <w:tcW w:w="2608" w:type="dxa"/>
          </w:tcPr>
          <w:p>
            <w:pPr>
              <w:pStyle w:val="0"/>
            </w:pPr>
            <w:r>
              <w:rPr>
                <w:sz w:val="24"/>
              </w:rPr>
            </w:r>
          </w:p>
        </w:tc>
        <w:tc>
          <w:tcPr>
            <w:tcW w:w="2608" w:type="dxa"/>
          </w:tcPr>
          <w:p>
            <w:pPr>
              <w:pStyle w:val="0"/>
            </w:pPr>
            <w:r>
              <w:rPr>
                <w:sz w:val="24"/>
              </w:rPr>
              <w:t xml:space="preserve">Обязательство по текущему налогу на прибыль</w:t>
            </w:r>
          </w:p>
        </w:tc>
        <w:tc>
          <w:tcPr>
            <w:tcW w:w="2948" w:type="dxa"/>
          </w:tcPr>
          <w:p>
            <w:pPr>
              <w:pStyle w:val="0"/>
            </w:pPr>
            <w:r>
              <w:rPr>
                <w:sz w:val="24"/>
              </w:rPr>
              <w:t xml:space="preserve">mem-int:ObyazPoTekNalNaPribMember</w:t>
            </w:r>
          </w:p>
        </w:tc>
      </w:tr>
      <w:tr>
        <w:tc>
          <w:tcPr>
            <w:tcW w:w="907" w:type="dxa"/>
          </w:tcPr>
          <w:p>
            <w:pPr>
              <w:pStyle w:val="0"/>
            </w:pPr>
            <w:r>
              <w:rPr>
                <w:sz w:val="24"/>
              </w:rPr>
              <w:t xml:space="preserve">2.35</w:t>
            </w:r>
          </w:p>
        </w:tc>
        <w:tc>
          <w:tcPr>
            <w:tcW w:w="2608" w:type="dxa"/>
          </w:tcPr>
          <w:p>
            <w:pPr>
              <w:pStyle w:val="0"/>
            </w:pPr>
            <w:r>
              <w:rPr>
                <w:sz w:val="24"/>
              </w:rPr>
            </w:r>
          </w:p>
        </w:tc>
        <w:tc>
          <w:tcPr>
            <w:tcW w:w="2608" w:type="dxa"/>
          </w:tcPr>
          <w:p>
            <w:pPr>
              <w:pStyle w:val="0"/>
            </w:pPr>
            <w:r>
              <w:rPr>
                <w:sz w:val="24"/>
              </w:rPr>
              <w:t xml:space="preserve">Отложенные налоговые обязательства</w:t>
            </w:r>
          </w:p>
        </w:tc>
        <w:tc>
          <w:tcPr>
            <w:tcW w:w="2948" w:type="dxa"/>
          </w:tcPr>
          <w:p>
            <w:pPr>
              <w:pStyle w:val="0"/>
            </w:pPr>
            <w:r>
              <w:rPr>
                <w:sz w:val="24"/>
              </w:rPr>
              <w:t xml:space="preserve">mem-int:DeferredTaxLiabilitiesMember</w:t>
            </w:r>
          </w:p>
        </w:tc>
      </w:tr>
      <w:tr>
        <w:tc>
          <w:tcPr>
            <w:tcW w:w="907" w:type="dxa"/>
          </w:tcPr>
          <w:p>
            <w:pPr>
              <w:pStyle w:val="0"/>
            </w:pPr>
            <w:r>
              <w:rPr>
                <w:sz w:val="24"/>
              </w:rPr>
              <w:t xml:space="preserve">2.36</w:t>
            </w:r>
          </w:p>
        </w:tc>
        <w:tc>
          <w:tcPr>
            <w:tcW w:w="2608" w:type="dxa"/>
          </w:tcPr>
          <w:p>
            <w:pPr>
              <w:pStyle w:val="0"/>
            </w:pPr>
            <w:r>
              <w:rPr>
                <w:sz w:val="24"/>
              </w:rPr>
            </w:r>
          </w:p>
        </w:tc>
        <w:tc>
          <w:tcPr>
            <w:tcW w:w="2608" w:type="dxa"/>
          </w:tcPr>
          <w:p>
            <w:pPr>
              <w:pStyle w:val="0"/>
            </w:pPr>
            <w:r>
              <w:rPr>
                <w:sz w:val="24"/>
              </w:rPr>
              <w:t xml:space="preserve">Резервы - оценочные обязательства</w:t>
            </w:r>
          </w:p>
        </w:tc>
        <w:tc>
          <w:tcPr>
            <w:tcW w:w="2948" w:type="dxa"/>
          </w:tcPr>
          <w:p>
            <w:pPr>
              <w:pStyle w:val="0"/>
            </w:pPr>
            <w:r>
              <w:rPr>
                <w:sz w:val="24"/>
              </w:rPr>
              <w:t xml:space="preserve">mem-int:ProvisionsMember</w:t>
            </w:r>
          </w:p>
        </w:tc>
      </w:tr>
      <w:tr>
        <w:tc>
          <w:tcPr>
            <w:tcW w:w="907" w:type="dxa"/>
          </w:tcPr>
          <w:p>
            <w:pPr>
              <w:pStyle w:val="0"/>
            </w:pPr>
            <w:r>
              <w:rPr>
                <w:sz w:val="24"/>
              </w:rPr>
              <w:t xml:space="preserve">2.37</w:t>
            </w:r>
          </w:p>
        </w:tc>
        <w:tc>
          <w:tcPr>
            <w:tcW w:w="2608" w:type="dxa"/>
          </w:tcPr>
          <w:p>
            <w:pPr>
              <w:pStyle w:val="0"/>
            </w:pPr>
            <w:r>
              <w:rPr>
                <w:sz w:val="24"/>
              </w:rPr>
            </w:r>
          </w:p>
        </w:tc>
        <w:tc>
          <w:tcPr>
            <w:tcW w:w="2608" w:type="dxa"/>
          </w:tcPr>
          <w:p>
            <w:pPr>
              <w:pStyle w:val="0"/>
            </w:pPr>
            <w:r>
              <w:rPr>
                <w:sz w:val="24"/>
              </w:rPr>
              <w:t xml:space="preserve">Прочие обязательства</w:t>
            </w:r>
          </w:p>
        </w:tc>
        <w:tc>
          <w:tcPr>
            <w:tcW w:w="2948" w:type="dxa"/>
          </w:tcPr>
          <w:p>
            <w:pPr>
              <w:pStyle w:val="0"/>
            </w:pPr>
            <w:r>
              <w:rPr>
                <w:sz w:val="24"/>
              </w:rPr>
              <w:t xml:space="preserve">mem-int:ProchObyazMember</w:t>
            </w:r>
          </w:p>
        </w:tc>
      </w:tr>
    </w:tbl>
    <w:p>
      <w:pPr>
        <w:pStyle w:val="0"/>
        <w:ind w:firstLine="540"/>
        <w:jc w:val="both"/>
      </w:pPr>
      <w:r>
        <w:rPr>
          <w:sz w:val="24"/>
        </w:rPr>
      </w:r>
    </w:p>
    <w:p>
      <w:pPr>
        <w:pStyle w:val="0"/>
        <w:outlineLvl w:val="3"/>
        <w:jc w:val="both"/>
      </w:pPr>
      <w:r>
        <w:rPr>
          <w:sz w:val="24"/>
        </w:rPr>
        <w:t xml:space="preserve">Подраздел 10.2. </w:t>
      </w:r>
      <w:hyperlink w:history="0" w:anchor="P37303" w:tooltip="Раздел 3. Доходы и расходы по операциям со связанными сторонами">
        <w:r>
          <w:rPr>
            <w:sz w:val="24"/>
            <w:color w:val="0000ff"/>
          </w:rPr>
          <w:t xml:space="preserve">Раздел 3</w:t>
        </w:r>
      </w:hyperlink>
      <w:r>
        <w:rPr>
          <w:sz w:val="24"/>
        </w:rPr>
        <w:t xml:space="preserve"> "Доходы и расходы по операциям со связанными сторонами"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2</w:t>
            </w:r>
          </w:p>
        </w:tc>
        <w:tc>
          <w:tcPr>
            <w:tcW w:w="2608" w:type="dxa"/>
          </w:tcPr>
          <w:p>
            <w:pPr>
              <w:pStyle w:val="0"/>
            </w:pPr>
            <w:r>
              <w:rPr>
                <w:sz w:val="24"/>
              </w:rPr>
              <w:t xml:space="preserve">Наименование показателя отчета о финансовых результатах</w:t>
            </w:r>
          </w:p>
        </w:tc>
        <w:tc>
          <w:tcPr>
            <w:tcW w:w="2608" w:type="dxa"/>
          </w:tcPr>
          <w:p>
            <w:pPr>
              <w:pStyle w:val="0"/>
            </w:pPr>
            <w:r>
              <w:rPr>
                <w:sz w:val="24"/>
              </w:rPr>
            </w:r>
          </w:p>
        </w:tc>
        <w:tc>
          <w:tcPr>
            <w:tcW w:w="2948" w:type="dxa"/>
          </w:tcPr>
          <w:p>
            <w:pPr>
              <w:pStyle w:val="0"/>
            </w:pPr>
            <w:r>
              <w:rPr>
                <w:sz w:val="24"/>
              </w:rPr>
              <w:t xml:space="preserve">dim-int:NaimPokazatelyaOtchetaOFinRezAxis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Суммы, связанные с оказанием услуг</w:t>
            </w:r>
          </w:p>
        </w:tc>
        <w:tc>
          <w:tcPr>
            <w:tcW w:w="2948" w:type="dxa"/>
          </w:tcPr>
          <w:p>
            <w:pPr>
              <w:pStyle w:val="0"/>
            </w:pPr>
            <w:r>
              <w:rPr>
                <w:sz w:val="24"/>
              </w:rPr>
              <w:t xml:space="preserve">mem-int:SummySvyazannyeSOkazaniemUslugMember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Суммы, относящиеся к аквизиционным денежным потокам</w:t>
            </w:r>
          </w:p>
        </w:tc>
        <w:tc>
          <w:tcPr>
            <w:tcW w:w="2948" w:type="dxa"/>
          </w:tcPr>
          <w:p>
            <w:pPr>
              <w:pStyle w:val="0"/>
            </w:pPr>
            <w:r>
              <w:rPr>
                <w:sz w:val="24"/>
              </w:rPr>
              <w:t xml:space="preserve">mem-int:SummyOtnosKAkviziczionnymDenezhnymPotokamMember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Убытки и восстановление убытков по группам обременительных договоров</w:t>
            </w:r>
          </w:p>
        </w:tc>
        <w:tc>
          <w:tcPr>
            <w:tcW w:w="2948" w:type="dxa"/>
          </w:tcPr>
          <w:p>
            <w:pPr>
              <w:pStyle w:val="0"/>
            </w:pPr>
            <w:r>
              <w:rPr>
                <w:sz w:val="24"/>
              </w:rPr>
              <w:t xml:space="preserve">mem-int:UbytkiIVosstUbytkovPoGruppamObremenitDogMember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Амортизация аквизиционных денежных потоков</w:t>
            </w:r>
          </w:p>
        </w:tc>
        <w:tc>
          <w:tcPr>
            <w:tcW w:w="2948" w:type="dxa"/>
          </w:tcPr>
          <w:p>
            <w:pPr>
              <w:pStyle w:val="0"/>
            </w:pPr>
            <w:r>
              <w:rPr>
                <w:sz w:val="24"/>
              </w:rPr>
              <w:t xml:space="preserve">mem-int:AmortizacziyaAkviziczionnyxDenezhnyxPotokovMember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Изменение величины обязательств по возникшим требованиям</w:t>
            </w:r>
          </w:p>
        </w:tc>
        <w:tc>
          <w:tcPr>
            <w:tcW w:w="2948" w:type="dxa"/>
          </w:tcPr>
          <w:p>
            <w:pPr>
              <w:pStyle w:val="0"/>
            </w:pPr>
            <w:r>
              <w:rPr>
                <w:sz w:val="24"/>
              </w:rPr>
              <w:t xml:space="preserve">mem-int:IzmenenieVelichinyObyazPoVoznikshimTrebovaniyamMember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Возникшие требования и прочие расходы по страховым услугам</w:t>
            </w:r>
          </w:p>
        </w:tc>
        <w:tc>
          <w:tcPr>
            <w:tcW w:w="2948" w:type="dxa"/>
          </w:tcPr>
          <w:p>
            <w:pPr>
              <w:pStyle w:val="0"/>
            </w:pPr>
            <w:r>
              <w:rPr>
                <w:sz w:val="24"/>
              </w:rPr>
              <w:t xml:space="preserve">mem-int:VoznikshieTrebovaniyaIProchieRasxPoStraxUslugamMember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Убытки и восстановление убытков от обесценения активов, признанных в отношении аквизиционных денежных потоков</w:t>
            </w:r>
          </w:p>
        </w:tc>
        <w:tc>
          <w:tcPr>
            <w:tcW w:w="2948" w:type="dxa"/>
          </w:tcPr>
          <w:p>
            <w:pPr>
              <w:pStyle w:val="0"/>
            </w:pPr>
            <w:r>
              <w:rPr>
                <w:sz w:val="24"/>
              </w:rPr>
              <w:t xml:space="preserve">mem-int:UbytkiIVosstUbOtObesczAktivovPriznVOtnAkvDenPotMember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Доходы (расходы), возникающие в связи с удерживаемыми (переданными) договорами перестрахования</w:t>
            </w:r>
          </w:p>
        </w:tc>
        <w:tc>
          <w:tcPr>
            <w:tcW w:w="2948" w:type="dxa"/>
          </w:tcPr>
          <w:p>
            <w:pPr>
              <w:pStyle w:val="0"/>
            </w:pPr>
            <w:r>
              <w:rPr>
                <w:sz w:val="24"/>
              </w:rPr>
              <w:t xml:space="preserve">mem-int:DoxRasxVoznikVSvyaziSUderzhPeredanDogPerestraxMember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Процентные доходы</w:t>
            </w:r>
          </w:p>
        </w:tc>
        <w:tc>
          <w:tcPr>
            <w:tcW w:w="2948" w:type="dxa"/>
          </w:tcPr>
          <w:p>
            <w:pPr>
              <w:pStyle w:val="0"/>
            </w:pPr>
            <w:r>
              <w:rPr>
                <w:sz w:val="24"/>
              </w:rPr>
              <w:t xml:space="preserve">mem-int:RevenueFromInterestMember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финансовыми инструментами, в обязательном порядке классифицируемыми как оцениваемые по справедливой стоимости через прибыль или убыток</w:t>
            </w:r>
          </w:p>
        </w:tc>
        <w:tc>
          <w:tcPr>
            <w:tcW w:w="2948" w:type="dxa"/>
          </w:tcPr>
          <w:p>
            <w:pPr>
              <w:pStyle w:val="0"/>
            </w:pPr>
            <w:r>
              <w:rPr>
                <w:sz w:val="24"/>
              </w:rPr>
              <w:t xml:space="preserve">mem-int:DoxZaVychRasxRasxZaVychDoxOtOperSFinInstrumVObyazPoryadkeKlasKakOczenPoSSCherezPribIliUbytMember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финансовыми активами, классифицируемыми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mem-int:rDoxZaVychRasxRasxZaVychDoxOtOperSFAKlasKakOczenPoSSCHerezPribIliUbytPoUsmotrStraxovshhikaMember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долговыми инструментами, оцениваемыми по справедливой стоимости через прочий совокупный доход</w:t>
            </w:r>
          </w:p>
        </w:tc>
        <w:tc>
          <w:tcPr>
            <w:tcW w:w="2948" w:type="dxa"/>
          </w:tcPr>
          <w:p>
            <w:pPr>
              <w:pStyle w:val="0"/>
            </w:pPr>
            <w:r>
              <w:rPr>
                <w:sz w:val="24"/>
              </w:rPr>
              <w:t xml:space="preserve">mem-int:DoxZaVychRasxRasxZaVychDoxOtOperSDolgovInstrumOczenPoSSCherezPSDMember</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долевыми инструментами, оцениваемыми по справедливой стоимости через прочий совокупный доход</w:t>
            </w:r>
          </w:p>
        </w:tc>
        <w:tc>
          <w:tcPr>
            <w:tcW w:w="2948" w:type="dxa"/>
          </w:tcPr>
          <w:p>
            <w:pPr>
              <w:pStyle w:val="0"/>
            </w:pPr>
            <w:r>
              <w:rPr>
                <w:sz w:val="24"/>
              </w:rPr>
              <w:t xml:space="preserve">mem-int:DoxZaVychRasxRasxZaVychDoxOtOperSDolevInstrumOczenPoSSCherezPSDMember</w:t>
            </w:r>
          </w:p>
        </w:tc>
      </w:tr>
      <w:tr>
        <w:tc>
          <w:tcPr>
            <w:tcW w:w="907" w:type="dxa"/>
          </w:tcPr>
          <w:p>
            <w:pPr>
              <w:pStyle w:val="0"/>
            </w:pPr>
            <w:r>
              <w:rPr>
                <w:sz w:val="24"/>
              </w:rPr>
              <w:t xml:space="preserve">2.14</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возникающие в результате прекращения признания финансовых активов, оцениваемых по амортизированной стоимости</w:t>
            </w:r>
          </w:p>
        </w:tc>
        <w:tc>
          <w:tcPr>
            <w:tcW w:w="2948" w:type="dxa"/>
          </w:tcPr>
          <w:p>
            <w:pPr>
              <w:pStyle w:val="0"/>
            </w:pPr>
            <w:r>
              <w:rPr>
                <w:sz w:val="24"/>
              </w:rPr>
              <w:t xml:space="preserve">mem-int:DoxZaVychRasxRasxZaVychDoxVoznikVRezPrekrashhPriznFAOczenPoAmortizStoimMember</w:t>
            </w:r>
          </w:p>
        </w:tc>
      </w:tr>
      <w:tr>
        <w:tc>
          <w:tcPr>
            <w:tcW w:w="907" w:type="dxa"/>
          </w:tcPr>
          <w:p>
            <w:pPr>
              <w:pStyle w:val="0"/>
            </w:pPr>
            <w:r>
              <w:rPr>
                <w:sz w:val="24"/>
              </w:rPr>
              <w:t xml:space="preserve">2.15</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связанные с реклассификацией финансовых активов, оцениваемых по амортизированной стоимости, в категорию финансовых активов, оцениваемых по справедливой стоимости через прибыль или убыток</w:t>
            </w:r>
          </w:p>
        </w:tc>
        <w:tc>
          <w:tcPr>
            <w:tcW w:w="2948" w:type="dxa"/>
          </w:tcPr>
          <w:p>
            <w:pPr>
              <w:pStyle w:val="0"/>
            </w:pPr>
            <w:r>
              <w:rPr>
                <w:sz w:val="24"/>
              </w:rPr>
              <w:t xml:space="preserve">mem-int:DZaVychRRZaVychDSvyazSReklasFAOczenPoASMember</w:t>
            </w:r>
          </w:p>
        </w:tc>
      </w:tr>
      <w:tr>
        <w:tc>
          <w:tcPr>
            <w:tcW w:w="907" w:type="dxa"/>
          </w:tcPr>
          <w:p>
            <w:pPr>
              <w:pStyle w:val="0"/>
            </w:pPr>
            <w:r>
              <w:rPr>
                <w:sz w:val="24"/>
              </w:rPr>
              <w:t xml:space="preserve">2.16</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по восстановлению (созданию) оценочных резервов под ожидаемые кредитные убытки по финансовым активам, оцениваемым по амортизированной стоимости</w:t>
            </w:r>
          </w:p>
        </w:tc>
        <w:tc>
          <w:tcPr>
            <w:tcW w:w="2948" w:type="dxa"/>
          </w:tcPr>
          <w:p>
            <w:pPr>
              <w:pStyle w:val="0"/>
            </w:pPr>
            <w:r>
              <w:rPr>
                <w:sz w:val="24"/>
              </w:rPr>
              <w:t xml:space="preserve">mem-int:DoxodyZaVychetomRasxodovRasxodyZaVychetomDoxodovPoVosstanovleniyuSozdaniyuOczenochnyxRezervovPodOzhidaemyeKreditnyeUbytkiPoFAOczenivaemymPoAmortizirovannojStoimostiMember</w:t>
            </w:r>
          </w:p>
        </w:tc>
      </w:tr>
      <w:tr>
        <w:tc>
          <w:tcPr>
            <w:tcW w:w="907" w:type="dxa"/>
          </w:tcPr>
          <w:p>
            <w:pPr>
              <w:pStyle w:val="0"/>
            </w:pPr>
            <w:r>
              <w:rPr>
                <w:sz w:val="24"/>
              </w:rPr>
              <w:t xml:space="preserve">2.17</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по восстановлению (созданию) оценочных резервов под ожидаемые кредитные убытки по долговым инструментам, оцениваемым по справедливой стоимости через прочий совокупный доход</w:t>
            </w:r>
          </w:p>
        </w:tc>
        <w:tc>
          <w:tcPr>
            <w:tcW w:w="2948" w:type="dxa"/>
          </w:tcPr>
          <w:p>
            <w:pPr>
              <w:pStyle w:val="0"/>
            </w:pPr>
            <w:r>
              <w:rPr>
                <w:sz w:val="24"/>
              </w:rPr>
              <w:t xml:space="preserve">mem-int:DoxodyZaVychetomRasxodovRasxodyZaVychetomDoxodovPoVosstanovleniyuSozdaniyuOczenochnyxRezervovPodOzhidaemyeKreditnyeUbytkiPoDolgovymInstrumentamOczenivaemymPoSpravedlivojStoimostiCHerezPSDMember</w:t>
            </w:r>
          </w:p>
        </w:tc>
      </w:tr>
      <w:tr>
        <w:tc>
          <w:tcPr>
            <w:tcW w:w="907" w:type="dxa"/>
          </w:tcPr>
          <w:p>
            <w:pPr>
              <w:pStyle w:val="0"/>
            </w:pPr>
            <w:r>
              <w:rPr>
                <w:sz w:val="24"/>
              </w:rPr>
              <w:t xml:space="preserve">2.18</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инвестиционным имуществом и капитальными вложениями в него</w:t>
            </w:r>
          </w:p>
        </w:tc>
        <w:tc>
          <w:tcPr>
            <w:tcW w:w="2948" w:type="dxa"/>
          </w:tcPr>
          <w:p>
            <w:pPr>
              <w:pStyle w:val="0"/>
            </w:pPr>
            <w:r>
              <w:rPr>
                <w:sz w:val="24"/>
              </w:rPr>
              <w:t xml:space="preserve">mem-int:DoxRasxOtOpSInvImIKapVlozhVNegoMember</w:t>
            </w:r>
          </w:p>
        </w:tc>
      </w:tr>
      <w:tr>
        <w:tc>
          <w:tcPr>
            <w:tcW w:w="907" w:type="dxa"/>
          </w:tcPr>
          <w:p>
            <w:pPr>
              <w:pStyle w:val="0"/>
            </w:pPr>
            <w:r>
              <w:rPr>
                <w:sz w:val="24"/>
              </w:rPr>
              <w:t xml:space="preserve">2.19</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иностранной валютой</w:t>
            </w:r>
          </w:p>
        </w:tc>
        <w:tc>
          <w:tcPr>
            <w:tcW w:w="2948" w:type="dxa"/>
          </w:tcPr>
          <w:p>
            <w:pPr>
              <w:pStyle w:val="0"/>
            </w:pPr>
            <w:r>
              <w:rPr>
                <w:sz w:val="24"/>
              </w:rPr>
              <w:t xml:space="preserve">mem-int:DoxZaVychRasxRasxZaVychDoxOtOperSInostrValMember</w:t>
            </w:r>
          </w:p>
        </w:tc>
      </w:tr>
      <w:tr>
        <w:tc>
          <w:tcPr>
            <w:tcW w:w="907" w:type="dxa"/>
          </w:tcPr>
          <w:p>
            <w:pPr>
              <w:pStyle w:val="0"/>
            </w:pPr>
            <w:r>
              <w:rPr>
                <w:sz w:val="24"/>
              </w:rPr>
              <w:t xml:space="preserve">2.20</w:t>
            </w:r>
          </w:p>
        </w:tc>
        <w:tc>
          <w:tcPr>
            <w:tcW w:w="2608" w:type="dxa"/>
          </w:tcPr>
          <w:p>
            <w:pPr>
              <w:pStyle w:val="0"/>
            </w:pPr>
            <w:r>
              <w:rPr>
                <w:sz w:val="24"/>
              </w:rPr>
            </w:r>
          </w:p>
        </w:tc>
        <w:tc>
          <w:tcPr>
            <w:tcW w:w="2608" w:type="dxa"/>
          </w:tcPr>
          <w:p>
            <w:pPr>
              <w:pStyle w:val="0"/>
            </w:pPr>
            <w:r>
              <w:rPr>
                <w:sz w:val="24"/>
              </w:rPr>
              <w:t xml:space="preserve">Прочие инвестиционные доходы за вычетом расходов (расходы за вычетом доходов)</w:t>
            </w:r>
          </w:p>
        </w:tc>
        <w:tc>
          <w:tcPr>
            <w:tcW w:w="2948" w:type="dxa"/>
          </w:tcPr>
          <w:p>
            <w:pPr>
              <w:pStyle w:val="0"/>
            </w:pPr>
            <w:r>
              <w:rPr>
                <w:sz w:val="24"/>
              </w:rPr>
              <w:t xml:space="preserve">mem-int:ProchInvestDoxZaVychRasxRasxZaVychDoxMember</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Процентные расходы</w:t>
            </w:r>
          </w:p>
        </w:tc>
        <w:tc>
          <w:tcPr>
            <w:tcW w:w="2948" w:type="dxa"/>
          </w:tcPr>
          <w:p>
            <w:pPr>
              <w:pStyle w:val="0"/>
            </w:pPr>
            <w:r>
              <w:rPr>
                <w:sz w:val="24"/>
              </w:rPr>
              <w:t xml:space="preserve">mem-int:InterestExpenseMember</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финансовыми обязательствами, классифицируемыми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mem-int:DoxZaVychRasxRasxZaVychDoxOtOperSFOKlasKakOczenPoSSCHerezPribIliUbytPoUsmotrStraxovshhikaMember</w:t>
            </w:r>
          </w:p>
        </w:tc>
      </w:tr>
      <w:tr>
        <w:tc>
          <w:tcPr>
            <w:tcW w:w="907" w:type="dxa"/>
          </w:tcPr>
          <w:p>
            <w:pPr>
              <w:pStyle w:val="0"/>
            </w:pPr>
            <w:r>
              <w:rPr>
                <w:sz w:val="24"/>
              </w:rPr>
              <w:t xml:space="preserve">2.23</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операций с финансовыми обязательствами, оцениваемыми по амортизированной стоимости</w:t>
            </w:r>
          </w:p>
        </w:tc>
        <w:tc>
          <w:tcPr>
            <w:tcW w:w="2948" w:type="dxa"/>
          </w:tcPr>
          <w:p>
            <w:pPr>
              <w:pStyle w:val="0"/>
            </w:pPr>
            <w:r>
              <w:rPr>
                <w:sz w:val="24"/>
              </w:rPr>
              <w:t xml:space="preserve">mem-int:DoxZaVychRasxRasxZaVychDoxOperFOOczenPoAmortStoimMember</w:t>
            </w:r>
          </w:p>
        </w:tc>
      </w:tr>
      <w:tr>
        <w:tc>
          <w:tcPr>
            <w:tcW w:w="907" w:type="dxa"/>
          </w:tcPr>
          <w:p>
            <w:pPr>
              <w:pStyle w:val="0"/>
            </w:pPr>
            <w:r>
              <w:rPr>
                <w:sz w:val="24"/>
              </w:rPr>
              <w:t xml:space="preserve">2.24</w:t>
            </w:r>
          </w:p>
        </w:tc>
        <w:tc>
          <w:tcPr>
            <w:tcW w:w="2608" w:type="dxa"/>
          </w:tcPr>
          <w:p>
            <w:pPr>
              <w:pStyle w:val="0"/>
            </w:pPr>
            <w:r>
              <w:rPr>
                <w:sz w:val="24"/>
              </w:rPr>
            </w:r>
          </w:p>
        </w:tc>
        <w:tc>
          <w:tcPr>
            <w:tcW w:w="2608" w:type="dxa"/>
          </w:tcPr>
          <w:p>
            <w:pPr>
              <w:pStyle w:val="0"/>
            </w:pPr>
            <w:r>
              <w:rPr>
                <w:sz w:val="24"/>
              </w:rPr>
              <w:t xml:space="preserve">Финансовые доходы (расходы) по страхованию по группам договоров страхования и выпущенных (принятых) договоров перестрахования</w:t>
            </w:r>
          </w:p>
        </w:tc>
        <w:tc>
          <w:tcPr>
            <w:tcW w:w="2948" w:type="dxa"/>
          </w:tcPr>
          <w:p>
            <w:pPr>
              <w:pStyle w:val="0"/>
            </w:pPr>
            <w:r>
              <w:rPr>
                <w:sz w:val="24"/>
              </w:rPr>
              <w:t xml:space="preserve">mem-int:FinDoxRasxPoStraxPoGrupDogStraxIVypPrinDogPerestrMember</w:t>
            </w:r>
          </w:p>
        </w:tc>
      </w:tr>
      <w:tr>
        <w:tc>
          <w:tcPr>
            <w:tcW w:w="907" w:type="dxa"/>
          </w:tcPr>
          <w:p>
            <w:pPr>
              <w:pStyle w:val="0"/>
            </w:pPr>
            <w:r>
              <w:rPr>
                <w:sz w:val="24"/>
              </w:rPr>
              <w:t xml:space="preserve">2.25</w:t>
            </w:r>
          </w:p>
        </w:tc>
        <w:tc>
          <w:tcPr>
            <w:tcW w:w="2608" w:type="dxa"/>
          </w:tcPr>
          <w:p>
            <w:pPr>
              <w:pStyle w:val="0"/>
            </w:pPr>
            <w:r>
              <w:rPr>
                <w:sz w:val="24"/>
              </w:rPr>
            </w:r>
          </w:p>
        </w:tc>
        <w:tc>
          <w:tcPr>
            <w:tcW w:w="2608" w:type="dxa"/>
          </w:tcPr>
          <w:p>
            <w:pPr>
              <w:pStyle w:val="0"/>
            </w:pPr>
            <w:r>
              <w:rPr>
                <w:sz w:val="24"/>
              </w:rPr>
              <w:t xml:space="preserve">Финансовые доходы (расходы) по страхованию по группам договоров страхования</w:t>
            </w:r>
          </w:p>
        </w:tc>
        <w:tc>
          <w:tcPr>
            <w:tcW w:w="2948" w:type="dxa"/>
          </w:tcPr>
          <w:p>
            <w:pPr>
              <w:pStyle w:val="0"/>
            </w:pPr>
            <w:r>
              <w:rPr>
                <w:sz w:val="24"/>
              </w:rPr>
              <w:t xml:space="preserve">mem-int:FinDoxRasxPoStraxPoGrupDogStraxovaniyaMember</w:t>
            </w:r>
          </w:p>
        </w:tc>
      </w:tr>
      <w:tr>
        <w:tc>
          <w:tcPr>
            <w:tcW w:w="907" w:type="dxa"/>
          </w:tcPr>
          <w:p>
            <w:pPr>
              <w:pStyle w:val="0"/>
            </w:pPr>
            <w:r>
              <w:rPr>
                <w:sz w:val="24"/>
              </w:rPr>
              <w:t xml:space="preserve">2.26</w:t>
            </w:r>
          </w:p>
        </w:tc>
        <w:tc>
          <w:tcPr>
            <w:tcW w:w="2608" w:type="dxa"/>
          </w:tcPr>
          <w:p>
            <w:pPr>
              <w:pStyle w:val="0"/>
            </w:pPr>
            <w:r>
              <w:rPr>
                <w:sz w:val="24"/>
              </w:rPr>
            </w:r>
          </w:p>
        </w:tc>
        <w:tc>
          <w:tcPr>
            <w:tcW w:w="2608" w:type="dxa"/>
          </w:tcPr>
          <w:p>
            <w:pPr>
              <w:pStyle w:val="0"/>
            </w:pPr>
            <w:r>
              <w:rPr>
                <w:sz w:val="24"/>
              </w:rPr>
              <w:t xml:space="preserve">Финансовые доходы (расходы) по страхованию по группам удерживаемых (переданных) договоров перестрахования</w:t>
            </w:r>
          </w:p>
        </w:tc>
        <w:tc>
          <w:tcPr>
            <w:tcW w:w="2948" w:type="dxa"/>
          </w:tcPr>
          <w:p>
            <w:pPr>
              <w:pStyle w:val="0"/>
            </w:pPr>
            <w:r>
              <w:rPr>
                <w:sz w:val="24"/>
              </w:rPr>
              <w:t xml:space="preserve">mem-int:FinDoxRasxPoStraxPoGrupUderzhPeredanDogPerestrMember</w:t>
            </w:r>
          </w:p>
        </w:tc>
      </w:tr>
      <w:tr>
        <w:tc>
          <w:tcPr>
            <w:tcW w:w="907" w:type="dxa"/>
          </w:tcPr>
          <w:p>
            <w:pPr>
              <w:pStyle w:val="0"/>
            </w:pPr>
            <w:r>
              <w:rPr>
                <w:sz w:val="24"/>
              </w:rPr>
              <w:t xml:space="preserve">2.27</w:t>
            </w:r>
          </w:p>
        </w:tc>
        <w:tc>
          <w:tcPr>
            <w:tcW w:w="2608" w:type="dxa"/>
          </w:tcPr>
          <w:p>
            <w:pPr>
              <w:pStyle w:val="0"/>
            </w:pPr>
            <w:r>
              <w:rPr>
                <w:sz w:val="24"/>
              </w:rPr>
            </w:r>
          </w:p>
        </w:tc>
        <w:tc>
          <w:tcPr>
            <w:tcW w:w="2608" w:type="dxa"/>
          </w:tcPr>
          <w:p>
            <w:pPr>
              <w:pStyle w:val="0"/>
            </w:pPr>
            <w:r>
              <w:rPr>
                <w:sz w:val="24"/>
              </w:rPr>
              <w:t xml:space="preserve">Общие и административные расходы</w:t>
            </w:r>
          </w:p>
        </w:tc>
        <w:tc>
          <w:tcPr>
            <w:tcW w:w="2948" w:type="dxa"/>
          </w:tcPr>
          <w:p>
            <w:pPr>
              <w:pStyle w:val="0"/>
            </w:pPr>
            <w:r>
              <w:rPr>
                <w:sz w:val="24"/>
              </w:rPr>
              <w:t xml:space="preserve">mem-int:ObshhieIAdmRasxMember</w:t>
            </w:r>
          </w:p>
        </w:tc>
      </w:tr>
      <w:tr>
        <w:tc>
          <w:tcPr>
            <w:tcW w:w="907" w:type="dxa"/>
          </w:tcPr>
          <w:p>
            <w:pPr>
              <w:pStyle w:val="0"/>
            </w:pPr>
            <w:r>
              <w:rPr>
                <w:sz w:val="24"/>
              </w:rPr>
              <w:t xml:space="preserve">2.28</w:t>
            </w:r>
          </w:p>
        </w:tc>
        <w:tc>
          <w:tcPr>
            <w:tcW w:w="2608" w:type="dxa"/>
          </w:tcPr>
          <w:p>
            <w:pPr>
              <w:pStyle w:val="0"/>
            </w:pPr>
            <w:r>
              <w:rPr>
                <w:sz w:val="24"/>
              </w:rPr>
            </w:r>
          </w:p>
        </w:tc>
        <w:tc>
          <w:tcPr>
            <w:tcW w:w="2608" w:type="dxa"/>
          </w:tcPr>
          <w:p>
            <w:pPr>
              <w:pStyle w:val="0"/>
            </w:pPr>
            <w:r>
              <w:rPr>
                <w:sz w:val="24"/>
              </w:rPr>
              <w:t xml:space="preserve">Доходы по договорам обязательного медицинского страхования</w:t>
            </w:r>
          </w:p>
        </w:tc>
        <w:tc>
          <w:tcPr>
            <w:tcW w:w="2948" w:type="dxa"/>
          </w:tcPr>
          <w:p>
            <w:pPr>
              <w:pStyle w:val="0"/>
            </w:pPr>
            <w:r>
              <w:rPr>
                <w:sz w:val="24"/>
              </w:rPr>
              <w:t xml:space="preserve">mem-int:DoxodyPoDogovoramOMSMember</w:t>
            </w:r>
          </w:p>
        </w:tc>
      </w:tr>
      <w:tr>
        <w:tc>
          <w:tcPr>
            <w:tcW w:w="907" w:type="dxa"/>
          </w:tcPr>
          <w:p>
            <w:pPr>
              <w:pStyle w:val="0"/>
            </w:pPr>
            <w:r>
              <w:rPr>
                <w:sz w:val="24"/>
              </w:rPr>
              <w:t xml:space="preserve">2.29</w:t>
            </w:r>
          </w:p>
        </w:tc>
        <w:tc>
          <w:tcPr>
            <w:tcW w:w="2608" w:type="dxa"/>
          </w:tcPr>
          <w:p>
            <w:pPr>
              <w:pStyle w:val="0"/>
            </w:pPr>
            <w:r>
              <w:rPr>
                <w:sz w:val="24"/>
              </w:rPr>
            </w:r>
          </w:p>
        </w:tc>
        <w:tc>
          <w:tcPr>
            <w:tcW w:w="2608" w:type="dxa"/>
          </w:tcPr>
          <w:p>
            <w:pPr>
              <w:pStyle w:val="0"/>
            </w:pPr>
            <w:r>
              <w:rPr>
                <w:sz w:val="24"/>
              </w:rPr>
              <w:t xml:space="preserve">Расходы по договорам обязательного медицинского страхования</w:t>
            </w:r>
          </w:p>
        </w:tc>
        <w:tc>
          <w:tcPr>
            <w:tcW w:w="2948" w:type="dxa"/>
          </w:tcPr>
          <w:p>
            <w:pPr>
              <w:pStyle w:val="0"/>
            </w:pPr>
            <w:r>
              <w:rPr>
                <w:sz w:val="24"/>
              </w:rPr>
              <w:t xml:space="preserve">mem-int:RasxodyPoDogovoramOMSMember</w:t>
            </w:r>
          </w:p>
        </w:tc>
      </w:tr>
      <w:tr>
        <w:tc>
          <w:tcPr>
            <w:tcW w:w="907" w:type="dxa"/>
          </w:tcPr>
          <w:p>
            <w:pPr>
              <w:pStyle w:val="0"/>
            </w:pPr>
            <w:r>
              <w:rPr>
                <w:sz w:val="24"/>
              </w:rPr>
              <w:t xml:space="preserve">2.30</w:t>
            </w:r>
          </w:p>
        </w:tc>
        <w:tc>
          <w:tcPr>
            <w:tcW w:w="2608" w:type="dxa"/>
          </w:tcPr>
          <w:p>
            <w:pPr>
              <w:pStyle w:val="0"/>
            </w:pPr>
            <w:r>
              <w:rPr>
                <w:sz w:val="24"/>
              </w:rPr>
            </w:r>
          </w:p>
        </w:tc>
        <w:tc>
          <w:tcPr>
            <w:tcW w:w="2608" w:type="dxa"/>
          </w:tcPr>
          <w:p>
            <w:pPr>
              <w:pStyle w:val="0"/>
            </w:pPr>
            <w:r>
              <w:rPr>
                <w:sz w:val="24"/>
              </w:rPr>
              <w:t xml:space="preserve">Доходы за вычетом расходов (расходы за вычетом доходов) от переоценки и выбытия активов (выбывающих групп), классифицированных как предназначенные для продажи</w:t>
            </w:r>
          </w:p>
        </w:tc>
        <w:tc>
          <w:tcPr>
            <w:tcW w:w="2948" w:type="dxa"/>
          </w:tcPr>
          <w:p>
            <w:pPr>
              <w:pStyle w:val="0"/>
            </w:pPr>
            <w:r>
              <w:rPr>
                <w:sz w:val="24"/>
              </w:rPr>
              <w:t xml:space="preserve">mem-int:DZaVychRRZaVychDOtPerIVybAktVybGruppKlasKakPredDlyaProdMember</w:t>
            </w:r>
          </w:p>
        </w:tc>
      </w:tr>
      <w:tr>
        <w:tc>
          <w:tcPr>
            <w:tcW w:w="907" w:type="dxa"/>
          </w:tcPr>
          <w:p>
            <w:pPr>
              <w:pStyle w:val="0"/>
            </w:pPr>
            <w:r>
              <w:rPr>
                <w:sz w:val="24"/>
              </w:rPr>
              <w:t xml:space="preserve">2.31</w:t>
            </w:r>
          </w:p>
        </w:tc>
        <w:tc>
          <w:tcPr>
            <w:tcW w:w="2608" w:type="dxa"/>
          </w:tcPr>
          <w:p>
            <w:pPr>
              <w:pStyle w:val="0"/>
            </w:pPr>
            <w:r>
              <w:rPr>
                <w:sz w:val="24"/>
              </w:rPr>
            </w:r>
          </w:p>
        </w:tc>
        <w:tc>
          <w:tcPr>
            <w:tcW w:w="2608" w:type="dxa"/>
          </w:tcPr>
          <w:p>
            <w:pPr>
              <w:pStyle w:val="0"/>
            </w:pPr>
            <w:r>
              <w:rPr>
                <w:sz w:val="24"/>
              </w:rPr>
              <w:t xml:space="preserve">Прочие операционные доходы</w:t>
            </w:r>
          </w:p>
        </w:tc>
        <w:tc>
          <w:tcPr>
            <w:tcW w:w="2948" w:type="dxa"/>
          </w:tcPr>
          <w:p>
            <w:pPr>
              <w:pStyle w:val="0"/>
            </w:pPr>
            <w:r>
              <w:rPr>
                <w:sz w:val="24"/>
              </w:rPr>
              <w:t xml:space="preserve">mem-int:ProchieOperaczionnyeDoxodyMember</w:t>
            </w:r>
          </w:p>
        </w:tc>
      </w:tr>
      <w:tr>
        <w:tc>
          <w:tcPr>
            <w:tcW w:w="907" w:type="dxa"/>
          </w:tcPr>
          <w:p>
            <w:pPr>
              <w:pStyle w:val="0"/>
            </w:pPr>
            <w:r>
              <w:rPr>
                <w:sz w:val="24"/>
              </w:rPr>
              <w:t xml:space="preserve">2.32</w:t>
            </w:r>
          </w:p>
        </w:tc>
        <w:tc>
          <w:tcPr>
            <w:tcW w:w="2608" w:type="dxa"/>
          </w:tcPr>
          <w:p>
            <w:pPr>
              <w:pStyle w:val="0"/>
            </w:pPr>
            <w:r>
              <w:rPr>
                <w:sz w:val="24"/>
              </w:rPr>
            </w:r>
          </w:p>
        </w:tc>
        <w:tc>
          <w:tcPr>
            <w:tcW w:w="2608" w:type="dxa"/>
          </w:tcPr>
          <w:p>
            <w:pPr>
              <w:pStyle w:val="0"/>
            </w:pPr>
            <w:r>
              <w:rPr>
                <w:sz w:val="24"/>
              </w:rPr>
              <w:t xml:space="preserve">Прочие операционные расходы</w:t>
            </w:r>
          </w:p>
        </w:tc>
        <w:tc>
          <w:tcPr>
            <w:tcW w:w="2948" w:type="dxa"/>
          </w:tcPr>
          <w:p>
            <w:pPr>
              <w:pStyle w:val="0"/>
            </w:pPr>
            <w:r>
              <w:rPr>
                <w:sz w:val="24"/>
              </w:rPr>
              <w:t xml:space="preserve">mem-int:ProchieOperaczionnyeRasxodyMember</w:t>
            </w:r>
          </w:p>
        </w:tc>
      </w:tr>
      <w:tr>
        <w:tc>
          <w:tcPr>
            <w:tcW w:w="907" w:type="dxa"/>
          </w:tcPr>
          <w:p>
            <w:pPr>
              <w:pStyle w:val="0"/>
            </w:pPr>
            <w:r>
              <w:rPr>
                <w:sz w:val="24"/>
              </w:rPr>
              <w:t xml:space="preserve">2.33</w:t>
            </w:r>
          </w:p>
        </w:tc>
        <w:tc>
          <w:tcPr>
            <w:tcW w:w="2608" w:type="dxa"/>
          </w:tcPr>
          <w:p>
            <w:pPr>
              <w:pStyle w:val="0"/>
            </w:pPr>
            <w:r>
              <w:rPr>
                <w:sz w:val="24"/>
              </w:rPr>
            </w:r>
          </w:p>
        </w:tc>
        <w:tc>
          <w:tcPr>
            <w:tcW w:w="2608" w:type="dxa"/>
          </w:tcPr>
          <w:p>
            <w:pPr>
              <w:pStyle w:val="0"/>
            </w:pPr>
            <w:r>
              <w:rPr>
                <w:sz w:val="24"/>
              </w:rPr>
              <w:t xml:space="preserve">Доход (расход) по текущему налогу на прибыль</w:t>
            </w:r>
          </w:p>
        </w:tc>
        <w:tc>
          <w:tcPr>
            <w:tcW w:w="2948" w:type="dxa"/>
          </w:tcPr>
          <w:p>
            <w:pPr>
              <w:pStyle w:val="0"/>
            </w:pPr>
            <w:r>
              <w:rPr>
                <w:sz w:val="24"/>
              </w:rPr>
              <w:t xml:space="preserve">mem-int:DoxRasxPoTekNalNaPribMember</w:t>
            </w:r>
          </w:p>
        </w:tc>
      </w:tr>
      <w:tr>
        <w:tc>
          <w:tcPr>
            <w:tcW w:w="907" w:type="dxa"/>
          </w:tcPr>
          <w:p>
            <w:pPr>
              <w:pStyle w:val="0"/>
            </w:pPr>
            <w:r>
              <w:rPr>
                <w:sz w:val="24"/>
              </w:rPr>
              <w:t xml:space="preserve">2.34</w:t>
            </w:r>
          </w:p>
        </w:tc>
        <w:tc>
          <w:tcPr>
            <w:tcW w:w="2608" w:type="dxa"/>
          </w:tcPr>
          <w:p>
            <w:pPr>
              <w:pStyle w:val="0"/>
            </w:pPr>
            <w:r>
              <w:rPr>
                <w:sz w:val="24"/>
              </w:rPr>
            </w:r>
          </w:p>
        </w:tc>
        <w:tc>
          <w:tcPr>
            <w:tcW w:w="2608" w:type="dxa"/>
          </w:tcPr>
          <w:p>
            <w:pPr>
              <w:pStyle w:val="0"/>
            </w:pPr>
            <w:r>
              <w:rPr>
                <w:sz w:val="24"/>
              </w:rPr>
              <w:t xml:space="preserve">Доход (расход) по отложенному налогу на прибыль</w:t>
            </w:r>
          </w:p>
        </w:tc>
        <w:tc>
          <w:tcPr>
            <w:tcW w:w="2948" w:type="dxa"/>
          </w:tcPr>
          <w:p>
            <w:pPr>
              <w:pStyle w:val="0"/>
            </w:pPr>
            <w:r>
              <w:rPr>
                <w:sz w:val="24"/>
              </w:rPr>
              <w:t xml:space="preserve">mem-int:DoxRasxPoOtlNalNaPribMember</w:t>
            </w:r>
          </w:p>
        </w:tc>
      </w:tr>
      <w:tr>
        <w:tc>
          <w:tcPr>
            <w:tcW w:w="907" w:type="dxa"/>
          </w:tcPr>
          <w:p>
            <w:pPr>
              <w:pStyle w:val="0"/>
            </w:pPr>
            <w:r>
              <w:rPr>
                <w:sz w:val="24"/>
              </w:rPr>
              <w:t xml:space="preserve">2.35</w:t>
            </w:r>
          </w:p>
        </w:tc>
        <w:tc>
          <w:tcPr>
            <w:tcW w:w="2608" w:type="dxa"/>
          </w:tcPr>
          <w:p>
            <w:pPr>
              <w:pStyle w:val="0"/>
            </w:pPr>
            <w:r>
              <w:rPr>
                <w:sz w:val="24"/>
              </w:rPr>
            </w:r>
          </w:p>
        </w:tc>
        <w:tc>
          <w:tcPr>
            <w:tcW w:w="2608" w:type="dxa"/>
          </w:tcPr>
          <w:p>
            <w:pPr>
              <w:pStyle w:val="0"/>
            </w:pPr>
            <w:r>
              <w:rPr>
                <w:sz w:val="24"/>
              </w:rPr>
              <w:t xml:space="preserve">Прибыль (убыток) от прекращенной деятельности, переоценки и выбытия активов (выбывающих групп), классифицированных как предназначенные для продажи, составляющих прекращенную деятельность, после налогообложения</w:t>
            </w:r>
          </w:p>
        </w:tc>
        <w:tc>
          <w:tcPr>
            <w:tcW w:w="2948" w:type="dxa"/>
          </w:tcPr>
          <w:p>
            <w:pPr>
              <w:pStyle w:val="0"/>
            </w:pPr>
            <w:r>
              <w:rPr>
                <w:sz w:val="24"/>
              </w:rPr>
              <w:t xml:space="preserve">mem-int:PrUbPrDeyatPerIVybAkVybGrKlasKakPrDlProdSosPrDeyatPosNalMember</w:t>
            </w:r>
          </w:p>
        </w:tc>
      </w:tr>
    </w:tbl>
    <w:p>
      <w:pPr>
        <w:pStyle w:val="0"/>
        <w:ind w:firstLine="540"/>
        <w:jc w:val="both"/>
      </w:pPr>
      <w:r>
        <w:rPr>
          <w:sz w:val="24"/>
        </w:rPr>
      </w:r>
    </w:p>
    <w:p>
      <w:pPr>
        <w:pStyle w:val="0"/>
        <w:outlineLvl w:val="3"/>
        <w:jc w:val="both"/>
      </w:pPr>
      <w:r>
        <w:rPr>
          <w:sz w:val="24"/>
        </w:rPr>
        <w:t xml:space="preserve">Подраздел 10.3. </w:t>
      </w:r>
      <w:hyperlink w:history="0" w:anchor="P37328" w:tooltip="Раздел 4. Движение денежных средств по операциям со связанными сторонами">
        <w:r>
          <w:rPr>
            <w:sz w:val="24"/>
            <w:color w:val="0000ff"/>
          </w:rPr>
          <w:t xml:space="preserve">Раздел 4</w:t>
        </w:r>
      </w:hyperlink>
      <w:r>
        <w:rPr>
          <w:sz w:val="24"/>
        </w:rPr>
        <w:t xml:space="preserve"> "Движение денежных средств по операциям со связанными сторонами"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dim-int:Kat_SvyazStoronyAxis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2</w:t>
            </w:r>
          </w:p>
        </w:tc>
        <w:tc>
          <w:tcPr>
            <w:tcW w:w="2608" w:type="dxa"/>
          </w:tcPr>
          <w:p>
            <w:pPr>
              <w:pStyle w:val="0"/>
            </w:pPr>
            <w:r>
              <w:rPr>
                <w:sz w:val="24"/>
              </w:rPr>
              <w:t xml:space="preserve">Наименование показателя отчета о движении денежных средств</w:t>
            </w:r>
          </w:p>
        </w:tc>
        <w:tc>
          <w:tcPr>
            <w:tcW w:w="2608" w:type="dxa"/>
          </w:tcPr>
          <w:p>
            <w:pPr>
              <w:pStyle w:val="0"/>
            </w:pPr>
            <w:r>
              <w:rPr>
                <w:sz w:val="24"/>
              </w:rPr>
            </w:r>
          </w:p>
        </w:tc>
        <w:tc>
          <w:tcPr>
            <w:tcW w:w="2948" w:type="dxa"/>
          </w:tcPr>
          <w:p>
            <w:pPr>
              <w:pStyle w:val="0"/>
            </w:pPr>
            <w:r>
              <w:rPr>
                <w:sz w:val="24"/>
              </w:rPr>
              <w:t xml:space="preserve">dim-int:NaimPokazatelyaOtchetaODDSAxis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Страховые премии, полученные по договорам страхования жизни и выпущенным (принятым) договорам перестрахования жизни</w:t>
            </w:r>
          </w:p>
        </w:tc>
        <w:tc>
          <w:tcPr>
            <w:tcW w:w="2948" w:type="dxa"/>
          </w:tcPr>
          <w:p>
            <w:pPr>
              <w:pStyle w:val="0"/>
            </w:pPr>
            <w:r>
              <w:rPr>
                <w:sz w:val="24"/>
              </w:rPr>
              <w:t xml:space="preserve">mem-int:StraxPremPolPoDogStraxZHizIVypPrinDogPerestrZHizMember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Страховые премии, полученные по договорам страхования иного, чем страхование жизни, и выпущенным (принятым) договорам перестрахования иного, чем страхование жизни</w:t>
            </w:r>
          </w:p>
        </w:tc>
        <w:tc>
          <w:tcPr>
            <w:tcW w:w="2948" w:type="dxa"/>
          </w:tcPr>
          <w:p>
            <w:pPr>
              <w:pStyle w:val="0"/>
            </w:pPr>
            <w:r>
              <w:rPr>
                <w:sz w:val="24"/>
              </w:rPr>
              <w:t xml:space="preserve">mem-int:StraxPremPolPoDogStraxInogoIVypPrinDogPerestrInogoMember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Страховые премии, полученные по договорам страхования иного, чем страхование жизни</w:t>
            </w:r>
          </w:p>
        </w:tc>
        <w:tc>
          <w:tcPr>
            <w:tcW w:w="2948" w:type="dxa"/>
          </w:tcPr>
          <w:p>
            <w:pPr>
              <w:pStyle w:val="0"/>
            </w:pPr>
            <w:r>
              <w:rPr>
                <w:sz w:val="24"/>
              </w:rPr>
              <w:t xml:space="preserve">mem-int:StraxPremPolPoDogStraxInogoCHemStraxZHizniMember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Страховые премии, уплаченные по удерживаемым (переданным) договорам перестрахования</w:t>
            </w:r>
          </w:p>
        </w:tc>
        <w:tc>
          <w:tcPr>
            <w:tcW w:w="2948" w:type="dxa"/>
          </w:tcPr>
          <w:p>
            <w:pPr>
              <w:pStyle w:val="0"/>
            </w:pPr>
            <w:r>
              <w:rPr>
                <w:sz w:val="24"/>
              </w:rPr>
              <w:t xml:space="preserve">mem-int:StraxPremUplPoUderPeredDogPerestraxMember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Выплаты, уплаченные по договорам страхования жизни и выпущенным (принятым) договорам перестрахования жизни</w:t>
            </w:r>
          </w:p>
        </w:tc>
        <w:tc>
          <w:tcPr>
            <w:tcW w:w="2948" w:type="dxa"/>
          </w:tcPr>
          <w:p>
            <w:pPr>
              <w:pStyle w:val="0"/>
            </w:pPr>
            <w:r>
              <w:rPr>
                <w:sz w:val="24"/>
              </w:rPr>
              <w:t xml:space="preserve">mem-int:VyplUplPoDogStraxZHizIVypPrinDogPerestrZHizMember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Выплаты, уплаченные по договорам страхования иного, чем страхование жизни, и выпущенным (принятым) договорам перестрахования иного, чем страхование жизни</w:t>
            </w:r>
          </w:p>
        </w:tc>
        <w:tc>
          <w:tcPr>
            <w:tcW w:w="2948" w:type="dxa"/>
          </w:tcPr>
          <w:p>
            <w:pPr>
              <w:pStyle w:val="0"/>
            </w:pPr>
            <w:r>
              <w:rPr>
                <w:sz w:val="24"/>
              </w:rPr>
              <w:t xml:space="preserve">mem-int:VyplUplPoDogStraxInogoIVypPrinDogPerestrInogoMember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Выплаты, уплаченные по договорам страхования иного, чем страхование жизни</w:t>
            </w:r>
          </w:p>
        </w:tc>
        <w:tc>
          <w:tcPr>
            <w:tcW w:w="2948" w:type="dxa"/>
          </w:tcPr>
          <w:p>
            <w:pPr>
              <w:pStyle w:val="0"/>
            </w:pPr>
            <w:r>
              <w:rPr>
                <w:sz w:val="24"/>
              </w:rPr>
              <w:t xml:space="preserve">mem-int:VyplUplPoDogStraxInogoCHemStraxZHizMember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Суммы, возмещенные перестраховщиком по удерживаемым (переданным) договорам перестрахования</w:t>
            </w:r>
          </w:p>
        </w:tc>
        <w:tc>
          <w:tcPr>
            <w:tcW w:w="2948" w:type="dxa"/>
          </w:tcPr>
          <w:p>
            <w:pPr>
              <w:pStyle w:val="0"/>
            </w:pPr>
            <w:r>
              <w:rPr>
                <w:sz w:val="24"/>
              </w:rPr>
              <w:t xml:space="preserve">mem-int:SumVozmPerestraxPoUdPeredDogPerestraxMember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Поступления, полученные по договорам страхования жизни, классифицируемым как оцениваемые по справедливой стоимости через прибыль или убыток по усмотрению страховой организации</w:t>
            </w:r>
          </w:p>
        </w:tc>
        <w:tc>
          <w:tcPr>
            <w:tcW w:w="2948" w:type="dxa"/>
          </w:tcPr>
          <w:p>
            <w:pPr>
              <w:pStyle w:val="0"/>
            </w:pPr>
            <w:r>
              <w:rPr>
                <w:sz w:val="24"/>
              </w:rPr>
              <w:t xml:space="preserve">mem-int:PostPolPoDogStraxZHizKlasPoSSCHerezPribUbytUsmSOMember</w:t>
            </w:r>
          </w:p>
        </w:tc>
      </w:tr>
      <w:tr>
        <w:tc>
          <w:tcPr>
            <w:tcW w:w="907" w:type="dxa"/>
          </w:tcPr>
          <w:p>
            <w:pPr>
              <w:pStyle w:val="0"/>
            </w:pPr>
            <w:r>
              <w:rPr>
                <w:sz w:val="24"/>
              </w:rPr>
              <w:t xml:space="preserve">2.10</w:t>
            </w:r>
          </w:p>
        </w:tc>
        <w:tc>
          <w:tcPr>
            <w:tcW w:w="2608" w:type="dxa"/>
          </w:tcPr>
          <w:p>
            <w:pPr>
              <w:pStyle w:val="0"/>
            </w:pPr>
            <w:r>
              <w:rPr>
                <w:sz w:val="24"/>
              </w:rPr>
            </w:r>
          </w:p>
        </w:tc>
        <w:tc>
          <w:tcPr>
            <w:tcW w:w="2608" w:type="dxa"/>
          </w:tcPr>
          <w:p>
            <w:pPr>
              <w:pStyle w:val="0"/>
            </w:pPr>
            <w:r>
              <w:rPr>
                <w:sz w:val="24"/>
              </w:rPr>
              <w:t xml:space="preserve">Выплаты, уплаченные по договорам страхования жизни, классифицируемым как оцениваемые по справедливой стоимости через прибыль или убыток по усмотрению страховой организации</w:t>
            </w:r>
          </w:p>
        </w:tc>
        <w:tc>
          <w:tcPr>
            <w:tcW w:w="2948" w:type="dxa"/>
          </w:tcPr>
          <w:p>
            <w:pPr>
              <w:pStyle w:val="0"/>
            </w:pPr>
            <w:r>
              <w:rPr>
                <w:sz w:val="24"/>
              </w:rPr>
              <w:t xml:space="preserve">mem-int:VypUplPoDogStraxZHizKlasPoSSCHerezPribUbUsmSOMember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Поступления, полученные по договорам страхования жизни, оцениваемым по амортизированной стоимости</w:t>
            </w:r>
          </w:p>
        </w:tc>
        <w:tc>
          <w:tcPr>
            <w:tcW w:w="2948" w:type="dxa"/>
          </w:tcPr>
          <w:p>
            <w:pPr>
              <w:pStyle w:val="0"/>
            </w:pPr>
            <w:r>
              <w:rPr>
                <w:sz w:val="24"/>
              </w:rPr>
              <w:t xml:space="preserve">mem-int:PostPolPoDogStraxZHizOczenPoAmortStoimMember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Выплаты, уплаченные по договорам страхования жизни, оцениваемым по амортизированной стоимости</w:t>
            </w:r>
          </w:p>
        </w:tc>
        <w:tc>
          <w:tcPr>
            <w:tcW w:w="2948" w:type="dxa"/>
          </w:tcPr>
          <w:p>
            <w:pPr>
              <w:pStyle w:val="0"/>
            </w:pPr>
            <w:r>
              <w:rPr>
                <w:sz w:val="24"/>
              </w:rPr>
              <w:t xml:space="preserve">mem-int:VypUplPoDogStraxZHizOczenPoAmortStoimMember</w:t>
            </w:r>
          </w:p>
        </w:tc>
      </w:tr>
      <w:tr>
        <w:tc>
          <w:tcPr>
            <w:tcW w:w="907" w:type="dxa"/>
          </w:tcPr>
          <w:p>
            <w:pPr>
              <w:pStyle w:val="0"/>
            </w:pPr>
            <w:r>
              <w:rPr>
                <w:sz w:val="24"/>
              </w:rPr>
              <w:t xml:space="preserve">2.13</w:t>
            </w:r>
          </w:p>
        </w:tc>
        <w:tc>
          <w:tcPr>
            <w:tcW w:w="2608" w:type="dxa"/>
          </w:tcPr>
          <w:p>
            <w:pPr>
              <w:pStyle w:val="0"/>
            </w:pPr>
            <w:r>
              <w:rPr>
                <w:sz w:val="24"/>
              </w:rPr>
            </w:r>
          </w:p>
        </w:tc>
        <w:tc>
          <w:tcPr>
            <w:tcW w:w="2608" w:type="dxa"/>
          </w:tcPr>
          <w:p>
            <w:pPr>
              <w:pStyle w:val="0"/>
            </w:pPr>
            <w:r>
              <w:rPr>
                <w:sz w:val="24"/>
              </w:rPr>
              <w:t xml:space="preserve">Оплата аквизиционных денежных потоков</w:t>
            </w:r>
          </w:p>
        </w:tc>
        <w:tc>
          <w:tcPr>
            <w:tcW w:w="2948" w:type="dxa"/>
          </w:tcPr>
          <w:p>
            <w:pPr>
              <w:pStyle w:val="0"/>
            </w:pPr>
            <w:r>
              <w:rPr>
                <w:sz w:val="24"/>
              </w:rPr>
              <w:t xml:space="preserve">mem-int:OplataAkviziczionnyxDenezhnyxPotokovMember</w:t>
            </w:r>
          </w:p>
        </w:tc>
      </w:tr>
      <w:tr>
        <w:tc>
          <w:tcPr>
            <w:tcW w:w="907" w:type="dxa"/>
          </w:tcPr>
          <w:p>
            <w:pPr>
              <w:pStyle w:val="0"/>
            </w:pPr>
            <w:r>
              <w:rPr>
                <w:sz w:val="24"/>
              </w:rPr>
              <w:t xml:space="preserve">2.14</w:t>
            </w:r>
          </w:p>
        </w:tc>
        <w:tc>
          <w:tcPr>
            <w:tcW w:w="2608" w:type="dxa"/>
          </w:tcPr>
          <w:p>
            <w:pPr>
              <w:pStyle w:val="0"/>
            </w:pPr>
            <w:r>
              <w:rPr>
                <w:sz w:val="24"/>
              </w:rPr>
            </w:r>
          </w:p>
        </w:tc>
        <w:tc>
          <w:tcPr>
            <w:tcW w:w="2608" w:type="dxa"/>
          </w:tcPr>
          <w:p>
            <w:pPr>
              <w:pStyle w:val="0"/>
            </w:pPr>
            <w:r>
              <w:rPr>
                <w:sz w:val="24"/>
              </w:rPr>
              <w:t xml:space="preserve">Оплата расходов по урегулированию убытков</w:t>
            </w:r>
          </w:p>
        </w:tc>
        <w:tc>
          <w:tcPr>
            <w:tcW w:w="2948" w:type="dxa"/>
          </w:tcPr>
          <w:p>
            <w:pPr>
              <w:pStyle w:val="0"/>
            </w:pPr>
            <w:r>
              <w:rPr>
                <w:sz w:val="24"/>
              </w:rPr>
              <w:t xml:space="preserve">mem-int:OplatRasxPoUregUbytkMember</w:t>
            </w:r>
          </w:p>
        </w:tc>
      </w:tr>
      <w:tr>
        <w:tc>
          <w:tcPr>
            <w:tcW w:w="907" w:type="dxa"/>
          </w:tcPr>
          <w:p>
            <w:pPr>
              <w:pStyle w:val="0"/>
            </w:pPr>
            <w:r>
              <w:rPr>
                <w:sz w:val="24"/>
              </w:rPr>
              <w:t xml:space="preserve">2.15</w:t>
            </w:r>
          </w:p>
        </w:tc>
        <w:tc>
          <w:tcPr>
            <w:tcW w:w="2608" w:type="dxa"/>
          </w:tcPr>
          <w:p>
            <w:pPr>
              <w:pStyle w:val="0"/>
            </w:pPr>
            <w:r>
              <w:rPr>
                <w:sz w:val="24"/>
              </w:rPr>
            </w:r>
          </w:p>
        </w:tc>
        <w:tc>
          <w:tcPr>
            <w:tcW w:w="2608" w:type="dxa"/>
          </w:tcPr>
          <w:p>
            <w:pPr>
              <w:pStyle w:val="0"/>
            </w:pPr>
            <w:r>
              <w:rPr>
                <w:sz w:val="24"/>
              </w:rPr>
              <w:t xml:space="preserve">Поступления по суброгации и регрессным требованиям</w:t>
            </w:r>
          </w:p>
        </w:tc>
        <w:tc>
          <w:tcPr>
            <w:tcW w:w="2948" w:type="dxa"/>
          </w:tcPr>
          <w:p>
            <w:pPr>
              <w:pStyle w:val="0"/>
            </w:pPr>
            <w:r>
              <w:rPr>
                <w:sz w:val="24"/>
              </w:rPr>
              <w:t xml:space="preserve">mem-int:PostupleniyaPoSubrogacziiIRegressnymTrebovaniyamMember</w:t>
            </w:r>
          </w:p>
        </w:tc>
      </w:tr>
      <w:tr>
        <w:tc>
          <w:tcPr>
            <w:tcW w:w="907" w:type="dxa"/>
          </w:tcPr>
          <w:p>
            <w:pPr>
              <w:pStyle w:val="0"/>
            </w:pPr>
            <w:r>
              <w:rPr>
                <w:sz w:val="24"/>
              </w:rPr>
              <w:t xml:space="preserve">2.16</w:t>
            </w:r>
          </w:p>
        </w:tc>
        <w:tc>
          <w:tcPr>
            <w:tcW w:w="2608" w:type="dxa"/>
          </w:tcPr>
          <w:p>
            <w:pPr>
              <w:pStyle w:val="0"/>
            </w:pPr>
            <w:r>
              <w:rPr>
                <w:sz w:val="24"/>
              </w:rPr>
            </w:r>
          </w:p>
        </w:tc>
        <w:tc>
          <w:tcPr>
            <w:tcW w:w="2608" w:type="dxa"/>
          </w:tcPr>
          <w:p>
            <w:pPr>
              <w:pStyle w:val="0"/>
            </w:pPr>
            <w:r>
              <w:rPr>
                <w:sz w:val="24"/>
              </w:rPr>
              <w:t xml:space="preserve">Поступления в оплату возмещенного вреда по прямому возмещению убытков от страховщика причинителя вреда</w:t>
            </w:r>
          </w:p>
        </w:tc>
        <w:tc>
          <w:tcPr>
            <w:tcW w:w="2948" w:type="dxa"/>
          </w:tcPr>
          <w:p>
            <w:pPr>
              <w:pStyle w:val="0"/>
            </w:pPr>
            <w:r>
              <w:rPr>
                <w:sz w:val="24"/>
              </w:rPr>
              <w:t xml:space="preserve">mem-int:PostVOplatuVozmVredaPoPryamVozmUbOtStraxPrichVredaMember</w:t>
            </w:r>
          </w:p>
        </w:tc>
      </w:tr>
      <w:tr>
        <w:tc>
          <w:tcPr>
            <w:tcW w:w="907" w:type="dxa"/>
          </w:tcPr>
          <w:p>
            <w:pPr>
              <w:pStyle w:val="0"/>
            </w:pPr>
            <w:r>
              <w:rPr>
                <w:sz w:val="24"/>
              </w:rPr>
              <w:t xml:space="preserve">2.17</w:t>
            </w:r>
          </w:p>
        </w:tc>
        <w:tc>
          <w:tcPr>
            <w:tcW w:w="2608" w:type="dxa"/>
          </w:tcPr>
          <w:p>
            <w:pPr>
              <w:pStyle w:val="0"/>
            </w:pPr>
            <w:r>
              <w:rPr>
                <w:sz w:val="24"/>
              </w:rPr>
            </w:r>
          </w:p>
        </w:tc>
        <w:tc>
          <w:tcPr>
            <w:tcW w:w="2608" w:type="dxa"/>
          </w:tcPr>
          <w:p>
            <w:pPr>
              <w:pStyle w:val="0"/>
            </w:pPr>
            <w:r>
              <w:rPr>
                <w:sz w:val="24"/>
              </w:rPr>
              <w:t xml:space="preserve">Прочие денежные потоки по удерживаемым (переданным) договорам перестрахования</w:t>
            </w:r>
          </w:p>
        </w:tc>
        <w:tc>
          <w:tcPr>
            <w:tcW w:w="2948" w:type="dxa"/>
          </w:tcPr>
          <w:p>
            <w:pPr>
              <w:pStyle w:val="0"/>
            </w:pPr>
            <w:r>
              <w:rPr>
                <w:sz w:val="24"/>
              </w:rPr>
              <w:t xml:space="preserve">mem-int:ProchDenezhnPotokiPoUderzhPeredDogPerestraxMember</w:t>
            </w:r>
          </w:p>
        </w:tc>
      </w:tr>
      <w:tr>
        <w:tc>
          <w:tcPr>
            <w:tcW w:w="907" w:type="dxa"/>
          </w:tcPr>
          <w:p>
            <w:pPr>
              <w:pStyle w:val="0"/>
            </w:pPr>
            <w:r>
              <w:rPr>
                <w:sz w:val="24"/>
              </w:rPr>
              <w:t xml:space="preserve">2.18</w:t>
            </w:r>
          </w:p>
        </w:tc>
        <w:tc>
          <w:tcPr>
            <w:tcW w:w="2608" w:type="dxa"/>
          </w:tcPr>
          <w:p>
            <w:pPr>
              <w:pStyle w:val="0"/>
            </w:pPr>
            <w:r>
              <w:rPr>
                <w:sz w:val="24"/>
              </w:rPr>
            </w:r>
          </w:p>
        </w:tc>
        <w:tc>
          <w:tcPr>
            <w:tcW w:w="2608" w:type="dxa"/>
          </w:tcPr>
          <w:p>
            <w:pPr>
              <w:pStyle w:val="0"/>
            </w:pPr>
            <w:r>
              <w:rPr>
                <w:sz w:val="24"/>
              </w:rPr>
              <w:t xml:space="preserve">Платежи по оплате возмещенного вреда по прямому возмещению убытков</w:t>
            </w:r>
          </w:p>
        </w:tc>
        <w:tc>
          <w:tcPr>
            <w:tcW w:w="2948" w:type="dxa"/>
          </w:tcPr>
          <w:p>
            <w:pPr>
              <w:pStyle w:val="0"/>
            </w:pPr>
            <w:r>
              <w:rPr>
                <w:sz w:val="24"/>
              </w:rPr>
              <w:t xml:space="preserve">mem-int:PlatezhPoOplatVozmVredPoPryamVozmUbytkMember</w:t>
            </w:r>
          </w:p>
        </w:tc>
      </w:tr>
      <w:tr>
        <w:tc>
          <w:tcPr>
            <w:tcW w:w="907" w:type="dxa"/>
          </w:tcPr>
          <w:p>
            <w:pPr>
              <w:pStyle w:val="0"/>
            </w:pPr>
            <w:r>
              <w:rPr>
                <w:sz w:val="24"/>
              </w:rPr>
              <w:t xml:space="preserve">2.19</w:t>
            </w:r>
          </w:p>
        </w:tc>
        <w:tc>
          <w:tcPr>
            <w:tcW w:w="2608" w:type="dxa"/>
          </w:tcPr>
          <w:p>
            <w:pPr>
              <w:pStyle w:val="0"/>
            </w:pPr>
            <w:r>
              <w:rPr>
                <w:sz w:val="24"/>
              </w:rPr>
            </w:r>
          </w:p>
        </w:tc>
        <w:tc>
          <w:tcPr>
            <w:tcW w:w="2608" w:type="dxa"/>
          </w:tcPr>
          <w:p>
            <w:pPr>
              <w:pStyle w:val="0"/>
            </w:pPr>
            <w:r>
              <w:rPr>
                <w:sz w:val="24"/>
              </w:rPr>
              <w:t xml:space="preserve">Платежи потерпевшим по прямому возмещению убытков</w:t>
            </w:r>
          </w:p>
        </w:tc>
        <w:tc>
          <w:tcPr>
            <w:tcW w:w="2948" w:type="dxa"/>
          </w:tcPr>
          <w:p>
            <w:pPr>
              <w:pStyle w:val="0"/>
            </w:pPr>
            <w:r>
              <w:rPr>
                <w:sz w:val="24"/>
              </w:rPr>
              <w:t xml:space="preserve">mem-int:PlatezhPoterpPoPryamVozmUbytkMember</w:t>
            </w:r>
          </w:p>
        </w:tc>
      </w:tr>
      <w:tr>
        <w:tc>
          <w:tcPr>
            <w:tcW w:w="907" w:type="dxa"/>
          </w:tcPr>
          <w:p>
            <w:pPr>
              <w:pStyle w:val="0"/>
            </w:pPr>
            <w:r>
              <w:rPr>
                <w:sz w:val="24"/>
              </w:rPr>
              <w:t xml:space="preserve">2.20</w:t>
            </w:r>
          </w:p>
        </w:tc>
        <w:tc>
          <w:tcPr>
            <w:tcW w:w="2608" w:type="dxa"/>
          </w:tcPr>
          <w:p>
            <w:pPr>
              <w:pStyle w:val="0"/>
            </w:pPr>
            <w:r>
              <w:rPr>
                <w:sz w:val="24"/>
              </w:rPr>
            </w:r>
          </w:p>
        </w:tc>
        <w:tc>
          <w:tcPr>
            <w:tcW w:w="2608" w:type="dxa"/>
          </w:tcPr>
          <w:p>
            <w:pPr>
              <w:pStyle w:val="0"/>
            </w:pPr>
            <w:r>
              <w:rPr>
                <w:sz w:val="24"/>
              </w:rPr>
              <w:t xml:space="preserve">Платежи профессиональным объединениям страховщиков, предусмотренные законодательством Российской Федерации</w:t>
            </w:r>
          </w:p>
        </w:tc>
        <w:tc>
          <w:tcPr>
            <w:tcW w:w="2948" w:type="dxa"/>
          </w:tcPr>
          <w:p>
            <w:pPr>
              <w:pStyle w:val="0"/>
            </w:pPr>
            <w:r>
              <w:rPr>
                <w:sz w:val="24"/>
              </w:rPr>
              <w:t xml:space="preserve">mem-int:PlatProfObedStraxPredusmZakonodatRFMember</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Прочие денежные потоки по договорам страхования и выпущенным (принятым) договорам перестрахования</w:t>
            </w:r>
          </w:p>
        </w:tc>
        <w:tc>
          <w:tcPr>
            <w:tcW w:w="2948" w:type="dxa"/>
          </w:tcPr>
          <w:p>
            <w:pPr>
              <w:pStyle w:val="0"/>
            </w:pPr>
            <w:r>
              <w:rPr>
                <w:sz w:val="24"/>
              </w:rPr>
              <w:t xml:space="preserve">mem-int:ProchDenezhnPotokiPoDogStraxIVypushhPrinDogPerestrMember</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Прочие денежные потоки по договорам страхования</w:t>
            </w:r>
          </w:p>
        </w:tc>
        <w:tc>
          <w:tcPr>
            <w:tcW w:w="2948" w:type="dxa"/>
          </w:tcPr>
          <w:p>
            <w:pPr>
              <w:pStyle w:val="0"/>
            </w:pPr>
            <w:r>
              <w:rPr>
                <w:sz w:val="24"/>
              </w:rPr>
              <w:t xml:space="preserve">mem-int:ProchieDenezhnyePotokiPoDogovoramStraxovaniyaMember</w:t>
            </w:r>
          </w:p>
        </w:tc>
      </w:tr>
      <w:tr>
        <w:tc>
          <w:tcPr>
            <w:tcW w:w="907" w:type="dxa"/>
          </w:tcPr>
          <w:p>
            <w:pPr>
              <w:pStyle w:val="0"/>
            </w:pPr>
            <w:r>
              <w:rPr>
                <w:sz w:val="24"/>
              </w:rPr>
              <w:t xml:space="preserve">2.23</w:t>
            </w:r>
          </w:p>
        </w:tc>
        <w:tc>
          <w:tcPr>
            <w:tcW w:w="2608" w:type="dxa"/>
          </w:tcPr>
          <w:p>
            <w:pPr>
              <w:pStyle w:val="0"/>
            </w:pPr>
            <w:r>
              <w:rPr>
                <w:sz w:val="24"/>
              </w:rPr>
            </w:r>
          </w:p>
        </w:tc>
        <w:tc>
          <w:tcPr>
            <w:tcW w:w="2608" w:type="dxa"/>
          </w:tcPr>
          <w:p>
            <w:pPr>
              <w:pStyle w:val="0"/>
            </w:pPr>
            <w:r>
              <w:rPr>
                <w:sz w:val="24"/>
              </w:rPr>
              <w:t xml:space="preserve">Поступления по договорам обязательного медицинского страхования</w:t>
            </w:r>
          </w:p>
        </w:tc>
        <w:tc>
          <w:tcPr>
            <w:tcW w:w="2948" w:type="dxa"/>
          </w:tcPr>
          <w:p>
            <w:pPr>
              <w:pStyle w:val="0"/>
            </w:pPr>
            <w:r>
              <w:rPr>
                <w:sz w:val="24"/>
              </w:rPr>
              <w:t xml:space="preserve">mem-int:PostupleniyaPoDogOMSMember</w:t>
            </w:r>
          </w:p>
        </w:tc>
      </w:tr>
      <w:tr>
        <w:tc>
          <w:tcPr>
            <w:tcW w:w="907" w:type="dxa"/>
          </w:tcPr>
          <w:p>
            <w:pPr>
              <w:pStyle w:val="0"/>
            </w:pPr>
            <w:r>
              <w:rPr>
                <w:sz w:val="24"/>
              </w:rPr>
              <w:t xml:space="preserve">2.24</w:t>
            </w:r>
          </w:p>
        </w:tc>
        <w:tc>
          <w:tcPr>
            <w:tcW w:w="2608" w:type="dxa"/>
          </w:tcPr>
          <w:p>
            <w:pPr>
              <w:pStyle w:val="0"/>
            </w:pPr>
            <w:r>
              <w:rPr>
                <w:sz w:val="24"/>
              </w:rPr>
            </w:r>
          </w:p>
        </w:tc>
        <w:tc>
          <w:tcPr>
            <w:tcW w:w="2608" w:type="dxa"/>
          </w:tcPr>
          <w:p>
            <w:pPr>
              <w:pStyle w:val="0"/>
            </w:pPr>
            <w:r>
              <w:rPr>
                <w:sz w:val="24"/>
              </w:rPr>
              <w:t xml:space="preserve">Платежи по договорам обязательного медицинского страхования</w:t>
            </w:r>
          </w:p>
        </w:tc>
        <w:tc>
          <w:tcPr>
            <w:tcW w:w="2948" w:type="dxa"/>
          </w:tcPr>
          <w:p>
            <w:pPr>
              <w:pStyle w:val="0"/>
            </w:pPr>
            <w:r>
              <w:rPr>
                <w:sz w:val="24"/>
              </w:rPr>
              <w:t xml:space="preserve">mem-int:PlatezhiPoDogOMSMember</w:t>
            </w:r>
          </w:p>
        </w:tc>
      </w:tr>
      <w:tr>
        <w:tc>
          <w:tcPr>
            <w:tcW w:w="907" w:type="dxa"/>
          </w:tcPr>
          <w:p>
            <w:pPr>
              <w:pStyle w:val="0"/>
            </w:pPr>
            <w:r>
              <w:rPr>
                <w:sz w:val="24"/>
              </w:rPr>
              <w:t xml:space="preserve">2.25</w:t>
            </w:r>
          </w:p>
        </w:tc>
        <w:tc>
          <w:tcPr>
            <w:tcW w:w="2608" w:type="dxa"/>
          </w:tcPr>
          <w:p>
            <w:pPr>
              <w:pStyle w:val="0"/>
            </w:pPr>
            <w:r>
              <w:rPr>
                <w:sz w:val="24"/>
              </w:rPr>
            </w:r>
          </w:p>
        </w:tc>
        <w:tc>
          <w:tcPr>
            <w:tcW w:w="2608" w:type="dxa"/>
          </w:tcPr>
          <w:p>
            <w:pPr>
              <w:pStyle w:val="0"/>
            </w:pPr>
            <w:r>
              <w:rPr>
                <w:sz w:val="24"/>
              </w:rPr>
              <w:t xml:space="preserve">Проценты полученные</w:t>
            </w:r>
          </w:p>
        </w:tc>
        <w:tc>
          <w:tcPr>
            <w:tcW w:w="2948" w:type="dxa"/>
          </w:tcPr>
          <w:p>
            <w:pPr>
              <w:pStyle w:val="0"/>
            </w:pPr>
            <w:r>
              <w:rPr>
                <w:sz w:val="24"/>
              </w:rPr>
              <w:t xml:space="preserve">mem-int:ProczentyPoluchennyeMember</w:t>
            </w:r>
          </w:p>
        </w:tc>
      </w:tr>
      <w:tr>
        <w:tc>
          <w:tcPr>
            <w:tcW w:w="907" w:type="dxa"/>
          </w:tcPr>
          <w:p>
            <w:pPr>
              <w:pStyle w:val="0"/>
            </w:pPr>
            <w:r>
              <w:rPr>
                <w:sz w:val="24"/>
              </w:rPr>
              <w:t xml:space="preserve">2.26</w:t>
            </w:r>
          </w:p>
        </w:tc>
        <w:tc>
          <w:tcPr>
            <w:tcW w:w="2608" w:type="dxa"/>
          </w:tcPr>
          <w:p>
            <w:pPr>
              <w:pStyle w:val="0"/>
            </w:pPr>
            <w:r>
              <w:rPr>
                <w:sz w:val="24"/>
              </w:rPr>
            </w:r>
          </w:p>
        </w:tc>
        <w:tc>
          <w:tcPr>
            <w:tcW w:w="2608" w:type="dxa"/>
          </w:tcPr>
          <w:p>
            <w:pPr>
              <w:pStyle w:val="0"/>
            </w:pPr>
            <w:r>
              <w:rPr>
                <w:sz w:val="24"/>
              </w:rPr>
              <w:t xml:space="preserve">Проценты уплаченные</w:t>
            </w:r>
          </w:p>
        </w:tc>
        <w:tc>
          <w:tcPr>
            <w:tcW w:w="2948" w:type="dxa"/>
          </w:tcPr>
          <w:p>
            <w:pPr>
              <w:pStyle w:val="0"/>
            </w:pPr>
            <w:r>
              <w:rPr>
                <w:sz w:val="24"/>
              </w:rPr>
              <w:t xml:space="preserve">mem-int:ProczentyUplachennyeMember</w:t>
            </w:r>
          </w:p>
        </w:tc>
      </w:tr>
      <w:tr>
        <w:tc>
          <w:tcPr>
            <w:tcW w:w="907" w:type="dxa"/>
          </w:tcPr>
          <w:p>
            <w:pPr>
              <w:pStyle w:val="0"/>
            </w:pPr>
            <w:r>
              <w:rPr>
                <w:sz w:val="24"/>
              </w:rPr>
              <w:t xml:space="preserve">2.27</w:t>
            </w:r>
          </w:p>
        </w:tc>
        <w:tc>
          <w:tcPr>
            <w:tcW w:w="2608" w:type="dxa"/>
          </w:tcPr>
          <w:p>
            <w:pPr>
              <w:pStyle w:val="0"/>
            </w:pPr>
            <w:r>
              <w:rPr>
                <w:sz w:val="24"/>
              </w:rPr>
            </w:r>
          </w:p>
        </w:tc>
        <w:tc>
          <w:tcPr>
            <w:tcW w:w="2608" w:type="dxa"/>
          </w:tcPr>
          <w:p>
            <w:pPr>
              <w:pStyle w:val="0"/>
            </w:pPr>
            <w:r>
              <w:rPr>
                <w:sz w:val="24"/>
              </w:rPr>
              <w:t xml:space="preserve">Поступления дивидендов и иных аналогичных выплат</w:t>
            </w:r>
          </w:p>
        </w:tc>
        <w:tc>
          <w:tcPr>
            <w:tcW w:w="2948" w:type="dxa"/>
          </w:tcPr>
          <w:p>
            <w:pPr>
              <w:pStyle w:val="0"/>
            </w:pPr>
            <w:r>
              <w:rPr>
                <w:sz w:val="24"/>
              </w:rPr>
              <w:t xml:space="preserve">mem-int:PostupDivIInyxAnalogVyplatMember</w:t>
            </w:r>
          </w:p>
        </w:tc>
      </w:tr>
      <w:tr>
        <w:tc>
          <w:tcPr>
            <w:tcW w:w="907" w:type="dxa"/>
          </w:tcPr>
          <w:p>
            <w:pPr>
              <w:pStyle w:val="0"/>
            </w:pPr>
            <w:r>
              <w:rPr>
                <w:sz w:val="24"/>
              </w:rPr>
              <w:t xml:space="preserve">2.28</w:t>
            </w:r>
          </w:p>
        </w:tc>
        <w:tc>
          <w:tcPr>
            <w:tcW w:w="2608" w:type="dxa"/>
          </w:tcPr>
          <w:p>
            <w:pPr>
              <w:pStyle w:val="0"/>
            </w:pPr>
            <w:r>
              <w:rPr>
                <w:sz w:val="24"/>
              </w:rPr>
            </w:r>
          </w:p>
        </w:tc>
        <w:tc>
          <w:tcPr>
            <w:tcW w:w="2608" w:type="dxa"/>
          </w:tcPr>
          <w:p>
            <w:pPr>
              <w:pStyle w:val="0"/>
            </w:pPr>
            <w:r>
              <w:rPr>
                <w:sz w:val="24"/>
              </w:rPr>
              <w:t xml:space="preserve">Выплаты работникам и от имени работников, страховые взносы с сумм выплат вознаграждений работникам</w:t>
            </w:r>
          </w:p>
        </w:tc>
        <w:tc>
          <w:tcPr>
            <w:tcW w:w="2948" w:type="dxa"/>
          </w:tcPr>
          <w:p>
            <w:pPr>
              <w:pStyle w:val="0"/>
            </w:pPr>
            <w:r>
              <w:rPr>
                <w:sz w:val="24"/>
              </w:rPr>
              <w:t xml:space="preserve">mem-int:VyplatyRabotnIOtImeniRabotnStraxVznosySSummVyplatVoznagrRabotnMember</w:t>
            </w:r>
          </w:p>
        </w:tc>
      </w:tr>
      <w:tr>
        <w:tc>
          <w:tcPr>
            <w:tcW w:w="907" w:type="dxa"/>
          </w:tcPr>
          <w:p>
            <w:pPr>
              <w:pStyle w:val="0"/>
            </w:pPr>
            <w:r>
              <w:rPr>
                <w:sz w:val="24"/>
              </w:rPr>
              <w:t xml:space="preserve">2.29</w:t>
            </w:r>
          </w:p>
        </w:tc>
        <w:tc>
          <w:tcPr>
            <w:tcW w:w="2608" w:type="dxa"/>
          </w:tcPr>
          <w:p>
            <w:pPr>
              <w:pStyle w:val="0"/>
            </w:pPr>
            <w:r>
              <w:rPr>
                <w:sz w:val="24"/>
              </w:rPr>
            </w:r>
          </w:p>
        </w:tc>
        <w:tc>
          <w:tcPr>
            <w:tcW w:w="2608" w:type="dxa"/>
          </w:tcPr>
          <w:p>
            <w:pPr>
              <w:pStyle w:val="0"/>
            </w:pPr>
            <w:r>
              <w:rPr>
                <w:sz w:val="24"/>
              </w:rPr>
              <w:t xml:space="preserve">Поступления от продажи и погашения финансовых активов или от размещения финансовых обязательств, в обязательном порядке классифицируемых как оцениваемые по справедливой стоимости через прибыль или убыток</w:t>
            </w:r>
          </w:p>
        </w:tc>
        <w:tc>
          <w:tcPr>
            <w:tcW w:w="2948" w:type="dxa"/>
          </w:tcPr>
          <w:p>
            <w:pPr>
              <w:pStyle w:val="0"/>
            </w:pPr>
            <w:r>
              <w:rPr>
                <w:sz w:val="24"/>
              </w:rPr>
              <w:t xml:space="preserve">mem-int:PostuplOtProdIPogashFAIliOtRazmeshhFOVObyazPoryadkeKlasKakOczenPoSSCherezPribIliUbytMember</w:t>
            </w:r>
          </w:p>
        </w:tc>
      </w:tr>
      <w:tr>
        <w:tc>
          <w:tcPr>
            <w:tcW w:w="907" w:type="dxa"/>
          </w:tcPr>
          <w:p>
            <w:pPr>
              <w:pStyle w:val="0"/>
            </w:pPr>
            <w:r>
              <w:rPr>
                <w:sz w:val="24"/>
              </w:rPr>
              <w:t xml:space="preserve">2.30</w:t>
            </w:r>
          </w:p>
        </w:tc>
        <w:tc>
          <w:tcPr>
            <w:tcW w:w="2608" w:type="dxa"/>
          </w:tcPr>
          <w:p>
            <w:pPr>
              <w:pStyle w:val="0"/>
            </w:pPr>
            <w:r>
              <w:rPr>
                <w:sz w:val="24"/>
              </w:rPr>
            </w:r>
          </w:p>
        </w:tc>
        <w:tc>
          <w:tcPr>
            <w:tcW w:w="2608" w:type="dxa"/>
          </w:tcPr>
          <w:p>
            <w:pPr>
              <w:pStyle w:val="0"/>
            </w:pPr>
            <w:r>
              <w:rPr>
                <w:sz w:val="24"/>
              </w:rPr>
              <w:t xml:space="preserve">Платежи в связи с приобретением финансовых активов или погашением финансовых обязательств, в обязательном порядке классифицируемых как оцениваемые по справедливой стоимости через прибыль или убыток</w:t>
            </w:r>
          </w:p>
        </w:tc>
        <w:tc>
          <w:tcPr>
            <w:tcW w:w="2948" w:type="dxa"/>
          </w:tcPr>
          <w:p>
            <w:pPr>
              <w:pStyle w:val="0"/>
            </w:pPr>
            <w:r>
              <w:rPr>
                <w:sz w:val="24"/>
              </w:rPr>
              <w:t xml:space="preserve">mem-int:PlatezhiVSvyaziSPriobrFAIliPogashFOVObyazPoryadKlasKakOczenPoSSCherezPribIliUbytMember</w:t>
            </w:r>
          </w:p>
        </w:tc>
      </w:tr>
      <w:tr>
        <w:tc>
          <w:tcPr>
            <w:tcW w:w="907" w:type="dxa"/>
          </w:tcPr>
          <w:p>
            <w:pPr>
              <w:pStyle w:val="0"/>
            </w:pPr>
            <w:r>
              <w:rPr>
                <w:sz w:val="24"/>
              </w:rPr>
              <w:t xml:space="preserve">2.31</w:t>
            </w:r>
          </w:p>
        </w:tc>
        <w:tc>
          <w:tcPr>
            <w:tcW w:w="2608" w:type="dxa"/>
          </w:tcPr>
          <w:p>
            <w:pPr>
              <w:pStyle w:val="0"/>
            </w:pPr>
            <w:r>
              <w:rPr>
                <w:sz w:val="24"/>
              </w:rPr>
            </w:r>
          </w:p>
        </w:tc>
        <w:tc>
          <w:tcPr>
            <w:tcW w:w="2608" w:type="dxa"/>
          </w:tcPr>
          <w:p>
            <w:pPr>
              <w:pStyle w:val="0"/>
            </w:pPr>
            <w:r>
              <w:rPr>
                <w:sz w:val="24"/>
              </w:rPr>
              <w:t xml:space="preserve">Оплата прочих административных и операционных расходов</w:t>
            </w:r>
          </w:p>
        </w:tc>
        <w:tc>
          <w:tcPr>
            <w:tcW w:w="2948" w:type="dxa"/>
          </w:tcPr>
          <w:p>
            <w:pPr>
              <w:pStyle w:val="0"/>
            </w:pPr>
            <w:r>
              <w:rPr>
                <w:sz w:val="24"/>
              </w:rPr>
              <w:t xml:space="preserve">mem-int:OplataProchAdminiIOperRasxMember</w:t>
            </w:r>
          </w:p>
        </w:tc>
      </w:tr>
      <w:tr>
        <w:tc>
          <w:tcPr>
            <w:tcW w:w="907" w:type="dxa"/>
          </w:tcPr>
          <w:p>
            <w:pPr>
              <w:pStyle w:val="0"/>
            </w:pPr>
            <w:r>
              <w:rPr>
                <w:sz w:val="24"/>
              </w:rPr>
              <w:t xml:space="preserve">2.32</w:t>
            </w:r>
          </w:p>
        </w:tc>
        <w:tc>
          <w:tcPr>
            <w:tcW w:w="2608" w:type="dxa"/>
          </w:tcPr>
          <w:p>
            <w:pPr>
              <w:pStyle w:val="0"/>
            </w:pPr>
            <w:r>
              <w:rPr>
                <w:sz w:val="24"/>
              </w:rPr>
            </w:r>
          </w:p>
        </w:tc>
        <w:tc>
          <w:tcPr>
            <w:tcW w:w="2608" w:type="dxa"/>
          </w:tcPr>
          <w:p>
            <w:pPr>
              <w:pStyle w:val="0"/>
            </w:pPr>
            <w:r>
              <w:rPr>
                <w:sz w:val="24"/>
              </w:rPr>
              <w:t xml:space="preserve">Уплаченный налог на прибыль</w:t>
            </w:r>
          </w:p>
        </w:tc>
        <w:tc>
          <w:tcPr>
            <w:tcW w:w="2948" w:type="dxa"/>
          </w:tcPr>
          <w:p>
            <w:pPr>
              <w:pStyle w:val="0"/>
            </w:pPr>
            <w:r>
              <w:rPr>
                <w:sz w:val="24"/>
              </w:rPr>
              <w:t xml:space="preserve">mem-int:IncomeTaxesPaidClassifiedAsOperatingActivitiesMember</w:t>
            </w:r>
          </w:p>
        </w:tc>
      </w:tr>
      <w:tr>
        <w:tc>
          <w:tcPr>
            <w:tcW w:w="907" w:type="dxa"/>
          </w:tcPr>
          <w:p>
            <w:pPr>
              <w:pStyle w:val="0"/>
            </w:pPr>
            <w:r>
              <w:rPr>
                <w:sz w:val="24"/>
              </w:rPr>
              <w:t xml:space="preserve">2.33</w:t>
            </w:r>
          </w:p>
        </w:tc>
        <w:tc>
          <w:tcPr>
            <w:tcW w:w="2608" w:type="dxa"/>
          </w:tcPr>
          <w:p>
            <w:pPr>
              <w:pStyle w:val="0"/>
            </w:pPr>
            <w:r>
              <w:rPr>
                <w:sz w:val="24"/>
              </w:rPr>
            </w:r>
          </w:p>
        </w:tc>
        <w:tc>
          <w:tcPr>
            <w:tcW w:w="2608" w:type="dxa"/>
          </w:tcPr>
          <w:p>
            <w:pPr>
              <w:pStyle w:val="0"/>
            </w:pPr>
            <w:r>
              <w:rPr>
                <w:sz w:val="24"/>
              </w:rPr>
              <w:t xml:space="preserve">Прочие денежные потоки от операционной деятельности</w:t>
            </w:r>
          </w:p>
        </w:tc>
        <w:tc>
          <w:tcPr>
            <w:tcW w:w="2948" w:type="dxa"/>
          </w:tcPr>
          <w:p>
            <w:pPr>
              <w:pStyle w:val="0"/>
            </w:pPr>
            <w:r>
              <w:rPr>
                <w:sz w:val="24"/>
              </w:rPr>
              <w:t xml:space="preserve">mem-int:ProchDenPotokiOtOperDeyatMember</w:t>
            </w:r>
          </w:p>
        </w:tc>
      </w:tr>
      <w:tr>
        <w:tc>
          <w:tcPr>
            <w:tcW w:w="907" w:type="dxa"/>
          </w:tcPr>
          <w:p>
            <w:pPr>
              <w:pStyle w:val="0"/>
            </w:pPr>
            <w:r>
              <w:rPr>
                <w:sz w:val="24"/>
              </w:rPr>
              <w:t xml:space="preserve">2.34</w:t>
            </w:r>
          </w:p>
        </w:tc>
        <w:tc>
          <w:tcPr>
            <w:tcW w:w="2608" w:type="dxa"/>
          </w:tcPr>
          <w:p>
            <w:pPr>
              <w:pStyle w:val="0"/>
            </w:pPr>
            <w:r>
              <w:rPr>
                <w:sz w:val="24"/>
              </w:rPr>
            </w:r>
          </w:p>
        </w:tc>
        <w:tc>
          <w:tcPr>
            <w:tcW w:w="2608" w:type="dxa"/>
          </w:tcPr>
          <w:p>
            <w:pPr>
              <w:pStyle w:val="0"/>
            </w:pPr>
            <w:r>
              <w:rPr>
                <w:sz w:val="24"/>
              </w:rPr>
              <w:t xml:space="preserve">Поступления от продажи основных средств и капитальных вложений в них</w:t>
            </w:r>
          </w:p>
        </w:tc>
        <w:tc>
          <w:tcPr>
            <w:tcW w:w="2948" w:type="dxa"/>
          </w:tcPr>
          <w:p>
            <w:pPr>
              <w:pStyle w:val="0"/>
            </w:pPr>
            <w:r>
              <w:rPr>
                <w:sz w:val="24"/>
              </w:rPr>
              <w:t xml:space="preserve">mem-int:PostupOtProdOSIKapVlozhVNixMember</w:t>
            </w:r>
          </w:p>
        </w:tc>
      </w:tr>
      <w:tr>
        <w:tc>
          <w:tcPr>
            <w:tcW w:w="907" w:type="dxa"/>
          </w:tcPr>
          <w:p>
            <w:pPr>
              <w:pStyle w:val="0"/>
            </w:pPr>
            <w:r>
              <w:rPr>
                <w:sz w:val="24"/>
              </w:rPr>
              <w:t xml:space="preserve">2.35</w:t>
            </w:r>
          </w:p>
        </w:tc>
        <w:tc>
          <w:tcPr>
            <w:tcW w:w="2608" w:type="dxa"/>
          </w:tcPr>
          <w:p>
            <w:pPr>
              <w:pStyle w:val="0"/>
            </w:pPr>
            <w:r>
              <w:rPr>
                <w:sz w:val="24"/>
              </w:rPr>
            </w:r>
          </w:p>
        </w:tc>
        <w:tc>
          <w:tcPr>
            <w:tcW w:w="2608" w:type="dxa"/>
          </w:tcPr>
          <w:p>
            <w:pPr>
              <w:pStyle w:val="0"/>
            </w:pPr>
            <w:r>
              <w:rPr>
                <w:sz w:val="24"/>
              </w:rPr>
              <w:t xml:space="preserve">Поступления от продажи инвестиционного имущества и капитальных вложений в него</w:t>
            </w:r>
          </w:p>
        </w:tc>
        <w:tc>
          <w:tcPr>
            <w:tcW w:w="2948" w:type="dxa"/>
          </w:tcPr>
          <w:p>
            <w:pPr>
              <w:pStyle w:val="0"/>
            </w:pPr>
            <w:r>
              <w:rPr>
                <w:sz w:val="24"/>
              </w:rPr>
              <w:t xml:space="preserve">mem-int:PostupOtProdInvestImIKapVlozhVNegoMember</w:t>
            </w:r>
          </w:p>
        </w:tc>
      </w:tr>
      <w:tr>
        <w:tc>
          <w:tcPr>
            <w:tcW w:w="907" w:type="dxa"/>
          </w:tcPr>
          <w:p>
            <w:pPr>
              <w:pStyle w:val="0"/>
            </w:pPr>
            <w:r>
              <w:rPr>
                <w:sz w:val="24"/>
              </w:rPr>
              <w:t xml:space="preserve">2.36</w:t>
            </w:r>
          </w:p>
        </w:tc>
        <w:tc>
          <w:tcPr>
            <w:tcW w:w="2608" w:type="dxa"/>
          </w:tcPr>
          <w:p>
            <w:pPr>
              <w:pStyle w:val="0"/>
            </w:pPr>
            <w:r>
              <w:rPr>
                <w:sz w:val="24"/>
              </w:rPr>
            </w:r>
          </w:p>
        </w:tc>
        <w:tc>
          <w:tcPr>
            <w:tcW w:w="2608" w:type="dxa"/>
          </w:tcPr>
          <w:p>
            <w:pPr>
              <w:pStyle w:val="0"/>
            </w:pPr>
            <w:r>
              <w:rPr>
                <w:sz w:val="24"/>
              </w:rPr>
              <w:t xml:space="preserve">Поступления от продажи нематериальных активов и капитальных вложений в них</w:t>
            </w:r>
          </w:p>
        </w:tc>
        <w:tc>
          <w:tcPr>
            <w:tcW w:w="2948" w:type="dxa"/>
          </w:tcPr>
          <w:p>
            <w:pPr>
              <w:pStyle w:val="0"/>
            </w:pPr>
            <w:r>
              <w:rPr>
                <w:sz w:val="24"/>
              </w:rPr>
              <w:t xml:space="preserve">mem-int:PostOtProdaNematAktIKapitVlozhVNixMember</w:t>
            </w:r>
          </w:p>
        </w:tc>
      </w:tr>
      <w:tr>
        <w:tc>
          <w:tcPr>
            <w:tcW w:w="907" w:type="dxa"/>
          </w:tcPr>
          <w:p>
            <w:pPr>
              <w:pStyle w:val="0"/>
            </w:pPr>
            <w:r>
              <w:rPr>
                <w:sz w:val="24"/>
              </w:rPr>
              <w:t xml:space="preserve">2.37</w:t>
            </w:r>
          </w:p>
        </w:tc>
        <w:tc>
          <w:tcPr>
            <w:tcW w:w="2608" w:type="dxa"/>
          </w:tcPr>
          <w:p>
            <w:pPr>
              <w:pStyle w:val="0"/>
            </w:pPr>
            <w:r>
              <w:rPr>
                <w:sz w:val="24"/>
              </w:rPr>
            </w:r>
          </w:p>
        </w:tc>
        <w:tc>
          <w:tcPr>
            <w:tcW w:w="2608" w:type="dxa"/>
          </w:tcPr>
          <w:p>
            <w:pPr>
              <w:pStyle w:val="0"/>
            </w:pPr>
            <w:r>
              <w:rPr>
                <w:sz w:val="24"/>
              </w:rPr>
              <w:t xml:space="preserve">Платежи в связи с приобретением, созданием, модернизацией, реконструкцией и подготовкой к использованию основных средств</w:t>
            </w:r>
          </w:p>
        </w:tc>
        <w:tc>
          <w:tcPr>
            <w:tcW w:w="2948" w:type="dxa"/>
          </w:tcPr>
          <w:p>
            <w:pPr>
              <w:pStyle w:val="0"/>
            </w:pPr>
            <w:r>
              <w:rPr>
                <w:sz w:val="24"/>
              </w:rPr>
              <w:t xml:space="preserve">mem-int:PlatezhiVSvyaziSPriobrSozdModernizRekonstrIPodgotovkojKIspolzOSMember</w:t>
            </w:r>
          </w:p>
        </w:tc>
      </w:tr>
      <w:tr>
        <w:tc>
          <w:tcPr>
            <w:tcW w:w="907" w:type="dxa"/>
          </w:tcPr>
          <w:p>
            <w:pPr>
              <w:pStyle w:val="0"/>
            </w:pPr>
            <w:r>
              <w:rPr>
                <w:sz w:val="24"/>
              </w:rPr>
              <w:t xml:space="preserve">2.38</w:t>
            </w:r>
          </w:p>
        </w:tc>
        <w:tc>
          <w:tcPr>
            <w:tcW w:w="2608" w:type="dxa"/>
          </w:tcPr>
          <w:p>
            <w:pPr>
              <w:pStyle w:val="0"/>
            </w:pPr>
            <w:r>
              <w:rPr>
                <w:sz w:val="24"/>
              </w:rPr>
            </w:r>
          </w:p>
        </w:tc>
        <w:tc>
          <w:tcPr>
            <w:tcW w:w="2608" w:type="dxa"/>
          </w:tcPr>
          <w:p>
            <w:pPr>
              <w:pStyle w:val="0"/>
            </w:pPr>
            <w:r>
              <w:rPr>
                <w:sz w:val="24"/>
              </w:rPr>
              <w:t xml:space="preserve">Платежи в связи с приобретением, созданием нематериальных активов</w:t>
            </w:r>
          </w:p>
        </w:tc>
        <w:tc>
          <w:tcPr>
            <w:tcW w:w="2948" w:type="dxa"/>
          </w:tcPr>
          <w:p>
            <w:pPr>
              <w:pStyle w:val="0"/>
            </w:pPr>
            <w:r>
              <w:rPr>
                <w:sz w:val="24"/>
              </w:rPr>
              <w:t xml:space="preserve">mem-int:PlatezhiVSvyaziSPriobrSozdNMAMember</w:t>
            </w:r>
          </w:p>
        </w:tc>
      </w:tr>
      <w:tr>
        <w:tc>
          <w:tcPr>
            <w:tcW w:w="907" w:type="dxa"/>
          </w:tcPr>
          <w:p>
            <w:pPr>
              <w:pStyle w:val="0"/>
            </w:pPr>
            <w:r>
              <w:rPr>
                <w:sz w:val="24"/>
              </w:rPr>
              <w:t xml:space="preserve">2.39</w:t>
            </w:r>
          </w:p>
        </w:tc>
        <w:tc>
          <w:tcPr>
            <w:tcW w:w="2608" w:type="dxa"/>
          </w:tcPr>
          <w:p>
            <w:pPr>
              <w:pStyle w:val="0"/>
            </w:pPr>
            <w:r>
              <w:rPr>
                <w:sz w:val="24"/>
              </w:rPr>
            </w:r>
          </w:p>
        </w:tc>
        <w:tc>
          <w:tcPr>
            <w:tcW w:w="2608" w:type="dxa"/>
          </w:tcPr>
          <w:p>
            <w:pPr>
              <w:pStyle w:val="0"/>
            </w:pPr>
            <w:r>
              <w:rPr>
                <w:sz w:val="24"/>
              </w:rPr>
              <w:t xml:space="preserve">Платежи в связи с приобретением, созданием, модернизацией, реконструкцией и подготовкой к использованию инвестиционного имущества</w:t>
            </w:r>
          </w:p>
        </w:tc>
        <w:tc>
          <w:tcPr>
            <w:tcW w:w="2948" w:type="dxa"/>
          </w:tcPr>
          <w:p>
            <w:pPr>
              <w:pStyle w:val="0"/>
            </w:pPr>
            <w:r>
              <w:rPr>
                <w:sz w:val="24"/>
              </w:rPr>
              <w:t xml:space="preserve">mem-int:PlatVSvyaziSPriobrSozdModernRekonstrIPodgKIspolzIIMember</w:t>
            </w:r>
          </w:p>
        </w:tc>
      </w:tr>
      <w:tr>
        <w:tc>
          <w:tcPr>
            <w:tcW w:w="907" w:type="dxa"/>
          </w:tcPr>
          <w:p>
            <w:pPr>
              <w:pStyle w:val="0"/>
            </w:pPr>
            <w:r>
              <w:rPr>
                <w:sz w:val="24"/>
              </w:rPr>
              <w:t xml:space="preserve">2.40</w:t>
            </w:r>
          </w:p>
        </w:tc>
        <w:tc>
          <w:tcPr>
            <w:tcW w:w="2608" w:type="dxa"/>
          </w:tcPr>
          <w:p>
            <w:pPr>
              <w:pStyle w:val="0"/>
            </w:pPr>
            <w:r>
              <w:rPr>
                <w:sz w:val="24"/>
              </w:rPr>
            </w:r>
          </w:p>
        </w:tc>
        <w:tc>
          <w:tcPr>
            <w:tcW w:w="2608" w:type="dxa"/>
          </w:tcPr>
          <w:p>
            <w:pPr>
              <w:pStyle w:val="0"/>
            </w:pPr>
            <w:r>
              <w:rPr>
                <w:sz w:val="24"/>
              </w:rPr>
              <w:t xml:space="preserve">Поступления от продажи акций и долей участия в дочерних, ассоциированных, совместно контролируемых предприятиях</w:t>
            </w:r>
          </w:p>
        </w:tc>
        <w:tc>
          <w:tcPr>
            <w:tcW w:w="2948" w:type="dxa"/>
          </w:tcPr>
          <w:p>
            <w:pPr>
              <w:pStyle w:val="0"/>
            </w:pPr>
            <w:r>
              <w:rPr>
                <w:sz w:val="24"/>
              </w:rPr>
              <w:t xml:space="preserve">mem-int:PostOtProdAkIDolUchVDochAsSovmKontrPredprMember</w:t>
            </w:r>
          </w:p>
        </w:tc>
      </w:tr>
      <w:tr>
        <w:tc>
          <w:tcPr>
            <w:tcW w:w="907" w:type="dxa"/>
          </w:tcPr>
          <w:p>
            <w:pPr>
              <w:pStyle w:val="0"/>
            </w:pPr>
            <w:r>
              <w:rPr>
                <w:sz w:val="24"/>
              </w:rPr>
              <w:t xml:space="preserve">2.41</w:t>
            </w:r>
          </w:p>
        </w:tc>
        <w:tc>
          <w:tcPr>
            <w:tcW w:w="2608" w:type="dxa"/>
          </w:tcPr>
          <w:p>
            <w:pPr>
              <w:pStyle w:val="0"/>
            </w:pPr>
            <w:r>
              <w:rPr>
                <w:sz w:val="24"/>
              </w:rPr>
            </w:r>
          </w:p>
        </w:tc>
        <w:tc>
          <w:tcPr>
            <w:tcW w:w="2608" w:type="dxa"/>
          </w:tcPr>
          <w:p>
            <w:pPr>
              <w:pStyle w:val="0"/>
            </w:pPr>
            <w:r>
              <w:rPr>
                <w:sz w:val="24"/>
              </w:rPr>
              <w:t xml:space="preserve">Платежи в связи с вложениями в акции и доли участия в дочерних, ассоциированных, совместно контролируемых предприятиях</w:t>
            </w:r>
          </w:p>
        </w:tc>
        <w:tc>
          <w:tcPr>
            <w:tcW w:w="2948" w:type="dxa"/>
          </w:tcPr>
          <w:p>
            <w:pPr>
              <w:pStyle w:val="0"/>
            </w:pPr>
            <w:r>
              <w:rPr>
                <w:sz w:val="24"/>
              </w:rPr>
              <w:t xml:space="preserve">mem-int:PlatVSvyaziSVlozhVAkIDolUchVDochAsSovmKontrPredprMember</w:t>
            </w:r>
          </w:p>
        </w:tc>
      </w:tr>
      <w:tr>
        <w:tc>
          <w:tcPr>
            <w:tcW w:w="907" w:type="dxa"/>
          </w:tcPr>
          <w:p>
            <w:pPr>
              <w:pStyle w:val="0"/>
            </w:pPr>
            <w:r>
              <w:rPr>
                <w:sz w:val="24"/>
              </w:rPr>
              <w:t xml:space="preserve">2.42</w:t>
            </w:r>
          </w:p>
        </w:tc>
        <w:tc>
          <w:tcPr>
            <w:tcW w:w="2608" w:type="dxa"/>
          </w:tcPr>
          <w:p>
            <w:pPr>
              <w:pStyle w:val="0"/>
            </w:pPr>
            <w:r>
              <w:rPr>
                <w:sz w:val="24"/>
              </w:rPr>
            </w:r>
          </w:p>
        </w:tc>
        <w:tc>
          <w:tcPr>
            <w:tcW w:w="2608" w:type="dxa"/>
          </w:tcPr>
          <w:p>
            <w:pPr>
              <w:pStyle w:val="0"/>
            </w:pPr>
            <w:r>
              <w:rPr>
                <w:sz w:val="24"/>
              </w:rPr>
              <w:t xml:space="preserve">Поступления от продажи и погашения финансовых активов, классифицируемых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mem-int:PostuplOtProdIPogashFAKlasKakOczenPoSSCherezPribIliUbytPoUsmotrStraxovshhikaMember</w:t>
            </w:r>
          </w:p>
        </w:tc>
      </w:tr>
      <w:tr>
        <w:tc>
          <w:tcPr>
            <w:tcW w:w="907" w:type="dxa"/>
          </w:tcPr>
          <w:p>
            <w:pPr>
              <w:pStyle w:val="0"/>
            </w:pPr>
            <w:r>
              <w:rPr>
                <w:sz w:val="24"/>
              </w:rPr>
              <w:t xml:space="preserve">2.43</w:t>
            </w:r>
          </w:p>
        </w:tc>
        <w:tc>
          <w:tcPr>
            <w:tcW w:w="2608" w:type="dxa"/>
          </w:tcPr>
          <w:p>
            <w:pPr>
              <w:pStyle w:val="0"/>
            </w:pPr>
            <w:r>
              <w:rPr>
                <w:sz w:val="24"/>
              </w:rPr>
            </w:r>
          </w:p>
        </w:tc>
        <w:tc>
          <w:tcPr>
            <w:tcW w:w="2608" w:type="dxa"/>
          </w:tcPr>
          <w:p>
            <w:pPr>
              <w:pStyle w:val="0"/>
            </w:pPr>
            <w:r>
              <w:rPr>
                <w:sz w:val="24"/>
              </w:rPr>
              <w:t xml:space="preserve">Платежи в связи с приобретением финансовых активов, классифицируемых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mem-int:PlatezhVSvyaziSPriobrFAKlasKakOczenPoSSCherezPribIliUbytPoUsmotrStraxovshhikaMember</w:t>
            </w:r>
          </w:p>
        </w:tc>
      </w:tr>
      <w:tr>
        <w:tc>
          <w:tcPr>
            <w:tcW w:w="907" w:type="dxa"/>
          </w:tcPr>
          <w:p>
            <w:pPr>
              <w:pStyle w:val="0"/>
            </w:pPr>
            <w:r>
              <w:rPr>
                <w:sz w:val="24"/>
              </w:rPr>
              <w:t xml:space="preserve">2.44</w:t>
            </w:r>
          </w:p>
        </w:tc>
        <w:tc>
          <w:tcPr>
            <w:tcW w:w="2608" w:type="dxa"/>
          </w:tcPr>
          <w:p>
            <w:pPr>
              <w:pStyle w:val="0"/>
            </w:pPr>
            <w:r>
              <w:rPr>
                <w:sz w:val="24"/>
              </w:rPr>
            </w:r>
          </w:p>
        </w:tc>
        <w:tc>
          <w:tcPr>
            <w:tcW w:w="2608" w:type="dxa"/>
          </w:tcPr>
          <w:p>
            <w:pPr>
              <w:pStyle w:val="0"/>
            </w:pPr>
            <w:r>
              <w:rPr>
                <w:sz w:val="24"/>
              </w:rPr>
              <w:t xml:space="preserve">Поступления от продажи и погашения финансовых активов, оцениваемых по справедливой стоимости через прочий совокупный доход</w:t>
            </w:r>
          </w:p>
        </w:tc>
        <w:tc>
          <w:tcPr>
            <w:tcW w:w="2948" w:type="dxa"/>
          </w:tcPr>
          <w:p>
            <w:pPr>
              <w:pStyle w:val="0"/>
            </w:pPr>
            <w:r>
              <w:rPr>
                <w:sz w:val="24"/>
              </w:rPr>
              <w:t xml:space="preserve">mem-int:PostOtProdIPogashFAOczenPoSSCHerezProchSovDoxMember</w:t>
            </w:r>
          </w:p>
        </w:tc>
      </w:tr>
      <w:tr>
        <w:tc>
          <w:tcPr>
            <w:tcW w:w="907" w:type="dxa"/>
          </w:tcPr>
          <w:p>
            <w:pPr>
              <w:pStyle w:val="0"/>
            </w:pPr>
            <w:r>
              <w:rPr>
                <w:sz w:val="24"/>
              </w:rPr>
              <w:t xml:space="preserve">2.45</w:t>
            </w:r>
          </w:p>
        </w:tc>
        <w:tc>
          <w:tcPr>
            <w:tcW w:w="2608" w:type="dxa"/>
          </w:tcPr>
          <w:p>
            <w:pPr>
              <w:pStyle w:val="0"/>
            </w:pPr>
            <w:r>
              <w:rPr>
                <w:sz w:val="24"/>
              </w:rPr>
            </w:r>
          </w:p>
        </w:tc>
        <w:tc>
          <w:tcPr>
            <w:tcW w:w="2608" w:type="dxa"/>
          </w:tcPr>
          <w:p>
            <w:pPr>
              <w:pStyle w:val="0"/>
            </w:pPr>
            <w:r>
              <w:rPr>
                <w:sz w:val="24"/>
              </w:rPr>
              <w:t xml:space="preserve">Платежи в связи с приобретением финансовых активов, оцениваемых по справедливой стоимости через прочий совокупный доход</w:t>
            </w:r>
          </w:p>
        </w:tc>
        <w:tc>
          <w:tcPr>
            <w:tcW w:w="2948" w:type="dxa"/>
          </w:tcPr>
          <w:p>
            <w:pPr>
              <w:pStyle w:val="0"/>
            </w:pPr>
            <w:r>
              <w:rPr>
                <w:sz w:val="24"/>
              </w:rPr>
              <w:t xml:space="preserve">mem-int:PlatezhiVSvyaziSPriobrFAOczenPoSSCherezProchijSovokDoxodMember</w:t>
            </w:r>
          </w:p>
        </w:tc>
      </w:tr>
      <w:tr>
        <w:tc>
          <w:tcPr>
            <w:tcW w:w="907" w:type="dxa"/>
          </w:tcPr>
          <w:p>
            <w:pPr>
              <w:pStyle w:val="0"/>
            </w:pPr>
            <w:r>
              <w:rPr>
                <w:sz w:val="24"/>
              </w:rPr>
              <w:t xml:space="preserve">2.46</w:t>
            </w:r>
          </w:p>
        </w:tc>
        <w:tc>
          <w:tcPr>
            <w:tcW w:w="2608" w:type="dxa"/>
          </w:tcPr>
          <w:p>
            <w:pPr>
              <w:pStyle w:val="0"/>
            </w:pPr>
            <w:r>
              <w:rPr>
                <w:sz w:val="24"/>
              </w:rPr>
            </w:r>
          </w:p>
        </w:tc>
        <w:tc>
          <w:tcPr>
            <w:tcW w:w="2608" w:type="dxa"/>
          </w:tcPr>
          <w:p>
            <w:pPr>
              <w:pStyle w:val="0"/>
            </w:pPr>
            <w:r>
              <w:rPr>
                <w:sz w:val="24"/>
              </w:rPr>
              <w:t xml:space="preserve">Поступления от продажи и погашения финансовых активов, оцениваемых по амортизированной стоимости</w:t>
            </w:r>
          </w:p>
        </w:tc>
        <w:tc>
          <w:tcPr>
            <w:tcW w:w="2948" w:type="dxa"/>
          </w:tcPr>
          <w:p>
            <w:pPr>
              <w:pStyle w:val="0"/>
            </w:pPr>
            <w:r>
              <w:rPr>
                <w:sz w:val="24"/>
              </w:rPr>
              <w:t xml:space="preserve">mem-int:PostupOtProdIPogashFAOczenPoAmortizStoimMember</w:t>
            </w:r>
          </w:p>
        </w:tc>
      </w:tr>
      <w:tr>
        <w:tc>
          <w:tcPr>
            <w:tcW w:w="907" w:type="dxa"/>
          </w:tcPr>
          <w:p>
            <w:pPr>
              <w:pStyle w:val="0"/>
            </w:pPr>
            <w:r>
              <w:rPr>
                <w:sz w:val="24"/>
              </w:rPr>
              <w:t xml:space="preserve">2.47</w:t>
            </w:r>
          </w:p>
        </w:tc>
        <w:tc>
          <w:tcPr>
            <w:tcW w:w="2608" w:type="dxa"/>
          </w:tcPr>
          <w:p>
            <w:pPr>
              <w:pStyle w:val="0"/>
            </w:pPr>
            <w:r>
              <w:rPr>
                <w:sz w:val="24"/>
              </w:rPr>
            </w:r>
          </w:p>
        </w:tc>
        <w:tc>
          <w:tcPr>
            <w:tcW w:w="2608" w:type="dxa"/>
          </w:tcPr>
          <w:p>
            <w:pPr>
              <w:pStyle w:val="0"/>
            </w:pPr>
            <w:r>
              <w:rPr>
                <w:sz w:val="24"/>
              </w:rPr>
              <w:t xml:space="preserve">Платежи в связи с приобретением финансовых активов, оцениваемых по амортизированной стоимости</w:t>
            </w:r>
          </w:p>
        </w:tc>
        <w:tc>
          <w:tcPr>
            <w:tcW w:w="2948" w:type="dxa"/>
          </w:tcPr>
          <w:p>
            <w:pPr>
              <w:pStyle w:val="0"/>
            </w:pPr>
            <w:r>
              <w:rPr>
                <w:sz w:val="24"/>
              </w:rPr>
              <w:t xml:space="preserve">mem-int:PlatezhiVSvyaziSPriobrFAOczenPoAmortizStoimMember</w:t>
            </w:r>
          </w:p>
        </w:tc>
      </w:tr>
      <w:tr>
        <w:tc>
          <w:tcPr>
            <w:tcW w:w="907" w:type="dxa"/>
          </w:tcPr>
          <w:p>
            <w:pPr>
              <w:pStyle w:val="0"/>
            </w:pPr>
            <w:r>
              <w:rPr>
                <w:sz w:val="24"/>
              </w:rPr>
              <w:t xml:space="preserve">2.48</w:t>
            </w:r>
          </w:p>
        </w:tc>
        <w:tc>
          <w:tcPr>
            <w:tcW w:w="2608" w:type="dxa"/>
          </w:tcPr>
          <w:p>
            <w:pPr>
              <w:pStyle w:val="0"/>
            </w:pPr>
            <w:r>
              <w:rPr>
                <w:sz w:val="24"/>
              </w:rPr>
            </w:r>
          </w:p>
        </w:tc>
        <w:tc>
          <w:tcPr>
            <w:tcW w:w="2608" w:type="dxa"/>
          </w:tcPr>
          <w:p>
            <w:pPr>
              <w:pStyle w:val="0"/>
            </w:pPr>
            <w:r>
              <w:rPr>
                <w:sz w:val="24"/>
              </w:rPr>
              <w:t xml:space="preserve">Поступления доходов от сдачи инвестиционного имущества в аренду</w:t>
            </w:r>
          </w:p>
        </w:tc>
        <w:tc>
          <w:tcPr>
            <w:tcW w:w="2948" w:type="dxa"/>
          </w:tcPr>
          <w:p>
            <w:pPr>
              <w:pStyle w:val="0"/>
            </w:pPr>
            <w:r>
              <w:rPr>
                <w:sz w:val="24"/>
              </w:rPr>
              <w:t xml:space="preserve">mem-int:PostupDoxOtSdachiInvestImushhVArenduMember</w:t>
            </w:r>
          </w:p>
        </w:tc>
      </w:tr>
      <w:tr>
        <w:tc>
          <w:tcPr>
            <w:tcW w:w="907" w:type="dxa"/>
          </w:tcPr>
          <w:p>
            <w:pPr>
              <w:pStyle w:val="0"/>
            </w:pPr>
            <w:r>
              <w:rPr>
                <w:sz w:val="24"/>
              </w:rPr>
              <w:t xml:space="preserve">2.49</w:t>
            </w:r>
          </w:p>
        </w:tc>
        <w:tc>
          <w:tcPr>
            <w:tcW w:w="2608" w:type="dxa"/>
          </w:tcPr>
          <w:p>
            <w:pPr>
              <w:pStyle w:val="0"/>
            </w:pPr>
            <w:r>
              <w:rPr>
                <w:sz w:val="24"/>
              </w:rPr>
            </w:r>
          </w:p>
        </w:tc>
        <w:tc>
          <w:tcPr>
            <w:tcW w:w="2608" w:type="dxa"/>
          </w:tcPr>
          <w:p>
            <w:pPr>
              <w:pStyle w:val="0"/>
            </w:pPr>
            <w:r>
              <w:rPr>
                <w:sz w:val="24"/>
              </w:rPr>
              <w:t xml:space="preserve">Прочие поступления от инвестиционной деятельности</w:t>
            </w:r>
          </w:p>
        </w:tc>
        <w:tc>
          <w:tcPr>
            <w:tcW w:w="2948" w:type="dxa"/>
          </w:tcPr>
          <w:p>
            <w:pPr>
              <w:pStyle w:val="0"/>
            </w:pPr>
            <w:r>
              <w:rPr>
                <w:sz w:val="24"/>
              </w:rPr>
              <w:t xml:space="preserve">mem-int:ProchiePostupleniyaOtInvesticzionnojDeyatelnostiMember</w:t>
            </w:r>
          </w:p>
        </w:tc>
      </w:tr>
      <w:tr>
        <w:tc>
          <w:tcPr>
            <w:tcW w:w="907" w:type="dxa"/>
          </w:tcPr>
          <w:p>
            <w:pPr>
              <w:pStyle w:val="0"/>
            </w:pPr>
            <w:r>
              <w:rPr>
                <w:sz w:val="24"/>
              </w:rPr>
              <w:t xml:space="preserve">2.50</w:t>
            </w:r>
          </w:p>
        </w:tc>
        <w:tc>
          <w:tcPr>
            <w:tcW w:w="2608" w:type="dxa"/>
          </w:tcPr>
          <w:p>
            <w:pPr>
              <w:pStyle w:val="0"/>
            </w:pPr>
            <w:r>
              <w:rPr>
                <w:sz w:val="24"/>
              </w:rPr>
            </w:r>
          </w:p>
        </w:tc>
        <w:tc>
          <w:tcPr>
            <w:tcW w:w="2608" w:type="dxa"/>
          </w:tcPr>
          <w:p>
            <w:pPr>
              <w:pStyle w:val="0"/>
            </w:pPr>
            <w:r>
              <w:rPr>
                <w:sz w:val="24"/>
              </w:rPr>
              <w:t xml:space="preserve">Прочие платежи по инвестиционной деятельности</w:t>
            </w:r>
          </w:p>
        </w:tc>
        <w:tc>
          <w:tcPr>
            <w:tcW w:w="2948" w:type="dxa"/>
          </w:tcPr>
          <w:p>
            <w:pPr>
              <w:pStyle w:val="0"/>
            </w:pPr>
            <w:r>
              <w:rPr>
                <w:sz w:val="24"/>
              </w:rPr>
              <w:t xml:space="preserve">mem-int:ProchiePlatezhiPoInvesticzionnojDeyatelnostiMember</w:t>
            </w:r>
          </w:p>
        </w:tc>
      </w:tr>
      <w:tr>
        <w:tc>
          <w:tcPr>
            <w:tcW w:w="907" w:type="dxa"/>
          </w:tcPr>
          <w:p>
            <w:pPr>
              <w:pStyle w:val="0"/>
            </w:pPr>
            <w:r>
              <w:rPr>
                <w:sz w:val="24"/>
              </w:rPr>
              <w:t xml:space="preserve">2.51</w:t>
            </w:r>
          </w:p>
        </w:tc>
        <w:tc>
          <w:tcPr>
            <w:tcW w:w="2608" w:type="dxa"/>
          </w:tcPr>
          <w:p>
            <w:pPr>
              <w:pStyle w:val="0"/>
            </w:pPr>
            <w:r>
              <w:rPr>
                <w:sz w:val="24"/>
              </w:rPr>
            </w:r>
          </w:p>
        </w:tc>
        <w:tc>
          <w:tcPr>
            <w:tcW w:w="2608" w:type="dxa"/>
          </w:tcPr>
          <w:p>
            <w:pPr>
              <w:pStyle w:val="0"/>
            </w:pPr>
            <w:r>
              <w:rPr>
                <w:sz w:val="24"/>
              </w:rPr>
              <w:t xml:space="preserve">Поступления от размещения финансовых обязательств, классифицируемых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mem-int:PostuplOtRazmFOOczenPoSSCHerezPribIliUbytPoUsmotrStraxovshhikaMember</w:t>
            </w:r>
          </w:p>
        </w:tc>
      </w:tr>
      <w:tr>
        <w:tc>
          <w:tcPr>
            <w:tcW w:w="907" w:type="dxa"/>
          </w:tcPr>
          <w:p>
            <w:pPr>
              <w:pStyle w:val="0"/>
            </w:pPr>
            <w:r>
              <w:rPr>
                <w:sz w:val="24"/>
              </w:rPr>
              <w:t xml:space="preserve">2.52</w:t>
            </w:r>
          </w:p>
        </w:tc>
        <w:tc>
          <w:tcPr>
            <w:tcW w:w="2608" w:type="dxa"/>
          </w:tcPr>
          <w:p>
            <w:pPr>
              <w:pStyle w:val="0"/>
            </w:pPr>
            <w:r>
              <w:rPr>
                <w:sz w:val="24"/>
              </w:rPr>
            </w:r>
          </w:p>
        </w:tc>
        <w:tc>
          <w:tcPr>
            <w:tcW w:w="2608" w:type="dxa"/>
          </w:tcPr>
          <w:p>
            <w:pPr>
              <w:pStyle w:val="0"/>
            </w:pPr>
            <w:r>
              <w:rPr>
                <w:sz w:val="24"/>
              </w:rPr>
              <w:t xml:space="preserve">Платежи в связи с погашением финансовых обязательств, классифицируемых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mem-int:PlatezhVSvyaziSPogFOKlasKakOczenPoSSCHerezPribIliUbytPoUsmotrStraxovshhikaMember</w:t>
            </w:r>
          </w:p>
        </w:tc>
      </w:tr>
      <w:tr>
        <w:tc>
          <w:tcPr>
            <w:tcW w:w="907" w:type="dxa"/>
          </w:tcPr>
          <w:p>
            <w:pPr>
              <w:pStyle w:val="0"/>
            </w:pPr>
            <w:r>
              <w:rPr>
                <w:sz w:val="24"/>
              </w:rPr>
              <w:t xml:space="preserve">2.53</w:t>
            </w:r>
          </w:p>
        </w:tc>
        <w:tc>
          <w:tcPr>
            <w:tcW w:w="2608" w:type="dxa"/>
          </w:tcPr>
          <w:p>
            <w:pPr>
              <w:pStyle w:val="0"/>
            </w:pPr>
            <w:r>
              <w:rPr>
                <w:sz w:val="24"/>
              </w:rPr>
            </w:r>
          </w:p>
        </w:tc>
        <w:tc>
          <w:tcPr>
            <w:tcW w:w="2608" w:type="dxa"/>
          </w:tcPr>
          <w:p>
            <w:pPr>
              <w:pStyle w:val="0"/>
            </w:pPr>
            <w:r>
              <w:rPr>
                <w:sz w:val="24"/>
              </w:rPr>
              <w:t xml:space="preserve">Поступления от привлечения кредитов, займов и прочих привлеченных средств, оцениваемых по амортизированной стоимости</w:t>
            </w:r>
          </w:p>
        </w:tc>
        <w:tc>
          <w:tcPr>
            <w:tcW w:w="2948" w:type="dxa"/>
          </w:tcPr>
          <w:p>
            <w:pPr>
              <w:pStyle w:val="0"/>
            </w:pPr>
            <w:r>
              <w:rPr>
                <w:sz w:val="24"/>
              </w:rPr>
              <w:t xml:space="preserve">mem-int:PostuplOtPrivlKreditovZajmovIProchixPrivlSredstvOczenPoAmortStoimMember</w:t>
            </w:r>
          </w:p>
        </w:tc>
      </w:tr>
      <w:tr>
        <w:tc>
          <w:tcPr>
            <w:tcW w:w="907" w:type="dxa"/>
          </w:tcPr>
          <w:p>
            <w:pPr>
              <w:pStyle w:val="0"/>
            </w:pPr>
            <w:r>
              <w:rPr>
                <w:sz w:val="24"/>
              </w:rPr>
              <w:t xml:space="preserve">2.54</w:t>
            </w:r>
          </w:p>
        </w:tc>
        <w:tc>
          <w:tcPr>
            <w:tcW w:w="2608" w:type="dxa"/>
          </w:tcPr>
          <w:p>
            <w:pPr>
              <w:pStyle w:val="0"/>
            </w:pPr>
            <w:r>
              <w:rPr>
                <w:sz w:val="24"/>
              </w:rPr>
            </w:r>
          </w:p>
        </w:tc>
        <w:tc>
          <w:tcPr>
            <w:tcW w:w="2608" w:type="dxa"/>
          </w:tcPr>
          <w:p>
            <w:pPr>
              <w:pStyle w:val="0"/>
            </w:pPr>
            <w:r>
              <w:rPr>
                <w:sz w:val="24"/>
              </w:rPr>
              <w:t xml:space="preserve">Погашение кредитов, займов и прочих привлеченных средств, оцениваемых по амортизированной стоимости</w:t>
            </w:r>
          </w:p>
        </w:tc>
        <w:tc>
          <w:tcPr>
            <w:tcW w:w="2948" w:type="dxa"/>
          </w:tcPr>
          <w:p>
            <w:pPr>
              <w:pStyle w:val="0"/>
            </w:pPr>
            <w:r>
              <w:rPr>
                <w:sz w:val="24"/>
              </w:rPr>
              <w:t xml:space="preserve">mem-int:PogashKredZajmIProchPrivlSredstvOczenPoAmortStoimMember</w:t>
            </w:r>
          </w:p>
        </w:tc>
      </w:tr>
      <w:tr>
        <w:tc>
          <w:tcPr>
            <w:tcW w:w="907" w:type="dxa"/>
          </w:tcPr>
          <w:p>
            <w:pPr>
              <w:pStyle w:val="0"/>
            </w:pPr>
            <w:r>
              <w:rPr>
                <w:sz w:val="24"/>
              </w:rPr>
              <w:t xml:space="preserve">2.55</w:t>
            </w:r>
          </w:p>
        </w:tc>
        <w:tc>
          <w:tcPr>
            <w:tcW w:w="2608" w:type="dxa"/>
          </w:tcPr>
          <w:p>
            <w:pPr>
              <w:pStyle w:val="0"/>
            </w:pPr>
            <w:r>
              <w:rPr>
                <w:sz w:val="24"/>
              </w:rPr>
            </w:r>
          </w:p>
        </w:tc>
        <w:tc>
          <w:tcPr>
            <w:tcW w:w="2608" w:type="dxa"/>
          </w:tcPr>
          <w:p>
            <w:pPr>
              <w:pStyle w:val="0"/>
            </w:pPr>
            <w:r>
              <w:rPr>
                <w:sz w:val="24"/>
              </w:rPr>
              <w:t xml:space="preserve">Платежи в погашение обязательств по договорам аренды</w:t>
            </w:r>
          </w:p>
        </w:tc>
        <w:tc>
          <w:tcPr>
            <w:tcW w:w="2948" w:type="dxa"/>
          </w:tcPr>
          <w:p>
            <w:pPr>
              <w:pStyle w:val="0"/>
            </w:pPr>
            <w:r>
              <w:rPr>
                <w:sz w:val="24"/>
              </w:rPr>
              <w:t xml:space="preserve">mem-int:PlatezhiVPogashenieObyazatelstvPoDogovoramArendyMember</w:t>
            </w:r>
          </w:p>
        </w:tc>
      </w:tr>
      <w:tr>
        <w:tc>
          <w:tcPr>
            <w:tcW w:w="907" w:type="dxa"/>
          </w:tcPr>
          <w:p>
            <w:pPr>
              <w:pStyle w:val="0"/>
            </w:pPr>
            <w:r>
              <w:rPr>
                <w:sz w:val="24"/>
              </w:rPr>
              <w:t xml:space="preserve">2.56</w:t>
            </w:r>
          </w:p>
        </w:tc>
        <w:tc>
          <w:tcPr>
            <w:tcW w:w="2608" w:type="dxa"/>
          </w:tcPr>
          <w:p>
            <w:pPr>
              <w:pStyle w:val="0"/>
            </w:pPr>
            <w:r>
              <w:rPr>
                <w:sz w:val="24"/>
              </w:rPr>
            </w:r>
          </w:p>
        </w:tc>
        <w:tc>
          <w:tcPr>
            <w:tcW w:w="2608" w:type="dxa"/>
          </w:tcPr>
          <w:p>
            <w:pPr>
              <w:pStyle w:val="0"/>
            </w:pPr>
            <w:r>
              <w:rPr>
                <w:sz w:val="24"/>
              </w:rPr>
              <w:t xml:space="preserve">Поступления от выпуска акций, увеличения долей участия и внесения вкладов собственниками (участниками)</w:t>
            </w:r>
          </w:p>
        </w:tc>
        <w:tc>
          <w:tcPr>
            <w:tcW w:w="2948" w:type="dxa"/>
          </w:tcPr>
          <w:p>
            <w:pPr>
              <w:pStyle w:val="0"/>
            </w:pPr>
            <w:r>
              <w:rPr>
                <w:sz w:val="24"/>
              </w:rPr>
              <w:t xml:space="preserve">mem-int:PostuplOtVypAkczUvelDolUchIVnesVkladSobstvUchastnikMember</w:t>
            </w:r>
          </w:p>
        </w:tc>
      </w:tr>
      <w:tr>
        <w:tc>
          <w:tcPr>
            <w:tcW w:w="907" w:type="dxa"/>
          </w:tcPr>
          <w:p>
            <w:pPr>
              <w:pStyle w:val="0"/>
            </w:pPr>
            <w:r>
              <w:rPr>
                <w:sz w:val="24"/>
              </w:rPr>
              <w:t xml:space="preserve">2.57</w:t>
            </w:r>
          </w:p>
        </w:tc>
        <w:tc>
          <w:tcPr>
            <w:tcW w:w="2608" w:type="dxa"/>
          </w:tcPr>
          <w:p>
            <w:pPr>
              <w:pStyle w:val="0"/>
            </w:pPr>
            <w:r>
              <w:rPr>
                <w:sz w:val="24"/>
              </w:rPr>
            </w:r>
          </w:p>
        </w:tc>
        <w:tc>
          <w:tcPr>
            <w:tcW w:w="2608" w:type="dxa"/>
          </w:tcPr>
          <w:p>
            <w:pPr>
              <w:pStyle w:val="0"/>
            </w:pPr>
            <w:r>
              <w:rPr>
                <w:sz w:val="24"/>
              </w:rPr>
              <w:t xml:space="preserve">Поступления от продажи собственных акций (долей участия), принадлежащих обществу</w:t>
            </w:r>
          </w:p>
        </w:tc>
        <w:tc>
          <w:tcPr>
            <w:tcW w:w="2948" w:type="dxa"/>
          </w:tcPr>
          <w:p>
            <w:pPr>
              <w:pStyle w:val="0"/>
            </w:pPr>
            <w:r>
              <w:rPr>
                <w:sz w:val="24"/>
              </w:rPr>
              <w:t xml:space="preserve">mem-int:PostuplOtProdSobstvAkczDolUchMember</w:t>
            </w:r>
          </w:p>
        </w:tc>
      </w:tr>
      <w:tr>
        <w:tc>
          <w:tcPr>
            <w:tcW w:w="907" w:type="dxa"/>
          </w:tcPr>
          <w:p>
            <w:pPr>
              <w:pStyle w:val="0"/>
            </w:pPr>
            <w:r>
              <w:rPr>
                <w:sz w:val="24"/>
              </w:rPr>
              <w:t xml:space="preserve">2.58</w:t>
            </w:r>
          </w:p>
        </w:tc>
        <w:tc>
          <w:tcPr>
            <w:tcW w:w="2608" w:type="dxa"/>
          </w:tcPr>
          <w:p>
            <w:pPr>
              <w:pStyle w:val="0"/>
            </w:pPr>
            <w:r>
              <w:rPr>
                <w:sz w:val="24"/>
              </w:rPr>
            </w:r>
          </w:p>
        </w:tc>
        <w:tc>
          <w:tcPr>
            <w:tcW w:w="2608" w:type="dxa"/>
          </w:tcPr>
          <w:p>
            <w:pPr>
              <w:pStyle w:val="0"/>
            </w:pPr>
            <w:r>
              <w:rPr>
                <w:sz w:val="24"/>
              </w:rPr>
              <w:t xml:space="preserve">Платежи акционерам (участникам) в связи с выкупом у них собственных акций (долей участия) или их выходом из состава участников</w:t>
            </w:r>
          </w:p>
        </w:tc>
        <w:tc>
          <w:tcPr>
            <w:tcW w:w="2948" w:type="dxa"/>
          </w:tcPr>
          <w:p>
            <w:pPr>
              <w:pStyle w:val="0"/>
            </w:pPr>
            <w:r>
              <w:rPr>
                <w:sz w:val="24"/>
              </w:rPr>
              <w:t xml:space="preserve">mem-int:PlatAkczUchVSvyaziSVykSobAkczDolUchIxVyxIzSostUchMember</w:t>
            </w:r>
          </w:p>
        </w:tc>
      </w:tr>
      <w:tr>
        <w:tc>
          <w:tcPr>
            <w:tcW w:w="907" w:type="dxa"/>
          </w:tcPr>
          <w:p>
            <w:pPr>
              <w:pStyle w:val="0"/>
            </w:pPr>
            <w:r>
              <w:rPr>
                <w:sz w:val="24"/>
              </w:rPr>
              <w:t xml:space="preserve">2.59</w:t>
            </w:r>
          </w:p>
        </w:tc>
        <w:tc>
          <w:tcPr>
            <w:tcW w:w="2608" w:type="dxa"/>
          </w:tcPr>
          <w:p>
            <w:pPr>
              <w:pStyle w:val="0"/>
            </w:pPr>
            <w:r>
              <w:rPr>
                <w:sz w:val="24"/>
              </w:rPr>
            </w:r>
          </w:p>
        </w:tc>
        <w:tc>
          <w:tcPr>
            <w:tcW w:w="2608" w:type="dxa"/>
          </w:tcPr>
          <w:p>
            <w:pPr>
              <w:pStyle w:val="0"/>
            </w:pPr>
            <w:r>
              <w:rPr>
                <w:sz w:val="24"/>
              </w:rPr>
              <w:t xml:space="preserve">Выплаченные дивиденды</w:t>
            </w:r>
          </w:p>
        </w:tc>
        <w:tc>
          <w:tcPr>
            <w:tcW w:w="2948" w:type="dxa"/>
          </w:tcPr>
          <w:p>
            <w:pPr>
              <w:pStyle w:val="0"/>
            </w:pPr>
            <w:r>
              <w:rPr>
                <w:sz w:val="24"/>
              </w:rPr>
              <w:t xml:space="preserve">mem-int:VyplachennyeDividendyMember</w:t>
            </w:r>
          </w:p>
        </w:tc>
      </w:tr>
      <w:tr>
        <w:tc>
          <w:tcPr>
            <w:tcW w:w="907" w:type="dxa"/>
          </w:tcPr>
          <w:p>
            <w:pPr>
              <w:pStyle w:val="0"/>
            </w:pPr>
            <w:r>
              <w:rPr>
                <w:sz w:val="24"/>
              </w:rPr>
              <w:t xml:space="preserve">2.60</w:t>
            </w:r>
          </w:p>
        </w:tc>
        <w:tc>
          <w:tcPr>
            <w:tcW w:w="2608" w:type="dxa"/>
          </w:tcPr>
          <w:p>
            <w:pPr>
              <w:pStyle w:val="0"/>
            </w:pPr>
            <w:r>
              <w:rPr>
                <w:sz w:val="24"/>
              </w:rPr>
            </w:r>
          </w:p>
        </w:tc>
        <w:tc>
          <w:tcPr>
            <w:tcW w:w="2608" w:type="dxa"/>
          </w:tcPr>
          <w:p>
            <w:pPr>
              <w:pStyle w:val="0"/>
            </w:pPr>
            <w:r>
              <w:rPr>
                <w:sz w:val="24"/>
              </w:rPr>
              <w:t xml:space="preserve">Поступления от выпуска облигаций, векселей и других долговых ценных бумаг, оцениваемых по амортизированной стоимости</w:t>
            </w:r>
          </w:p>
        </w:tc>
        <w:tc>
          <w:tcPr>
            <w:tcW w:w="2948" w:type="dxa"/>
          </w:tcPr>
          <w:p>
            <w:pPr>
              <w:pStyle w:val="0"/>
            </w:pPr>
            <w:r>
              <w:rPr>
                <w:sz w:val="24"/>
              </w:rPr>
              <w:t xml:space="preserve">mem-int:PostuplOtVypObligVeksIDrDolgCZenBumOczenPoASMember</w:t>
            </w:r>
          </w:p>
        </w:tc>
      </w:tr>
      <w:tr>
        <w:tc>
          <w:tcPr>
            <w:tcW w:w="907" w:type="dxa"/>
          </w:tcPr>
          <w:p>
            <w:pPr>
              <w:pStyle w:val="0"/>
            </w:pPr>
            <w:r>
              <w:rPr>
                <w:sz w:val="24"/>
              </w:rPr>
              <w:t xml:space="preserve">2.61</w:t>
            </w:r>
          </w:p>
        </w:tc>
        <w:tc>
          <w:tcPr>
            <w:tcW w:w="2608" w:type="dxa"/>
          </w:tcPr>
          <w:p>
            <w:pPr>
              <w:pStyle w:val="0"/>
            </w:pPr>
            <w:r>
              <w:rPr>
                <w:sz w:val="24"/>
              </w:rPr>
            </w:r>
          </w:p>
        </w:tc>
        <w:tc>
          <w:tcPr>
            <w:tcW w:w="2608" w:type="dxa"/>
          </w:tcPr>
          <w:p>
            <w:pPr>
              <w:pStyle w:val="0"/>
            </w:pPr>
            <w:r>
              <w:rPr>
                <w:sz w:val="24"/>
              </w:rPr>
              <w:t xml:space="preserve">Платежи в связи с погашением (выкупом) облигаций, векселей и других долговых ценных бумаг, оцениваемых по амортизированной стоимости</w:t>
            </w:r>
          </w:p>
        </w:tc>
        <w:tc>
          <w:tcPr>
            <w:tcW w:w="2948" w:type="dxa"/>
          </w:tcPr>
          <w:p>
            <w:pPr>
              <w:pStyle w:val="0"/>
            </w:pPr>
            <w:r>
              <w:rPr>
                <w:sz w:val="24"/>
              </w:rPr>
              <w:t xml:space="preserve">mem-int:PlatVSvyaziSPogashVykupOblVeksIDrDolgCZenBumPoAmStMember</w:t>
            </w:r>
          </w:p>
        </w:tc>
      </w:tr>
      <w:tr>
        <w:tc>
          <w:tcPr>
            <w:tcW w:w="907" w:type="dxa"/>
          </w:tcPr>
          <w:p>
            <w:pPr>
              <w:pStyle w:val="0"/>
            </w:pPr>
            <w:r>
              <w:rPr>
                <w:sz w:val="24"/>
              </w:rPr>
              <w:t xml:space="preserve">2.62</w:t>
            </w:r>
          </w:p>
        </w:tc>
        <w:tc>
          <w:tcPr>
            <w:tcW w:w="2608" w:type="dxa"/>
          </w:tcPr>
          <w:p>
            <w:pPr>
              <w:pStyle w:val="0"/>
            </w:pPr>
            <w:r>
              <w:rPr>
                <w:sz w:val="24"/>
              </w:rPr>
            </w:r>
          </w:p>
        </w:tc>
        <w:tc>
          <w:tcPr>
            <w:tcW w:w="2608" w:type="dxa"/>
          </w:tcPr>
          <w:p>
            <w:pPr>
              <w:pStyle w:val="0"/>
            </w:pPr>
            <w:r>
              <w:rPr>
                <w:sz w:val="24"/>
              </w:rPr>
              <w:t xml:space="preserve">Поступления от взносов членов общества</w:t>
            </w:r>
          </w:p>
        </w:tc>
        <w:tc>
          <w:tcPr>
            <w:tcW w:w="2948" w:type="dxa"/>
          </w:tcPr>
          <w:p>
            <w:pPr>
              <w:pStyle w:val="0"/>
            </w:pPr>
            <w:r>
              <w:rPr>
                <w:sz w:val="24"/>
              </w:rPr>
              <w:t xml:space="preserve">mem-int:PostupleniyaOtVznosovUchastnikovMember</w:t>
            </w:r>
          </w:p>
        </w:tc>
      </w:tr>
      <w:tr>
        <w:tc>
          <w:tcPr>
            <w:tcW w:w="907" w:type="dxa"/>
          </w:tcPr>
          <w:p>
            <w:pPr>
              <w:pStyle w:val="0"/>
            </w:pPr>
            <w:r>
              <w:rPr>
                <w:sz w:val="24"/>
              </w:rPr>
              <w:t xml:space="preserve">2.63</w:t>
            </w:r>
          </w:p>
        </w:tc>
        <w:tc>
          <w:tcPr>
            <w:tcW w:w="2608" w:type="dxa"/>
          </w:tcPr>
          <w:p>
            <w:pPr>
              <w:pStyle w:val="0"/>
            </w:pPr>
            <w:r>
              <w:rPr>
                <w:sz w:val="24"/>
              </w:rPr>
            </w:r>
          </w:p>
        </w:tc>
        <w:tc>
          <w:tcPr>
            <w:tcW w:w="2608" w:type="dxa"/>
          </w:tcPr>
          <w:p>
            <w:pPr>
              <w:pStyle w:val="0"/>
            </w:pPr>
            <w:r>
              <w:rPr>
                <w:sz w:val="24"/>
              </w:rPr>
              <w:t xml:space="preserve">Прочие поступления от финансовой деятельности</w:t>
            </w:r>
          </w:p>
        </w:tc>
        <w:tc>
          <w:tcPr>
            <w:tcW w:w="2948" w:type="dxa"/>
          </w:tcPr>
          <w:p>
            <w:pPr>
              <w:pStyle w:val="0"/>
            </w:pPr>
            <w:r>
              <w:rPr>
                <w:sz w:val="24"/>
              </w:rPr>
              <w:t xml:space="preserve">mem-int:ProchiePostupleniyaOtFinansovojDeyatelnostiMember</w:t>
            </w:r>
          </w:p>
        </w:tc>
      </w:tr>
      <w:tr>
        <w:tc>
          <w:tcPr>
            <w:tcW w:w="907" w:type="dxa"/>
          </w:tcPr>
          <w:p>
            <w:pPr>
              <w:pStyle w:val="0"/>
            </w:pPr>
            <w:r>
              <w:rPr>
                <w:sz w:val="24"/>
              </w:rPr>
              <w:t xml:space="preserve">2.64</w:t>
            </w:r>
          </w:p>
        </w:tc>
        <w:tc>
          <w:tcPr>
            <w:tcW w:w="2608" w:type="dxa"/>
          </w:tcPr>
          <w:p>
            <w:pPr>
              <w:pStyle w:val="0"/>
            </w:pPr>
            <w:r>
              <w:rPr>
                <w:sz w:val="24"/>
              </w:rPr>
            </w:r>
          </w:p>
        </w:tc>
        <w:tc>
          <w:tcPr>
            <w:tcW w:w="2608" w:type="dxa"/>
          </w:tcPr>
          <w:p>
            <w:pPr>
              <w:pStyle w:val="0"/>
            </w:pPr>
            <w:r>
              <w:rPr>
                <w:sz w:val="24"/>
              </w:rPr>
              <w:t xml:space="preserve">Прочие платежи по финансовой деятельности</w:t>
            </w:r>
          </w:p>
        </w:tc>
        <w:tc>
          <w:tcPr>
            <w:tcW w:w="2948" w:type="dxa"/>
          </w:tcPr>
          <w:p>
            <w:pPr>
              <w:pStyle w:val="0"/>
            </w:pPr>
            <w:r>
              <w:rPr>
                <w:sz w:val="24"/>
              </w:rPr>
              <w:t xml:space="preserve">mem-int:ProchiePlatezhiOtFinansovojDeyatelnostiMember</w:t>
            </w:r>
          </w:p>
        </w:tc>
      </w:tr>
    </w:tbl>
    <w:p>
      <w:pPr>
        <w:pStyle w:val="0"/>
        <w:ind w:firstLine="540"/>
        <w:jc w:val="both"/>
      </w:pPr>
      <w:r>
        <w:rPr>
          <w:sz w:val="24"/>
        </w:rPr>
      </w:r>
    </w:p>
    <w:p>
      <w:pPr>
        <w:pStyle w:val="0"/>
        <w:outlineLvl w:val="2"/>
        <w:jc w:val="both"/>
      </w:pPr>
      <w:r>
        <w:rPr>
          <w:sz w:val="24"/>
        </w:rPr>
        <w:t xml:space="preserve">Раздел 11. Отчетность по </w:t>
      </w:r>
      <w:hyperlink w:history="0" w:anchor="P37402" w:tooltip="Отчетность по форме 0420164">
        <w:r>
          <w:rPr>
            <w:sz w:val="24"/>
            <w:color w:val="0000ff"/>
          </w:rPr>
          <w:t xml:space="preserve">форме 0420164</w:t>
        </w:r>
      </w:hyperlink>
      <w:r>
        <w:rPr>
          <w:sz w:val="24"/>
        </w:rPr>
        <w:t xml:space="preserve"> "Оборотная ведомость по счетам бухгалтерского учета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Валюта Российской Федерации или рублевый эквивалент</w:t>
            </w:r>
          </w:p>
        </w:tc>
        <w:tc>
          <w:tcPr>
            <w:tcW w:w="2608" w:type="dxa"/>
          </w:tcPr>
          <w:p>
            <w:pPr>
              <w:pStyle w:val="0"/>
            </w:pPr>
            <w:r>
              <w:rPr>
                <w:sz w:val="24"/>
              </w:rPr>
            </w:r>
          </w:p>
        </w:tc>
        <w:tc>
          <w:tcPr>
            <w:tcW w:w="2948" w:type="dxa"/>
          </w:tcPr>
          <w:p>
            <w:pPr>
              <w:pStyle w:val="0"/>
            </w:pPr>
            <w:r>
              <w:rPr>
                <w:sz w:val="24"/>
              </w:rPr>
              <w:t xml:space="preserve">dim-int:NaczVal_RubEkvAxis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 валюте Российской Федерации</w:t>
            </w:r>
          </w:p>
        </w:tc>
        <w:tc>
          <w:tcPr>
            <w:tcW w:w="2948" w:type="dxa"/>
          </w:tcPr>
          <w:p>
            <w:pPr>
              <w:pStyle w:val="0"/>
            </w:pPr>
            <w:r>
              <w:rPr>
                <w:sz w:val="24"/>
              </w:rPr>
              <w:t xml:space="preserve">mem-int:NaczValMember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В иностранной валюте и драгоценных металлах в рублевом эквиваленте</w:t>
            </w:r>
          </w:p>
        </w:tc>
        <w:tc>
          <w:tcPr>
            <w:tcW w:w="2948" w:type="dxa"/>
          </w:tcPr>
          <w:p>
            <w:pPr>
              <w:pStyle w:val="0"/>
            </w:pPr>
            <w:r>
              <w:rPr>
                <w:sz w:val="24"/>
              </w:rPr>
              <w:t xml:space="preserve">mem-int:RubEkvMember</w:t>
            </w:r>
          </w:p>
        </w:tc>
      </w:tr>
    </w:tbl>
    <w:p>
      <w:pPr>
        <w:pStyle w:val="0"/>
        <w:ind w:firstLine="540"/>
        <w:jc w:val="both"/>
      </w:pPr>
      <w:r>
        <w:rPr>
          <w:sz w:val="24"/>
        </w:rPr>
      </w:r>
    </w:p>
    <w:p>
      <w:pPr>
        <w:pStyle w:val="0"/>
        <w:outlineLvl w:val="2"/>
        <w:jc w:val="both"/>
      </w:pPr>
      <w:r>
        <w:rPr>
          <w:sz w:val="24"/>
        </w:rPr>
        <w:t xml:space="preserve">Раздел 12. Отчетность по </w:t>
      </w:r>
      <w:hyperlink w:history="0" w:anchor="P37485" w:tooltip="Отчетность по форме 0420165">
        <w:r>
          <w:rPr>
            <w:sz w:val="24"/>
            <w:color w:val="0000ff"/>
          </w:rPr>
          <w:t xml:space="preserve">форме 0420165</w:t>
        </w:r>
      </w:hyperlink>
      <w:r>
        <w:rPr>
          <w:sz w:val="24"/>
        </w:rPr>
        <w:t xml:space="preserve"> "Отчет о финансовых результатах страховщика (по символам доходов и расходов)"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Валюта Российской Федерации или рублевый эквивалент</w:t>
            </w:r>
          </w:p>
        </w:tc>
        <w:tc>
          <w:tcPr>
            <w:tcW w:w="2608" w:type="dxa"/>
          </w:tcPr>
          <w:p>
            <w:pPr>
              <w:pStyle w:val="0"/>
            </w:pPr>
            <w:r>
              <w:rPr>
                <w:sz w:val="24"/>
              </w:rPr>
            </w:r>
          </w:p>
        </w:tc>
        <w:tc>
          <w:tcPr>
            <w:tcW w:w="2948" w:type="dxa"/>
          </w:tcPr>
          <w:p>
            <w:pPr>
              <w:pStyle w:val="0"/>
            </w:pPr>
            <w:r>
              <w:rPr>
                <w:sz w:val="24"/>
              </w:rPr>
              <w:t xml:space="preserve">dim-int:NaczVal_RubEkvAxis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 валюте Российской Федерации</w:t>
            </w:r>
          </w:p>
        </w:tc>
        <w:tc>
          <w:tcPr>
            <w:tcW w:w="2948" w:type="dxa"/>
          </w:tcPr>
          <w:p>
            <w:pPr>
              <w:pStyle w:val="0"/>
            </w:pPr>
            <w:r>
              <w:rPr>
                <w:sz w:val="24"/>
              </w:rPr>
              <w:t xml:space="preserve">mem-int:NaczValMember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В иностранной валюте и драгоценных металлах в рублевом эквиваленте</w:t>
            </w:r>
          </w:p>
        </w:tc>
        <w:tc>
          <w:tcPr>
            <w:tcW w:w="2948" w:type="dxa"/>
          </w:tcPr>
          <w:p>
            <w:pPr>
              <w:pStyle w:val="0"/>
            </w:pPr>
            <w:r>
              <w:rPr>
                <w:sz w:val="24"/>
              </w:rPr>
              <w:t xml:space="preserve">mem-int:RubEkvMember</w:t>
            </w:r>
          </w:p>
        </w:tc>
      </w:tr>
    </w:tbl>
    <w:p>
      <w:pPr>
        <w:pStyle w:val="0"/>
        <w:ind w:firstLine="540"/>
        <w:jc w:val="both"/>
      </w:pPr>
      <w:r>
        <w:rPr>
          <w:sz w:val="24"/>
        </w:rPr>
      </w:r>
    </w:p>
    <w:p>
      <w:pPr>
        <w:pStyle w:val="0"/>
        <w:outlineLvl w:val="2"/>
        <w:jc w:val="both"/>
      </w:pPr>
      <w:r>
        <w:rPr>
          <w:sz w:val="24"/>
        </w:rPr>
        <w:t xml:space="preserve">Раздел 13. Отчетность по </w:t>
      </w:r>
      <w:hyperlink w:history="0" w:anchor="P38909" w:tooltip="Отчетность по форме 0420172">
        <w:r>
          <w:rPr>
            <w:sz w:val="24"/>
            <w:color w:val="0000ff"/>
          </w:rPr>
          <w:t xml:space="preserve">форме 0420172</w:t>
        </w:r>
      </w:hyperlink>
      <w:r>
        <w:rPr>
          <w:sz w:val="24"/>
        </w:rPr>
        <w:t xml:space="preserve"> "Расшифровка отдельных показателей деятельности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Валюта Российской Федерации или рублевый эквивалент</w:t>
            </w:r>
          </w:p>
        </w:tc>
        <w:tc>
          <w:tcPr>
            <w:tcW w:w="2608" w:type="dxa"/>
          </w:tcPr>
          <w:p>
            <w:pPr>
              <w:pStyle w:val="0"/>
            </w:pPr>
            <w:r>
              <w:rPr>
                <w:sz w:val="24"/>
              </w:rPr>
            </w:r>
          </w:p>
        </w:tc>
        <w:tc>
          <w:tcPr>
            <w:tcW w:w="2948" w:type="dxa"/>
          </w:tcPr>
          <w:p>
            <w:pPr>
              <w:pStyle w:val="0"/>
            </w:pPr>
            <w:r>
              <w:rPr>
                <w:sz w:val="24"/>
              </w:rPr>
              <w:t xml:space="preserve">dim-int:NaczVal_RubEkvAxis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В валюте Российской Федерации</w:t>
            </w:r>
          </w:p>
        </w:tc>
        <w:tc>
          <w:tcPr>
            <w:tcW w:w="2948" w:type="dxa"/>
          </w:tcPr>
          <w:p>
            <w:pPr>
              <w:pStyle w:val="0"/>
            </w:pPr>
            <w:r>
              <w:rPr>
                <w:sz w:val="24"/>
              </w:rPr>
              <w:t xml:space="preserve">mem-int:NaczValMember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В иностранной валюте и драгоценных металлах в рублевом эквиваленте</w:t>
            </w:r>
          </w:p>
        </w:tc>
        <w:tc>
          <w:tcPr>
            <w:tcW w:w="2948" w:type="dxa"/>
          </w:tcPr>
          <w:p>
            <w:pPr>
              <w:pStyle w:val="0"/>
            </w:pPr>
            <w:r>
              <w:rPr>
                <w:sz w:val="24"/>
              </w:rPr>
              <w:t xml:space="preserve">mem-int:RubEkvMember</w:t>
            </w:r>
          </w:p>
        </w:tc>
      </w:tr>
      <w:tr>
        <w:tc>
          <w:tcPr>
            <w:tcW w:w="907" w:type="dxa"/>
          </w:tcPr>
          <w:p>
            <w:pPr>
              <w:pStyle w:val="0"/>
            </w:pPr>
            <w:r>
              <w:rPr>
                <w:sz w:val="24"/>
              </w:rPr>
              <w:t xml:space="preserve">2</w:t>
            </w:r>
          </w:p>
        </w:tc>
        <w:tc>
          <w:tcPr>
            <w:tcW w:w="2608" w:type="dxa"/>
          </w:tcPr>
          <w:p>
            <w:pPr>
              <w:pStyle w:val="0"/>
            </w:pPr>
            <w:r>
              <w:rPr>
                <w:sz w:val="24"/>
              </w:rPr>
              <w:t xml:space="preserve">Вид договора страхования, перестрахования</w:t>
            </w:r>
          </w:p>
        </w:tc>
        <w:tc>
          <w:tcPr>
            <w:tcW w:w="2608" w:type="dxa"/>
          </w:tcPr>
          <w:p>
            <w:pPr>
              <w:pStyle w:val="0"/>
            </w:pPr>
            <w:r>
              <w:rPr>
                <w:sz w:val="24"/>
              </w:rPr>
            </w:r>
          </w:p>
        </w:tc>
        <w:tc>
          <w:tcPr>
            <w:tcW w:w="2948" w:type="dxa"/>
          </w:tcPr>
          <w:p>
            <w:pPr>
              <w:pStyle w:val="0"/>
            </w:pPr>
            <w:r>
              <w:rPr>
                <w:sz w:val="24"/>
              </w:rPr>
              <w:t xml:space="preserve">dim-int:StrDogZhNezhAxis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жизни</w:t>
            </w:r>
          </w:p>
        </w:tc>
        <w:tc>
          <w:tcPr>
            <w:tcW w:w="2948" w:type="dxa"/>
          </w:tcPr>
          <w:p>
            <w:pPr>
              <w:pStyle w:val="0"/>
            </w:pPr>
            <w:r>
              <w:rPr>
                <w:sz w:val="24"/>
              </w:rPr>
              <w:t xml:space="preserve">mem-int:DogStrSostrPerestrOtnZhMember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Договор страхования, сострахования, перестрахования относится к страхованию иному, чем страхование жизни</w:t>
            </w:r>
          </w:p>
        </w:tc>
        <w:tc>
          <w:tcPr>
            <w:tcW w:w="2948" w:type="dxa"/>
          </w:tcPr>
          <w:p>
            <w:pPr>
              <w:pStyle w:val="0"/>
            </w:pPr>
            <w:r>
              <w:rPr>
                <w:sz w:val="24"/>
              </w:rPr>
              <w:t xml:space="preserve">mem-int:DogStrSostrPerestrOtnInChZhMember</w:t>
            </w:r>
          </w:p>
        </w:tc>
      </w:tr>
      <w:tr>
        <w:tc>
          <w:tcPr>
            <w:tcW w:w="907" w:type="dxa"/>
          </w:tcPr>
          <w:p>
            <w:pPr>
              <w:pStyle w:val="0"/>
            </w:pPr>
            <w:r>
              <w:rPr>
                <w:sz w:val="24"/>
              </w:rPr>
              <w:t xml:space="preserve">3</w:t>
            </w:r>
          </w:p>
        </w:tc>
        <w:tc>
          <w:tcPr>
            <w:tcW w:w="2608" w:type="dxa"/>
          </w:tcPr>
          <w:p>
            <w:pPr>
              <w:pStyle w:val="0"/>
            </w:pPr>
            <w:r>
              <w:rPr>
                <w:sz w:val="24"/>
              </w:rPr>
              <w:t xml:space="preserve">Вид задолженности по категориям</w:t>
            </w:r>
          </w:p>
        </w:tc>
        <w:tc>
          <w:tcPr>
            <w:tcW w:w="2608" w:type="dxa"/>
          </w:tcPr>
          <w:p>
            <w:pPr>
              <w:pStyle w:val="0"/>
            </w:pPr>
            <w:r>
              <w:rPr>
                <w:sz w:val="24"/>
              </w:rPr>
            </w:r>
          </w:p>
        </w:tc>
        <w:tc>
          <w:tcPr>
            <w:tcW w:w="2948" w:type="dxa"/>
          </w:tcPr>
          <w:p>
            <w:pPr>
              <w:pStyle w:val="0"/>
            </w:pPr>
            <w:r>
              <w:rPr>
                <w:sz w:val="24"/>
              </w:rPr>
              <w:t xml:space="preserve">dim-int:VidZadolzhPoKategoriyamAxis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Задолженность по договорам страхования, сострахования и перестрахования</w:t>
            </w:r>
          </w:p>
        </w:tc>
        <w:tc>
          <w:tcPr>
            <w:tcW w:w="2948" w:type="dxa"/>
          </w:tcPr>
          <w:p>
            <w:pPr>
              <w:pStyle w:val="0"/>
            </w:pPr>
            <w:r>
              <w:rPr>
                <w:sz w:val="24"/>
              </w:rPr>
              <w:t xml:space="preserve">mem-int:ZadolzhPoDogStraxIPerestraxMember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Прочая задолженность</w:t>
            </w:r>
          </w:p>
        </w:tc>
        <w:tc>
          <w:tcPr>
            <w:tcW w:w="2948" w:type="dxa"/>
          </w:tcPr>
          <w:p>
            <w:pPr>
              <w:pStyle w:val="0"/>
            </w:pPr>
            <w:r>
              <w:rPr>
                <w:sz w:val="24"/>
              </w:rPr>
              <w:t xml:space="preserve">mem-int:ProchayaZadolzhennostMember</w:t>
            </w:r>
          </w:p>
        </w:tc>
      </w:tr>
      <w:tr>
        <w:tc>
          <w:tcPr>
            <w:tcW w:w="907" w:type="dxa"/>
          </w:tcPr>
          <w:p>
            <w:pPr>
              <w:pStyle w:val="0"/>
            </w:pPr>
            <w:r>
              <w:rPr>
                <w:sz w:val="24"/>
              </w:rPr>
              <w:t xml:space="preserve">4</w:t>
            </w:r>
          </w:p>
        </w:tc>
        <w:tc>
          <w:tcPr>
            <w:tcW w:w="2608" w:type="dxa"/>
          </w:tcPr>
          <w:p>
            <w:pPr>
              <w:pStyle w:val="0"/>
            </w:pPr>
            <w:r>
              <w:rPr>
                <w:sz w:val="24"/>
              </w:rPr>
              <w:t xml:space="preserve">Вид имущества</w:t>
            </w:r>
          </w:p>
        </w:tc>
        <w:tc>
          <w:tcPr>
            <w:tcW w:w="2608" w:type="dxa"/>
          </w:tcPr>
          <w:p>
            <w:pPr>
              <w:pStyle w:val="0"/>
            </w:pPr>
            <w:r>
              <w:rPr>
                <w:sz w:val="24"/>
              </w:rPr>
            </w:r>
          </w:p>
        </w:tc>
        <w:tc>
          <w:tcPr>
            <w:tcW w:w="2948" w:type="dxa"/>
          </w:tcPr>
          <w:p>
            <w:pPr>
              <w:pStyle w:val="0"/>
            </w:pPr>
            <w:r>
              <w:rPr>
                <w:sz w:val="24"/>
              </w:rPr>
              <w:t xml:space="preserve">dim-int:VidImuschAxis</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Земля</w:t>
            </w:r>
          </w:p>
        </w:tc>
        <w:tc>
          <w:tcPr>
            <w:tcW w:w="2948" w:type="dxa"/>
          </w:tcPr>
          <w:p>
            <w:pPr>
              <w:pStyle w:val="0"/>
            </w:pPr>
            <w:r>
              <w:rPr>
                <w:sz w:val="24"/>
              </w:rPr>
              <w:t xml:space="preserve">mem-int:ZemlyaMember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Прочее имущество</w:t>
            </w:r>
          </w:p>
        </w:tc>
        <w:tc>
          <w:tcPr>
            <w:tcW w:w="2948" w:type="dxa"/>
          </w:tcPr>
          <w:p>
            <w:pPr>
              <w:pStyle w:val="0"/>
            </w:pPr>
            <w:r>
              <w:rPr>
                <w:sz w:val="24"/>
              </w:rPr>
              <w:t xml:space="preserve">mem-int:ProcheeImushhestvoMember</w:t>
            </w:r>
          </w:p>
        </w:tc>
      </w:tr>
      <w:tr>
        <w:tc>
          <w:tcPr>
            <w:tcW w:w="907" w:type="dxa"/>
          </w:tcPr>
          <w:p>
            <w:pPr>
              <w:pStyle w:val="0"/>
            </w:pPr>
            <w:r>
              <w:rPr>
                <w:sz w:val="24"/>
              </w:rPr>
              <w:t xml:space="preserve">5</w:t>
            </w:r>
          </w:p>
        </w:tc>
        <w:tc>
          <w:tcPr>
            <w:tcW w:w="2608" w:type="dxa"/>
          </w:tcPr>
          <w:p>
            <w:pPr>
              <w:pStyle w:val="0"/>
            </w:pPr>
            <w:r>
              <w:rPr>
                <w:sz w:val="24"/>
              </w:rPr>
              <w:t xml:space="preserve">Вид контрагента</w:t>
            </w:r>
          </w:p>
        </w:tc>
        <w:tc>
          <w:tcPr>
            <w:tcW w:w="2608" w:type="dxa"/>
          </w:tcPr>
          <w:p>
            <w:pPr>
              <w:pStyle w:val="0"/>
            </w:pPr>
            <w:r>
              <w:rPr>
                <w:sz w:val="24"/>
              </w:rPr>
            </w:r>
          </w:p>
        </w:tc>
        <w:tc>
          <w:tcPr>
            <w:tcW w:w="2948" w:type="dxa"/>
          </w:tcPr>
          <w:p>
            <w:pPr>
              <w:pStyle w:val="0"/>
            </w:pPr>
            <w:r>
              <w:rPr>
                <w:sz w:val="24"/>
              </w:rPr>
              <w:t xml:space="preserve">dim-int:VidKontragentaAxis</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ФЛ - физическое лицо</w:t>
            </w:r>
          </w:p>
        </w:tc>
        <w:tc>
          <w:tcPr>
            <w:tcW w:w="2948" w:type="dxa"/>
          </w:tcPr>
          <w:p>
            <w:pPr>
              <w:pStyle w:val="0"/>
            </w:pPr>
            <w:r>
              <w:rPr>
                <w:sz w:val="24"/>
              </w:rPr>
              <w:t xml:space="preserve">mem-int:FLMember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ИП - индивидуальный предприниматель</w:t>
            </w:r>
          </w:p>
        </w:tc>
        <w:tc>
          <w:tcPr>
            <w:tcW w:w="2948" w:type="dxa"/>
          </w:tcPr>
          <w:p>
            <w:pPr>
              <w:pStyle w:val="0"/>
            </w:pPr>
            <w:r>
              <w:rPr>
                <w:sz w:val="24"/>
              </w:rPr>
              <w:t xml:space="preserve">mem-int:Ip_Member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ЮЛ - юридическое лицо</w:t>
            </w:r>
          </w:p>
        </w:tc>
        <w:tc>
          <w:tcPr>
            <w:tcW w:w="2948" w:type="dxa"/>
          </w:tcPr>
          <w:p>
            <w:pPr>
              <w:pStyle w:val="0"/>
            </w:pPr>
            <w:r>
              <w:rPr>
                <w:sz w:val="24"/>
              </w:rPr>
              <w:t xml:space="preserve">mem-int:YulMember</w:t>
            </w:r>
          </w:p>
        </w:tc>
      </w:tr>
      <w:tr>
        <w:tc>
          <w:tcPr>
            <w:tcW w:w="907" w:type="dxa"/>
          </w:tcPr>
          <w:p>
            <w:pPr>
              <w:pStyle w:val="0"/>
            </w:pPr>
            <w:r>
              <w:rPr>
                <w:sz w:val="24"/>
              </w:rPr>
              <w:t xml:space="preserve">6</w:t>
            </w:r>
          </w:p>
        </w:tc>
        <w:tc>
          <w:tcPr>
            <w:tcW w:w="2608" w:type="dxa"/>
          </w:tcPr>
          <w:p>
            <w:pPr>
              <w:pStyle w:val="0"/>
            </w:pPr>
            <w:r>
              <w:rPr>
                <w:sz w:val="24"/>
              </w:rPr>
              <w:t xml:space="preserve">Тип контрагента, сектор (подсектор) экономики</w:t>
            </w:r>
          </w:p>
        </w:tc>
        <w:tc>
          <w:tcPr>
            <w:tcW w:w="2608" w:type="dxa"/>
          </w:tcPr>
          <w:p>
            <w:pPr>
              <w:pStyle w:val="0"/>
            </w:pPr>
            <w:r>
              <w:rPr>
                <w:sz w:val="24"/>
              </w:rPr>
            </w:r>
          </w:p>
        </w:tc>
        <w:tc>
          <w:tcPr>
            <w:tcW w:w="2948" w:type="dxa"/>
          </w:tcPr>
          <w:p>
            <w:pPr>
              <w:pStyle w:val="0"/>
            </w:pPr>
            <w:r>
              <w:rPr>
                <w:sz w:val="24"/>
              </w:rPr>
              <w:t xml:space="preserve">dim-int:Tip_KontragentaAxis</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Нерезиденты</w:t>
            </w:r>
          </w:p>
        </w:tc>
        <w:tc>
          <w:tcPr>
            <w:tcW w:w="2948" w:type="dxa"/>
          </w:tcPr>
          <w:p>
            <w:pPr>
              <w:pStyle w:val="0"/>
            </w:pPr>
            <w:r>
              <w:rPr>
                <w:sz w:val="24"/>
              </w:rPr>
              <w:t xml:space="preserve">mem-int:NerezidentyMember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Государственное управление</w:t>
            </w:r>
          </w:p>
        </w:tc>
        <w:tc>
          <w:tcPr>
            <w:tcW w:w="2948" w:type="dxa"/>
          </w:tcPr>
          <w:p>
            <w:pPr>
              <w:pStyle w:val="0"/>
            </w:pPr>
            <w:r>
              <w:rPr>
                <w:sz w:val="24"/>
              </w:rPr>
              <w:t xml:space="preserve">mem-int:GosUpravlenieMember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Кредитные организации</w:t>
            </w:r>
          </w:p>
        </w:tc>
        <w:tc>
          <w:tcPr>
            <w:tcW w:w="2948" w:type="dxa"/>
          </w:tcPr>
          <w:p>
            <w:pPr>
              <w:pStyle w:val="0"/>
            </w:pPr>
            <w:r>
              <w:rPr>
                <w:sz w:val="24"/>
              </w:rPr>
              <w:t xml:space="preserve">mem-int:KredOrgMember</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Паевые инвестиционные фонды</w:t>
            </w:r>
          </w:p>
        </w:tc>
        <w:tc>
          <w:tcPr>
            <w:tcW w:w="2948" w:type="dxa"/>
          </w:tcPr>
          <w:p>
            <w:pPr>
              <w:pStyle w:val="0"/>
            </w:pPr>
            <w:r>
              <w:rPr>
                <w:sz w:val="24"/>
              </w:rPr>
              <w:t xml:space="preserve">mem-int:PIFMember</w:t>
            </w:r>
          </w:p>
        </w:tc>
      </w:tr>
      <w:tr>
        <w:tc>
          <w:tcPr>
            <w:tcW w:w="907" w:type="dxa"/>
          </w:tcPr>
          <w:p>
            <w:pPr>
              <w:pStyle w:val="0"/>
            </w:pPr>
            <w:r>
              <w:rPr>
                <w:sz w:val="24"/>
              </w:rPr>
              <w:t xml:space="preserve">6.5</w:t>
            </w:r>
          </w:p>
        </w:tc>
        <w:tc>
          <w:tcPr>
            <w:tcW w:w="2608" w:type="dxa"/>
          </w:tcPr>
          <w:p>
            <w:pPr>
              <w:pStyle w:val="0"/>
            </w:pPr>
            <w:r>
              <w:rPr>
                <w:sz w:val="24"/>
              </w:rPr>
            </w:r>
          </w:p>
        </w:tc>
        <w:tc>
          <w:tcPr>
            <w:tcW w:w="2608" w:type="dxa"/>
          </w:tcPr>
          <w:p>
            <w:pPr>
              <w:pStyle w:val="0"/>
            </w:pPr>
            <w:r>
              <w:rPr>
                <w:sz w:val="24"/>
              </w:rPr>
              <w:t xml:space="preserve">Акционерные инвестиционные фонды</w:t>
            </w:r>
          </w:p>
        </w:tc>
        <w:tc>
          <w:tcPr>
            <w:tcW w:w="2948" w:type="dxa"/>
          </w:tcPr>
          <w:p>
            <w:pPr>
              <w:pStyle w:val="0"/>
            </w:pPr>
            <w:r>
              <w:rPr>
                <w:sz w:val="24"/>
              </w:rPr>
              <w:t xml:space="preserve">mem-int:AIFMember</w:t>
            </w:r>
          </w:p>
        </w:tc>
      </w:tr>
      <w:tr>
        <w:tc>
          <w:tcPr>
            <w:tcW w:w="907" w:type="dxa"/>
          </w:tcPr>
          <w:p>
            <w:pPr>
              <w:pStyle w:val="0"/>
            </w:pPr>
            <w:r>
              <w:rPr>
                <w:sz w:val="24"/>
              </w:rPr>
              <w:t xml:space="preserve">6.6</w:t>
            </w:r>
          </w:p>
        </w:tc>
        <w:tc>
          <w:tcPr>
            <w:tcW w:w="2608" w:type="dxa"/>
          </w:tcPr>
          <w:p>
            <w:pPr>
              <w:pStyle w:val="0"/>
            </w:pPr>
            <w:r>
              <w:rPr>
                <w:sz w:val="24"/>
              </w:rPr>
            </w:r>
          </w:p>
        </w:tc>
        <w:tc>
          <w:tcPr>
            <w:tcW w:w="2608" w:type="dxa"/>
          </w:tcPr>
          <w:p>
            <w:pPr>
              <w:pStyle w:val="0"/>
            </w:pPr>
            <w:r>
              <w:rPr>
                <w:sz w:val="24"/>
              </w:rPr>
              <w:t xml:space="preserve">Страховщики</w:t>
            </w:r>
          </w:p>
        </w:tc>
        <w:tc>
          <w:tcPr>
            <w:tcW w:w="2948" w:type="dxa"/>
          </w:tcPr>
          <w:p>
            <w:pPr>
              <w:pStyle w:val="0"/>
            </w:pPr>
            <w:r>
              <w:rPr>
                <w:sz w:val="24"/>
              </w:rPr>
              <w:t xml:space="preserve">mem-int:StraxovshhikiMember</w:t>
            </w:r>
          </w:p>
        </w:tc>
      </w:tr>
      <w:tr>
        <w:tc>
          <w:tcPr>
            <w:tcW w:w="907" w:type="dxa"/>
          </w:tcPr>
          <w:p>
            <w:pPr>
              <w:pStyle w:val="0"/>
            </w:pPr>
            <w:r>
              <w:rPr>
                <w:sz w:val="24"/>
              </w:rPr>
              <w:t xml:space="preserve">6.7</w:t>
            </w:r>
          </w:p>
        </w:tc>
        <w:tc>
          <w:tcPr>
            <w:tcW w:w="2608" w:type="dxa"/>
          </w:tcPr>
          <w:p>
            <w:pPr>
              <w:pStyle w:val="0"/>
            </w:pPr>
            <w:r>
              <w:rPr>
                <w:sz w:val="24"/>
              </w:rPr>
            </w:r>
          </w:p>
        </w:tc>
        <w:tc>
          <w:tcPr>
            <w:tcW w:w="2608" w:type="dxa"/>
          </w:tcPr>
          <w:p>
            <w:pPr>
              <w:pStyle w:val="0"/>
            </w:pPr>
            <w:r>
              <w:rPr>
                <w:sz w:val="24"/>
              </w:rPr>
              <w:t xml:space="preserve">Негосударственные пенсионные фонды</w:t>
            </w:r>
          </w:p>
        </w:tc>
        <w:tc>
          <w:tcPr>
            <w:tcW w:w="2948" w:type="dxa"/>
          </w:tcPr>
          <w:p>
            <w:pPr>
              <w:pStyle w:val="0"/>
            </w:pPr>
            <w:r>
              <w:rPr>
                <w:sz w:val="24"/>
              </w:rPr>
              <w:t xml:space="preserve">mem-int:NPFMember</w:t>
            </w:r>
          </w:p>
        </w:tc>
      </w:tr>
      <w:tr>
        <w:tc>
          <w:tcPr>
            <w:tcW w:w="907" w:type="dxa"/>
          </w:tcPr>
          <w:p>
            <w:pPr>
              <w:pStyle w:val="0"/>
            </w:pPr>
            <w:r>
              <w:rPr>
                <w:sz w:val="24"/>
              </w:rPr>
              <w:t xml:space="preserve">6.8</w:t>
            </w:r>
          </w:p>
        </w:tc>
        <w:tc>
          <w:tcPr>
            <w:tcW w:w="2608" w:type="dxa"/>
          </w:tcPr>
          <w:p>
            <w:pPr>
              <w:pStyle w:val="0"/>
            </w:pPr>
            <w:r>
              <w:rPr>
                <w:sz w:val="24"/>
              </w:rPr>
            </w:r>
          </w:p>
        </w:tc>
        <w:tc>
          <w:tcPr>
            <w:tcW w:w="2608" w:type="dxa"/>
          </w:tcPr>
          <w:p>
            <w:pPr>
              <w:pStyle w:val="0"/>
            </w:pPr>
            <w:r>
              <w:rPr>
                <w:sz w:val="24"/>
              </w:rPr>
              <w:t xml:space="preserve">Другие финансовые организации</w:t>
            </w:r>
          </w:p>
        </w:tc>
        <w:tc>
          <w:tcPr>
            <w:tcW w:w="2948" w:type="dxa"/>
          </w:tcPr>
          <w:p>
            <w:pPr>
              <w:pStyle w:val="0"/>
            </w:pPr>
            <w:r>
              <w:rPr>
                <w:sz w:val="24"/>
              </w:rPr>
              <w:t xml:space="preserve">mem-int:Drugie_FinOrgMember</w:t>
            </w:r>
          </w:p>
        </w:tc>
      </w:tr>
      <w:tr>
        <w:tc>
          <w:tcPr>
            <w:tcW w:w="907" w:type="dxa"/>
          </w:tcPr>
          <w:p>
            <w:pPr>
              <w:pStyle w:val="0"/>
            </w:pPr>
            <w:r>
              <w:rPr>
                <w:sz w:val="24"/>
              </w:rPr>
              <w:t xml:space="preserve">6.9</w:t>
            </w:r>
          </w:p>
        </w:tc>
        <w:tc>
          <w:tcPr>
            <w:tcW w:w="2608" w:type="dxa"/>
          </w:tcPr>
          <w:p>
            <w:pPr>
              <w:pStyle w:val="0"/>
            </w:pPr>
            <w:r>
              <w:rPr>
                <w:sz w:val="24"/>
              </w:rPr>
            </w:r>
          </w:p>
        </w:tc>
        <w:tc>
          <w:tcPr>
            <w:tcW w:w="2608" w:type="dxa"/>
          </w:tcPr>
          <w:p>
            <w:pPr>
              <w:pStyle w:val="0"/>
            </w:pPr>
            <w:r>
              <w:rPr>
                <w:sz w:val="24"/>
              </w:rPr>
              <w:t xml:space="preserve">Нефинансовые организации</w:t>
            </w:r>
          </w:p>
        </w:tc>
        <w:tc>
          <w:tcPr>
            <w:tcW w:w="2948" w:type="dxa"/>
          </w:tcPr>
          <w:p>
            <w:pPr>
              <w:pStyle w:val="0"/>
            </w:pPr>
            <w:r>
              <w:rPr>
                <w:sz w:val="24"/>
              </w:rPr>
              <w:t xml:space="preserve">mem-int:NefinansovyeOrganizacziiMember</w:t>
            </w:r>
          </w:p>
        </w:tc>
      </w:tr>
      <w:tr>
        <w:tc>
          <w:tcPr>
            <w:tcW w:w="907" w:type="dxa"/>
          </w:tcPr>
          <w:p>
            <w:pPr>
              <w:pStyle w:val="0"/>
            </w:pPr>
            <w:r>
              <w:rPr>
                <w:sz w:val="24"/>
              </w:rPr>
              <w:t xml:space="preserve">6.10</w:t>
            </w:r>
          </w:p>
        </w:tc>
        <w:tc>
          <w:tcPr>
            <w:tcW w:w="2608" w:type="dxa"/>
          </w:tcPr>
          <w:p>
            <w:pPr>
              <w:pStyle w:val="0"/>
            </w:pPr>
            <w:r>
              <w:rPr>
                <w:sz w:val="24"/>
              </w:rPr>
            </w:r>
          </w:p>
        </w:tc>
        <w:tc>
          <w:tcPr>
            <w:tcW w:w="2608" w:type="dxa"/>
          </w:tcPr>
          <w:p>
            <w:pPr>
              <w:pStyle w:val="0"/>
            </w:pPr>
            <w:r>
              <w:rPr>
                <w:sz w:val="24"/>
              </w:rPr>
              <w:t xml:space="preserve">Население, кроме индивидуальных предпринимателей</w:t>
            </w:r>
          </w:p>
        </w:tc>
        <w:tc>
          <w:tcPr>
            <w:tcW w:w="2948" w:type="dxa"/>
          </w:tcPr>
          <w:p>
            <w:pPr>
              <w:pStyle w:val="0"/>
            </w:pPr>
            <w:r>
              <w:rPr>
                <w:sz w:val="24"/>
              </w:rPr>
              <w:t xml:space="preserve">mem-int:NaselenieMember</w:t>
            </w:r>
          </w:p>
        </w:tc>
      </w:tr>
      <w:tr>
        <w:tc>
          <w:tcPr>
            <w:tcW w:w="907" w:type="dxa"/>
          </w:tcPr>
          <w:p>
            <w:pPr>
              <w:pStyle w:val="0"/>
            </w:pPr>
            <w:r>
              <w:rPr>
                <w:sz w:val="24"/>
              </w:rPr>
              <w:t xml:space="preserve">6.11</w:t>
            </w:r>
          </w:p>
        </w:tc>
        <w:tc>
          <w:tcPr>
            <w:tcW w:w="2608" w:type="dxa"/>
          </w:tcPr>
          <w:p>
            <w:pPr>
              <w:pStyle w:val="0"/>
            </w:pPr>
            <w:r>
              <w:rPr>
                <w:sz w:val="24"/>
              </w:rPr>
            </w:r>
          </w:p>
        </w:tc>
        <w:tc>
          <w:tcPr>
            <w:tcW w:w="2608" w:type="dxa"/>
          </w:tcPr>
          <w:p>
            <w:pPr>
              <w:pStyle w:val="0"/>
            </w:pPr>
            <w:r>
              <w:rPr>
                <w:sz w:val="24"/>
              </w:rPr>
              <w:t xml:space="preserve">Индивидуальные предприниматели</w:t>
            </w:r>
          </w:p>
        </w:tc>
        <w:tc>
          <w:tcPr>
            <w:tcW w:w="2948" w:type="dxa"/>
          </w:tcPr>
          <w:p>
            <w:pPr>
              <w:pStyle w:val="0"/>
            </w:pPr>
            <w:r>
              <w:rPr>
                <w:sz w:val="24"/>
              </w:rPr>
              <w:t xml:space="preserve">mem-int:Ip_Member</w:t>
            </w:r>
          </w:p>
        </w:tc>
      </w:tr>
      <w:tr>
        <w:tc>
          <w:tcPr>
            <w:tcW w:w="907" w:type="dxa"/>
          </w:tcPr>
          <w:p>
            <w:pPr>
              <w:pStyle w:val="0"/>
            </w:pPr>
            <w:r>
              <w:rPr>
                <w:sz w:val="24"/>
              </w:rPr>
              <w:t xml:space="preserve">6.12</w:t>
            </w:r>
          </w:p>
        </w:tc>
        <w:tc>
          <w:tcPr>
            <w:tcW w:w="2608" w:type="dxa"/>
          </w:tcPr>
          <w:p>
            <w:pPr>
              <w:pStyle w:val="0"/>
            </w:pPr>
            <w:r>
              <w:rPr>
                <w:sz w:val="24"/>
              </w:rPr>
            </w:r>
          </w:p>
        </w:tc>
        <w:tc>
          <w:tcPr>
            <w:tcW w:w="2608" w:type="dxa"/>
          </w:tcPr>
          <w:p>
            <w:pPr>
              <w:pStyle w:val="0"/>
            </w:pPr>
            <w:r>
              <w:rPr>
                <w:sz w:val="24"/>
              </w:rPr>
              <w:t xml:space="preserve">Некоммерческие организации, обслуживающие население</w:t>
            </w:r>
          </w:p>
        </w:tc>
        <w:tc>
          <w:tcPr>
            <w:tcW w:w="2948" w:type="dxa"/>
          </w:tcPr>
          <w:p>
            <w:pPr>
              <w:pStyle w:val="0"/>
            </w:pPr>
            <w:r>
              <w:rPr>
                <w:sz w:val="24"/>
              </w:rPr>
              <w:t xml:space="preserve">mem-int:NekomOrgObslNaselenMember</w:t>
            </w:r>
          </w:p>
        </w:tc>
      </w:tr>
      <w:tr>
        <w:tc>
          <w:tcPr>
            <w:tcW w:w="907" w:type="dxa"/>
          </w:tcPr>
          <w:p>
            <w:pPr>
              <w:pStyle w:val="0"/>
            </w:pPr>
            <w:r>
              <w:rPr>
                <w:sz w:val="24"/>
              </w:rPr>
              <w:t xml:space="preserve">6.13</w:t>
            </w:r>
          </w:p>
        </w:tc>
        <w:tc>
          <w:tcPr>
            <w:tcW w:w="2608" w:type="dxa"/>
          </w:tcPr>
          <w:p>
            <w:pPr>
              <w:pStyle w:val="0"/>
            </w:pPr>
            <w:r>
              <w:rPr>
                <w:sz w:val="24"/>
              </w:rPr>
            </w:r>
          </w:p>
        </w:tc>
        <w:tc>
          <w:tcPr>
            <w:tcW w:w="2608" w:type="dxa"/>
          </w:tcPr>
          <w:p>
            <w:pPr>
              <w:pStyle w:val="0"/>
            </w:pPr>
            <w:r>
              <w:rPr>
                <w:sz w:val="24"/>
              </w:rPr>
              <w:t xml:space="preserve">Ипотечные сертификаты участия</w:t>
            </w:r>
          </w:p>
        </w:tc>
        <w:tc>
          <w:tcPr>
            <w:tcW w:w="2948" w:type="dxa"/>
          </w:tcPr>
          <w:p>
            <w:pPr>
              <w:pStyle w:val="0"/>
            </w:pPr>
            <w:r>
              <w:rPr>
                <w:sz w:val="24"/>
              </w:rPr>
              <w:t xml:space="preserve">mem-int:Ipotech_Sert_Uchast_Member</w:t>
            </w:r>
          </w:p>
        </w:tc>
      </w:tr>
      <w:tr>
        <w:tc>
          <w:tcPr>
            <w:tcW w:w="907" w:type="dxa"/>
          </w:tcPr>
          <w:p>
            <w:pPr>
              <w:pStyle w:val="0"/>
            </w:pPr>
            <w:r>
              <w:rPr>
                <w:sz w:val="24"/>
              </w:rPr>
              <w:t xml:space="preserve">7</w:t>
            </w:r>
          </w:p>
        </w:tc>
        <w:tc>
          <w:tcPr>
            <w:tcW w:w="2608" w:type="dxa"/>
          </w:tcPr>
          <w:p>
            <w:pPr>
              <w:pStyle w:val="0"/>
            </w:pPr>
            <w:r>
              <w:rPr>
                <w:sz w:val="24"/>
              </w:rPr>
              <w:t xml:space="preserve">Тип налогов</w:t>
            </w:r>
          </w:p>
        </w:tc>
        <w:tc>
          <w:tcPr>
            <w:tcW w:w="2608" w:type="dxa"/>
          </w:tcPr>
          <w:p>
            <w:pPr>
              <w:pStyle w:val="0"/>
            </w:pPr>
            <w:r>
              <w:rPr>
                <w:sz w:val="24"/>
              </w:rPr>
            </w:r>
          </w:p>
        </w:tc>
        <w:tc>
          <w:tcPr>
            <w:tcW w:w="2948" w:type="dxa"/>
          </w:tcPr>
          <w:p>
            <w:pPr>
              <w:pStyle w:val="0"/>
            </w:pPr>
            <w:r>
              <w:rPr>
                <w:sz w:val="24"/>
              </w:rPr>
              <w:t xml:space="preserve">dim-int:TipNalogovAxis</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Налог на добавленную стоимость</w:t>
            </w:r>
          </w:p>
        </w:tc>
        <w:tc>
          <w:tcPr>
            <w:tcW w:w="2948" w:type="dxa"/>
          </w:tcPr>
          <w:p>
            <w:pPr>
              <w:pStyle w:val="0"/>
            </w:pPr>
            <w:r>
              <w:rPr>
                <w:sz w:val="24"/>
              </w:rPr>
              <w:t xml:space="preserve">mem-int:NDSMember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Прочие налоги</w:t>
            </w:r>
          </w:p>
        </w:tc>
        <w:tc>
          <w:tcPr>
            <w:tcW w:w="2948" w:type="dxa"/>
          </w:tcPr>
          <w:p>
            <w:pPr>
              <w:pStyle w:val="0"/>
            </w:pPr>
            <w:r>
              <w:rPr>
                <w:sz w:val="24"/>
              </w:rPr>
              <w:t xml:space="preserve">mem-int:ProchieNalogiMember</w:t>
            </w:r>
          </w:p>
        </w:tc>
      </w:tr>
      <w:tr>
        <w:tc>
          <w:tcPr>
            <w:tcW w:w="907" w:type="dxa"/>
          </w:tcPr>
          <w:p>
            <w:pPr>
              <w:pStyle w:val="0"/>
            </w:pPr>
            <w:r>
              <w:rPr>
                <w:sz w:val="24"/>
              </w:rPr>
              <w:t xml:space="preserve">8</w:t>
            </w:r>
          </w:p>
        </w:tc>
        <w:tc>
          <w:tcPr>
            <w:tcW w:w="2608" w:type="dxa"/>
          </w:tcPr>
          <w:p>
            <w:pPr>
              <w:pStyle w:val="0"/>
            </w:pPr>
            <w:r>
              <w:rPr>
                <w:sz w:val="24"/>
              </w:rPr>
              <w:t xml:space="preserve">Тип процентных доходов</w:t>
            </w:r>
          </w:p>
        </w:tc>
        <w:tc>
          <w:tcPr>
            <w:tcW w:w="2608" w:type="dxa"/>
          </w:tcPr>
          <w:p>
            <w:pPr>
              <w:pStyle w:val="0"/>
            </w:pPr>
            <w:r>
              <w:rPr>
                <w:sz w:val="24"/>
              </w:rPr>
            </w:r>
          </w:p>
        </w:tc>
        <w:tc>
          <w:tcPr>
            <w:tcW w:w="2948" w:type="dxa"/>
          </w:tcPr>
          <w:p>
            <w:pPr>
              <w:pStyle w:val="0"/>
            </w:pPr>
            <w:r>
              <w:rPr>
                <w:sz w:val="24"/>
              </w:rPr>
              <w:t xml:space="preserve">dim-int:TipProczentDoxodovAxis</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Процентные доходы по аренде</w:t>
            </w:r>
          </w:p>
        </w:tc>
        <w:tc>
          <w:tcPr>
            <w:tcW w:w="2948" w:type="dxa"/>
          </w:tcPr>
          <w:p>
            <w:pPr>
              <w:pStyle w:val="0"/>
            </w:pPr>
            <w:r>
              <w:rPr>
                <w:sz w:val="24"/>
              </w:rPr>
              <w:t xml:space="preserve">mem-int:ProczentDoxodyPoArendeMember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Прочие процентные доходы</w:t>
            </w:r>
          </w:p>
        </w:tc>
        <w:tc>
          <w:tcPr>
            <w:tcW w:w="2948" w:type="dxa"/>
          </w:tcPr>
          <w:p>
            <w:pPr>
              <w:pStyle w:val="0"/>
            </w:pPr>
            <w:r>
              <w:rPr>
                <w:sz w:val="24"/>
              </w:rPr>
              <w:t xml:space="preserve">mem-int:ProczentnyeDoxody_ProcheeMember</w:t>
            </w:r>
          </w:p>
        </w:tc>
      </w:tr>
      <w:tr>
        <w:tc>
          <w:tcPr>
            <w:tcW w:w="907" w:type="dxa"/>
          </w:tcPr>
          <w:p>
            <w:pPr>
              <w:pStyle w:val="0"/>
            </w:pPr>
            <w:r>
              <w:rPr>
                <w:sz w:val="24"/>
              </w:rPr>
              <w:t xml:space="preserve">9</w:t>
            </w:r>
          </w:p>
        </w:tc>
        <w:tc>
          <w:tcPr>
            <w:tcW w:w="2608" w:type="dxa"/>
          </w:tcPr>
          <w:p>
            <w:pPr>
              <w:pStyle w:val="0"/>
            </w:pPr>
            <w:r>
              <w:rPr>
                <w:sz w:val="24"/>
              </w:rPr>
              <w:t xml:space="preserve">Тип процентных расходов</w:t>
            </w:r>
          </w:p>
        </w:tc>
        <w:tc>
          <w:tcPr>
            <w:tcW w:w="2608" w:type="dxa"/>
          </w:tcPr>
          <w:p>
            <w:pPr>
              <w:pStyle w:val="0"/>
            </w:pPr>
            <w:r>
              <w:rPr>
                <w:sz w:val="24"/>
              </w:rPr>
            </w:r>
          </w:p>
        </w:tc>
        <w:tc>
          <w:tcPr>
            <w:tcW w:w="2948" w:type="dxa"/>
          </w:tcPr>
          <w:p>
            <w:pPr>
              <w:pStyle w:val="0"/>
            </w:pPr>
            <w:r>
              <w:rPr>
                <w:sz w:val="24"/>
              </w:rPr>
              <w:t xml:space="preserve">dim-int:TipProczentRasxodovAxis</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Процентные расходы по аренде</w:t>
            </w:r>
          </w:p>
        </w:tc>
        <w:tc>
          <w:tcPr>
            <w:tcW w:w="2948" w:type="dxa"/>
          </w:tcPr>
          <w:p>
            <w:pPr>
              <w:pStyle w:val="0"/>
            </w:pPr>
            <w:r>
              <w:rPr>
                <w:sz w:val="24"/>
              </w:rPr>
              <w:t xml:space="preserve">mem-int:ProczentRasxodyPoArendeMember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Прочие процентные расходы</w:t>
            </w:r>
          </w:p>
        </w:tc>
        <w:tc>
          <w:tcPr>
            <w:tcW w:w="2948" w:type="dxa"/>
          </w:tcPr>
          <w:p>
            <w:pPr>
              <w:pStyle w:val="0"/>
            </w:pPr>
            <w:r>
              <w:rPr>
                <w:sz w:val="24"/>
              </w:rPr>
              <w:t xml:space="preserve">mem-int:ProchieProczentRasxodyMember</w:t>
            </w:r>
          </w:p>
        </w:tc>
      </w:tr>
      <w:tr>
        <w:tc>
          <w:tcPr>
            <w:tcW w:w="907" w:type="dxa"/>
          </w:tcPr>
          <w:p>
            <w:pPr>
              <w:pStyle w:val="0"/>
            </w:pPr>
            <w:r>
              <w:rPr>
                <w:sz w:val="24"/>
              </w:rPr>
              <w:t xml:space="preserve">10</w:t>
            </w:r>
          </w:p>
        </w:tc>
        <w:tc>
          <w:tcPr>
            <w:tcW w:w="2608" w:type="dxa"/>
          </w:tcPr>
          <w:p>
            <w:pPr>
              <w:pStyle w:val="0"/>
            </w:pPr>
            <w:r>
              <w:rPr>
                <w:sz w:val="24"/>
              </w:rPr>
              <w:t xml:space="preserve">Тип расходов на служебные командировки</w:t>
            </w:r>
          </w:p>
        </w:tc>
        <w:tc>
          <w:tcPr>
            <w:tcW w:w="2608" w:type="dxa"/>
          </w:tcPr>
          <w:p>
            <w:pPr>
              <w:pStyle w:val="0"/>
            </w:pPr>
            <w:r>
              <w:rPr>
                <w:sz w:val="24"/>
              </w:rPr>
            </w:r>
          </w:p>
        </w:tc>
        <w:tc>
          <w:tcPr>
            <w:tcW w:w="2948" w:type="dxa"/>
          </w:tcPr>
          <w:p>
            <w:pPr>
              <w:pStyle w:val="0"/>
            </w:pPr>
            <w:r>
              <w:rPr>
                <w:sz w:val="24"/>
              </w:rPr>
              <w:t xml:space="preserve">dim-int:TipRasxodovNaSluzhKomandirAxis</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Расходы на суточные</w:t>
            </w:r>
          </w:p>
        </w:tc>
        <w:tc>
          <w:tcPr>
            <w:tcW w:w="2948" w:type="dxa"/>
          </w:tcPr>
          <w:p>
            <w:pPr>
              <w:pStyle w:val="0"/>
            </w:pPr>
            <w:r>
              <w:rPr>
                <w:sz w:val="24"/>
              </w:rPr>
              <w:t xml:space="preserve">mem-int:RasxodyNaSutochnyeMember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Прочие расходы на служебные командировки</w:t>
            </w:r>
          </w:p>
        </w:tc>
        <w:tc>
          <w:tcPr>
            <w:tcW w:w="2948" w:type="dxa"/>
          </w:tcPr>
          <w:p>
            <w:pPr>
              <w:pStyle w:val="0"/>
            </w:pPr>
            <w:r>
              <w:rPr>
                <w:sz w:val="24"/>
              </w:rPr>
              <w:t xml:space="preserve">mem-int:ProchieRasxodyNaSluzhKomandirMember</w:t>
            </w:r>
          </w:p>
        </w:tc>
      </w:tr>
    </w:tbl>
    <w:p>
      <w:pPr>
        <w:pStyle w:val="0"/>
        <w:ind w:firstLine="540"/>
        <w:jc w:val="both"/>
      </w:pPr>
      <w:r>
        <w:rPr>
          <w:sz w:val="24"/>
        </w:rPr>
      </w:r>
    </w:p>
    <w:p>
      <w:pPr>
        <w:pStyle w:val="0"/>
        <w:outlineLvl w:val="2"/>
        <w:jc w:val="both"/>
      </w:pPr>
      <w:r>
        <w:rPr>
          <w:sz w:val="24"/>
        </w:rPr>
        <w:t xml:space="preserve">Раздел 14. Отчетность по </w:t>
      </w:r>
      <w:hyperlink w:history="0" w:anchor="P39700" w:tooltip="Отчетность по форме 0420174">
        <w:r>
          <w:rPr>
            <w:sz w:val="24"/>
            <w:color w:val="0000ff"/>
          </w:rPr>
          <w:t xml:space="preserve">форме 0420174</w:t>
        </w:r>
      </w:hyperlink>
      <w:r>
        <w:rPr>
          <w:sz w:val="24"/>
        </w:rPr>
        <w:t xml:space="preserve"> "Сведения о показателях операционной надежности страховой организации и применяемых ею информационных технологиях"</w:t>
      </w:r>
    </w:p>
    <w:p>
      <w:pPr>
        <w:pStyle w:val="0"/>
        <w:ind w:firstLine="540"/>
        <w:jc w:val="both"/>
      </w:pPr>
      <w:r>
        <w:rPr>
          <w:sz w:val="24"/>
        </w:rPr>
      </w:r>
    </w:p>
    <w:p>
      <w:pPr>
        <w:pStyle w:val="0"/>
        <w:outlineLvl w:val="3"/>
        <w:jc w:val="both"/>
      </w:pPr>
      <w:r>
        <w:rPr>
          <w:sz w:val="24"/>
        </w:rPr>
        <w:t xml:space="preserve">Подраздел 14.1. </w:t>
      </w:r>
      <w:hyperlink w:history="0" w:anchor="P39716" w:tooltip="Раздел 1.">
        <w:r>
          <w:rPr>
            <w:sz w:val="24"/>
            <w:color w:val="0000ff"/>
          </w:rPr>
          <w:t xml:space="preserve">Раздел 1</w:t>
        </w:r>
      </w:hyperlink>
      <w:r>
        <w:rPr>
          <w:sz w:val="24"/>
        </w:rPr>
        <w:t xml:space="preserve"> "Сведения о технологических процессах"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Код технологического процесса</w:t>
            </w:r>
          </w:p>
        </w:tc>
        <w:tc>
          <w:tcPr>
            <w:tcW w:w="2608" w:type="dxa"/>
          </w:tcPr>
          <w:p>
            <w:pPr>
              <w:pStyle w:val="0"/>
            </w:pPr>
            <w:r>
              <w:rPr>
                <w:sz w:val="24"/>
              </w:rPr>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ТПрНФО31</w:t>
            </w:r>
          </w:p>
        </w:tc>
        <w:tc>
          <w:tcPr>
            <w:tcW w:w="2948" w:type="dxa"/>
          </w:tcPr>
          <w:p>
            <w:pPr>
              <w:pStyle w:val="0"/>
            </w:pPr>
            <w:r>
              <w:rPr>
                <w:sz w:val="24"/>
              </w:rPr>
              <w:t xml:space="preserve">mem-int:Tpr_SSD1_Member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ТПрНФО32</w:t>
            </w:r>
          </w:p>
        </w:tc>
        <w:tc>
          <w:tcPr>
            <w:tcW w:w="2948" w:type="dxa"/>
          </w:tcPr>
          <w:p>
            <w:pPr>
              <w:pStyle w:val="0"/>
            </w:pPr>
            <w:r>
              <w:rPr>
                <w:sz w:val="24"/>
              </w:rPr>
              <w:t xml:space="preserve">mem-int:Tpr_SSD2_Member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ТПрНФО33</w:t>
            </w:r>
          </w:p>
        </w:tc>
        <w:tc>
          <w:tcPr>
            <w:tcW w:w="2948" w:type="dxa"/>
          </w:tcPr>
          <w:p>
            <w:pPr>
              <w:pStyle w:val="0"/>
            </w:pPr>
            <w:r>
              <w:rPr>
                <w:sz w:val="24"/>
              </w:rPr>
              <w:t xml:space="preserve">mem-int:Tpr_SSD3_Member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ТПрНФО25</w:t>
            </w:r>
          </w:p>
        </w:tc>
        <w:tc>
          <w:tcPr>
            <w:tcW w:w="2948" w:type="dxa"/>
          </w:tcPr>
          <w:p>
            <w:pPr>
              <w:pStyle w:val="0"/>
            </w:pPr>
            <w:r>
              <w:rPr>
                <w:sz w:val="24"/>
              </w:rPr>
              <w:t xml:space="preserve">mem-int:Tpr_UK1_Member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ТПрНФО26</w:t>
            </w:r>
          </w:p>
        </w:tc>
        <w:tc>
          <w:tcPr>
            <w:tcW w:w="2948" w:type="dxa"/>
          </w:tcPr>
          <w:p>
            <w:pPr>
              <w:pStyle w:val="0"/>
            </w:pPr>
            <w:r>
              <w:rPr>
                <w:sz w:val="24"/>
              </w:rPr>
              <w:t xml:space="preserve">rnem-int:Tpr_UK2_Member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ТПрНФО27</w:t>
            </w:r>
          </w:p>
        </w:tc>
        <w:tc>
          <w:tcPr>
            <w:tcW w:w="2948" w:type="dxa"/>
          </w:tcPr>
          <w:p>
            <w:pPr>
              <w:pStyle w:val="0"/>
            </w:pPr>
            <w:r>
              <w:rPr>
                <w:sz w:val="24"/>
              </w:rPr>
              <w:t xml:space="preserve">mem-int:Tpr_UK3_Member</w:t>
            </w:r>
          </w:p>
        </w:tc>
      </w:tr>
    </w:tbl>
    <w:p>
      <w:pPr>
        <w:pStyle w:val="0"/>
        <w:ind w:firstLine="540"/>
        <w:jc w:val="both"/>
      </w:pPr>
      <w:r>
        <w:rPr>
          <w:sz w:val="24"/>
        </w:rPr>
      </w:r>
    </w:p>
    <w:p>
      <w:pPr>
        <w:pStyle w:val="0"/>
        <w:outlineLvl w:val="3"/>
        <w:jc w:val="both"/>
      </w:pPr>
      <w:r>
        <w:rPr>
          <w:sz w:val="24"/>
        </w:rPr>
        <w:t xml:space="preserve">Подраздел 14.2. </w:t>
      </w:r>
      <w:hyperlink w:history="0" w:anchor="P39734" w:tooltip="Раздел 2.">
        <w:r>
          <w:rPr>
            <w:sz w:val="24"/>
            <w:color w:val="0000ff"/>
          </w:rPr>
          <w:t xml:space="preserve">Раздел 2</w:t>
        </w:r>
      </w:hyperlink>
      <w:r>
        <w:rPr>
          <w:sz w:val="24"/>
        </w:rPr>
        <w:t xml:space="preserve"> "Показатели операционной надежности в рамках технологических процессов"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Код технологического процесса</w:t>
            </w:r>
          </w:p>
        </w:tc>
        <w:tc>
          <w:tcPr>
            <w:tcW w:w="2608" w:type="dxa"/>
          </w:tcPr>
          <w:p>
            <w:pPr>
              <w:pStyle w:val="0"/>
            </w:pPr>
            <w:r>
              <w:rPr>
                <w:sz w:val="24"/>
              </w:rPr>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ТПрНФО31</w:t>
            </w:r>
          </w:p>
        </w:tc>
        <w:tc>
          <w:tcPr>
            <w:tcW w:w="2948" w:type="dxa"/>
          </w:tcPr>
          <w:p>
            <w:pPr>
              <w:pStyle w:val="0"/>
            </w:pPr>
            <w:r>
              <w:rPr>
                <w:sz w:val="24"/>
              </w:rPr>
              <w:t xml:space="preserve">mem-int:Tpr_SSD1_Member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ТПрНФО32</w:t>
            </w:r>
          </w:p>
        </w:tc>
        <w:tc>
          <w:tcPr>
            <w:tcW w:w="2948" w:type="dxa"/>
          </w:tcPr>
          <w:p>
            <w:pPr>
              <w:pStyle w:val="0"/>
            </w:pPr>
            <w:r>
              <w:rPr>
                <w:sz w:val="24"/>
              </w:rPr>
              <w:t xml:space="preserve">mem-int:Tpr_SSD2_Member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ТПрНФО33</w:t>
            </w:r>
          </w:p>
        </w:tc>
        <w:tc>
          <w:tcPr>
            <w:tcW w:w="2948" w:type="dxa"/>
          </w:tcPr>
          <w:p>
            <w:pPr>
              <w:pStyle w:val="0"/>
            </w:pPr>
            <w:r>
              <w:rPr>
                <w:sz w:val="24"/>
              </w:rPr>
              <w:t xml:space="preserve">mem-int:Tpr_SSD3_Member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ТПрНФО25</w:t>
            </w:r>
          </w:p>
        </w:tc>
        <w:tc>
          <w:tcPr>
            <w:tcW w:w="2948" w:type="dxa"/>
          </w:tcPr>
          <w:p>
            <w:pPr>
              <w:pStyle w:val="0"/>
            </w:pPr>
            <w:r>
              <w:rPr>
                <w:sz w:val="24"/>
              </w:rPr>
              <w:t xml:space="preserve">mem-int:Tpr_UK1_Member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ТПрНФО26</w:t>
            </w:r>
          </w:p>
        </w:tc>
        <w:tc>
          <w:tcPr>
            <w:tcW w:w="2948" w:type="dxa"/>
          </w:tcPr>
          <w:p>
            <w:pPr>
              <w:pStyle w:val="0"/>
            </w:pPr>
            <w:r>
              <w:rPr>
                <w:sz w:val="24"/>
              </w:rPr>
              <w:t xml:space="preserve">mem-int:Tpr_UK2_Member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ТПрНФО27</w:t>
            </w:r>
          </w:p>
        </w:tc>
        <w:tc>
          <w:tcPr>
            <w:tcW w:w="2948" w:type="dxa"/>
          </w:tcPr>
          <w:p>
            <w:pPr>
              <w:pStyle w:val="0"/>
            </w:pPr>
            <w:r>
              <w:rPr>
                <w:sz w:val="24"/>
              </w:rPr>
              <w:t xml:space="preserve">mem-int:Tpr_UK3_Member</w:t>
            </w:r>
          </w:p>
        </w:tc>
      </w:tr>
    </w:tbl>
    <w:p>
      <w:pPr>
        <w:pStyle w:val="0"/>
        <w:ind w:firstLine="540"/>
        <w:jc w:val="both"/>
      </w:pPr>
      <w:r>
        <w:rPr>
          <w:sz w:val="24"/>
        </w:rPr>
      </w:r>
    </w:p>
    <w:p>
      <w:pPr>
        <w:pStyle w:val="0"/>
        <w:outlineLvl w:val="3"/>
        <w:jc w:val="both"/>
      </w:pPr>
      <w:r>
        <w:rPr>
          <w:sz w:val="24"/>
        </w:rPr>
        <w:t xml:space="preserve">Подраздел 14.3. </w:t>
      </w:r>
      <w:hyperlink w:history="0" w:anchor="P39768" w:tooltip="Раздел 3.">
        <w:r>
          <w:rPr>
            <w:sz w:val="24"/>
            <w:color w:val="0000ff"/>
          </w:rPr>
          <w:t xml:space="preserve">Раздел 3</w:t>
        </w:r>
      </w:hyperlink>
      <w:r>
        <w:rPr>
          <w:sz w:val="24"/>
        </w:rPr>
        <w:t xml:space="preserve"> "Сведения об объектах информатизации в рамках технологических процессов"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Код технологического процесса</w:t>
            </w:r>
          </w:p>
        </w:tc>
        <w:tc>
          <w:tcPr>
            <w:tcW w:w="2608" w:type="dxa"/>
          </w:tcPr>
          <w:p>
            <w:pPr>
              <w:pStyle w:val="0"/>
            </w:pPr>
            <w:r>
              <w:rPr>
                <w:sz w:val="24"/>
              </w:rPr>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ТПрНФО31</w:t>
            </w:r>
          </w:p>
        </w:tc>
        <w:tc>
          <w:tcPr>
            <w:tcW w:w="2948" w:type="dxa"/>
          </w:tcPr>
          <w:p>
            <w:pPr>
              <w:pStyle w:val="0"/>
            </w:pPr>
            <w:r>
              <w:rPr>
                <w:sz w:val="24"/>
              </w:rPr>
              <w:t xml:space="preserve">mem-int:Tpr_SSD1_Member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ТПрНФО32</w:t>
            </w:r>
          </w:p>
        </w:tc>
        <w:tc>
          <w:tcPr>
            <w:tcW w:w="2948" w:type="dxa"/>
          </w:tcPr>
          <w:p>
            <w:pPr>
              <w:pStyle w:val="0"/>
            </w:pPr>
            <w:r>
              <w:rPr>
                <w:sz w:val="24"/>
              </w:rPr>
              <w:t xml:space="preserve">mem-int:Tpr_SSD2_Member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ТПрНФО33</w:t>
            </w:r>
          </w:p>
        </w:tc>
        <w:tc>
          <w:tcPr>
            <w:tcW w:w="2948" w:type="dxa"/>
          </w:tcPr>
          <w:p>
            <w:pPr>
              <w:pStyle w:val="0"/>
            </w:pPr>
            <w:r>
              <w:rPr>
                <w:sz w:val="24"/>
              </w:rPr>
              <w:t xml:space="preserve">mem-int:Tpr_SSD3_Member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ТПрНФО25</w:t>
            </w:r>
          </w:p>
        </w:tc>
        <w:tc>
          <w:tcPr>
            <w:tcW w:w="2948" w:type="dxa"/>
          </w:tcPr>
          <w:p>
            <w:pPr>
              <w:pStyle w:val="0"/>
            </w:pPr>
            <w:r>
              <w:rPr>
                <w:sz w:val="24"/>
              </w:rPr>
              <w:t xml:space="preserve">mem-int:Tpr_UK1_Member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ТПрНФО26</w:t>
            </w:r>
          </w:p>
        </w:tc>
        <w:tc>
          <w:tcPr>
            <w:tcW w:w="2948" w:type="dxa"/>
          </w:tcPr>
          <w:p>
            <w:pPr>
              <w:pStyle w:val="0"/>
            </w:pPr>
            <w:r>
              <w:rPr>
                <w:sz w:val="24"/>
              </w:rPr>
              <w:t xml:space="preserve">mem-int:Tpr_UK2_Member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ТПрНФО27</w:t>
            </w:r>
          </w:p>
        </w:tc>
        <w:tc>
          <w:tcPr>
            <w:tcW w:w="2948" w:type="dxa"/>
          </w:tcPr>
          <w:p>
            <w:pPr>
              <w:pStyle w:val="0"/>
            </w:pPr>
            <w:r>
              <w:rPr>
                <w:sz w:val="24"/>
              </w:rPr>
              <w:t xml:space="preserve">mem-int:Tpr_UK3_Member</w:t>
            </w:r>
          </w:p>
        </w:tc>
      </w:tr>
      <w:tr>
        <w:tc>
          <w:tcPr>
            <w:tcW w:w="907" w:type="dxa"/>
          </w:tcPr>
          <w:p>
            <w:pPr>
              <w:pStyle w:val="0"/>
            </w:pPr>
            <w:r>
              <w:rPr>
                <w:sz w:val="24"/>
              </w:rPr>
              <w:t xml:space="preserve">2</w:t>
            </w:r>
          </w:p>
        </w:tc>
        <w:tc>
          <w:tcPr>
            <w:tcW w:w="2608" w:type="dxa"/>
          </w:tcPr>
          <w:p>
            <w:pPr>
              <w:pStyle w:val="0"/>
            </w:pPr>
            <w:r>
              <w:rPr>
                <w:sz w:val="24"/>
              </w:rPr>
              <w:t xml:space="preserve">Код технологического участка</w:t>
            </w:r>
          </w:p>
        </w:tc>
        <w:tc>
          <w:tcPr>
            <w:tcW w:w="2608" w:type="dxa"/>
          </w:tcPr>
          <w:p>
            <w:pPr>
              <w:pStyle w:val="0"/>
            </w:pPr>
            <w:r>
              <w:rPr>
                <w:sz w:val="24"/>
              </w:rPr>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ИАА</w:t>
            </w:r>
          </w:p>
        </w:tc>
        <w:tc>
          <w:tcPr>
            <w:tcW w:w="2948" w:type="dxa"/>
          </w:tcPr>
          <w:p>
            <w:pPr>
              <w:pStyle w:val="0"/>
            </w:pPr>
            <w:r>
              <w:rPr>
                <w:sz w:val="24"/>
              </w:rPr>
              <w:t xml:space="preserve">mem-int:IdentifAutentifikIAvtorizKlientovVCZelOsusFinOperMember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ОУ</w:t>
            </w:r>
          </w:p>
        </w:tc>
        <w:tc>
          <w:tcPr>
            <w:tcW w:w="2948" w:type="dxa"/>
          </w:tcPr>
          <w:p>
            <w:pPr>
              <w:pStyle w:val="0"/>
            </w:pPr>
            <w:r>
              <w:rPr>
                <w:sz w:val="24"/>
              </w:rPr>
              <w:t xml:space="preserve">mem-int:OsushhFinOperUchetRezultatovEeOsushhestvleniyaMember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УП</w:t>
            </w:r>
          </w:p>
        </w:tc>
        <w:tc>
          <w:tcPr>
            <w:tcW w:w="2948" w:type="dxa"/>
          </w:tcPr>
          <w:p>
            <w:pPr>
              <w:pStyle w:val="0"/>
            </w:pPr>
            <w:r>
              <w:rPr>
                <w:sz w:val="24"/>
              </w:rPr>
              <w:t xml:space="preserve">mem-int:UdostovereniePravaKlientovRasporDSCZBIliInymImushMember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ФПП</w:t>
            </w:r>
          </w:p>
        </w:tc>
        <w:tc>
          <w:tcPr>
            <w:tcW w:w="2948" w:type="dxa"/>
          </w:tcPr>
          <w:p>
            <w:pPr>
              <w:pStyle w:val="0"/>
            </w:pPr>
            <w:r>
              <w:rPr>
                <w:sz w:val="24"/>
              </w:rPr>
              <w:t xml:space="preserve">mem-int:FormirPodgotPeredachaIPriemElektronSoobshhenijMember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ХИ</w:t>
            </w:r>
          </w:p>
        </w:tc>
        <w:tc>
          <w:tcPr>
            <w:tcW w:w="2948" w:type="dxa"/>
          </w:tcPr>
          <w:p>
            <w:pPr>
              <w:pStyle w:val="0"/>
            </w:pPr>
            <w:r>
              <w:rPr>
                <w:sz w:val="24"/>
              </w:rPr>
              <w:t xml:space="preserve">mem-int:XranenieElektronSoobshhenijIInfObOsushFinOperMember</w:t>
            </w:r>
          </w:p>
        </w:tc>
      </w:tr>
    </w:tbl>
    <w:p>
      <w:pPr>
        <w:pStyle w:val="0"/>
        <w:ind w:firstLine="540"/>
        <w:jc w:val="both"/>
      </w:pPr>
      <w:r>
        <w:rPr>
          <w:sz w:val="24"/>
        </w:rPr>
      </w:r>
    </w:p>
    <w:p>
      <w:pPr>
        <w:pStyle w:val="0"/>
        <w:outlineLvl w:val="3"/>
      </w:pPr>
      <w:r>
        <w:rPr>
          <w:sz w:val="24"/>
        </w:rPr>
        <w:t xml:space="preserve">Подраздел 14.4. </w:t>
      </w:r>
      <w:hyperlink w:history="0" w:anchor="P39872" w:tooltip="Раздел 5.">
        <w:r>
          <w:rPr>
            <w:sz w:val="24"/>
            <w:color w:val="0000ff"/>
          </w:rPr>
          <w:t xml:space="preserve">Раздел 5</w:t>
        </w:r>
      </w:hyperlink>
      <w:r>
        <w:rPr>
          <w:sz w:val="24"/>
        </w:rPr>
        <w:t xml:space="preserve"> "Сведения об автоматизированных системах и приложениях"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Код технологического процесса</w:t>
            </w:r>
          </w:p>
        </w:tc>
        <w:tc>
          <w:tcPr>
            <w:tcW w:w="2608" w:type="dxa"/>
          </w:tcPr>
          <w:p>
            <w:pPr>
              <w:pStyle w:val="0"/>
            </w:pPr>
            <w:r>
              <w:rPr>
                <w:sz w:val="24"/>
              </w:rPr>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ТПрНФО31</w:t>
            </w:r>
          </w:p>
        </w:tc>
        <w:tc>
          <w:tcPr>
            <w:tcW w:w="2948" w:type="dxa"/>
          </w:tcPr>
          <w:p>
            <w:pPr>
              <w:pStyle w:val="0"/>
            </w:pPr>
            <w:r>
              <w:rPr>
                <w:sz w:val="24"/>
              </w:rPr>
              <w:t xml:space="preserve">mem-int:Tpr_SSD1_Member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ТПрНФО32</w:t>
            </w:r>
          </w:p>
        </w:tc>
        <w:tc>
          <w:tcPr>
            <w:tcW w:w="2948" w:type="dxa"/>
          </w:tcPr>
          <w:p>
            <w:pPr>
              <w:pStyle w:val="0"/>
            </w:pPr>
            <w:r>
              <w:rPr>
                <w:sz w:val="24"/>
              </w:rPr>
              <w:t xml:space="preserve">mem-int:Tpr_SSD2_Member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ТПрНФО33</w:t>
            </w:r>
          </w:p>
        </w:tc>
        <w:tc>
          <w:tcPr>
            <w:tcW w:w="2948" w:type="dxa"/>
          </w:tcPr>
          <w:p>
            <w:pPr>
              <w:pStyle w:val="0"/>
            </w:pPr>
            <w:r>
              <w:rPr>
                <w:sz w:val="24"/>
              </w:rPr>
              <w:t xml:space="preserve">mem-int:Tpr_SSD3_Member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ТПрНФО25</w:t>
            </w:r>
          </w:p>
        </w:tc>
        <w:tc>
          <w:tcPr>
            <w:tcW w:w="2948" w:type="dxa"/>
          </w:tcPr>
          <w:p>
            <w:pPr>
              <w:pStyle w:val="0"/>
            </w:pPr>
            <w:r>
              <w:rPr>
                <w:sz w:val="24"/>
              </w:rPr>
              <w:t xml:space="preserve">mcm-int:Tpr_UK1_Member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ТПрНФО26</w:t>
            </w:r>
          </w:p>
        </w:tc>
        <w:tc>
          <w:tcPr>
            <w:tcW w:w="2948" w:type="dxa"/>
          </w:tcPr>
          <w:p>
            <w:pPr>
              <w:pStyle w:val="0"/>
            </w:pPr>
            <w:r>
              <w:rPr>
                <w:sz w:val="24"/>
              </w:rPr>
              <w:t xml:space="preserve">mem-int:Tpr_UK2_Member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ТПрНФО27</w:t>
            </w:r>
          </w:p>
        </w:tc>
        <w:tc>
          <w:tcPr>
            <w:tcW w:w="2948" w:type="dxa"/>
          </w:tcPr>
          <w:p>
            <w:pPr>
              <w:pStyle w:val="0"/>
            </w:pPr>
            <w:r>
              <w:rPr>
                <w:sz w:val="24"/>
              </w:rPr>
              <w:t xml:space="preserve">mem-int:Tpr_UK3_Member</w:t>
            </w:r>
          </w:p>
        </w:tc>
      </w:tr>
      <w:tr>
        <w:tc>
          <w:tcPr>
            <w:tcW w:w="907" w:type="dxa"/>
          </w:tcPr>
          <w:p>
            <w:pPr>
              <w:pStyle w:val="0"/>
            </w:pPr>
            <w:r>
              <w:rPr>
                <w:sz w:val="24"/>
              </w:rPr>
              <w:t xml:space="preserve">2</w:t>
            </w:r>
          </w:p>
        </w:tc>
        <w:tc>
          <w:tcPr>
            <w:tcW w:w="2608" w:type="dxa"/>
          </w:tcPr>
          <w:p>
            <w:pPr>
              <w:pStyle w:val="0"/>
            </w:pPr>
            <w:r>
              <w:rPr>
                <w:sz w:val="24"/>
              </w:rPr>
              <w:t xml:space="preserve">Код технологического участка</w:t>
            </w:r>
          </w:p>
        </w:tc>
        <w:tc>
          <w:tcPr>
            <w:tcW w:w="2608" w:type="dxa"/>
          </w:tcPr>
          <w:p>
            <w:pPr>
              <w:pStyle w:val="0"/>
            </w:pPr>
            <w:r>
              <w:rPr>
                <w:sz w:val="24"/>
              </w:rPr>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ИАА</w:t>
            </w:r>
          </w:p>
        </w:tc>
        <w:tc>
          <w:tcPr>
            <w:tcW w:w="2948" w:type="dxa"/>
          </w:tcPr>
          <w:p>
            <w:pPr>
              <w:pStyle w:val="0"/>
            </w:pPr>
            <w:r>
              <w:rPr>
                <w:sz w:val="24"/>
              </w:rPr>
              <w:t xml:space="preserve">mem-int:IdentifAutentifikIAvtorizKlientovVCZelOsusFinOperMember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ОУ</w:t>
            </w:r>
          </w:p>
        </w:tc>
        <w:tc>
          <w:tcPr>
            <w:tcW w:w="2948" w:type="dxa"/>
          </w:tcPr>
          <w:p>
            <w:pPr>
              <w:pStyle w:val="0"/>
            </w:pPr>
            <w:r>
              <w:rPr>
                <w:sz w:val="24"/>
              </w:rPr>
              <w:t xml:space="preserve">mem-int:OsushhFinOperUchetRezultatovEeOsushhestvleniyaMember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УП</w:t>
            </w:r>
          </w:p>
        </w:tc>
        <w:tc>
          <w:tcPr>
            <w:tcW w:w="2948" w:type="dxa"/>
          </w:tcPr>
          <w:p>
            <w:pPr>
              <w:pStyle w:val="0"/>
            </w:pPr>
            <w:r>
              <w:rPr>
                <w:sz w:val="24"/>
              </w:rPr>
              <w:t xml:space="preserve">mem-int:UdostovereniePravaKlientovRasporDSCZBIliInymImushMember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ФПП</w:t>
            </w:r>
          </w:p>
        </w:tc>
        <w:tc>
          <w:tcPr>
            <w:tcW w:w="2948" w:type="dxa"/>
          </w:tcPr>
          <w:p>
            <w:pPr>
              <w:pStyle w:val="0"/>
            </w:pPr>
            <w:r>
              <w:rPr>
                <w:sz w:val="24"/>
              </w:rPr>
              <w:t xml:space="preserve">mem-int:FormirPodgotPeredachaIPriemElektronSoobshhenijMember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ХИ</w:t>
            </w:r>
          </w:p>
        </w:tc>
        <w:tc>
          <w:tcPr>
            <w:tcW w:w="2948" w:type="dxa"/>
          </w:tcPr>
          <w:p>
            <w:pPr>
              <w:pStyle w:val="0"/>
            </w:pPr>
            <w:r>
              <w:rPr>
                <w:sz w:val="24"/>
              </w:rPr>
              <w:t xml:space="preserve">mem-int:XranenieElektronSoobshhenijIInfObOsushFinOperMember</w:t>
            </w:r>
          </w:p>
        </w:tc>
      </w:tr>
    </w:tbl>
    <w:p>
      <w:pPr>
        <w:pStyle w:val="0"/>
        <w:ind w:firstLine="540"/>
        <w:jc w:val="both"/>
      </w:pPr>
      <w:r>
        <w:rPr>
          <w:sz w:val="24"/>
        </w:rPr>
      </w:r>
    </w:p>
    <w:p>
      <w:pPr>
        <w:pStyle w:val="0"/>
        <w:outlineLvl w:val="3"/>
        <w:jc w:val="both"/>
      </w:pPr>
      <w:r>
        <w:rPr>
          <w:sz w:val="24"/>
        </w:rPr>
        <w:t xml:space="preserve">Подраздел 14.5. </w:t>
      </w:r>
      <w:hyperlink w:history="0" w:anchor="P39890" w:tooltip="Раздел 6.">
        <w:r>
          <w:rPr>
            <w:sz w:val="24"/>
            <w:color w:val="0000ff"/>
          </w:rPr>
          <w:t xml:space="preserve">Раздел 6</w:t>
        </w:r>
      </w:hyperlink>
      <w:r>
        <w:rPr>
          <w:sz w:val="24"/>
        </w:rPr>
        <w:t xml:space="preserve"> "Сведения об облачных решениях, предоставляемых поставщиками услуг"</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Код технологического процесса</w:t>
            </w:r>
          </w:p>
        </w:tc>
        <w:tc>
          <w:tcPr>
            <w:tcW w:w="2608" w:type="dxa"/>
          </w:tcPr>
          <w:p>
            <w:pPr>
              <w:pStyle w:val="0"/>
            </w:pPr>
            <w:r>
              <w:rPr>
                <w:sz w:val="24"/>
              </w:rPr>
            </w:r>
          </w:p>
        </w:tc>
        <w:tc>
          <w:tcPr>
            <w:tcW w:w="2948" w:type="dxa"/>
          </w:tcPr>
          <w:p>
            <w:pPr>
              <w:pStyle w:val="0"/>
            </w:pPr>
            <w:r>
              <w:rPr>
                <w:sz w:val="24"/>
              </w:rPr>
              <w:t xml:space="preserve">dim-int:KodTexnologicheskogoProczessaAxis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ТПрНФО31</w:t>
            </w:r>
          </w:p>
        </w:tc>
        <w:tc>
          <w:tcPr>
            <w:tcW w:w="2948" w:type="dxa"/>
          </w:tcPr>
          <w:p>
            <w:pPr>
              <w:pStyle w:val="0"/>
            </w:pPr>
            <w:r>
              <w:rPr>
                <w:sz w:val="24"/>
              </w:rPr>
              <w:t xml:space="preserve">mem-int:Tpr_SSD1_Member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ТПрНФО32</w:t>
            </w:r>
          </w:p>
        </w:tc>
        <w:tc>
          <w:tcPr>
            <w:tcW w:w="2948" w:type="dxa"/>
          </w:tcPr>
          <w:p>
            <w:pPr>
              <w:pStyle w:val="0"/>
            </w:pPr>
            <w:r>
              <w:rPr>
                <w:sz w:val="24"/>
              </w:rPr>
              <w:t xml:space="preserve">mem-int:Tpr__SSD2_Member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ТПрНФО33</w:t>
            </w:r>
          </w:p>
        </w:tc>
        <w:tc>
          <w:tcPr>
            <w:tcW w:w="2948" w:type="dxa"/>
          </w:tcPr>
          <w:p>
            <w:pPr>
              <w:pStyle w:val="0"/>
            </w:pPr>
            <w:r>
              <w:rPr>
                <w:sz w:val="24"/>
              </w:rPr>
              <w:t xml:space="preserve">mem-int:Tpr_SSD3_Member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ТПрНФО25</w:t>
            </w:r>
          </w:p>
        </w:tc>
        <w:tc>
          <w:tcPr>
            <w:tcW w:w="2948" w:type="dxa"/>
          </w:tcPr>
          <w:p>
            <w:pPr>
              <w:pStyle w:val="0"/>
            </w:pPr>
            <w:r>
              <w:rPr>
                <w:sz w:val="24"/>
              </w:rPr>
              <w:t xml:space="preserve">mem-int:Tpr_UK1_Member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ТПрНФО26</w:t>
            </w:r>
          </w:p>
        </w:tc>
        <w:tc>
          <w:tcPr>
            <w:tcW w:w="2948" w:type="dxa"/>
          </w:tcPr>
          <w:p>
            <w:pPr>
              <w:pStyle w:val="0"/>
            </w:pPr>
            <w:r>
              <w:rPr>
                <w:sz w:val="24"/>
              </w:rPr>
              <w:t xml:space="preserve">mem-int:Tpr_UK2_Member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ТПрНФО27</w:t>
            </w:r>
          </w:p>
        </w:tc>
        <w:tc>
          <w:tcPr>
            <w:tcW w:w="2948" w:type="dxa"/>
          </w:tcPr>
          <w:p>
            <w:pPr>
              <w:pStyle w:val="0"/>
            </w:pPr>
            <w:r>
              <w:rPr>
                <w:sz w:val="24"/>
              </w:rPr>
              <w:t xml:space="preserve">mem-int:Tpr_UK3_Member</w:t>
            </w:r>
          </w:p>
        </w:tc>
      </w:tr>
      <w:tr>
        <w:tc>
          <w:tcPr>
            <w:tcW w:w="907" w:type="dxa"/>
          </w:tcPr>
          <w:p>
            <w:pPr>
              <w:pStyle w:val="0"/>
            </w:pPr>
            <w:r>
              <w:rPr>
                <w:sz w:val="24"/>
              </w:rPr>
              <w:t xml:space="preserve">2</w:t>
            </w:r>
          </w:p>
        </w:tc>
        <w:tc>
          <w:tcPr>
            <w:tcW w:w="2608" w:type="dxa"/>
          </w:tcPr>
          <w:p>
            <w:pPr>
              <w:pStyle w:val="0"/>
            </w:pPr>
            <w:r>
              <w:rPr>
                <w:sz w:val="24"/>
              </w:rPr>
              <w:t xml:space="preserve">Код технологического участка</w:t>
            </w:r>
          </w:p>
        </w:tc>
        <w:tc>
          <w:tcPr>
            <w:tcW w:w="2608" w:type="dxa"/>
          </w:tcPr>
          <w:p>
            <w:pPr>
              <w:pStyle w:val="0"/>
            </w:pPr>
            <w:r>
              <w:rPr>
                <w:sz w:val="24"/>
              </w:rPr>
            </w:r>
          </w:p>
        </w:tc>
        <w:tc>
          <w:tcPr>
            <w:tcW w:w="2948" w:type="dxa"/>
          </w:tcPr>
          <w:p>
            <w:pPr>
              <w:pStyle w:val="0"/>
            </w:pPr>
            <w:r>
              <w:rPr>
                <w:sz w:val="24"/>
              </w:rPr>
              <w:t xml:space="preserve">dim-int:KodTexnologicheskogoUchastkaAxis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ИАА</w:t>
            </w:r>
          </w:p>
        </w:tc>
        <w:tc>
          <w:tcPr>
            <w:tcW w:w="2948" w:type="dxa"/>
          </w:tcPr>
          <w:p>
            <w:pPr>
              <w:pStyle w:val="0"/>
            </w:pPr>
            <w:r>
              <w:rPr>
                <w:sz w:val="24"/>
              </w:rPr>
              <w:t xml:space="preserve">mem-int:IdentifAutentifikIAvtorizKlientovVCZelOsusFinOperMember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ОУ</w:t>
            </w:r>
          </w:p>
        </w:tc>
        <w:tc>
          <w:tcPr>
            <w:tcW w:w="2948" w:type="dxa"/>
          </w:tcPr>
          <w:p>
            <w:pPr>
              <w:pStyle w:val="0"/>
            </w:pPr>
            <w:r>
              <w:rPr>
                <w:sz w:val="24"/>
              </w:rPr>
              <w:t xml:space="preserve">mem-int:OsushhFinOperUchetRezultatovEeOsushhestvleniyaMember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УП</w:t>
            </w:r>
          </w:p>
        </w:tc>
        <w:tc>
          <w:tcPr>
            <w:tcW w:w="2948" w:type="dxa"/>
          </w:tcPr>
          <w:p>
            <w:pPr>
              <w:pStyle w:val="0"/>
            </w:pPr>
            <w:r>
              <w:rPr>
                <w:sz w:val="24"/>
              </w:rPr>
              <w:t xml:space="preserve">mem-int:UdostovereniePravaKlientovRasporDSCZBIliInymImushMember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ФПП</w:t>
            </w:r>
          </w:p>
        </w:tc>
        <w:tc>
          <w:tcPr>
            <w:tcW w:w="2948" w:type="dxa"/>
          </w:tcPr>
          <w:p>
            <w:pPr>
              <w:pStyle w:val="0"/>
            </w:pPr>
            <w:r>
              <w:rPr>
                <w:sz w:val="24"/>
              </w:rPr>
              <w:t xml:space="preserve">mem-int:FormirPodgotPeredachaIPriemElektronSoobshhenijMember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ХИ</w:t>
            </w:r>
          </w:p>
        </w:tc>
        <w:tc>
          <w:tcPr>
            <w:tcW w:w="2948" w:type="dxa"/>
          </w:tcPr>
          <w:p>
            <w:pPr>
              <w:pStyle w:val="0"/>
            </w:pPr>
            <w:r>
              <w:rPr>
                <w:sz w:val="24"/>
              </w:rPr>
              <w:t xml:space="preserve">mem-int:XranenieElektronSoobshhenijIInfObOsushFinOperMember</w:t>
            </w:r>
          </w:p>
        </w:tc>
      </w:tr>
    </w:tbl>
    <w:p>
      <w:pPr>
        <w:pStyle w:val="0"/>
        <w:ind w:firstLine="540"/>
        <w:jc w:val="both"/>
      </w:pPr>
      <w:r>
        <w:rPr>
          <w:sz w:val="24"/>
        </w:rPr>
      </w:r>
    </w:p>
    <w:p>
      <w:pPr>
        <w:pStyle w:val="0"/>
        <w:outlineLvl w:val="2"/>
        <w:jc w:val="both"/>
      </w:pPr>
      <w:r>
        <w:rPr>
          <w:sz w:val="24"/>
        </w:rPr>
        <w:t xml:space="preserve">Раздел 15. Отчетность по </w:t>
      </w:r>
      <w:hyperlink w:history="0" w:anchor="P40184" w:tooltip="Отчетность по форме 0420175">
        <w:r>
          <w:rPr>
            <w:sz w:val="24"/>
            <w:color w:val="0000ff"/>
          </w:rPr>
          <w:t xml:space="preserve">форме 0420175</w:t>
        </w:r>
      </w:hyperlink>
      <w:r>
        <w:rPr>
          <w:sz w:val="24"/>
        </w:rPr>
        <w:t xml:space="preserve"> "Сведения об оценке выполнения требований к обеспечению защиты информации страховой организацией"</w:t>
      </w:r>
    </w:p>
    <w:p>
      <w:pPr>
        <w:pStyle w:val="0"/>
        <w:ind w:firstLine="540"/>
        <w:jc w:val="both"/>
      </w:pPr>
      <w:r>
        <w:rPr>
          <w:sz w:val="24"/>
        </w:rPr>
      </w:r>
    </w:p>
    <w:p>
      <w:pPr>
        <w:pStyle w:val="0"/>
        <w:outlineLvl w:val="3"/>
        <w:jc w:val="both"/>
      </w:pPr>
      <w:r>
        <w:rPr>
          <w:sz w:val="24"/>
        </w:rPr>
        <w:t xml:space="preserve">Подраздел 15.1. </w:t>
      </w:r>
      <w:hyperlink w:history="0" w:anchor="P40200" w:tooltip="Раздел 1.">
        <w:r>
          <w:rPr>
            <w:sz w:val="24"/>
            <w:color w:val="0000ff"/>
          </w:rPr>
          <w:t xml:space="preserve">Раздел 1</w:t>
        </w:r>
      </w:hyperlink>
      <w:r>
        <w:rPr>
          <w:sz w:val="24"/>
        </w:rPr>
        <w:t xml:space="preserve"> "Сведения об оценке выполнения требований по направлению "технологические меры"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деятельности</w:t>
            </w:r>
          </w:p>
        </w:tc>
        <w:tc>
          <w:tcPr>
            <w:tcW w:w="2608" w:type="dxa"/>
          </w:tcPr>
          <w:p>
            <w:pPr>
              <w:pStyle w:val="0"/>
            </w:pPr>
            <w:r>
              <w:rPr>
                <w:sz w:val="24"/>
              </w:rPr>
            </w:r>
          </w:p>
        </w:tc>
        <w:tc>
          <w:tcPr>
            <w:tcW w:w="2948" w:type="dxa"/>
          </w:tcPr>
          <w:p>
            <w:pPr>
              <w:pStyle w:val="0"/>
            </w:pPr>
            <w:r>
              <w:rPr>
                <w:sz w:val="24"/>
              </w:rPr>
              <w:t xml:space="preserve">dim-int:Vid_DeyatelnostiAxis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Страховая организация</w:t>
            </w:r>
          </w:p>
        </w:tc>
        <w:tc>
          <w:tcPr>
            <w:tcW w:w="2948" w:type="dxa"/>
          </w:tcPr>
          <w:p>
            <w:pPr>
              <w:pStyle w:val="0"/>
            </w:pPr>
            <w:r>
              <w:rPr>
                <w:sz w:val="24"/>
              </w:rPr>
              <w:t xml:space="preserve">mem-int:So_Member</w:t>
            </w:r>
          </w:p>
        </w:tc>
      </w:tr>
      <w:tr>
        <w:tc>
          <w:tcPr>
            <w:tcW w:w="907" w:type="dxa"/>
          </w:tcPr>
          <w:p>
            <w:pPr>
              <w:pStyle w:val="0"/>
            </w:pPr>
            <w:r>
              <w:rPr>
                <w:sz w:val="24"/>
              </w:rPr>
              <w:t xml:space="preserve">2</w:t>
            </w:r>
          </w:p>
        </w:tc>
        <w:tc>
          <w:tcPr>
            <w:tcW w:w="2608" w:type="dxa"/>
          </w:tcPr>
          <w:p>
            <w:pPr>
              <w:pStyle w:val="0"/>
            </w:pPr>
            <w:r>
              <w:rPr>
                <w:sz w:val="24"/>
              </w:rPr>
              <w:t xml:space="preserve">Виды процессов защиты информации</w:t>
            </w:r>
          </w:p>
        </w:tc>
        <w:tc>
          <w:tcPr>
            <w:tcW w:w="2608" w:type="dxa"/>
          </w:tcPr>
          <w:p>
            <w:pPr>
              <w:pStyle w:val="0"/>
            </w:pPr>
            <w:r>
              <w:rPr>
                <w:sz w:val="24"/>
              </w:rPr>
            </w:r>
          </w:p>
        </w:tc>
        <w:tc>
          <w:tcPr>
            <w:tcW w:w="2948" w:type="dxa"/>
          </w:tcPr>
          <w:p>
            <w:pPr>
              <w:pStyle w:val="0"/>
            </w:pPr>
            <w:r>
              <w:rPr>
                <w:sz w:val="24"/>
              </w:rPr>
              <w:t xml:space="preserve">dim-int:VidyProczessovZIAxis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Планирование</w:t>
            </w:r>
          </w:p>
        </w:tc>
        <w:tc>
          <w:tcPr>
            <w:tcW w:w="2948" w:type="dxa"/>
          </w:tcPr>
          <w:p>
            <w:pPr>
              <w:pStyle w:val="0"/>
            </w:pPr>
            <w:r>
              <w:rPr>
                <w:sz w:val="24"/>
              </w:rPr>
              <w:t xml:space="preserve">mem-int:PlanirovanieMember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Реализация</w:t>
            </w:r>
          </w:p>
        </w:tc>
        <w:tc>
          <w:tcPr>
            <w:tcW w:w="2948" w:type="dxa"/>
          </w:tcPr>
          <w:p>
            <w:pPr>
              <w:pStyle w:val="0"/>
            </w:pPr>
            <w:r>
              <w:rPr>
                <w:sz w:val="24"/>
              </w:rPr>
              <w:t xml:space="preserve">mem-int:RealizacziyaMember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Контроль</w:t>
            </w:r>
          </w:p>
        </w:tc>
        <w:tc>
          <w:tcPr>
            <w:tcW w:w="2948" w:type="dxa"/>
          </w:tcPr>
          <w:p>
            <w:pPr>
              <w:pStyle w:val="0"/>
            </w:pPr>
            <w:r>
              <w:rPr>
                <w:sz w:val="24"/>
              </w:rPr>
              <w:t xml:space="preserve">mem-int:KontrolMember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Совершенствование</w:t>
            </w:r>
          </w:p>
        </w:tc>
        <w:tc>
          <w:tcPr>
            <w:tcW w:w="2948" w:type="dxa"/>
          </w:tcPr>
          <w:p>
            <w:pPr>
              <w:pStyle w:val="0"/>
            </w:pPr>
            <w:r>
              <w:rPr>
                <w:sz w:val="24"/>
              </w:rPr>
              <w:t xml:space="preserve">mem-int:SovershenstvovanieMember</w:t>
            </w:r>
          </w:p>
        </w:tc>
      </w:tr>
      <w:tr>
        <w:tc>
          <w:tcPr>
            <w:tcW w:w="907" w:type="dxa"/>
          </w:tcPr>
          <w:p>
            <w:pPr>
              <w:pStyle w:val="0"/>
            </w:pPr>
            <w:r>
              <w:rPr>
                <w:sz w:val="24"/>
              </w:rPr>
              <w:t xml:space="preserve">3</w:t>
            </w:r>
          </w:p>
        </w:tc>
        <w:tc>
          <w:tcPr>
            <w:tcW w:w="2608" w:type="dxa"/>
          </w:tcPr>
          <w:p>
            <w:pPr>
              <w:pStyle w:val="0"/>
            </w:pPr>
            <w:r>
              <w:rPr>
                <w:sz w:val="24"/>
              </w:rPr>
              <w:t xml:space="preserve">Направления защиты информации</w:t>
            </w:r>
          </w:p>
        </w:tc>
        <w:tc>
          <w:tcPr>
            <w:tcW w:w="2608" w:type="dxa"/>
          </w:tcPr>
          <w:p>
            <w:pPr>
              <w:pStyle w:val="0"/>
            </w:pPr>
            <w:r>
              <w:rPr>
                <w:sz w:val="24"/>
              </w:rPr>
            </w:r>
          </w:p>
        </w:tc>
        <w:tc>
          <w:tcPr>
            <w:tcW w:w="2948" w:type="dxa"/>
          </w:tcPr>
          <w:p>
            <w:pPr>
              <w:pStyle w:val="0"/>
            </w:pPr>
            <w:r>
              <w:rPr>
                <w:sz w:val="24"/>
              </w:rPr>
              <w:t xml:space="preserve">dim-int:NapravleniyaZIAxis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Технологические меры</w:t>
            </w:r>
          </w:p>
        </w:tc>
        <w:tc>
          <w:tcPr>
            <w:tcW w:w="2948" w:type="dxa"/>
          </w:tcPr>
          <w:p>
            <w:pPr>
              <w:pStyle w:val="0"/>
            </w:pPr>
            <w:r>
              <w:rPr>
                <w:sz w:val="24"/>
              </w:rPr>
              <w:t xml:space="preserve">mem-int:TexnologMerTrebMember</w:t>
            </w:r>
          </w:p>
        </w:tc>
      </w:tr>
    </w:tbl>
    <w:p>
      <w:pPr>
        <w:pStyle w:val="0"/>
        <w:ind w:firstLine="540"/>
        <w:jc w:val="both"/>
      </w:pPr>
      <w:r>
        <w:rPr>
          <w:sz w:val="24"/>
        </w:rPr>
      </w:r>
    </w:p>
    <w:p>
      <w:pPr>
        <w:pStyle w:val="0"/>
        <w:outlineLvl w:val="3"/>
        <w:jc w:val="both"/>
      </w:pPr>
      <w:r>
        <w:rPr>
          <w:sz w:val="24"/>
        </w:rPr>
        <w:t xml:space="preserve">Подраздел 15.2. </w:t>
      </w:r>
      <w:hyperlink w:history="0" w:anchor="P40218" w:tooltip="Раздел 2.">
        <w:r>
          <w:rPr>
            <w:sz w:val="24"/>
            <w:color w:val="0000ff"/>
          </w:rPr>
          <w:t xml:space="preserve">Раздел 2</w:t>
        </w:r>
      </w:hyperlink>
      <w:r>
        <w:rPr>
          <w:sz w:val="24"/>
        </w:rPr>
        <w:t xml:space="preserve"> "Сведения об оценке выполнения требований по направлению "безопасность программного обеспечения"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деятельности</w:t>
            </w:r>
          </w:p>
        </w:tc>
        <w:tc>
          <w:tcPr>
            <w:tcW w:w="2608" w:type="dxa"/>
          </w:tcPr>
          <w:p>
            <w:pPr>
              <w:pStyle w:val="0"/>
            </w:pPr>
            <w:r>
              <w:rPr>
                <w:sz w:val="24"/>
              </w:rPr>
            </w:r>
          </w:p>
        </w:tc>
        <w:tc>
          <w:tcPr>
            <w:tcW w:w="2948" w:type="dxa"/>
          </w:tcPr>
          <w:p>
            <w:pPr>
              <w:pStyle w:val="0"/>
            </w:pPr>
            <w:r>
              <w:rPr>
                <w:sz w:val="24"/>
              </w:rPr>
              <w:t xml:space="preserve">dim-int:Vid_DeyatelnostiAxis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Страховая организация</w:t>
            </w:r>
          </w:p>
        </w:tc>
        <w:tc>
          <w:tcPr>
            <w:tcW w:w="2948" w:type="dxa"/>
          </w:tcPr>
          <w:p>
            <w:pPr>
              <w:pStyle w:val="0"/>
            </w:pPr>
            <w:r>
              <w:rPr>
                <w:sz w:val="24"/>
              </w:rPr>
              <w:t xml:space="preserve">mem-int:So_Member</w:t>
            </w:r>
          </w:p>
        </w:tc>
      </w:tr>
      <w:tr>
        <w:tc>
          <w:tcPr>
            <w:tcW w:w="907" w:type="dxa"/>
          </w:tcPr>
          <w:p>
            <w:pPr>
              <w:pStyle w:val="0"/>
            </w:pPr>
            <w:r>
              <w:rPr>
                <w:sz w:val="24"/>
              </w:rPr>
              <w:t xml:space="preserve">2</w:t>
            </w:r>
          </w:p>
        </w:tc>
        <w:tc>
          <w:tcPr>
            <w:tcW w:w="2608" w:type="dxa"/>
          </w:tcPr>
          <w:p>
            <w:pPr>
              <w:pStyle w:val="0"/>
            </w:pPr>
            <w:r>
              <w:rPr>
                <w:sz w:val="24"/>
              </w:rPr>
              <w:t xml:space="preserve">Виды процессов защиты информации</w:t>
            </w:r>
          </w:p>
        </w:tc>
        <w:tc>
          <w:tcPr>
            <w:tcW w:w="2608" w:type="dxa"/>
          </w:tcPr>
          <w:p>
            <w:pPr>
              <w:pStyle w:val="0"/>
            </w:pPr>
            <w:r>
              <w:rPr>
                <w:sz w:val="24"/>
              </w:rPr>
            </w:r>
          </w:p>
        </w:tc>
        <w:tc>
          <w:tcPr>
            <w:tcW w:w="2948" w:type="dxa"/>
          </w:tcPr>
          <w:p>
            <w:pPr>
              <w:pStyle w:val="0"/>
            </w:pPr>
            <w:r>
              <w:rPr>
                <w:sz w:val="24"/>
              </w:rPr>
              <w:t xml:space="preserve">dim-int:VidyProczessovZIAxis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Планирование</w:t>
            </w:r>
          </w:p>
        </w:tc>
        <w:tc>
          <w:tcPr>
            <w:tcW w:w="2948" w:type="dxa"/>
          </w:tcPr>
          <w:p>
            <w:pPr>
              <w:pStyle w:val="0"/>
            </w:pPr>
            <w:r>
              <w:rPr>
                <w:sz w:val="24"/>
              </w:rPr>
              <w:t xml:space="preserve">mem-int:PlanirovanieMember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Реализация</w:t>
            </w:r>
          </w:p>
        </w:tc>
        <w:tc>
          <w:tcPr>
            <w:tcW w:w="2948" w:type="dxa"/>
          </w:tcPr>
          <w:p>
            <w:pPr>
              <w:pStyle w:val="0"/>
            </w:pPr>
            <w:r>
              <w:rPr>
                <w:sz w:val="24"/>
              </w:rPr>
              <w:t xml:space="preserve">mem-int:RealizacziyaMember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Контроль</w:t>
            </w:r>
          </w:p>
        </w:tc>
        <w:tc>
          <w:tcPr>
            <w:tcW w:w="2948" w:type="dxa"/>
          </w:tcPr>
          <w:p>
            <w:pPr>
              <w:pStyle w:val="0"/>
            </w:pPr>
            <w:r>
              <w:rPr>
                <w:sz w:val="24"/>
              </w:rPr>
              <w:t xml:space="preserve">mem-int: KontrolMember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Совершенствование</w:t>
            </w:r>
          </w:p>
        </w:tc>
        <w:tc>
          <w:tcPr>
            <w:tcW w:w="2948" w:type="dxa"/>
          </w:tcPr>
          <w:p>
            <w:pPr>
              <w:pStyle w:val="0"/>
            </w:pPr>
            <w:r>
              <w:rPr>
                <w:sz w:val="24"/>
              </w:rPr>
              <w:t xml:space="preserve">mem-int:SovershenstvovanieMember</w:t>
            </w:r>
          </w:p>
        </w:tc>
      </w:tr>
      <w:tr>
        <w:tc>
          <w:tcPr>
            <w:tcW w:w="907" w:type="dxa"/>
          </w:tcPr>
          <w:p>
            <w:pPr>
              <w:pStyle w:val="0"/>
            </w:pPr>
            <w:r>
              <w:rPr>
                <w:sz w:val="24"/>
              </w:rPr>
              <w:t xml:space="preserve">3</w:t>
            </w:r>
          </w:p>
        </w:tc>
        <w:tc>
          <w:tcPr>
            <w:tcW w:w="2608" w:type="dxa"/>
          </w:tcPr>
          <w:p>
            <w:pPr>
              <w:pStyle w:val="0"/>
            </w:pPr>
            <w:r>
              <w:rPr>
                <w:sz w:val="24"/>
              </w:rPr>
              <w:t xml:space="preserve">Направления защиты информации</w:t>
            </w:r>
          </w:p>
        </w:tc>
        <w:tc>
          <w:tcPr>
            <w:tcW w:w="2608" w:type="dxa"/>
          </w:tcPr>
          <w:p>
            <w:pPr>
              <w:pStyle w:val="0"/>
            </w:pPr>
            <w:r>
              <w:rPr>
                <w:sz w:val="24"/>
              </w:rPr>
            </w:r>
          </w:p>
        </w:tc>
        <w:tc>
          <w:tcPr>
            <w:tcW w:w="2948" w:type="dxa"/>
          </w:tcPr>
          <w:p>
            <w:pPr>
              <w:pStyle w:val="0"/>
            </w:pPr>
            <w:r>
              <w:rPr>
                <w:sz w:val="24"/>
              </w:rPr>
              <w:t xml:space="preserve">dim-int:NapravleniyaZIAxis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Безопасность программного обеспечения</w:t>
            </w:r>
          </w:p>
        </w:tc>
        <w:tc>
          <w:tcPr>
            <w:tcW w:w="2948" w:type="dxa"/>
          </w:tcPr>
          <w:p>
            <w:pPr>
              <w:pStyle w:val="0"/>
            </w:pPr>
            <w:r>
              <w:rPr>
                <w:sz w:val="24"/>
              </w:rPr>
              <w:t xml:space="preserve">mem-int:BezopasnostProgramObespecheniyaMember</w:t>
            </w:r>
          </w:p>
        </w:tc>
      </w:tr>
    </w:tbl>
    <w:p>
      <w:pPr>
        <w:pStyle w:val="0"/>
        <w:ind w:firstLine="540"/>
        <w:jc w:val="both"/>
      </w:pPr>
      <w:r>
        <w:rPr>
          <w:sz w:val="24"/>
        </w:rPr>
      </w:r>
    </w:p>
    <w:p>
      <w:pPr>
        <w:pStyle w:val="0"/>
        <w:outlineLvl w:val="3"/>
        <w:jc w:val="both"/>
      </w:pPr>
      <w:r>
        <w:rPr>
          <w:sz w:val="24"/>
        </w:rPr>
        <w:t xml:space="preserve">Подраздел 15.3. </w:t>
      </w:r>
      <w:hyperlink w:history="0" w:anchor="P40252" w:tooltip="Раздел 3.">
        <w:r>
          <w:rPr>
            <w:sz w:val="24"/>
            <w:color w:val="0000ff"/>
          </w:rPr>
          <w:t xml:space="preserve">Раздел 3</w:t>
        </w:r>
      </w:hyperlink>
      <w:r>
        <w:rPr>
          <w:sz w:val="24"/>
        </w:rPr>
        <w:t xml:space="preserve"> "Сведения об оценке выполнения требований по направлению "безопасность информационной инфраструктуры"</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деятельности</w:t>
            </w:r>
          </w:p>
        </w:tc>
        <w:tc>
          <w:tcPr>
            <w:tcW w:w="2608" w:type="dxa"/>
          </w:tcPr>
          <w:p>
            <w:pPr>
              <w:pStyle w:val="0"/>
            </w:pPr>
            <w:r>
              <w:rPr>
                <w:sz w:val="24"/>
              </w:rPr>
            </w:r>
          </w:p>
        </w:tc>
        <w:tc>
          <w:tcPr>
            <w:tcW w:w="2948" w:type="dxa"/>
          </w:tcPr>
          <w:p>
            <w:pPr>
              <w:pStyle w:val="0"/>
            </w:pPr>
            <w:r>
              <w:rPr>
                <w:sz w:val="24"/>
              </w:rPr>
              <w:t xml:space="preserve">dim-int:Vid__DeyatelnostiAxis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Страховая организация</w:t>
            </w:r>
          </w:p>
        </w:tc>
        <w:tc>
          <w:tcPr>
            <w:tcW w:w="2948" w:type="dxa"/>
          </w:tcPr>
          <w:p>
            <w:pPr>
              <w:pStyle w:val="0"/>
            </w:pPr>
            <w:r>
              <w:rPr>
                <w:sz w:val="24"/>
              </w:rPr>
              <w:t xml:space="preserve">mem-int:So_Member</w:t>
            </w:r>
          </w:p>
        </w:tc>
      </w:tr>
      <w:tr>
        <w:tc>
          <w:tcPr>
            <w:tcW w:w="907" w:type="dxa"/>
          </w:tcPr>
          <w:p>
            <w:pPr>
              <w:pStyle w:val="0"/>
            </w:pPr>
            <w:r>
              <w:rPr>
                <w:sz w:val="24"/>
              </w:rPr>
              <w:t xml:space="preserve">2</w:t>
            </w:r>
          </w:p>
        </w:tc>
        <w:tc>
          <w:tcPr>
            <w:tcW w:w="2608" w:type="dxa"/>
          </w:tcPr>
          <w:p>
            <w:pPr>
              <w:pStyle w:val="0"/>
            </w:pPr>
            <w:r>
              <w:rPr>
                <w:sz w:val="24"/>
              </w:rPr>
              <w:t xml:space="preserve">Виды процессов защиты информации</w:t>
            </w:r>
          </w:p>
        </w:tc>
        <w:tc>
          <w:tcPr>
            <w:tcW w:w="2608" w:type="dxa"/>
          </w:tcPr>
          <w:p>
            <w:pPr>
              <w:pStyle w:val="0"/>
            </w:pPr>
            <w:r>
              <w:rPr>
                <w:sz w:val="24"/>
              </w:rPr>
            </w:r>
          </w:p>
        </w:tc>
        <w:tc>
          <w:tcPr>
            <w:tcW w:w="2948" w:type="dxa"/>
          </w:tcPr>
          <w:p>
            <w:pPr>
              <w:pStyle w:val="0"/>
            </w:pPr>
            <w:r>
              <w:rPr>
                <w:sz w:val="24"/>
              </w:rPr>
              <w:t xml:space="preserve">dim-int:VidyProczessovZIAxis</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Планирование</w:t>
            </w:r>
          </w:p>
        </w:tc>
        <w:tc>
          <w:tcPr>
            <w:tcW w:w="2948" w:type="dxa"/>
          </w:tcPr>
          <w:p>
            <w:pPr>
              <w:pStyle w:val="0"/>
            </w:pPr>
            <w:r>
              <w:rPr>
                <w:sz w:val="24"/>
              </w:rPr>
              <w:t xml:space="preserve">mem-int:PlanirovanieMember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Реализация</w:t>
            </w:r>
          </w:p>
        </w:tc>
        <w:tc>
          <w:tcPr>
            <w:tcW w:w="2948" w:type="dxa"/>
          </w:tcPr>
          <w:p>
            <w:pPr>
              <w:pStyle w:val="0"/>
            </w:pPr>
            <w:r>
              <w:rPr>
                <w:sz w:val="24"/>
              </w:rPr>
              <w:t xml:space="preserve">mem-int:RealizacziyaMember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Контроль</w:t>
            </w:r>
          </w:p>
        </w:tc>
        <w:tc>
          <w:tcPr>
            <w:tcW w:w="2948" w:type="dxa"/>
          </w:tcPr>
          <w:p>
            <w:pPr>
              <w:pStyle w:val="0"/>
            </w:pPr>
            <w:r>
              <w:rPr>
                <w:sz w:val="24"/>
              </w:rPr>
              <w:t xml:space="preserve">mem-int:KontrolMember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Совершенствование</w:t>
            </w:r>
          </w:p>
        </w:tc>
        <w:tc>
          <w:tcPr>
            <w:tcW w:w="2948" w:type="dxa"/>
          </w:tcPr>
          <w:p>
            <w:pPr>
              <w:pStyle w:val="0"/>
            </w:pPr>
            <w:r>
              <w:rPr>
                <w:sz w:val="24"/>
              </w:rPr>
              <w:t xml:space="preserve">mem-int:SovershenstvovanieMember</w:t>
            </w:r>
          </w:p>
        </w:tc>
      </w:tr>
      <w:tr>
        <w:tc>
          <w:tcPr>
            <w:tcW w:w="907" w:type="dxa"/>
          </w:tcPr>
          <w:p>
            <w:pPr>
              <w:pStyle w:val="0"/>
            </w:pPr>
            <w:r>
              <w:rPr>
                <w:sz w:val="24"/>
              </w:rPr>
              <w:t xml:space="preserve">3</w:t>
            </w:r>
          </w:p>
        </w:tc>
        <w:tc>
          <w:tcPr>
            <w:tcW w:w="2608" w:type="dxa"/>
          </w:tcPr>
          <w:p>
            <w:pPr>
              <w:pStyle w:val="0"/>
            </w:pPr>
            <w:r>
              <w:rPr>
                <w:sz w:val="24"/>
              </w:rPr>
              <w:t xml:space="preserve">Процессы системы защиты информации</w:t>
            </w:r>
          </w:p>
        </w:tc>
        <w:tc>
          <w:tcPr>
            <w:tcW w:w="2608" w:type="dxa"/>
          </w:tcPr>
          <w:p>
            <w:pPr>
              <w:pStyle w:val="0"/>
            </w:pPr>
            <w:r>
              <w:rPr>
                <w:sz w:val="24"/>
              </w:rPr>
            </w:r>
          </w:p>
        </w:tc>
        <w:tc>
          <w:tcPr>
            <w:tcW w:w="2948" w:type="dxa"/>
          </w:tcPr>
          <w:p>
            <w:pPr>
              <w:pStyle w:val="0"/>
            </w:pPr>
            <w:r>
              <w:rPr>
                <w:sz w:val="24"/>
              </w:rPr>
              <w:t xml:space="preserve">dim-int:ProczessySistemyZIAxis</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Процесс 1 "Обеспечение защиты информации при управлении доступом"</w:t>
            </w:r>
          </w:p>
        </w:tc>
        <w:tc>
          <w:tcPr>
            <w:tcW w:w="2948" w:type="dxa"/>
          </w:tcPr>
          <w:p>
            <w:pPr>
              <w:pStyle w:val="0"/>
            </w:pPr>
            <w:r>
              <w:rPr>
                <w:sz w:val="24"/>
              </w:rPr>
              <w:t xml:space="preserve">mem-int:ObespechenieZIPriUpravleniiDostupomMember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Процесс 2 "Обеспечение защиты вычислительных сетей"</w:t>
            </w:r>
          </w:p>
        </w:tc>
        <w:tc>
          <w:tcPr>
            <w:tcW w:w="2948" w:type="dxa"/>
          </w:tcPr>
          <w:p>
            <w:pPr>
              <w:pStyle w:val="0"/>
            </w:pPr>
            <w:r>
              <w:rPr>
                <w:sz w:val="24"/>
              </w:rPr>
              <w:t xml:space="preserve">mem-int:ObespechenieZashhityVychislitelnyxSetejMember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Процесс 3 "Контроль целостности и защищенности информационной инфраструктуры"</w:t>
            </w:r>
          </w:p>
        </w:tc>
        <w:tc>
          <w:tcPr>
            <w:tcW w:w="2948" w:type="dxa"/>
          </w:tcPr>
          <w:p>
            <w:pPr>
              <w:pStyle w:val="0"/>
            </w:pPr>
            <w:r>
              <w:rPr>
                <w:sz w:val="24"/>
              </w:rPr>
              <w:t xml:space="preserve">mem-int:KontrolCZelostnZashhishInformInfrastrMember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Процесс 4 "Защита от вредоносного кода"</w:t>
            </w:r>
          </w:p>
        </w:tc>
        <w:tc>
          <w:tcPr>
            <w:tcW w:w="2948" w:type="dxa"/>
          </w:tcPr>
          <w:p>
            <w:pPr>
              <w:pStyle w:val="0"/>
            </w:pPr>
            <w:r>
              <w:rPr>
                <w:sz w:val="24"/>
              </w:rPr>
              <w:t xml:space="preserve">mem-int:ZashhitaOtVredonosnogoKodaMember</w:t>
            </w:r>
          </w:p>
        </w:tc>
      </w:tr>
      <w:tr>
        <w:tc>
          <w:tcPr>
            <w:tcW w:w="907" w:type="dxa"/>
          </w:tcPr>
          <w:p>
            <w:pPr>
              <w:pStyle w:val="0"/>
            </w:pPr>
            <w:r>
              <w:rPr>
                <w:sz w:val="24"/>
              </w:rPr>
              <w:t xml:space="preserve">3.5</w:t>
            </w:r>
          </w:p>
        </w:tc>
        <w:tc>
          <w:tcPr>
            <w:tcW w:w="2608" w:type="dxa"/>
          </w:tcPr>
          <w:p>
            <w:pPr>
              <w:pStyle w:val="0"/>
            </w:pPr>
            <w:r>
              <w:rPr>
                <w:sz w:val="24"/>
              </w:rPr>
            </w:r>
          </w:p>
        </w:tc>
        <w:tc>
          <w:tcPr>
            <w:tcW w:w="2608" w:type="dxa"/>
          </w:tcPr>
          <w:p>
            <w:pPr>
              <w:pStyle w:val="0"/>
            </w:pPr>
            <w:r>
              <w:rPr>
                <w:sz w:val="24"/>
              </w:rPr>
              <w:t xml:space="preserve">Процесс 5 "Предотвращение утечек информации"</w:t>
            </w:r>
          </w:p>
        </w:tc>
        <w:tc>
          <w:tcPr>
            <w:tcW w:w="2948" w:type="dxa"/>
          </w:tcPr>
          <w:p>
            <w:pPr>
              <w:pStyle w:val="0"/>
            </w:pPr>
            <w:r>
              <w:rPr>
                <w:sz w:val="24"/>
              </w:rPr>
              <w:t xml:space="preserve">mem-int:PredotvrashhenieUtechekInformacziiMember</w:t>
            </w:r>
          </w:p>
        </w:tc>
      </w:tr>
      <w:tr>
        <w:tc>
          <w:tcPr>
            <w:tcW w:w="907" w:type="dxa"/>
          </w:tcPr>
          <w:p>
            <w:pPr>
              <w:pStyle w:val="0"/>
            </w:pPr>
            <w:r>
              <w:rPr>
                <w:sz w:val="24"/>
              </w:rPr>
              <w:t xml:space="preserve">3.6</w:t>
            </w:r>
          </w:p>
        </w:tc>
        <w:tc>
          <w:tcPr>
            <w:tcW w:w="2608" w:type="dxa"/>
          </w:tcPr>
          <w:p>
            <w:pPr>
              <w:pStyle w:val="0"/>
            </w:pPr>
            <w:r>
              <w:rPr>
                <w:sz w:val="24"/>
              </w:rPr>
            </w:r>
          </w:p>
        </w:tc>
        <w:tc>
          <w:tcPr>
            <w:tcW w:w="2608" w:type="dxa"/>
          </w:tcPr>
          <w:p>
            <w:pPr>
              <w:pStyle w:val="0"/>
            </w:pPr>
            <w:r>
              <w:rPr>
                <w:sz w:val="24"/>
              </w:rPr>
              <w:t xml:space="preserve">Процесс 6 "Управление инцидентами защиты информации"</w:t>
            </w:r>
          </w:p>
        </w:tc>
        <w:tc>
          <w:tcPr>
            <w:tcW w:w="2948" w:type="dxa"/>
          </w:tcPr>
          <w:p>
            <w:pPr>
              <w:pStyle w:val="0"/>
            </w:pPr>
            <w:r>
              <w:rPr>
                <w:sz w:val="24"/>
              </w:rPr>
              <w:t xml:space="preserve">mem-int:UpravlenieInczidentamiZIMember</w:t>
            </w:r>
          </w:p>
        </w:tc>
      </w:tr>
      <w:tr>
        <w:tc>
          <w:tcPr>
            <w:tcW w:w="907" w:type="dxa"/>
          </w:tcPr>
          <w:p>
            <w:pPr>
              <w:pStyle w:val="0"/>
            </w:pPr>
            <w:r>
              <w:rPr>
                <w:sz w:val="24"/>
              </w:rPr>
              <w:t xml:space="preserve">3.7</w:t>
            </w:r>
          </w:p>
        </w:tc>
        <w:tc>
          <w:tcPr>
            <w:tcW w:w="2608" w:type="dxa"/>
          </w:tcPr>
          <w:p>
            <w:pPr>
              <w:pStyle w:val="0"/>
            </w:pPr>
            <w:r>
              <w:rPr>
                <w:sz w:val="24"/>
              </w:rPr>
            </w:r>
          </w:p>
        </w:tc>
        <w:tc>
          <w:tcPr>
            <w:tcW w:w="2608" w:type="dxa"/>
          </w:tcPr>
          <w:p>
            <w:pPr>
              <w:pStyle w:val="0"/>
            </w:pPr>
            <w:r>
              <w:rPr>
                <w:sz w:val="24"/>
              </w:rPr>
              <w:t xml:space="preserve">Процесс 7 "Защита среды виртуализации"</w:t>
            </w:r>
          </w:p>
        </w:tc>
        <w:tc>
          <w:tcPr>
            <w:tcW w:w="2948" w:type="dxa"/>
          </w:tcPr>
          <w:p>
            <w:pPr>
              <w:pStyle w:val="0"/>
            </w:pPr>
            <w:r>
              <w:rPr>
                <w:sz w:val="24"/>
              </w:rPr>
              <w:t xml:space="preserve">mem-int:ZashhitaSredyVirtualizacziiMember</w:t>
            </w:r>
          </w:p>
        </w:tc>
      </w:tr>
      <w:tr>
        <w:tc>
          <w:tcPr>
            <w:tcW w:w="907" w:type="dxa"/>
          </w:tcPr>
          <w:p>
            <w:pPr>
              <w:pStyle w:val="0"/>
            </w:pPr>
            <w:r>
              <w:rPr>
                <w:sz w:val="24"/>
              </w:rPr>
              <w:t xml:space="preserve">3.8</w:t>
            </w:r>
          </w:p>
        </w:tc>
        <w:tc>
          <w:tcPr>
            <w:tcW w:w="2608" w:type="dxa"/>
          </w:tcPr>
          <w:p>
            <w:pPr>
              <w:pStyle w:val="0"/>
            </w:pPr>
            <w:r>
              <w:rPr>
                <w:sz w:val="24"/>
              </w:rPr>
            </w:r>
          </w:p>
        </w:tc>
        <w:tc>
          <w:tcPr>
            <w:tcW w:w="2608" w:type="dxa"/>
          </w:tcPr>
          <w:p>
            <w:pPr>
              <w:pStyle w:val="0"/>
            </w:pPr>
            <w:r>
              <w:rPr>
                <w:sz w:val="24"/>
              </w:rPr>
              <w:t xml:space="preserve">Процесс 8 "Защита информации при осуществлении удаленного логического доступа с использованием мобильных (переносных) устройств"</w:t>
            </w:r>
          </w:p>
        </w:tc>
        <w:tc>
          <w:tcPr>
            <w:tcW w:w="2948" w:type="dxa"/>
          </w:tcPr>
          <w:p>
            <w:pPr>
              <w:pStyle w:val="0"/>
            </w:pPr>
            <w:r>
              <w:rPr>
                <w:sz w:val="24"/>
              </w:rPr>
              <w:t xml:space="preserve">mem-int:ZashhitaInformacPriOsushUdalLogDostupaSIspMobUstrMember</w:t>
            </w:r>
          </w:p>
        </w:tc>
      </w:tr>
    </w:tbl>
    <w:p>
      <w:pPr>
        <w:pStyle w:val="0"/>
        <w:ind w:firstLine="540"/>
        <w:jc w:val="both"/>
      </w:pPr>
      <w:r>
        <w:rPr>
          <w:sz w:val="24"/>
        </w:rPr>
      </w:r>
    </w:p>
    <w:p>
      <w:pPr>
        <w:pStyle w:val="0"/>
        <w:outlineLvl w:val="3"/>
        <w:jc w:val="both"/>
      </w:pPr>
      <w:r>
        <w:rPr>
          <w:sz w:val="24"/>
        </w:rPr>
        <w:t xml:space="preserve">Подраздел 15.4. </w:t>
      </w:r>
      <w:hyperlink w:history="0" w:anchor="P40330" w:tooltip="Раздел 4.">
        <w:r>
          <w:rPr>
            <w:sz w:val="24"/>
            <w:color w:val="0000ff"/>
          </w:rPr>
          <w:t xml:space="preserve">Раздел 4</w:t>
        </w:r>
      </w:hyperlink>
      <w:r>
        <w:rPr>
          <w:sz w:val="24"/>
        </w:rPr>
        <w:t xml:space="preserve"> "Сведения о проверяющей организации"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группы аналитических признаков</w:t>
            </w:r>
          </w:p>
        </w:tc>
        <w:tc>
          <w:tcPr>
            <w:tcW w:w="2608" w:type="dxa"/>
          </w:tcPr>
          <w:p>
            <w:pPr>
              <w:pStyle w:val="0"/>
              <w:jc w:val="center"/>
            </w:pPr>
            <w:r>
              <w:rPr>
                <w:sz w:val="24"/>
              </w:rPr>
              <w:t xml:space="preserve">Наименование аналитического признака</w:t>
            </w:r>
          </w:p>
        </w:tc>
        <w:tc>
          <w:tcPr>
            <w:tcW w:w="2948" w:type="dxa"/>
          </w:tcPr>
          <w:p>
            <w:pPr>
              <w:pStyle w:val="0"/>
              <w:jc w:val="center"/>
            </w:pPr>
            <w:r>
              <w:rPr>
                <w:sz w:val="24"/>
              </w:rPr>
              <w:t xml:space="preserve">Код группы аналитических признаков, аналитического признака</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организации</w:t>
            </w:r>
          </w:p>
        </w:tc>
        <w:tc>
          <w:tcPr>
            <w:tcW w:w="2608" w:type="dxa"/>
          </w:tcPr>
          <w:p>
            <w:pPr>
              <w:pStyle w:val="0"/>
            </w:pPr>
            <w:r>
              <w:rPr>
                <w:sz w:val="24"/>
              </w:rPr>
            </w:r>
          </w:p>
        </w:tc>
        <w:tc>
          <w:tcPr>
            <w:tcW w:w="2948" w:type="dxa"/>
          </w:tcPr>
          <w:p>
            <w:pPr>
              <w:pStyle w:val="0"/>
            </w:pPr>
            <w:r>
              <w:rPr>
                <w:sz w:val="24"/>
              </w:rPr>
              <w:t xml:space="preserve">dim-int:VidOrgAxis</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Проверяющая организация</w:t>
            </w:r>
          </w:p>
        </w:tc>
        <w:tc>
          <w:tcPr>
            <w:tcW w:w="2948" w:type="dxa"/>
          </w:tcPr>
          <w:p>
            <w:pPr>
              <w:pStyle w:val="0"/>
            </w:pPr>
            <w:r>
              <w:rPr>
                <w:sz w:val="24"/>
              </w:rPr>
              <w:t xml:space="preserve">mem-int:ProveryayushhayaOrganizacziyaMember</w:t>
            </w:r>
          </w:p>
        </w:tc>
      </w:tr>
    </w:tbl>
    <w:p>
      <w:pPr>
        <w:pStyle w:val="0"/>
        <w:ind w:firstLine="540"/>
        <w:jc w:val="both"/>
      </w:pPr>
      <w:r>
        <w:rPr>
          <w:sz w:val="24"/>
        </w:rPr>
      </w:r>
    </w:p>
    <w:bookmarkStart w:id="51789" w:name="P51789"/>
    <w:bookmarkEnd w:id="51789"/>
    <w:p>
      <w:pPr>
        <w:pStyle w:val="0"/>
        <w:outlineLvl w:val="1"/>
        <w:jc w:val="both"/>
      </w:pPr>
      <w:r>
        <w:rPr>
          <w:sz w:val="24"/>
        </w:rPr>
        <w:t xml:space="preserve">Часть III. Значения показателей для формирования показателей форм отчетности в порядке надзора страховщика</w:t>
      </w:r>
    </w:p>
    <w:p>
      <w:pPr>
        <w:pStyle w:val="0"/>
        <w:ind w:firstLine="540"/>
        <w:jc w:val="both"/>
      </w:pPr>
      <w:r>
        <w:rPr>
          <w:sz w:val="24"/>
        </w:rPr>
      </w:r>
    </w:p>
    <w:p>
      <w:pPr>
        <w:pStyle w:val="0"/>
        <w:outlineLvl w:val="2"/>
        <w:jc w:val="both"/>
      </w:pPr>
      <w:r>
        <w:rPr>
          <w:sz w:val="24"/>
        </w:rPr>
        <w:t xml:space="preserve">Раздел 1. Отчетность по </w:t>
      </w:r>
      <w:hyperlink w:history="0" w:anchor="P76" w:tooltip="Отчетность по форме 0420150 &quot;Общие сведения о страховщике&quot;">
        <w:r>
          <w:rPr>
            <w:sz w:val="24"/>
            <w:color w:val="0000ff"/>
          </w:rPr>
          <w:t xml:space="preserve">форме 0420150</w:t>
        </w:r>
      </w:hyperlink>
      <w:r>
        <w:rPr>
          <w:sz w:val="24"/>
        </w:rPr>
        <w:t xml:space="preserve"> "Общие сведения о страховщике"</w:t>
      </w:r>
    </w:p>
    <w:p>
      <w:pPr>
        <w:pStyle w:val="0"/>
        <w:ind w:firstLine="540"/>
        <w:jc w:val="both"/>
      </w:pPr>
      <w:r>
        <w:rPr>
          <w:sz w:val="24"/>
        </w:rPr>
      </w:r>
    </w:p>
    <w:p>
      <w:pPr>
        <w:pStyle w:val="0"/>
        <w:outlineLvl w:val="3"/>
        <w:jc w:val="both"/>
      </w:pPr>
      <w:r>
        <w:rPr>
          <w:sz w:val="24"/>
        </w:rPr>
        <w:t xml:space="preserve">Подраздел 1.1. </w:t>
      </w:r>
      <w:hyperlink w:history="0" w:anchor="P90" w:tooltip="Раздел 1. Общие сведения">
        <w:r>
          <w:rPr>
            <w:sz w:val="24"/>
            <w:color w:val="0000ff"/>
          </w:rPr>
          <w:t xml:space="preserve">Раздел 1</w:t>
        </w:r>
      </w:hyperlink>
      <w:r>
        <w:rPr>
          <w:sz w:val="24"/>
        </w:rPr>
        <w:t xml:space="preserve"> "Общие сведения"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bookmarkStart w:id="51802" w:name="P51802"/>
          <w:bookmarkEnd w:id="51802"/>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Предоставление страховых услуг физическим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ins-dic:PredostavlenieUslugFizLitsamEnumerator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2</w:t>
            </w:r>
          </w:p>
        </w:tc>
        <w:tc>
          <w:tcPr>
            <w:tcW w:w="2608" w:type="dxa"/>
          </w:tcPr>
          <w:p>
            <w:pPr>
              <w:pStyle w:val="0"/>
            </w:pPr>
            <w:r>
              <w:rPr>
                <w:sz w:val="24"/>
              </w:rPr>
              <w:t xml:space="preserve">Предоставление страховых услуг юридическим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ins-dic:PredostavlenieUslugYurLitsamEnumerator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3</w:t>
            </w:r>
          </w:p>
        </w:tc>
        <w:tc>
          <w:tcPr>
            <w:tcW w:w="2608" w:type="dxa"/>
          </w:tcPr>
          <w:p>
            <w:pPr>
              <w:pStyle w:val="0"/>
            </w:pPr>
            <w:r>
              <w:rPr>
                <w:sz w:val="24"/>
              </w:rPr>
              <w:t xml:space="preserve">Страховая организация является материнской организацией и образует группу</w:t>
            </w:r>
          </w:p>
        </w:tc>
        <w:tc>
          <w:tcPr>
            <w:tcW w:w="2608" w:type="dxa"/>
          </w:tcPr>
          <w:p>
            <w:pPr>
              <w:pStyle w:val="0"/>
            </w:pPr>
            <w:r>
              <w:rPr>
                <w:sz w:val="24"/>
              </w:rPr>
            </w:r>
          </w:p>
        </w:tc>
        <w:tc>
          <w:tcPr>
            <w:tcW w:w="2948" w:type="dxa"/>
          </w:tcPr>
          <w:p>
            <w:pPr>
              <w:pStyle w:val="0"/>
            </w:pPr>
            <w:r>
              <w:rPr>
                <w:sz w:val="24"/>
              </w:rPr>
              <w:t xml:space="preserve">ins-dic:SOYavlMaterinskimPredprIObrazuetGruppuEnumerator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4</w:t>
            </w:r>
          </w:p>
        </w:tc>
        <w:tc>
          <w:tcPr>
            <w:tcW w:w="2608" w:type="dxa"/>
          </w:tcPr>
          <w:p>
            <w:pPr>
              <w:pStyle w:val="0"/>
            </w:pPr>
            <w:r>
              <w:rPr>
                <w:sz w:val="24"/>
              </w:rPr>
              <w:t xml:space="preserve">Добровольное страхование жизни</w:t>
            </w:r>
          </w:p>
        </w:tc>
        <w:tc>
          <w:tcPr>
            <w:tcW w:w="2608" w:type="dxa"/>
          </w:tcPr>
          <w:p>
            <w:pPr>
              <w:pStyle w:val="0"/>
            </w:pPr>
            <w:r>
              <w:rPr>
                <w:sz w:val="24"/>
              </w:rPr>
            </w:r>
          </w:p>
        </w:tc>
        <w:tc>
          <w:tcPr>
            <w:tcW w:w="2948" w:type="dxa"/>
          </w:tcPr>
          <w:p>
            <w:pPr>
              <w:pStyle w:val="0"/>
            </w:pPr>
            <w:r>
              <w:rPr>
                <w:sz w:val="24"/>
              </w:rPr>
              <w:t xml:space="preserve">ins-dic:DobrovolnoeStraxovanieZhizniEnumerator</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5</w:t>
            </w:r>
          </w:p>
        </w:tc>
        <w:tc>
          <w:tcPr>
            <w:tcW w:w="2608" w:type="dxa"/>
          </w:tcPr>
          <w:p>
            <w:pPr>
              <w:pStyle w:val="0"/>
            </w:pPr>
            <w:r>
              <w:rPr>
                <w:sz w:val="24"/>
              </w:rPr>
              <w:t xml:space="preserve">Добровольное личное страхование, за исключением добровольного страхования жизни</w:t>
            </w:r>
          </w:p>
        </w:tc>
        <w:tc>
          <w:tcPr>
            <w:tcW w:w="2608" w:type="dxa"/>
          </w:tcPr>
          <w:p>
            <w:pPr>
              <w:pStyle w:val="0"/>
            </w:pPr>
            <w:r>
              <w:rPr>
                <w:sz w:val="24"/>
              </w:rPr>
            </w:r>
          </w:p>
        </w:tc>
        <w:tc>
          <w:tcPr>
            <w:tcW w:w="2948" w:type="dxa"/>
          </w:tcPr>
          <w:p>
            <w:pPr>
              <w:pStyle w:val="0"/>
            </w:pPr>
            <w:r>
              <w:rPr>
                <w:sz w:val="24"/>
              </w:rPr>
              <w:t xml:space="preserve">ins-dic:DobrovolnoeLichnoeStraxovanieZalsklDobrStrZhizniEnumerator</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6</w:t>
            </w:r>
          </w:p>
        </w:tc>
        <w:tc>
          <w:tcPr>
            <w:tcW w:w="2608" w:type="dxa"/>
          </w:tcPr>
          <w:p>
            <w:pPr>
              <w:pStyle w:val="0"/>
            </w:pPr>
            <w:r>
              <w:rPr>
                <w:sz w:val="24"/>
              </w:rPr>
              <w:t xml:space="preserve">Добровольное имущественное страхование</w:t>
            </w:r>
          </w:p>
        </w:tc>
        <w:tc>
          <w:tcPr>
            <w:tcW w:w="2608" w:type="dxa"/>
          </w:tcPr>
          <w:p>
            <w:pPr>
              <w:pStyle w:val="0"/>
            </w:pPr>
            <w:r>
              <w:rPr>
                <w:sz w:val="24"/>
              </w:rPr>
            </w:r>
          </w:p>
        </w:tc>
        <w:tc>
          <w:tcPr>
            <w:tcW w:w="2948" w:type="dxa"/>
          </w:tcPr>
          <w:p>
            <w:pPr>
              <w:pStyle w:val="0"/>
            </w:pPr>
            <w:r>
              <w:rPr>
                <w:sz w:val="24"/>
              </w:rPr>
              <w:t xml:space="preserve">ins-dic:rDobrovolnoeImushhestvennoeStraxovanieEnumerator</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7</w:t>
            </w:r>
          </w:p>
        </w:tc>
        <w:tc>
          <w:tcPr>
            <w:tcW w:w="2608" w:type="dxa"/>
          </w:tcPr>
          <w:p>
            <w:pPr>
              <w:pStyle w:val="0"/>
            </w:pPr>
            <w:r>
              <w:rPr>
                <w:sz w:val="24"/>
              </w:rPr>
              <w:t xml:space="preserve">Обязательное государственное страхование жизни и здоровья военнослужащих и приравненных к ним в обязательном государственном страховании лиц</w:t>
            </w:r>
          </w:p>
        </w:tc>
        <w:tc>
          <w:tcPr>
            <w:tcW w:w="2608" w:type="dxa"/>
          </w:tcPr>
          <w:p>
            <w:pPr>
              <w:pStyle w:val="0"/>
            </w:pPr>
            <w:r>
              <w:rPr>
                <w:sz w:val="24"/>
              </w:rPr>
            </w:r>
          </w:p>
        </w:tc>
        <w:tc>
          <w:tcPr>
            <w:tcW w:w="2948" w:type="dxa"/>
          </w:tcPr>
          <w:p>
            <w:pPr>
              <w:pStyle w:val="0"/>
            </w:pPr>
            <w:r>
              <w:rPr>
                <w:sz w:val="24"/>
              </w:rPr>
              <w:t xml:space="preserve">ins-dic:ObGosStrZhIZdorVoenosluzhEnumerator</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8</w:t>
            </w:r>
          </w:p>
        </w:tc>
        <w:tc>
          <w:tcPr>
            <w:tcW w:w="2608" w:type="dxa"/>
          </w:tcPr>
          <w:p>
            <w:pPr>
              <w:pStyle w:val="0"/>
            </w:pPr>
            <w:r>
              <w:rPr>
                <w:sz w:val="24"/>
              </w:rPr>
              <w:t xml:space="preserve">Обязательное страхование гражданской ответственности владельцев транспортных средств</w:t>
            </w:r>
          </w:p>
        </w:tc>
        <w:tc>
          <w:tcPr>
            <w:tcW w:w="2608" w:type="dxa"/>
          </w:tcPr>
          <w:p>
            <w:pPr>
              <w:pStyle w:val="0"/>
            </w:pPr>
            <w:r>
              <w:rPr>
                <w:sz w:val="24"/>
              </w:rPr>
            </w:r>
          </w:p>
        </w:tc>
        <w:tc>
          <w:tcPr>
            <w:tcW w:w="2948" w:type="dxa"/>
          </w:tcPr>
          <w:p>
            <w:pPr>
              <w:pStyle w:val="0"/>
            </w:pPr>
            <w:r>
              <w:rPr>
                <w:sz w:val="24"/>
              </w:rPr>
              <w:t xml:space="preserve">ins-dic:OByazStrGOVladelczevTransportnyxSredstvEnumerator</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9</w:t>
            </w:r>
          </w:p>
        </w:tc>
        <w:tc>
          <w:tcPr>
            <w:tcW w:w="2608" w:type="dxa"/>
          </w:tcPr>
          <w:p>
            <w:pPr>
              <w:pStyle w:val="0"/>
            </w:pPr>
            <w:r>
              <w:rPr>
                <w:sz w:val="24"/>
              </w:rPr>
              <w:t xml:space="preserve">Обязательное страхование гражданской ответственности владельца опасного объекта за причинение вреда в результате аварии на опасном объекте</w:t>
            </w:r>
          </w:p>
        </w:tc>
        <w:tc>
          <w:tcPr>
            <w:tcW w:w="2608" w:type="dxa"/>
          </w:tcPr>
          <w:p>
            <w:pPr>
              <w:pStyle w:val="0"/>
            </w:pPr>
            <w:r>
              <w:rPr>
                <w:sz w:val="24"/>
              </w:rPr>
            </w:r>
          </w:p>
        </w:tc>
        <w:tc>
          <w:tcPr>
            <w:tcW w:w="2948" w:type="dxa"/>
          </w:tcPr>
          <w:p>
            <w:pPr>
              <w:pStyle w:val="0"/>
            </w:pPr>
            <w:r>
              <w:rPr>
                <w:sz w:val="24"/>
              </w:rPr>
              <w:t xml:space="preserve">ins-dic:OSGOVOOZaPrichinenieVredaVRezultateAvariiNaOObekteEnumerator</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10</w:t>
            </w:r>
          </w:p>
        </w:tc>
        <w:tc>
          <w:tcPr>
            <w:tcW w:w="2608"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w:t>
            </w:r>
          </w:p>
        </w:tc>
        <w:tc>
          <w:tcPr>
            <w:tcW w:w="2608" w:type="dxa"/>
          </w:tcPr>
          <w:p>
            <w:pPr>
              <w:pStyle w:val="0"/>
            </w:pPr>
            <w:r>
              <w:rPr>
                <w:sz w:val="24"/>
              </w:rPr>
            </w:r>
          </w:p>
        </w:tc>
        <w:tc>
          <w:tcPr>
            <w:tcW w:w="2948" w:type="dxa"/>
          </w:tcPr>
          <w:p>
            <w:pPr>
              <w:pStyle w:val="0"/>
            </w:pPr>
            <w:r>
              <w:rPr>
                <w:sz w:val="24"/>
              </w:rPr>
              <w:t xml:space="preserve">ins-dic:OBStrGOPerevZaPrichVredaZhZdorovImPassEnumerator</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11</w:t>
            </w:r>
          </w:p>
        </w:tc>
        <w:tc>
          <w:tcPr>
            <w:tcW w:w="2608" w:type="dxa"/>
          </w:tcPr>
          <w:p>
            <w:pPr>
              <w:pStyle w:val="0"/>
            </w:pPr>
            <w:r>
              <w:rPr>
                <w:sz w:val="24"/>
              </w:rPr>
              <w:t xml:space="preserve">Обязательное медицинское страхование</w:t>
            </w:r>
          </w:p>
        </w:tc>
        <w:tc>
          <w:tcPr>
            <w:tcW w:w="2608" w:type="dxa"/>
          </w:tcPr>
          <w:p>
            <w:pPr>
              <w:pStyle w:val="0"/>
            </w:pPr>
            <w:r>
              <w:rPr>
                <w:sz w:val="24"/>
              </w:rPr>
            </w:r>
          </w:p>
        </w:tc>
        <w:tc>
          <w:tcPr>
            <w:tcW w:w="2948" w:type="dxa"/>
          </w:tcPr>
          <w:p>
            <w:pPr>
              <w:pStyle w:val="0"/>
            </w:pPr>
            <w:r>
              <w:rPr>
                <w:sz w:val="24"/>
              </w:rPr>
              <w:t xml:space="preserve">ins-dic:ObyazatelnoeMediczinskoeStraxovanieEnumerator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12</w:t>
            </w:r>
          </w:p>
        </w:tc>
        <w:tc>
          <w:tcPr>
            <w:tcW w:w="2608" w:type="dxa"/>
          </w:tcPr>
          <w:p>
            <w:pPr>
              <w:pStyle w:val="0"/>
            </w:pPr>
            <w:r>
              <w:rPr>
                <w:sz w:val="24"/>
              </w:rPr>
              <w:t xml:space="preserve">Виды обязательного страхования</w:t>
            </w:r>
          </w:p>
        </w:tc>
        <w:tc>
          <w:tcPr>
            <w:tcW w:w="2608" w:type="dxa"/>
          </w:tcPr>
          <w:p>
            <w:pPr>
              <w:pStyle w:val="0"/>
            </w:pPr>
            <w:r>
              <w:rPr>
                <w:sz w:val="24"/>
              </w:rPr>
            </w:r>
          </w:p>
        </w:tc>
        <w:tc>
          <w:tcPr>
            <w:tcW w:w="2948" w:type="dxa"/>
          </w:tcPr>
          <w:p>
            <w:pPr>
              <w:pStyle w:val="0"/>
            </w:pPr>
            <w:r>
              <w:rPr>
                <w:sz w:val="24"/>
              </w:rPr>
              <w:t xml:space="preserve">ins-dic:DopVidyDeyatelnostiEnumerator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13</w:t>
            </w:r>
          </w:p>
        </w:tc>
        <w:tc>
          <w:tcPr>
            <w:tcW w:w="2608" w:type="dxa"/>
          </w:tcPr>
          <w:p>
            <w:pPr>
              <w:pStyle w:val="0"/>
            </w:pPr>
            <w:r>
              <w:rPr>
                <w:sz w:val="24"/>
              </w:rPr>
              <w:t xml:space="preserve">Перестрахование</w:t>
            </w:r>
          </w:p>
        </w:tc>
        <w:tc>
          <w:tcPr>
            <w:tcW w:w="2608" w:type="dxa"/>
          </w:tcPr>
          <w:p>
            <w:pPr>
              <w:pStyle w:val="0"/>
            </w:pPr>
            <w:r>
              <w:rPr>
                <w:sz w:val="24"/>
              </w:rPr>
            </w:r>
          </w:p>
        </w:tc>
        <w:tc>
          <w:tcPr>
            <w:tcW w:w="2948" w:type="dxa"/>
          </w:tcPr>
          <w:p>
            <w:pPr>
              <w:pStyle w:val="0"/>
            </w:pPr>
            <w:r>
              <w:rPr>
                <w:sz w:val="24"/>
              </w:rPr>
              <w:t xml:space="preserve">ins-dic:PerestraxovanieEnumerator</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13.2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14</w:t>
            </w:r>
          </w:p>
        </w:tc>
        <w:tc>
          <w:tcPr>
            <w:tcW w:w="2608" w:type="dxa"/>
          </w:tcPr>
          <w:p>
            <w:pPr>
              <w:pStyle w:val="0"/>
            </w:pPr>
            <w:r>
              <w:rPr>
                <w:sz w:val="24"/>
              </w:rPr>
              <w:t xml:space="preserve">Взаимное страхование на основании договора страхования</w:t>
            </w:r>
          </w:p>
        </w:tc>
        <w:tc>
          <w:tcPr>
            <w:tcW w:w="2608" w:type="dxa"/>
          </w:tcPr>
          <w:p>
            <w:pPr>
              <w:pStyle w:val="0"/>
            </w:pPr>
            <w:r>
              <w:rPr>
                <w:sz w:val="24"/>
              </w:rPr>
            </w:r>
          </w:p>
        </w:tc>
        <w:tc>
          <w:tcPr>
            <w:tcW w:w="2948" w:type="dxa"/>
          </w:tcPr>
          <w:p>
            <w:pPr>
              <w:pStyle w:val="0"/>
            </w:pPr>
            <w:r>
              <w:rPr>
                <w:sz w:val="24"/>
              </w:rPr>
              <w:t xml:space="preserve">ins-dic:VzaimnoeStraxovanieNaOsnovaniiDogovoraStraxovaniyaEnumerator</w:t>
            </w:r>
          </w:p>
        </w:tc>
      </w:tr>
      <w:tr>
        <w:tc>
          <w:tcPr>
            <w:tcW w:w="907" w:type="dxa"/>
          </w:tcPr>
          <w:p>
            <w:pPr>
              <w:pStyle w:val="0"/>
            </w:pPr>
            <w:r>
              <w:rPr>
                <w:sz w:val="24"/>
              </w:rPr>
              <w:t xml:space="preserve">14.1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14.2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15</w:t>
            </w:r>
          </w:p>
        </w:tc>
        <w:tc>
          <w:tcPr>
            <w:tcW w:w="2608" w:type="dxa"/>
          </w:tcPr>
          <w:p>
            <w:pPr>
              <w:pStyle w:val="0"/>
            </w:pPr>
            <w:r>
              <w:rPr>
                <w:sz w:val="24"/>
              </w:rPr>
              <w:t xml:space="preserve">Взаимное страхование на основании устава</w:t>
            </w:r>
          </w:p>
        </w:tc>
        <w:tc>
          <w:tcPr>
            <w:tcW w:w="2608" w:type="dxa"/>
          </w:tcPr>
          <w:p>
            <w:pPr>
              <w:pStyle w:val="0"/>
            </w:pPr>
            <w:r>
              <w:rPr>
                <w:sz w:val="24"/>
              </w:rPr>
            </w:r>
          </w:p>
        </w:tc>
        <w:tc>
          <w:tcPr>
            <w:tcW w:w="2948" w:type="dxa"/>
          </w:tcPr>
          <w:p>
            <w:pPr>
              <w:pStyle w:val="0"/>
            </w:pPr>
            <w:r>
              <w:rPr>
                <w:sz w:val="24"/>
              </w:rPr>
              <w:t xml:space="preserve">ins-dic:VzaimnoeStraxovanieNaOsnovaniiUstavaEnumerator</w:t>
            </w:r>
          </w:p>
        </w:tc>
      </w:tr>
      <w:tr>
        <w:tc>
          <w:tcPr>
            <w:tcW w:w="907" w:type="dxa"/>
          </w:tcPr>
          <w:p>
            <w:pPr>
              <w:pStyle w:val="0"/>
            </w:pPr>
            <w:r>
              <w:rPr>
                <w:sz w:val="24"/>
              </w:rPr>
              <w:t xml:space="preserve">15.1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15.2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bl>
    <w:p>
      <w:pPr>
        <w:pStyle w:val="0"/>
        <w:ind w:firstLine="540"/>
        <w:jc w:val="both"/>
      </w:pPr>
      <w:r>
        <w:rPr>
          <w:sz w:val="24"/>
        </w:rPr>
      </w:r>
    </w:p>
    <w:p>
      <w:pPr>
        <w:pStyle w:val="0"/>
        <w:outlineLvl w:val="3"/>
        <w:jc w:val="both"/>
      </w:pPr>
      <w:r>
        <w:rPr>
          <w:sz w:val="24"/>
        </w:rPr>
        <w:t xml:space="preserve">Подраздел 1.2. </w:t>
      </w:r>
      <w:hyperlink w:history="0" w:anchor="P261" w:tooltip="Раздел 4. Перечень групп видов страхования и портфелей договоров">
        <w:r>
          <w:rPr>
            <w:sz w:val="24"/>
            <w:color w:val="0000ff"/>
          </w:rPr>
          <w:t xml:space="preserve">Раздел 4</w:t>
        </w:r>
      </w:hyperlink>
      <w:r>
        <w:rPr>
          <w:sz w:val="24"/>
        </w:rPr>
        <w:t xml:space="preserve"> "Перечень групп видов страхования и портфелей договоров"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Группы видов страхования</w:t>
            </w:r>
          </w:p>
        </w:tc>
        <w:tc>
          <w:tcPr>
            <w:tcW w:w="2608" w:type="dxa"/>
          </w:tcPr>
          <w:p>
            <w:pPr>
              <w:pStyle w:val="0"/>
            </w:pPr>
            <w:r>
              <w:rPr>
                <w:sz w:val="24"/>
              </w:rPr>
            </w:r>
          </w:p>
        </w:tc>
        <w:tc>
          <w:tcPr>
            <w:tcW w:w="2948" w:type="dxa"/>
          </w:tcPr>
          <w:p>
            <w:pPr>
              <w:pStyle w:val="0"/>
            </w:pPr>
            <w:r>
              <w:rPr>
                <w:sz w:val="24"/>
              </w:rPr>
              <w:t xml:space="preserve">ins-dic:LinBizEnumerator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Обязательное страхование гражданской ответственности владельцев транспортных средств</w:t>
            </w:r>
          </w:p>
        </w:tc>
        <w:tc>
          <w:tcPr>
            <w:tcW w:w="2948" w:type="dxa"/>
          </w:tcPr>
          <w:p>
            <w:pPr>
              <w:pStyle w:val="0"/>
            </w:pPr>
            <w:r>
              <w:rPr>
                <w:sz w:val="24"/>
              </w:rPr>
              <w:t xml:space="preserve">mem-int:ObzStrGrOtvVITranspSrMember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Автострахование, включая страхование от несчастных случаев и болезней на транспорте</w:t>
            </w:r>
          </w:p>
        </w:tc>
        <w:tc>
          <w:tcPr>
            <w:tcW w:w="2948" w:type="dxa"/>
          </w:tcPr>
          <w:p>
            <w:pPr>
              <w:pStyle w:val="0"/>
            </w:pPr>
            <w:r>
              <w:rPr>
                <w:sz w:val="24"/>
              </w:rPr>
              <w:t xml:space="preserve">mem-int:AvtostrKaskoDsagoNSTranspMember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Страхование от несчастных случаев и болезней лиц, выезжающих за пределы постоянного места жительства, и медицинское страхование</w:t>
            </w:r>
          </w:p>
        </w:tc>
        <w:tc>
          <w:tcPr>
            <w:tcW w:w="2948" w:type="dxa"/>
          </w:tcPr>
          <w:p>
            <w:pPr>
              <w:pStyle w:val="0"/>
            </w:pPr>
            <w:r>
              <w:rPr>
                <w:sz w:val="24"/>
              </w:rPr>
              <w:t xml:space="preserve">mem-int:MediczinaDMSVZRMember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Страхование от несчастных случаев и болезней (кроме страхования от несчастных случаев и болезней, включенного в другие группы видов страхования)</w:t>
            </w:r>
          </w:p>
        </w:tc>
        <w:tc>
          <w:tcPr>
            <w:tcW w:w="2948" w:type="dxa"/>
          </w:tcPr>
          <w:p>
            <w:pPr>
              <w:pStyle w:val="0"/>
            </w:pPr>
            <w:r>
              <w:rPr>
                <w:sz w:val="24"/>
              </w:rPr>
              <w:t xml:space="preserve">mem-int:NSKrVkhodInGrMember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Корпоративное страхование (имущество, ответственность, предпринимательские и финансовые риски)</w:t>
            </w:r>
          </w:p>
        </w:tc>
        <w:tc>
          <w:tcPr>
            <w:tcW w:w="2948" w:type="dxa"/>
          </w:tcPr>
          <w:p>
            <w:pPr>
              <w:pStyle w:val="0"/>
            </w:pPr>
            <w:r>
              <w:rPr>
                <w:sz w:val="24"/>
              </w:rPr>
              <w:t xml:space="preserve">mem-int:KorpStrImOtvFinMember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Розничное страхование (имущество, ответственность)</w:t>
            </w:r>
          </w:p>
        </w:tc>
        <w:tc>
          <w:tcPr>
            <w:tcW w:w="2948" w:type="dxa"/>
          </w:tcPr>
          <w:p>
            <w:pPr>
              <w:pStyle w:val="0"/>
            </w:pPr>
            <w:r>
              <w:rPr>
                <w:sz w:val="24"/>
              </w:rPr>
              <w:t xml:space="preserve">mem-int: RoznStrImOtvMember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Ипотечное страхование</w:t>
            </w:r>
          </w:p>
        </w:tc>
        <w:tc>
          <w:tcPr>
            <w:tcW w:w="2948" w:type="dxa"/>
          </w:tcPr>
          <w:p>
            <w:pPr>
              <w:pStyle w:val="0"/>
            </w:pPr>
            <w:r>
              <w:rPr>
                <w:sz w:val="24"/>
              </w:rPr>
              <w:t xml:space="preserve">mem-int :IpotStrMember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Прочее кредитное страхование</w:t>
            </w:r>
          </w:p>
        </w:tc>
        <w:tc>
          <w:tcPr>
            <w:tcW w:w="2948" w:type="dxa"/>
          </w:tcPr>
          <w:p>
            <w:pPr>
              <w:pStyle w:val="0"/>
            </w:pPr>
            <w:r>
              <w:rPr>
                <w:sz w:val="24"/>
              </w:rPr>
              <w:t xml:space="preserve">mem-int: ProchKredStrMember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Инвестиционное страхование жизни</w:t>
            </w:r>
          </w:p>
        </w:tc>
        <w:tc>
          <w:tcPr>
            <w:tcW w:w="2948" w:type="dxa"/>
          </w:tcPr>
          <w:p>
            <w:pPr>
              <w:pStyle w:val="0"/>
            </w:pPr>
            <w:r>
              <w:rPr>
                <w:sz w:val="24"/>
              </w:rPr>
              <w:t xml:space="preserve">mem-int:InvStrZhMember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Накопительное страхование жизни</w:t>
            </w:r>
          </w:p>
        </w:tc>
        <w:tc>
          <w:tcPr>
            <w:tcW w:w="2948" w:type="dxa"/>
          </w:tcPr>
          <w:p>
            <w:pPr>
              <w:pStyle w:val="0"/>
            </w:pPr>
            <w:r>
              <w:rPr>
                <w:sz w:val="24"/>
              </w:rPr>
              <w:t xml:space="preserve">mem-int:NakopStrZhMember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Пенсионное страхование</w:t>
            </w:r>
          </w:p>
        </w:tc>
        <w:tc>
          <w:tcPr>
            <w:tcW w:w="2948" w:type="dxa"/>
          </w:tcPr>
          <w:p>
            <w:pPr>
              <w:pStyle w:val="0"/>
            </w:pPr>
            <w:r>
              <w:rPr>
                <w:sz w:val="24"/>
              </w:rPr>
              <w:t xml:space="preserve">mem-int :PensStrMember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Прочее страхование жизни</w:t>
            </w:r>
          </w:p>
        </w:tc>
        <w:tc>
          <w:tcPr>
            <w:tcW w:w="2948" w:type="dxa"/>
          </w:tcPr>
          <w:p>
            <w:pPr>
              <w:pStyle w:val="0"/>
            </w:pPr>
            <w:r>
              <w:rPr>
                <w:sz w:val="24"/>
              </w:rPr>
              <w:t xml:space="preserve">mem-int:ProchStrZhMember</w:t>
            </w:r>
          </w:p>
        </w:tc>
      </w:tr>
    </w:tbl>
    <w:p>
      <w:pPr>
        <w:pStyle w:val="0"/>
        <w:ind w:firstLine="540"/>
        <w:jc w:val="both"/>
      </w:pPr>
      <w:r>
        <w:rPr>
          <w:sz w:val="24"/>
        </w:rPr>
      </w:r>
    </w:p>
    <w:p>
      <w:pPr>
        <w:pStyle w:val="0"/>
        <w:outlineLvl w:val="3"/>
        <w:jc w:val="both"/>
      </w:pPr>
      <w:r>
        <w:rPr>
          <w:sz w:val="24"/>
        </w:rPr>
        <w:t xml:space="preserve">Подраздел 1.3. </w:t>
      </w: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Раздел 5</w:t>
        </w:r>
      </w:hyperlink>
      <w:r>
        <w:rPr>
          <w:sz w:val="24"/>
        </w:rPr>
        <w:t xml:space="preserve"> "Сведения из аудиторского заключения о годовой бухгалтерской (финансовой) отчетности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Мнение, выраженное в аудиторском заключении</w:t>
            </w:r>
          </w:p>
        </w:tc>
        <w:tc>
          <w:tcPr>
            <w:tcW w:w="2608" w:type="dxa"/>
          </w:tcPr>
          <w:p>
            <w:pPr>
              <w:pStyle w:val="0"/>
            </w:pPr>
            <w:r>
              <w:rPr>
                <w:sz w:val="24"/>
              </w:rPr>
            </w:r>
          </w:p>
        </w:tc>
        <w:tc>
          <w:tcPr>
            <w:tcW w:w="2948" w:type="dxa"/>
          </w:tcPr>
          <w:p>
            <w:pPr>
              <w:pStyle w:val="0"/>
            </w:pPr>
            <w:r>
              <w:rPr>
                <w:sz w:val="24"/>
              </w:rPr>
              <w:t xml:space="preserve">nfo-dic:Mnenie_AudZaklEnumerator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Немодифицированное мнение</w:t>
            </w:r>
          </w:p>
        </w:tc>
        <w:tc>
          <w:tcPr>
            <w:tcW w:w="2948" w:type="dxa"/>
          </w:tcPr>
          <w:p>
            <w:pPr>
              <w:pStyle w:val="0"/>
            </w:pPr>
            <w:r>
              <w:rPr>
                <w:sz w:val="24"/>
              </w:rPr>
              <w:t xml:space="preserve">mem-int:Nemod_MnenieMember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Мнение с оговоркой</w:t>
            </w:r>
          </w:p>
        </w:tc>
        <w:tc>
          <w:tcPr>
            <w:tcW w:w="2948" w:type="dxa"/>
          </w:tcPr>
          <w:p>
            <w:pPr>
              <w:pStyle w:val="0"/>
            </w:pPr>
            <w:r>
              <w:rPr>
                <w:sz w:val="24"/>
              </w:rPr>
              <w:t xml:space="preserve">mem-int:Mnenie_S_OgovorkojMember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Отрицательное мнение</w:t>
            </w:r>
          </w:p>
        </w:tc>
        <w:tc>
          <w:tcPr>
            <w:tcW w:w="2948" w:type="dxa"/>
          </w:tcPr>
          <w:p>
            <w:pPr>
              <w:pStyle w:val="0"/>
            </w:pPr>
            <w:r>
              <w:rPr>
                <w:sz w:val="24"/>
              </w:rPr>
              <w:t xml:space="preserve">mem-int:Otricz_MnenieMember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Отказ от выражения мнения</w:t>
            </w:r>
          </w:p>
        </w:tc>
        <w:tc>
          <w:tcPr>
            <w:tcW w:w="2948" w:type="dxa"/>
          </w:tcPr>
          <w:p>
            <w:pPr>
              <w:pStyle w:val="0"/>
            </w:pPr>
            <w:r>
              <w:rPr>
                <w:sz w:val="24"/>
              </w:rPr>
              <w:t xml:space="preserve">mem-int:Otkaz_Ot_MneniyaMember</w:t>
            </w:r>
          </w:p>
        </w:tc>
      </w:tr>
    </w:tbl>
    <w:p>
      <w:pPr>
        <w:pStyle w:val="0"/>
        <w:ind w:firstLine="540"/>
        <w:jc w:val="both"/>
      </w:pPr>
      <w:r>
        <w:rPr>
          <w:sz w:val="24"/>
        </w:rPr>
      </w:r>
    </w:p>
    <w:p>
      <w:pPr>
        <w:pStyle w:val="0"/>
        <w:outlineLvl w:val="3"/>
        <w:jc w:val="both"/>
      </w:pPr>
      <w:r>
        <w:rPr>
          <w:sz w:val="24"/>
        </w:rPr>
        <w:t xml:space="preserve">Подраздел 1.4. </w:t>
      </w:r>
      <w:hyperlink w:history="0" w:anchor="P372" w:tooltip="Раздел 7. Реестр контрагентов страховщика">
        <w:r>
          <w:rPr>
            <w:sz w:val="24"/>
            <w:color w:val="0000ff"/>
          </w:rPr>
          <w:t xml:space="preserve">Раздел 7</w:t>
        </w:r>
      </w:hyperlink>
      <w:r>
        <w:rPr>
          <w:sz w:val="24"/>
        </w:rPr>
        <w:t xml:space="preserve"> "Реестр контрагентов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Аффилированное лицо</w:t>
            </w:r>
          </w:p>
        </w:tc>
        <w:tc>
          <w:tcPr>
            <w:tcW w:w="2608" w:type="dxa"/>
          </w:tcPr>
          <w:p>
            <w:pPr>
              <w:pStyle w:val="0"/>
            </w:pPr>
            <w:r>
              <w:rPr>
                <w:sz w:val="24"/>
              </w:rPr>
            </w:r>
          </w:p>
        </w:tc>
        <w:tc>
          <w:tcPr>
            <w:tcW w:w="2948" w:type="dxa"/>
          </w:tcPr>
          <w:p>
            <w:pPr>
              <w:pStyle w:val="0"/>
            </w:pPr>
            <w:r>
              <w:rPr>
                <w:sz w:val="24"/>
              </w:rPr>
              <w:t xml:space="preserve">ins-dic:AffilirovannoeLiczoEnumerator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w:t>
            </w:r>
          </w:p>
        </w:tc>
        <w:tc>
          <w:tcPr>
            <w:tcW w:w="2608" w:type="dxa"/>
          </w:tcPr>
          <w:p>
            <w:pPr>
              <w:pStyle w:val="0"/>
            </w:pPr>
            <w:r>
              <w:rPr>
                <w:sz w:val="24"/>
              </w:rPr>
              <w:t xml:space="preserve">Вид контрагента</w:t>
            </w:r>
          </w:p>
        </w:tc>
        <w:tc>
          <w:tcPr>
            <w:tcW w:w="2608" w:type="dxa"/>
          </w:tcPr>
          <w:p>
            <w:pPr>
              <w:pStyle w:val="0"/>
            </w:pPr>
            <w:r>
              <w:rPr>
                <w:sz w:val="24"/>
              </w:rPr>
            </w:r>
          </w:p>
        </w:tc>
        <w:tc>
          <w:tcPr>
            <w:tcW w:w="2948" w:type="dxa"/>
          </w:tcPr>
          <w:p>
            <w:pPr>
              <w:pStyle w:val="0"/>
            </w:pPr>
            <w:r>
              <w:rPr>
                <w:sz w:val="24"/>
              </w:rPr>
              <w:t xml:space="preserve">nfo-dic:VidKontragentaEnumerator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ФЛ</w:t>
            </w:r>
          </w:p>
        </w:tc>
        <w:tc>
          <w:tcPr>
            <w:tcW w:w="2948" w:type="dxa"/>
          </w:tcPr>
          <w:p>
            <w:pPr>
              <w:pStyle w:val="0"/>
            </w:pPr>
            <w:r>
              <w:rPr>
                <w:sz w:val="24"/>
              </w:rPr>
              <w:t xml:space="preserve">mem-int:FlMember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ИП</w:t>
            </w:r>
          </w:p>
        </w:tc>
        <w:tc>
          <w:tcPr>
            <w:tcW w:w="2948" w:type="dxa"/>
          </w:tcPr>
          <w:p>
            <w:pPr>
              <w:pStyle w:val="0"/>
            </w:pPr>
            <w:r>
              <w:rPr>
                <w:sz w:val="24"/>
              </w:rPr>
              <w:t xml:space="preserve">mem-int:Ip_Member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ЮЛ</w:t>
            </w:r>
          </w:p>
        </w:tc>
        <w:tc>
          <w:tcPr>
            <w:tcW w:w="2948" w:type="dxa"/>
          </w:tcPr>
          <w:p>
            <w:pPr>
              <w:pStyle w:val="0"/>
            </w:pPr>
            <w:r>
              <w:rPr>
                <w:sz w:val="24"/>
              </w:rPr>
              <w:t xml:space="preserve">mem-int:YulMember</w:t>
            </w:r>
          </w:p>
        </w:tc>
      </w:tr>
      <w:tr>
        <w:tc>
          <w:tcPr>
            <w:tcW w:w="907" w:type="dxa"/>
          </w:tcPr>
          <w:p>
            <w:pPr>
              <w:pStyle w:val="0"/>
            </w:pPr>
            <w:r>
              <w:rPr>
                <w:sz w:val="24"/>
              </w:rPr>
              <w:t xml:space="preserve">3</w:t>
            </w:r>
          </w:p>
        </w:tc>
        <w:tc>
          <w:tcPr>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mem-int:GruppaKredKach01Member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2</w:t>
            </w:r>
          </w:p>
        </w:tc>
        <w:tc>
          <w:tcPr>
            <w:tcW w:w="2948" w:type="dxa"/>
          </w:tcPr>
          <w:p>
            <w:pPr>
              <w:pStyle w:val="0"/>
            </w:pPr>
            <w:r>
              <w:rPr>
                <w:sz w:val="24"/>
              </w:rPr>
              <w:t xml:space="preserve">mem-int:GruppaKredKach02Member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3</w:t>
            </w:r>
          </w:p>
        </w:tc>
        <w:tc>
          <w:tcPr>
            <w:tcW w:w="2948" w:type="dxa"/>
          </w:tcPr>
          <w:p>
            <w:pPr>
              <w:pStyle w:val="0"/>
            </w:pPr>
            <w:r>
              <w:rPr>
                <w:sz w:val="24"/>
              </w:rPr>
              <w:t xml:space="preserve">mem-int:GruppaKredKach03Member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4</w:t>
            </w:r>
          </w:p>
        </w:tc>
        <w:tc>
          <w:tcPr>
            <w:tcW w:w="2948" w:type="dxa"/>
          </w:tcPr>
          <w:p>
            <w:pPr>
              <w:pStyle w:val="0"/>
            </w:pPr>
            <w:r>
              <w:rPr>
                <w:sz w:val="24"/>
              </w:rPr>
              <w:t xml:space="preserve">mem-int:GruppaKredKach04Member</w:t>
            </w:r>
          </w:p>
        </w:tc>
      </w:tr>
      <w:tr>
        <w:tc>
          <w:tcPr>
            <w:tcW w:w="907" w:type="dxa"/>
          </w:tcPr>
          <w:p>
            <w:pPr>
              <w:pStyle w:val="0"/>
            </w:pPr>
            <w:r>
              <w:rPr>
                <w:sz w:val="24"/>
              </w:rPr>
              <w:t xml:space="preserve">3.5</w:t>
            </w:r>
          </w:p>
        </w:tc>
        <w:tc>
          <w:tcPr>
            <w:tcW w:w="2608" w:type="dxa"/>
          </w:tcPr>
          <w:p>
            <w:pPr>
              <w:pStyle w:val="0"/>
            </w:pPr>
            <w:r>
              <w:rPr>
                <w:sz w:val="24"/>
              </w:rPr>
            </w:r>
          </w:p>
        </w:tc>
        <w:tc>
          <w:tcPr>
            <w:tcW w:w="2608" w:type="dxa"/>
          </w:tcPr>
          <w:p>
            <w:pPr>
              <w:pStyle w:val="0"/>
            </w:pPr>
            <w:r>
              <w:rPr>
                <w:sz w:val="24"/>
              </w:rPr>
              <w:t xml:space="preserve">5</w:t>
            </w:r>
          </w:p>
        </w:tc>
        <w:tc>
          <w:tcPr>
            <w:tcW w:w="2948" w:type="dxa"/>
          </w:tcPr>
          <w:p>
            <w:pPr>
              <w:pStyle w:val="0"/>
            </w:pPr>
            <w:r>
              <w:rPr>
                <w:sz w:val="24"/>
              </w:rPr>
              <w:t xml:space="preserve">mem-int:GruppaKredKach05Member</w:t>
            </w:r>
          </w:p>
        </w:tc>
      </w:tr>
      <w:tr>
        <w:tc>
          <w:tcPr>
            <w:tcW w:w="907" w:type="dxa"/>
          </w:tcPr>
          <w:p>
            <w:pPr>
              <w:pStyle w:val="0"/>
            </w:pPr>
            <w:r>
              <w:rPr>
                <w:sz w:val="24"/>
              </w:rPr>
              <w:t xml:space="preserve">3.6</w:t>
            </w:r>
          </w:p>
        </w:tc>
        <w:tc>
          <w:tcPr>
            <w:tcW w:w="2608" w:type="dxa"/>
          </w:tcPr>
          <w:p>
            <w:pPr>
              <w:pStyle w:val="0"/>
            </w:pPr>
            <w:r>
              <w:rPr>
                <w:sz w:val="24"/>
              </w:rPr>
            </w:r>
          </w:p>
        </w:tc>
        <w:tc>
          <w:tcPr>
            <w:tcW w:w="2608" w:type="dxa"/>
          </w:tcPr>
          <w:p>
            <w:pPr>
              <w:pStyle w:val="0"/>
            </w:pPr>
            <w:r>
              <w:rPr>
                <w:sz w:val="24"/>
              </w:rPr>
              <w:t xml:space="preserve">6</w:t>
            </w:r>
          </w:p>
        </w:tc>
        <w:tc>
          <w:tcPr>
            <w:tcW w:w="2948" w:type="dxa"/>
          </w:tcPr>
          <w:p>
            <w:pPr>
              <w:pStyle w:val="0"/>
            </w:pPr>
            <w:r>
              <w:rPr>
                <w:sz w:val="24"/>
              </w:rPr>
              <w:t xml:space="preserve">mem-int:GruppaKredKach06Member</w:t>
            </w:r>
          </w:p>
        </w:tc>
      </w:tr>
      <w:tr>
        <w:tc>
          <w:tcPr>
            <w:tcW w:w="907" w:type="dxa"/>
          </w:tcPr>
          <w:p>
            <w:pPr>
              <w:pStyle w:val="0"/>
            </w:pPr>
            <w:r>
              <w:rPr>
                <w:sz w:val="24"/>
              </w:rPr>
              <w:t xml:space="preserve">3.7</w:t>
            </w:r>
          </w:p>
        </w:tc>
        <w:tc>
          <w:tcPr>
            <w:tcW w:w="2608" w:type="dxa"/>
          </w:tcPr>
          <w:p>
            <w:pPr>
              <w:pStyle w:val="0"/>
            </w:pPr>
            <w:r>
              <w:rPr>
                <w:sz w:val="24"/>
              </w:rPr>
            </w:r>
          </w:p>
        </w:tc>
        <w:tc>
          <w:tcPr>
            <w:tcW w:w="2608" w:type="dxa"/>
          </w:tcPr>
          <w:p>
            <w:pPr>
              <w:pStyle w:val="0"/>
            </w:pPr>
            <w:r>
              <w:rPr>
                <w:sz w:val="24"/>
              </w:rPr>
              <w:t xml:space="preserve">7</w:t>
            </w:r>
          </w:p>
        </w:tc>
        <w:tc>
          <w:tcPr>
            <w:tcW w:w="2948" w:type="dxa"/>
          </w:tcPr>
          <w:p>
            <w:pPr>
              <w:pStyle w:val="0"/>
            </w:pPr>
            <w:r>
              <w:rPr>
                <w:sz w:val="24"/>
              </w:rPr>
              <w:t xml:space="preserve">mem-int:GruppaKredKach07Member</w:t>
            </w:r>
          </w:p>
        </w:tc>
      </w:tr>
      <w:tr>
        <w:tc>
          <w:tcPr>
            <w:tcW w:w="907" w:type="dxa"/>
          </w:tcPr>
          <w:p>
            <w:pPr>
              <w:pStyle w:val="0"/>
            </w:pPr>
            <w:r>
              <w:rPr>
                <w:sz w:val="24"/>
              </w:rPr>
              <w:t xml:space="preserve">3.8</w:t>
            </w:r>
          </w:p>
        </w:tc>
        <w:tc>
          <w:tcPr>
            <w:tcW w:w="2608" w:type="dxa"/>
          </w:tcPr>
          <w:p>
            <w:pPr>
              <w:pStyle w:val="0"/>
            </w:pPr>
            <w:r>
              <w:rPr>
                <w:sz w:val="24"/>
              </w:rPr>
            </w:r>
          </w:p>
        </w:tc>
        <w:tc>
          <w:tcPr>
            <w:tcW w:w="2608" w:type="dxa"/>
          </w:tcPr>
          <w:p>
            <w:pPr>
              <w:pStyle w:val="0"/>
            </w:pPr>
            <w:r>
              <w:rPr>
                <w:sz w:val="24"/>
              </w:rPr>
              <w:t xml:space="preserve">8</w:t>
            </w:r>
          </w:p>
        </w:tc>
        <w:tc>
          <w:tcPr>
            <w:tcW w:w="2948" w:type="dxa"/>
          </w:tcPr>
          <w:p>
            <w:pPr>
              <w:pStyle w:val="0"/>
            </w:pPr>
            <w:r>
              <w:rPr>
                <w:sz w:val="24"/>
              </w:rPr>
              <w:t xml:space="preserve">mem-int:GruppaKredKach08Member</w:t>
            </w:r>
          </w:p>
        </w:tc>
      </w:tr>
      <w:tr>
        <w:tc>
          <w:tcPr>
            <w:tcW w:w="907" w:type="dxa"/>
          </w:tcPr>
          <w:p>
            <w:pPr>
              <w:pStyle w:val="0"/>
            </w:pPr>
            <w:r>
              <w:rPr>
                <w:sz w:val="24"/>
              </w:rPr>
              <w:t xml:space="preserve">3.9</w:t>
            </w:r>
          </w:p>
        </w:tc>
        <w:tc>
          <w:tcPr>
            <w:tcW w:w="2608" w:type="dxa"/>
          </w:tcPr>
          <w:p>
            <w:pPr>
              <w:pStyle w:val="0"/>
            </w:pPr>
            <w:r>
              <w:rPr>
                <w:sz w:val="24"/>
              </w:rPr>
            </w:r>
          </w:p>
        </w:tc>
        <w:tc>
          <w:tcPr>
            <w:tcW w:w="2608" w:type="dxa"/>
          </w:tcPr>
          <w:p>
            <w:pPr>
              <w:pStyle w:val="0"/>
            </w:pPr>
            <w:r>
              <w:rPr>
                <w:sz w:val="24"/>
              </w:rPr>
              <w:t xml:space="preserve">9</w:t>
            </w:r>
          </w:p>
        </w:tc>
        <w:tc>
          <w:tcPr>
            <w:tcW w:w="2948" w:type="dxa"/>
          </w:tcPr>
          <w:p>
            <w:pPr>
              <w:pStyle w:val="0"/>
            </w:pPr>
            <w:r>
              <w:rPr>
                <w:sz w:val="24"/>
              </w:rPr>
              <w:t xml:space="preserve">mem-int:GruppaKredKach09Member</w:t>
            </w:r>
          </w:p>
        </w:tc>
      </w:tr>
      <w:tr>
        <w:tc>
          <w:tcPr>
            <w:tcW w:w="907" w:type="dxa"/>
          </w:tcPr>
          <w:p>
            <w:pPr>
              <w:pStyle w:val="0"/>
            </w:pPr>
            <w:r>
              <w:rPr>
                <w:sz w:val="24"/>
              </w:rPr>
              <w:t xml:space="preserve">3.10</w:t>
            </w:r>
          </w:p>
        </w:tc>
        <w:tc>
          <w:tcPr>
            <w:tcW w:w="2608" w:type="dxa"/>
          </w:tcPr>
          <w:p>
            <w:pPr>
              <w:pStyle w:val="0"/>
            </w:pPr>
            <w:r>
              <w:rPr>
                <w:sz w:val="24"/>
              </w:rPr>
            </w:r>
          </w:p>
        </w:tc>
        <w:tc>
          <w:tcPr>
            <w:tcW w:w="2608" w:type="dxa"/>
          </w:tcPr>
          <w:p>
            <w:pPr>
              <w:pStyle w:val="0"/>
            </w:pPr>
            <w:r>
              <w:rPr>
                <w:sz w:val="24"/>
              </w:rPr>
              <w:t xml:space="preserve">10</w:t>
            </w:r>
          </w:p>
        </w:tc>
        <w:tc>
          <w:tcPr>
            <w:tcW w:w="2948" w:type="dxa"/>
          </w:tcPr>
          <w:p>
            <w:pPr>
              <w:pStyle w:val="0"/>
            </w:pPr>
            <w:r>
              <w:rPr>
                <w:sz w:val="24"/>
              </w:rPr>
              <w:t xml:space="preserve">mem-int:GruppaKredKach10Member</w:t>
            </w:r>
          </w:p>
        </w:tc>
      </w:tr>
      <w:tr>
        <w:tc>
          <w:tcPr>
            <w:tcW w:w="907" w:type="dxa"/>
          </w:tcPr>
          <w:p>
            <w:pPr>
              <w:pStyle w:val="0"/>
            </w:pPr>
            <w:r>
              <w:rPr>
                <w:sz w:val="24"/>
              </w:rPr>
              <w:t xml:space="preserve">3.11</w:t>
            </w:r>
          </w:p>
        </w:tc>
        <w:tc>
          <w:tcPr>
            <w:tcW w:w="2608" w:type="dxa"/>
          </w:tcPr>
          <w:p>
            <w:pPr>
              <w:pStyle w:val="0"/>
            </w:pPr>
            <w:r>
              <w:rPr>
                <w:sz w:val="24"/>
              </w:rPr>
            </w:r>
          </w:p>
        </w:tc>
        <w:tc>
          <w:tcPr>
            <w:tcW w:w="2608" w:type="dxa"/>
          </w:tcPr>
          <w:p>
            <w:pPr>
              <w:pStyle w:val="0"/>
            </w:pPr>
            <w:r>
              <w:rPr>
                <w:sz w:val="24"/>
              </w:rPr>
              <w:t xml:space="preserve">И</w:t>
            </w:r>
          </w:p>
        </w:tc>
        <w:tc>
          <w:tcPr>
            <w:tcW w:w="2948" w:type="dxa"/>
          </w:tcPr>
          <w:p>
            <w:pPr>
              <w:pStyle w:val="0"/>
            </w:pPr>
            <w:r>
              <w:rPr>
                <w:sz w:val="24"/>
              </w:rPr>
              <w:t xml:space="preserve">mem-int:GruppaKredKach11IMember</w:t>
            </w:r>
          </w:p>
        </w:tc>
      </w:tr>
      <w:tr>
        <w:tc>
          <w:tcPr>
            <w:tcW w:w="907" w:type="dxa"/>
          </w:tcPr>
          <w:p>
            <w:pPr>
              <w:pStyle w:val="0"/>
            </w:pPr>
            <w:r>
              <w:rPr>
                <w:sz w:val="24"/>
              </w:rPr>
              <w:t xml:space="preserve">3.12</w:t>
            </w:r>
          </w:p>
        </w:tc>
        <w:tc>
          <w:tcPr>
            <w:tcW w:w="2608" w:type="dxa"/>
          </w:tcPr>
          <w:p>
            <w:pPr>
              <w:pStyle w:val="0"/>
            </w:pPr>
            <w:r>
              <w:rPr>
                <w:sz w:val="24"/>
              </w:rPr>
            </w:r>
          </w:p>
        </w:tc>
        <w:tc>
          <w:tcPr>
            <w:tcW w:w="2608" w:type="dxa"/>
          </w:tcPr>
          <w:p>
            <w:pPr>
              <w:pStyle w:val="0"/>
            </w:pPr>
            <w:r>
              <w:rPr>
                <w:sz w:val="24"/>
              </w:rPr>
              <w:t xml:space="preserve">12</w:t>
            </w:r>
          </w:p>
        </w:tc>
        <w:tc>
          <w:tcPr>
            <w:tcW w:w="2948" w:type="dxa"/>
          </w:tcPr>
          <w:p>
            <w:pPr>
              <w:pStyle w:val="0"/>
            </w:pPr>
            <w:r>
              <w:rPr>
                <w:sz w:val="24"/>
              </w:rPr>
              <w:t xml:space="preserve">mem-int:GruppaKredKach12Member</w:t>
            </w:r>
          </w:p>
        </w:tc>
      </w:tr>
      <w:tr>
        <w:tc>
          <w:tcPr>
            <w:tcW w:w="907" w:type="dxa"/>
          </w:tcPr>
          <w:p>
            <w:pPr>
              <w:pStyle w:val="0"/>
            </w:pPr>
            <w:r>
              <w:rPr>
                <w:sz w:val="24"/>
              </w:rPr>
              <w:t xml:space="preserve">3.13</w:t>
            </w:r>
          </w:p>
        </w:tc>
        <w:tc>
          <w:tcPr>
            <w:tcW w:w="2608" w:type="dxa"/>
          </w:tcPr>
          <w:p>
            <w:pPr>
              <w:pStyle w:val="0"/>
            </w:pPr>
            <w:r>
              <w:rPr>
                <w:sz w:val="24"/>
              </w:rPr>
            </w:r>
          </w:p>
        </w:tc>
        <w:tc>
          <w:tcPr>
            <w:tcW w:w="2608" w:type="dxa"/>
          </w:tcPr>
          <w:p>
            <w:pPr>
              <w:pStyle w:val="0"/>
            </w:pPr>
            <w:r>
              <w:rPr>
                <w:sz w:val="24"/>
              </w:rPr>
              <w:t xml:space="preserve">13</w:t>
            </w:r>
          </w:p>
        </w:tc>
        <w:tc>
          <w:tcPr>
            <w:tcW w:w="2948" w:type="dxa"/>
          </w:tcPr>
          <w:p>
            <w:pPr>
              <w:pStyle w:val="0"/>
            </w:pPr>
            <w:r>
              <w:rPr>
                <w:sz w:val="24"/>
              </w:rPr>
              <w:t xml:space="preserve">mem-int:GruppaKredKach13Member</w:t>
            </w:r>
          </w:p>
        </w:tc>
      </w:tr>
      <w:tr>
        <w:tc>
          <w:tcPr>
            <w:tcW w:w="907" w:type="dxa"/>
          </w:tcPr>
          <w:p>
            <w:pPr>
              <w:pStyle w:val="0"/>
            </w:pPr>
            <w:r>
              <w:rPr>
                <w:sz w:val="24"/>
              </w:rPr>
              <w:t xml:space="preserve">3.14</w:t>
            </w:r>
          </w:p>
        </w:tc>
        <w:tc>
          <w:tcPr>
            <w:tcW w:w="2608" w:type="dxa"/>
          </w:tcPr>
          <w:p>
            <w:pPr>
              <w:pStyle w:val="0"/>
            </w:pPr>
            <w:r>
              <w:rPr>
                <w:sz w:val="24"/>
              </w:rPr>
            </w:r>
          </w:p>
        </w:tc>
        <w:tc>
          <w:tcPr>
            <w:tcW w:w="2608" w:type="dxa"/>
          </w:tcPr>
          <w:p>
            <w:pPr>
              <w:pStyle w:val="0"/>
            </w:pPr>
            <w:r>
              <w:rPr>
                <w:sz w:val="24"/>
              </w:rPr>
              <w:t xml:space="preserve">14</w:t>
            </w:r>
          </w:p>
        </w:tc>
        <w:tc>
          <w:tcPr>
            <w:tcW w:w="2948" w:type="dxa"/>
          </w:tcPr>
          <w:p>
            <w:pPr>
              <w:pStyle w:val="0"/>
            </w:pPr>
            <w:r>
              <w:rPr>
                <w:sz w:val="24"/>
              </w:rPr>
              <w:t xml:space="preserve">mem-int:GruppaKredKach14Member</w:t>
            </w:r>
          </w:p>
        </w:tc>
      </w:tr>
      <w:tr>
        <w:tc>
          <w:tcPr>
            <w:tcW w:w="907" w:type="dxa"/>
          </w:tcPr>
          <w:p>
            <w:pPr>
              <w:pStyle w:val="0"/>
            </w:pPr>
            <w:r>
              <w:rPr>
                <w:sz w:val="24"/>
              </w:rPr>
              <w:t xml:space="preserve">3.15</w:t>
            </w:r>
          </w:p>
        </w:tc>
        <w:tc>
          <w:tcPr>
            <w:tcW w:w="2608" w:type="dxa"/>
          </w:tcPr>
          <w:p>
            <w:pPr>
              <w:pStyle w:val="0"/>
            </w:pPr>
            <w:r>
              <w:rPr>
                <w:sz w:val="24"/>
              </w:rPr>
            </w:r>
          </w:p>
        </w:tc>
        <w:tc>
          <w:tcPr>
            <w:tcW w:w="2608" w:type="dxa"/>
          </w:tcPr>
          <w:p>
            <w:pPr>
              <w:pStyle w:val="0"/>
            </w:pPr>
            <w:r>
              <w:rPr>
                <w:sz w:val="24"/>
              </w:rPr>
              <w:t xml:space="preserve">15</w:t>
            </w:r>
          </w:p>
        </w:tc>
        <w:tc>
          <w:tcPr>
            <w:tcW w:w="2948" w:type="dxa"/>
          </w:tcPr>
          <w:p>
            <w:pPr>
              <w:pStyle w:val="0"/>
            </w:pPr>
            <w:r>
              <w:rPr>
                <w:sz w:val="24"/>
              </w:rPr>
              <w:t xml:space="preserve">mem-int:GruppaKredKach15Member</w:t>
            </w:r>
          </w:p>
        </w:tc>
      </w:tr>
      <w:tr>
        <w:tc>
          <w:tcPr>
            <w:tcW w:w="907" w:type="dxa"/>
          </w:tcPr>
          <w:p>
            <w:pPr>
              <w:pStyle w:val="0"/>
            </w:pPr>
            <w:r>
              <w:rPr>
                <w:sz w:val="24"/>
              </w:rPr>
              <w:t xml:space="preserve">3.16</w:t>
            </w:r>
          </w:p>
        </w:tc>
        <w:tc>
          <w:tcPr>
            <w:tcW w:w="2608" w:type="dxa"/>
          </w:tcPr>
          <w:p>
            <w:pPr>
              <w:pStyle w:val="0"/>
            </w:pPr>
            <w:r>
              <w:rPr>
                <w:sz w:val="24"/>
              </w:rPr>
            </w:r>
          </w:p>
        </w:tc>
        <w:tc>
          <w:tcPr>
            <w:tcW w:w="2608" w:type="dxa"/>
          </w:tcPr>
          <w:p>
            <w:pPr>
              <w:pStyle w:val="0"/>
            </w:pPr>
            <w:r>
              <w:rPr>
                <w:sz w:val="24"/>
              </w:rPr>
              <w:t xml:space="preserve">16</w:t>
            </w:r>
          </w:p>
        </w:tc>
        <w:tc>
          <w:tcPr>
            <w:tcW w:w="2948" w:type="dxa"/>
          </w:tcPr>
          <w:p>
            <w:pPr>
              <w:pStyle w:val="0"/>
            </w:pPr>
            <w:r>
              <w:rPr>
                <w:sz w:val="24"/>
              </w:rPr>
              <w:t xml:space="preserve">mem-int:GruppaKredKach16Member</w:t>
            </w:r>
          </w:p>
        </w:tc>
      </w:tr>
      <w:tr>
        <w:tc>
          <w:tcPr>
            <w:tcW w:w="907" w:type="dxa"/>
          </w:tcPr>
          <w:p>
            <w:pPr>
              <w:pStyle w:val="0"/>
            </w:pPr>
            <w:r>
              <w:rPr>
                <w:sz w:val="24"/>
              </w:rPr>
              <w:t xml:space="preserve">3.17</w:t>
            </w:r>
          </w:p>
        </w:tc>
        <w:tc>
          <w:tcPr>
            <w:tcW w:w="2608" w:type="dxa"/>
          </w:tcPr>
          <w:p>
            <w:pPr>
              <w:pStyle w:val="0"/>
            </w:pPr>
            <w:r>
              <w:rPr>
                <w:sz w:val="24"/>
              </w:rPr>
            </w:r>
          </w:p>
        </w:tc>
        <w:tc>
          <w:tcPr>
            <w:tcW w:w="2608" w:type="dxa"/>
          </w:tcPr>
          <w:p>
            <w:pPr>
              <w:pStyle w:val="0"/>
            </w:pPr>
            <w:r>
              <w:rPr>
                <w:sz w:val="24"/>
              </w:rPr>
              <w:t xml:space="preserve">17</w:t>
            </w:r>
          </w:p>
        </w:tc>
        <w:tc>
          <w:tcPr>
            <w:tcW w:w="2948" w:type="dxa"/>
          </w:tcPr>
          <w:p>
            <w:pPr>
              <w:pStyle w:val="0"/>
            </w:pPr>
            <w:r>
              <w:rPr>
                <w:sz w:val="24"/>
              </w:rPr>
              <w:t xml:space="preserve">mem-int:GruppaKredKach17Member</w:t>
            </w:r>
          </w:p>
        </w:tc>
      </w:tr>
      <w:tr>
        <w:tc>
          <w:tcPr>
            <w:tcW w:w="907" w:type="dxa"/>
          </w:tcPr>
          <w:p>
            <w:pPr>
              <w:pStyle w:val="0"/>
            </w:pPr>
            <w:r>
              <w:rPr>
                <w:sz w:val="24"/>
              </w:rPr>
              <w:t xml:space="preserve">3.18</w:t>
            </w:r>
          </w:p>
        </w:tc>
        <w:tc>
          <w:tcPr>
            <w:tcW w:w="2608" w:type="dxa"/>
          </w:tcPr>
          <w:p>
            <w:pPr>
              <w:pStyle w:val="0"/>
            </w:pPr>
            <w:r>
              <w:rPr>
                <w:sz w:val="24"/>
              </w:rPr>
            </w:r>
          </w:p>
        </w:tc>
        <w:tc>
          <w:tcPr>
            <w:tcW w:w="2608" w:type="dxa"/>
          </w:tcPr>
          <w:p>
            <w:pPr>
              <w:pStyle w:val="0"/>
            </w:pPr>
            <w:r>
              <w:rPr>
                <w:sz w:val="24"/>
              </w:rPr>
              <w:t xml:space="preserve">18</w:t>
            </w:r>
          </w:p>
        </w:tc>
        <w:tc>
          <w:tcPr>
            <w:tcW w:w="2948" w:type="dxa"/>
          </w:tcPr>
          <w:p>
            <w:pPr>
              <w:pStyle w:val="0"/>
            </w:pPr>
            <w:r>
              <w:rPr>
                <w:sz w:val="24"/>
              </w:rPr>
              <w:t xml:space="preserve">mem-int:GruppaKredKach18Member</w:t>
            </w:r>
          </w:p>
        </w:tc>
      </w:tr>
      <w:tr>
        <w:tc>
          <w:tcPr>
            <w:tcW w:w="907" w:type="dxa"/>
          </w:tcPr>
          <w:p>
            <w:pPr>
              <w:pStyle w:val="0"/>
            </w:pPr>
            <w:r>
              <w:rPr>
                <w:sz w:val="24"/>
              </w:rPr>
              <w:t xml:space="preserve">3.19</w:t>
            </w:r>
          </w:p>
        </w:tc>
        <w:tc>
          <w:tcPr>
            <w:tcW w:w="2608" w:type="dxa"/>
          </w:tcPr>
          <w:p>
            <w:pPr>
              <w:pStyle w:val="0"/>
            </w:pPr>
            <w:r>
              <w:rPr>
                <w:sz w:val="24"/>
              </w:rPr>
            </w:r>
          </w:p>
        </w:tc>
        <w:tc>
          <w:tcPr>
            <w:tcW w:w="2608" w:type="dxa"/>
          </w:tcPr>
          <w:p>
            <w:pPr>
              <w:pStyle w:val="0"/>
            </w:pPr>
            <w:r>
              <w:rPr>
                <w:sz w:val="24"/>
              </w:rPr>
              <w:t xml:space="preserve">19</w:t>
            </w:r>
          </w:p>
        </w:tc>
        <w:tc>
          <w:tcPr>
            <w:tcW w:w="2948" w:type="dxa"/>
          </w:tcPr>
          <w:p>
            <w:pPr>
              <w:pStyle w:val="0"/>
            </w:pPr>
            <w:r>
              <w:rPr>
                <w:sz w:val="24"/>
              </w:rPr>
              <w:t xml:space="preserve">mem-int:GruppaKredKach19Member</w:t>
            </w:r>
          </w:p>
        </w:tc>
      </w:tr>
      <w:tr>
        <w:tc>
          <w:tcPr>
            <w:tcW w:w="907" w:type="dxa"/>
          </w:tcPr>
          <w:p>
            <w:pPr>
              <w:pStyle w:val="0"/>
            </w:pPr>
            <w:r>
              <w:rPr>
                <w:sz w:val="24"/>
              </w:rPr>
              <w:t xml:space="preserve">3.20</w:t>
            </w:r>
          </w:p>
        </w:tc>
        <w:tc>
          <w:tcPr>
            <w:tcW w:w="2608" w:type="dxa"/>
          </w:tcPr>
          <w:p>
            <w:pPr>
              <w:pStyle w:val="0"/>
            </w:pPr>
            <w:r>
              <w:rPr>
                <w:sz w:val="24"/>
              </w:rPr>
            </w:r>
          </w:p>
        </w:tc>
        <w:tc>
          <w:tcPr>
            <w:tcW w:w="2608" w:type="dxa"/>
          </w:tcPr>
          <w:p>
            <w:pPr>
              <w:pStyle w:val="0"/>
            </w:pPr>
            <w:r>
              <w:rPr>
                <w:sz w:val="24"/>
              </w:rPr>
              <w:t xml:space="preserve">20</w:t>
            </w:r>
          </w:p>
        </w:tc>
        <w:tc>
          <w:tcPr>
            <w:tcW w:w="2948" w:type="dxa"/>
          </w:tcPr>
          <w:p>
            <w:pPr>
              <w:pStyle w:val="0"/>
            </w:pPr>
            <w:r>
              <w:rPr>
                <w:sz w:val="24"/>
              </w:rPr>
              <w:t xml:space="preserve">mem-int:GruppaKredKach20Member</w:t>
            </w:r>
          </w:p>
        </w:tc>
      </w:tr>
      <w:tr>
        <w:tc>
          <w:tcPr>
            <w:tcW w:w="907" w:type="dxa"/>
          </w:tcPr>
          <w:p>
            <w:pPr>
              <w:pStyle w:val="0"/>
            </w:pPr>
            <w:r>
              <w:rPr>
                <w:sz w:val="24"/>
              </w:rPr>
              <w:t xml:space="preserve">3.21</w:t>
            </w:r>
          </w:p>
        </w:tc>
        <w:tc>
          <w:tcPr>
            <w:tcW w:w="2608" w:type="dxa"/>
          </w:tcPr>
          <w:p>
            <w:pPr>
              <w:pStyle w:val="0"/>
            </w:pPr>
            <w:r>
              <w:rPr>
                <w:sz w:val="24"/>
              </w:rPr>
            </w:r>
          </w:p>
        </w:tc>
        <w:tc>
          <w:tcPr>
            <w:tcW w:w="2608" w:type="dxa"/>
          </w:tcPr>
          <w:p>
            <w:pPr>
              <w:pStyle w:val="0"/>
            </w:pPr>
            <w:r>
              <w:rPr>
                <w:sz w:val="24"/>
              </w:rPr>
              <w:t xml:space="preserve">21</w:t>
            </w:r>
          </w:p>
        </w:tc>
        <w:tc>
          <w:tcPr>
            <w:tcW w:w="2948" w:type="dxa"/>
          </w:tcPr>
          <w:p>
            <w:pPr>
              <w:pStyle w:val="0"/>
            </w:pPr>
            <w:r>
              <w:rPr>
                <w:sz w:val="24"/>
              </w:rPr>
              <w:t xml:space="preserve">mem-int:GruppaKredKach21Member</w:t>
            </w:r>
          </w:p>
        </w:tc>
      </w:tr>
      <w:tr>
        <w:tc>
          <w:tcPr>
            <w:tcW w:w="907" w:type="dxa"/>
          </w:tcPr>
          <w:p>
            <w:pPr>
              <w:pStyle w:val="0"/>
            </w:pPr>
            <w:r>
              <w:rPr>
                <w:sz w:val="24"/>
              </w:rPr>
              <w:t xml:space="preserve">3.22</w:t>
            </w:r>
          </w:p>
        </w:tc>
        <w:tc>
          <w:tcPr>
            <w:tcW w:w="2608" w:type="dxa"/>
          </w:tcPr>
          <w:p>
            <w:pPr>
              <w:pStyle w:val="0"/>
            </w:pPr>
            <w:r>
              <w:rPr>
                <w:sz w:val="24"/>
              </w:rPr>
            </w:r>
          </w:p>
        </w:tc>
        <w:tc>
          <w:tcPr>
            <w:tcW w:w="2608" w:type="dxa"/>
          </w:tcPr>
          <w:p>
            <w:pPr>
              <w:pStyle w:val="0"/>
            </w:pPr>
            <w:r>
              <w:rPr>
                <w:sz w:val="24"/>
              </w:rPr>
              <w:t xml:space="preserve">22</w:t>
            </w:r>
          </w:p>
        </w:tc>
        <w:tc>
          <w:tcPr>
            <w:tcW w:w="2948" w:type="dxa"/>
          </w:tcPr>
          <w:p>
            <w:pPr>
              <w:pStyle w:val="0"/>
            </w:pPr>
            <w:r>
              <w:rPr>
                <w:sz w:val="24"/>
              </w:rPr>
              <w:t xml:space="preserve">mem-int:GruppaKredKach22Member</w:t>
            </w:r>
          </w:p>
        </w:tc>
      </w:tr>
      <w:tr>
        <w:tc>
          <w:tcPr>
            <w:tcW w:w="907" w:type="dxa"/>
          </w:tcPr>
          <w:p>
            <w:pPr>
              <w:pStyle w:val="0"/>
            </w:pPr>
            <w:r>
              <w:rPr>
                <w:sz w:val="24"/>
              </w:rPr>
              <w:t xml:space="preserve">3.23</w:t>
            </w:r>
          </w:p>
        </w:tc>
        <w:tc>
          <w:tcPr>
            <w:tcW w:w="2608" w:type="dxa"/>
          </w:tcPr>
          <w:p>
            <w:pPr>
              <w:pStyle w:val="0"/>
            </w:pPr>
            <w:r>
              <w:rPr>
                <w:sz w:val="24"/>
              </w:rPr>
            </w:r>
          </w:p>
        </w:tc>
        <w:tc>
          <w:tcPr>
            <w:tcW w:w="2608" w:type="dxa"/>
          </w:tcPr>
          <w:p>
            <w:pPr>
              <w:pStyle w:val="0"/>
            </w:pPr>
            <w:r>
              <w:rPr>
                <w:sz w:val="24"/>
              </w:rPr>
              <w:t xml:space="preserve">23</w:t>
            </w:r>
          </w:p>
        </w:tc>
        <w:tc>
          <w:tcPr>
            <w:tcW w:w="2948" w:type="dxa"/>
          </w:tcPr>
          <w:p>
            <w:pPr>
              <w:pStyle w:val="0"/>
            </w:pPr>
            <w:r>
              <w:rPr>
                <w:sz w:val="24"/>
              </w:rPr>
              <w:t xml:space="preserve">mem-int:GruppaKredKach23Member</w:t>
            </w:r>
          </w:p>
        </w:tc>
      </w:tr>
      <w:tr>
        <w:tc>
          <w:tcPr>
            <w:tcW w:w="907" w:type="dxa"/>
          </w:tcPr>
          <w:p>
            <w:pPr>
              <w:pStyle w:val="0"/>
            </w:pPr>
            <w:r>
              <w:rPr>
                <w:sz w:val="24"/>
              </w:rPr>
              <w:t xml:space="preserve">4</w:t>
            </w:r>
          </w:p>
        </w:tc>
        <w:tc>
          <w:tcPr>
            <w:tcW w:w="2608" w:type="dxa"/>
          </w:tcPr>
          <w:p>
            <w:pPr>
              <w:pStyle w:val="0"/>
            </w:pPr>
            <w:r>
              <w:rPr>
                <w:sz w:val="24"/>
              </w:rPr>
              <w:t xml:space="preserve">Группа связанных со страховщиком лиц</w:t>
            </w:r>
          </w:p>
        </w:tc>
        <w:tc>
          <w:tcPr>
            <w:tcW w:w="2608" w:type="dxa"/>
          </w:tcPr>
          <w:p>
            <w:pPr>
              <w:pStyle w:val="0"/>
            </w:pPr>
            <w:r>
              <w:rPr>
                <w:sz w:val="24"/>
              </w:rPr>
            </w:r>
          </w:p>
        </w:tc>
        <w:tc>
          <w:tcPr>
            <w:tcW w:w="2948" w:type="dxa"/>
          </w:tcPr>
          <w:p>
            <w:pPr>
              <w:pStyle w:val="0"/>
            </w:pPr>
            <w:r>
              <w:rPr>
                <w:sz w:val="24"/>
              </w:rPr>
              <w:t xml:space="preserve">nfo-dic:GrupSvyazLiczEnumerator</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Основное общество группы связанных со страховщиком лиц</w:t>
            </w:r>
          </w:p>
        </w:tc>
        <w:tc>
          <w:tcPr>
            <w:tcW w:w="2948" w:type="dxa"/>
          </w:tcPr>
          <w:p>
            <w:pPr>
              <w:pStyle w:val="0"/>
            </w:pPr>
            <w:r>
              <w:rPr>
                <w:sz w:val="24"/>
              </w:rPr>
              <w:t xml:space="preserve">mem-int:OsnObshhGrSvyazLiczMember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Связанное лицо, кроме основного общества группы</w:t>
            </w:r>
          </w:p>
        </w:tc>
        <w:tc>
          <w:tcPr>
            <w:tcW w:w="2948" w:type="dxa"/>
          </w:tcPr>
          <w:p>
            <w:pPr>
              <w:pStyle w:val="0"/>
            </w:pPr>
            <w:r>
              <w:rPr>
                <w:sz w:val="24"/>
              </w:rPr>
              <w:t xml:space="preserve">mem-int:SvyazLiczKrOsnObshhGrMember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Несвязанное лицо</w:t>
            </w:r>
          </w:p>
        </w:tc>
        <w:tc>
          <w:tcPr>
            <w:tcW w:w="2948" w:type="dxa"/>
          </w:tcPr>
          <w:p>
            <w:pPr>
              <w:pStyle w:val="0"/>
            </w:pPr>
            <w:r>
              <w:rPr>
                <w:sz w:val="24"/>
              </w:rPr>
              <w:t xml:space="preserve">mem-int:NesvyazLicoMember</w:t>
            </w:r>
          </w:p>
        </w:tc>
      </w:tr>
      <w:tr>
        <w:tc>
          <w:tcPr>
            <w:tcW w:w="907" w:type="dxa"/>
          </w:tcPr>
          <w:p>
            <w:pPr>
              <w:pStyle w:val="0"/>
            </w:pPr>
            <w:r>
              <w:rPr>
                <w:sz w:val="24"/>
              </w:rPr>
              <w:t xml:space="preserve">5</w:t>
            </w:r>
          </w:p>
        </w:tc>
        <w:tc>
          <w:tcPr>
            <w:tcW w:w="2608" w:type="dxa"/>
          </w:tcPr>
          <w:p>
            <w:pPr>
              <w:pStyle w:val="0"/>
            </w:pPr>
            <w:r>
              <w:rPr>
                <w:sz w:val="24"/>
              </w:rPr>
              <w:t xml:space="preserve">Категория контрагентов для оценки риска 2</w:t>
            </w:r>
          </w:p>
        </w:tc>
        <w:tc>
          <w:tcPr>
            <w:tcW w:w="2608" w:type="dxa"/>
          </w:tcPr>
          <w:p>
            <w:pPr>
              <w:pStyle w:val="0"/>
            </w:pPr>
            <w:r>
              <w:rPr>
                <w:sz w:val="24"/>
              </w:rPr>
            </w:r>
          </w:p>
        </w:tc>
        <w:tc>
          <w:tcPr>
            <w:tcW w:w="2948" w:type="dxa"/>
          </w:tcPr>
          <w:p>
            <w:pPr>
              <w:pStyle w:val="0"/>
            </w:pPr>
            <w:r>
              <w:rPr>
                <w:sz w:val="24"/>
              </w:rPr>
              <w:t xml:space="preserve">ins-dic:KatK.ontrOczRisk2Enumerator</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1 категория</w:t>
            </w:r>
          </w:p>
        </w:tc>
        <w:tc>
          <w:tcPr>
            <w:tcW w:w="2948" w:type="dxa"/>
          </w:tcPr>
          <w:p>
            <w:pPr>
              <w:pStyle w:val="0"/>
            </w:pPr>
            <w:r>
              <w:rPr>
                <w:sz w:val="24"/>
              </w:rPr>
              <w:t xml:space="preserve">mem-int:Kategor1Member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2 категория</w:t>
            </w:r>
          </w:p>
        </w:tc>
        <w:tc>
          <w:tcPr>
            <w:tcW w:w="2948" w:type="dxa"/>
          </w:tcPr>
          <w:p>
            <w:pPr>
              <w:pStyle w:val="0"/>
            </w:pPr>
            <w:r>
              <w:rPr>
                <w:sz w:val="24"/>
              </w:rPr>
              <w:t xml:space="preserve">mem-int:Kategor2Member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3 категория</w:t>
            </w:r>
          </w:p>
        </w:tc>
        <w:tc>
          <w:tcPr>
            <w:tcW w:w="2948" w:type="dxa"/>
          </w:tcPr>
          <w:p>
            <w:pPr>
              <w:pStyle w:val="0"/>
            </w:pPr>
            <w:r>
              <w:rPr>
                <w:sz w:val="24"/>
              </w:rPr>
              <w:t xml:space="preserve">mem-int:Kategor3Member</w:t>
            </w:r>
          </w:p>
        </w:tc>
      </w:tr>
      <w:tr>
        <w:tc>
          <w:tcPr>
            <w:tcW w:w="907" w:type="dxa"/>
          </w:tcPr>
          <w:p>
            <w:pPr>
              <w:pStyle w:val="0"/>
            </w:pPr>
            <w:r>
              <w:rPr>
                <w:sz w:val="24"/>
              </w:rPr>
              <w:t xml:space="preserve">5.4</w:t>
            </w:r>
          </w:p>
        </w:tc>
        <w:tc>
          <w:tcPr>
            <w:tcW w:w="2608" w:type="dxa"/>
          </w:tcPr>
          <w:p>
            <w:pPr>
              <w:pStyle w:val="0"/>
            </w:pPr>
            <w:r>
              <w:rPr>
                <w:sz w:val="24"/>
              </w:rPr>
            </w:r>
          </w:p>
        </w:tc>
        <w:tc>
          <w:tcPr>
            <w:tcW w:w="2608" w:type="dxa"/>
          </w:tcPr>
          <w:p>
            <w:pPr>
              <w:pStyle w:val="0"/>
            </w:pPr>
            <w:r>
              <w:rPr>
                <w:sz w:val="24"/>
              </w:rPr>
              <w:t xml:space="preserve">4 категория</w:t>
            </w:r>
          </w:p>
        </w:tc>
        <w:tc>
          <w:tcPr>
            <w:tcW w:w="2948" w:type="dxa"/>
          </w:tcPr>
          <w:p>
            <w:pPr>
              <w:pStyle w:val="0"/>
            </w:pPr>
            <w:r>
              <w:rPr>
                <w:sz w:val="24"/>
              </w:rPr>
              <w:t xml:space="preserve">mem-int:Kategor4Member</w:t>
            </w:r>
          </w:p>
        </w:tc>
      </w:tr>
      <w:tr>
        <w:tc>
          <w:tcPr>
            <w:tcW w:w="907" w:type="dxa"/>
          </w:tcPr>
          <w:p>
            <w:pPr>
              <w:pStyle w:val="0"/>
            </w:pPr>
            <w:r>
              <w:rPr>
                <w:sz w:val="24"/>
              </w:rPr>
              <w:t xml:space="preserve">5.5</w:t>
            </w:r>
          </w:p>
        </w:tc>
        <w:tc>
          <w:tcPr>
            <w:tcW w:w="2608" w:type="dxa"/>
          </w:tcPr>
          <w:p>
            <w:pPr>
              <w:pStyle w:val="0"/>
            </w:pPr>
            <w:r>
              <w:rPr>
                <w:sz w:val="24"/>
              </w:rPr>
            </w:r>
          </w:p>
        </w:tc>
        <w:tc>
          <w:tcPr>
            <w:tcW w:w="2608" w:type="dxa"/>
          </w:tcPr>
          <w:p>
            <w:pPr>
              <w:pStyle w:val="0"/>
            </w:pPr>
            <w:r>
              <w:rPr>
                <w:sz w:val="24"/>
              </w:rPr>
              <w:t xml:space="preserve">5 категория</w:t>
            </w:r>
          </w:p>
        </w:tc>
        <w:tc>
          <w:tcPr>
            <w:tcW w:w="2948" w:type="dxa"/>
          </w:tcPr>
          <w:p>
            <w:pPr>
              <w:pStyle w:val="0"/>
            </w:pPr>
            <w:r>
              <w:rPr>
                <w:sz w:val="24"/>
              </w:rPr>
              <w:t xml:space="preserve">mem-int:Kategor5Member</w:t>
            </w:r>
          </w:p>
        </w:tc>
      </w:tr>
      <w:tr>
        <w:tc>
          <w:tcPr>
            <w:tcW w:w="907" w:type="dxa"/>
          </w:tcPr>
          <w:p>
            <w:pPr>
              <w:pStyle w:val="0"/>
            </w:pPr>
            <w:r>
              <w:rPr>
                <w:sz w:val="24"/>
              </w:rPr>
              <w:t xml:space="preserve">5.6</w:t>
            </w:r>
          </w:p>
        </w:tc>
        <w:tc>
          <w:tcPr>
            <w:tcW w:w="2608" w:type="dxa"/>
          </w:tcPr>
          <w:p>
            <w:pPr>
              <w:pStyle w:val="0"/>
            </w:pPr>
            <w:r>
              <w:rPr>
                <w:sz w:val="24"/>
              </w:rPr>
            </w:r>
          </w:p>
        </w:tc>
        <w:tc>
          <w:tcPr>
            <w:tcW w:w="2608" w:type="dxa"/>
          </w:tcPr>
          <w:p>
            <w:pPr>
              <w:pStyle w:val="0"/>
            </w:pPr>
            <w:r>
              <w:rPr>
                <w:sz w:val="24"/>
              </w:rPr>
              <w:t xml:space="preserve">Не участвует в оценке риска 2</w:t>
            </w:r>
          </w:p>
        </w:tc>
        <w:tc>
          <w:tcPr>
            <w:tcW w:w="2948" w:type="dxa"/>
          </w:tcPr>
          <w:p>
            <w:pPr>
              <w:pStyle w:val="0"/>
            </w:pPr>
            <w:r>
              <w:rPr>
                <w:sz w:val="24"/>
              </w:rPr>
              <w:t xml:space="preserve">mem-int:NeUchOczRisk2Member</w:t>
            </w:r>
          </w:p>
        </w:tc>
      </w:tr>
      <w:tr>
        <w:tc>
          <w:tcPr>
            <w:tcW w:w="907" w:type="dxa"/>
          </w:tcPr>
          <w:p>
            <w:pPr>
              <w:pStyle w:val="0"/>
            </w:pPr>
            <w:r>
              <w:rPr>
                <w:sz w:val="24"/>
              </w:rPr>
              <w:t xml:space="preserve">6</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nfo-dic:Kat_SvyazstoronyEnumerator</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6.3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6.4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6.5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6.6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6.7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6.8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r>
        <w:tc>
          <w:tcPr>
            <w:tcW w:w="907" w:type="dxa"/>
          </w:tcPr>
          <w:p>
            <w:pPr>
              <w:pStyle w:val="0"/>
            </w:pPr>
            <w:r>
              <w:rPr>
                <w:sz w:val="24"/>
              </w:rPr>
              <w:t xml:space="preserve">7</w:t>
            </w:r>
          </w:p>
        </w:tc>
        <w:tc>
          <w:tcPr>
            <w:tcW w:w="2608" w:type="dxa"/>
          </w:tcPr>
          <w:p>
            <w:pPr>
              <w:pStyle w:val="0"/>
            </w:pPr>
            <w:r>
              <w:rPr>
                <w:sz w:val="24"/>
              </w:rPr>
              <w:t xml:space="preserve">Является лицом, в отношении которого введена процедура банкротства или у которого отозвана (аннулирована) лицензия, либо лицом, не исполнившим в срок и в полном объеме обязательство</w:t>
            </w:r>
          </w:p>
        </w:tc>
        <w:tc>
          <w:tcPr>
            <w:tcW w:w="2608" w:type="dxa"/>
          </w:tcPr>
          <w:p>
            <w:pPr>
              <w:pStyle w:val="0"/>
            </w:pPr>
            <w:r>
              <w:rPr>
                <w:sz w:val="24"/>
              </w:rPr>
            </w:r>
          </w:p>
        </w:tc>
        <w:tc>
          <w:tcPr>
            <w:tcW w:w="2948" w:type="dxa"/>
          </w:tcPr>
          <w:p>
            <w:pPr>
              <w:pStyle w:val="0"/>
            </w:pPr>
            <w:r>
              <w:rPr>
                <w:sz w:val="24"/>
              </w:rPr>
              <w:t xml:space="preserve">ins-dic:SootvPunkt3114710PEnumerator</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8</w:t>
            </w:r>
          </w:p>
        </w:tc>
        <w:tc>
          <w:tcPr>
            <w:tcW w:w="2608" w:type="dxa"/>
          </w:tcPr>
          <w:p>
            <w:pPr>
              <w:pStyle w:val="0"/>
            </w:pPr>
            <w:r>
              <w:rPr>
                <w:sz w:val="24"/>
              </w:rPr>
              <w:t xml:space="preserve">Относится к учреждению санаторно-курортного профиля</w:t>
            </w:r>
          </w:p>
        </w:tc>
        <w:tc>
          <w:tcPr>
            <w:tcW w:w="2608" w:type="dxa"/>
          </w:tcPr>
          <w:p>
            <w:pPr>
              <w:pStyle w:val="0"/>
            </w:pPr>
            <w:r>
              <w:rPr>
                <w:sz w:val="24"/>
              </w:rPr>
            </w:r>
          </w:p>
        </w:tc>
        <w:tc>
          <w:tcPr>
            <w:tcW w:w="2948" w:type="dxa"/>
          </w:tcPr>
          <w:p>
            <w:pPr>
              <w:pStyle w:val="0"/>
            </w:pPr>
            <w:r>
              <w:rPr>
                <w:sz w:val="24"/>
              </w:rPr>
              <w:t xml:space="preserve">nfo-dic:SanKurortEnumerator</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9</w:t>
            </w:r>
          </w:p>
        </w:tc>
        <w:tc>
          <w:tcPr>
            <w:tcW w:w="2608" w:type="dxa"/>
          </w:tcPr>
          <w:p>
            <w:pPr>
              <w:pStyle w:val="0"/>
            </w:pPr>
            <w:r>
              <w:rPr>
                <w:sz w:val="24"/>
              </w:rPr>
              <w:t xml:space="preserve">Относится к синдикатам Ллойда</w:t>
            </w:r>
          </w:p>
        </w:tc>
        <w:tc>
          <w:tcPr>
            <w:tcW w:w="2608" w:type="dxa"/>
          </w:tcPr>
          <w:p>
            <w:pPr>
              <w:pStyle w:val="0"/>
            </w:pPr>
            <w:r>
              <w:rPr>
                <w:sz w:val="24"/>
              </w:rPr>
            </w:r>
          </w:p>
        </w:tc>
        <w:tc>
          <w:tcPr>
            <w:tcW w:w="2948" w:type="dxa"/>
          </w:tcPr>
          <w:p>
            <w:pPr>
              <w:pStyle w:val="0"/>
            </w:pPr>
            <w:r>
              <w:rPr>
                <w:sz w:val="24"/>
              </w:rPr>
              <w:t xml:space="preserve">ins-dic:SindLloydEnumerator</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10</w:t>
            </w:r>
          </w:p>
        </w:tc>
        <w:tc>
          <w:tcPr>
            <w:tcW w:w="2608" w:type="dxa"/>
          </w:tcPr>
          <w:p>
            <w:pPr>
              <w:pStyle w:val="0"/>
            </w:pPr>
            <w:r>
              <w:rPr>
                <w:sz w:val="24"/>
              </w:rPr>
              <w:t xml:space="preserve">Тип посредника по заключению договоров страхования</w:t>
            </w:r>
          </w:p>
        </w:tc>
        <w:tc>
          <w:tcPr>
            <w:tcW w:w="2608" w:type="dxa"/>
          </w:tcPr>
          <w:p>
            <w:pPr>
              <w:pStyle w:val="0"/>
            </w:pPr>
            <w:r>
              <w:rPr>
                <w:sz w:val="24"/>
              </w:rPr>
            </w:r>
          </w:p>
        </w:tc>
        <w:tc>
          <w:tcPr>
            <w:tcW w:w="2948" w:type="dxa"/>
          </w:tcPr>
          <w:p>
            <w:pPr>
              <w:pStyle w:val="0"/>
            </w:pPr>
            <w:r>
              <w:rPr>
                <w:sz w:val="24"/>
              </w:rPr>
              <w:t xml:space="preserve">ins-dic:Tip_PosredEnumerator</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Страховые организации</w:t>
            </w:r>
          </w:p>
        </w:tc>
        <w:tc>
          <w:tcPr>
            <w:tcW w:w="2948" w:type="dxa"/>
          </w:tcPr>
          <w:p>
            <w:pPr>
              <w:pStyle w:val="0"/>
            </w:pPr>
            <w:r>
              <w:rPr>
                <w:sz w:val="24"/>
              </w:rPr>
              <w:t xml:space="preserve">mem-int:SoMember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Страховые брокеры</w:t>
            </w:r>
          </w:p>
        </w:tc>
        <w:tc>
          <w:tcPr>
            <w:tcW w:w="2948" w:type="dxa"/>
          </w:tcPr>
          <w:p>
            <w:pPr>
              <w:pStyle w:val="0"/>
            </w:pPr>
            <w:r>
              <w:rPr>
                <w:sz w:val="24"/>
              </w:rPr>
              <w:t xml:space="preserve">mem-int:StraxbrokerMember</w:t>
            </w:r>
          </w:p>
        </w:tc>
      </w:tr>
      <w:tr>
        <w:tc>
          <w:tcPr>
            <w:tcW w:w="907" w:type="dxa"/>
          </w:tcPr>
          <w:p>
            <w:pPr>
              <w:pStyle w:val="0"/>
            </w:pPr>
            <w:r>
              <w:rPr>
                <w:sz w:val="24"/>
              </w:rPr>
              <w:t xml:space="preserve">10.3</w:t>
            </w:r>
          </w:p>
        </w:tc>
        <w:tc>
          <w:tcPr>
            <w:tcW w:w="2608" w:type="dxa"/>
          </w:tcPr>
          <w:p>
            <w:pPr>
              <w:pStyle w:val="0"/>
            </w:pPr>
            <w:r>
              <w:rPr>
                <w:sz w:val="24"/>
              </w:rPr>
            </w:r>
          </w:p>
        </w:tc>
        <w:tc>
          <w:tcPr>
            <w:tcW w:w="2608" w:type="dxa"/>
          </w:tcPr>
          <w:p>
            <w:pPr>
              <w:pStyle w:val="0"/>
            </w:pPr>
            <w:r>
              <w:rPr>
                <w:sz w:val="24"/>
              </w:rPr>
              <w:t xml:space="preserve">Кредитные организации</w:t>
            </w:r>
          </w:p>
        </w:tc>
        <w:tc>
          <w:tcPr>
            <w:tcW w:w="2948" w:type="dxa"/>
          </w:tcPr>
          <w:p>
            <w:pPr>
              <w:pStyle w:val="0"/>
            </w:pPr>
            <w:r>
              <w:rPr>
                <w:sz w:val="24"/>
              </w:rPr>
              <w:t xml:space="preserve">mem-int:KOMember</w:t>
            </w:r>
          </w:p>
        </w:tc>
      </w:tr>
      <w:tr>
        <w:tc>
          <w:tcPr>
            <w:tcW w:w="907" w:type="dxa"/>
          </w:tcPr>
          <w:p>
            <w:pPr>
              <w:pStyle w:val="0"/>
            </w:pPr>
            <w:r>
              <w:rPr>
                <w:sz w:val="24"/>
              </w:rPr>
              <w:t xml:space="preserve">10.4</w:t>
            </w:r>
          </w:p>
        </w:tc>
        <w:tc>
          <w:tcPr>
            <w:tcW w:w="2608" w:type="dxa"/>
          </w:tcPr>
          <w:p>
            <w:pPr>
              <w:pStyle w:val="0"/>
            </w:pPr>
            <w:r>
              <w:rPr>
                <w:sz w:val="24"/>
              </w:rPr>
            </w:r>
          </w:p>
        </w:tc>
        <w:tc>
          <w:tcPr>
            <w:tcW w:w="2608" w:type="dxa"/>
          </w:tcPr>
          <w:p>
            <w:pPr>
              <w:pStyle w:val="0"/>
            </w:pPr>
            <w:r>
              <w:rPr>
                <w:sz w:val="24"/>
              </w:rPr>
              <w:t xml:space="preserve">Организации, осуществляющие деятельность по торговле транспортными средствами, а также их техническое обслуживание и ремонт</w:t>
            </w:r>
          </w:p>
        </w:tc>
        <w:tc>
          <w:tcPr>
            <w:tcW w:w="2948" w:type="dxa"/>
          </w:tcPr>
          <w:p>
            <w:pPr>
              <w:pStyle w:val="0"/>
            </w:pPr>
            <w:r>
              <w:rPr>
                <w:sz w:val="24"/>
              </w:rPr>
              <w:t xml:space="preserve">mem-int:Org_TsMember</w:t>
            </w:r>
          </w:p>
        </w:tc>
      </w:tr>
      <w:tr>
        <w:tc>
          <w:tcPr>
            <w:tcW w:w="907" w:type="dxa"/>
          </w:tcPr>
          <w:p>
            <w:pPr>
              <w:pStyle w:val="0"/>
            </w:pPr>
            <w:r>
              <w:rPr>
                <w:sz w:val="24"/>
              </w:rPr>
              <w:t xml:space="preserve">10.5</w:t>
            </w:r>
          </w:p>
        </w:tc>
        <w:tc>
          <w:tcPr>
            <w:tcW w:w="2608" w:type="dxa"/>
          </w:tcPr>
          <w:p>
            <w:pPr>
              <w:pStyle w:val="0"/>
            </w:pPr>
            <w:r>
              <w:rPr>
                <w:sz w:val="24"/>
              </w:rPr>
            </w:r>
          </w:p>
        </w:tc>
        <w:tc>
          <w:tcPr>
            <w:tcW w:w="2608" w:type="dxa"/>
          </w:tcPr>
          <w:p>
            <w:pPr>
              <w:pStyle w:val="0"/>
            </w:pPr>
            <w:r>
              <w:rPr>
                <w:sz w:val="24"/>
              </w:rPr>
              <w:t xml:space="preserve">Туроператоры, турагентства</w:t>
            </w:r>
          </w:p>
        </w:tc>
        <w:tc>
          <w:tcPr>
            <w:tcW w:w="2948" w:type="dxa"/>
          </w:tcPr>
          <w:p>
            <w:pPr>
              <w:pStyle w:val="0"/>
            </w:pPr>
            <w:r>
              <w:rPr>
                <w:sz w:val="24"/>
              </w:rPr>
              <w:t xml:space="preserve">mem-int:Turop_Turag_Member</w:t>
            </w:r>
          </w:p>
        </w:tc>
      </w:tr>
      <w:tr>
        <w:tc>
          <w:tcPr>
            <w:tcW w:w="907" w:type="dxa"/>
          </w:tcPr>
          <w:p>
            <w:pPr>
              <w:pStyle w:val="0"/>
            </w:pPr>
            <w:r>
              <w:rPr>
                <w:sz w:val="24"/>
              </w:rPr>
              <w:t xml:space="preserve">10.6</w:t>
            </w:r>
          </w:p>
        </w:tc>
        <w:tc>
          <w:tcPr>
            <w:tcW w:w="2608" w:type="dxa"/>
          </w:tcPr>
          <w:p>
            <w:pPr>
              <w:pStyle w:val="0"/>
            </w:pPr>
            <w:r>
              <w:rPr>
                <w:sz w:val="24"/>
              </w:rPr>
            </w:r>
          </w:p>
        </w:tc>
        <w:tc>
          <w:tcPr>
            <w:tcW w:w="2608" w:type="dxa"/>
          </w:tcPr>
          <w:p>
            <w:pPr>
              <w:pStyle w:val="0"/>
            </w:pPr>
            <w:r>
              <w:rPr>
                <w:sz w:val="24"/>
              </w:rPr>
              <w:t xml:space="preserve">Объекты почтовой связи</w:t>
            </w:r>
          </w:p>
        </w:tc>
        <w:tc>
          <w:tcPr>
            <w:tcW w:w="2948" w:type="dxa"/>
          </w:tcPr>
          <w:p>
            <w:pPr>
              <w:pStyle w:val="0"/>
            </w:pPr>
            <w:r>
              <w:rPr>
                <w:sz w:val="24"/>
              </w:rPr>
              <w:t xml:space="preserve">mem-int:Obekty_Pocht_SvyaziMember</w:t>
            </w:r>
          </w:p>
        </w:tc>
      </w:tr>
      <w:tr>
        <w:tc>
          <w:tcPr>
            <w:tcW w:w="907" w:type="dxa"/>
          </w:tcPr>
          <w:p>
            <w:pPr>
              <w:pStyle w:val="0"/>
            </w:pPr>
            <w:r>
              <w:rPr>
                <w:sz w:val="24"/>
              </w:rPr>
              <w:t xml:space="preserve">10.7</w:t>
            </w:r>
          </w:p>
        </w:tc>
        <w:tc>
          <w:tcPr>
            <w:tcW w:w="2608" w:type="dxa"/>
          </w:tcPr>
          <w:p>
            <w:pPr>
              <w:pStyle w:val="0"/>
            </w:pPr>
            <w:r>
              <w:rPr>
                <w:sz w:val="24"/>
              </w:rPr>
            </w:r>
          </w:p>
        </w:tc>
        <w:tc>
          <w:tcPr>
            <w:tcW w:w="2608" w:type="dxa"/>
          </w:tcPr>
          <w:p>
            <w:pPr>
              <w:pStyle w:val="0"/>
            </w:pPr>
            <w:r>
              <w:rPr>
                <w:sz w:val="24"/>
              </w:rPr>
              <w:t xml:space="preserve">Медицинские организации</w:t>
            </w:r>
          </w:p>
        </w:tc>
        <w:tc>
          <w:tcPr>
            <w:tcW w:w="2948" w:type="dxa"/>
          </w:tcPr>
          <w:p>
            <w:pPr>
              <w:pStyle w:val="0"/>
            </w:pPr>
            <w:r>
              <w:rPr>
                <w:sz w:val="24"/>
              </w:rPr>
              <w:t xml:space="preserve">mem-int:Med_Org_Member</w:t>
            </w:r>
          </w:p>
        </w:tc>
      </w:tr>
      <w:tr>
        <w:tc>
          <w:tcPr>
            <w:tcW w:w="907" w:type="dxa"/>
          </w:tcPr>
          <w:p>
            <w:pPr>
              <w:pStyle w:val="0"/>
            </w:pPr>
            <w:r>
              <w:rPr>
                <w:sz w:val="24"/>
              </w:rPr>
              <w:t xml:space="preserve">10.8</w:t>
            </w:r>
          </w:p>
        </w:tc>
        <w:tc>
          <w:tcPr>
            <w:tcW w:w="2608" w:type="dxa"/>
          </w:tcPr>
          <w:p>
            <w:pPr>
              <w:pStyle w:val="0"/>
            </w:pPr>
            <w:r>
              <w:rPr>
                <w:sz w:val="24"/>
              </w:rPr>
            </w:r>
          </w:p>
        </w:tc>
        <w:tc>
          <w:tcPr>
            <w:tcW w:w="2608" w:type="dxa"/>
          </w:tcPr>
          <w:p>
            <w:pPr>
              <w:pStyle w:val="0"/>
            </w:pPr>
            <w:r>
              <w:rPr>
                <w:sz w:val="24"/>
              </w:rPr>
              <w:t xml:space="preserve">Лизинговые компании</w:t>
            </w:r>
          </w:p>
        </w:tc>
        <w:tc>
          <w:tcPr>
            <w:tcW w:w="2948" w:type="dxa"/>
          </w:tcPr>
          <w:p>
            <w:pPr>
              <w:pStyle w:val="0"/>
            </w:pPr>
            <w:r>
              <w:rPr>
                <w:sz w:val="24"/>
              </w:rPr>
              <w:t xml:space="preserve">mem-int:Liz_Komp_Member</w:t>
            </w:r>
          </w:p>
        </w:tc>
      </w:tr>
      <w:tr>
        <w:tc>
          <w:tcPr>
            <w:tcW w:w="907" w:type="dxa"/>
          </w:tcPr>
          <w:p>
            <w:pPr>
              <w:pStyle w:val="0"/>
            </w:pPr>
            <w:r>
              <w:rPr>
                <w:sz w:val="24"/>
              </w:rPr>
              <w:t xml:space="preserve">10.9</w:t>
            </w:r>
          </w:p>
        </w:tc>
        <w:tc>
          <w:tcPr>
            <w:tcW w:w="2608" w:type="dxa"/>
          </w:tcPr>
          <w:p>
            <w:pPr>
              <w:pStyle w:val="0"/>
            </w:pPr>
            <w:r>
              <w:rPr>
                <w:sz w:val="24"/>
              </w:rPr>
            </w:r>
          </w:p>
        </w:tc>
        <w:tc>
          <w:tcPr>
            <w:tcW w:w="2608" w:type="dxa"/>
          </w:tcPr>
          <w:p>
            <w:pPr>
              <w:pStyle w:val="0"/>
            </w:pPr>
            <w:r>
              <w:rPr>
                <w:sz w:val="24"/>
              </w:rPr>
              <w:t xml:space="preserve">Юридические лица, основным видом экономической деятельности которых является деятельность страховых агентов</w:t>
            </w:r>
          </w:p>
        </w:tc>
        <w:tc>
          <w:tcPr>
            <w:tcW w:w="2948" w:type="dxa"/>
          </w:tcPr>
          <w:p>
            <w:pPr>
              <w:pStyle w:val="0"/>
            </w:pPr>
            <w:r>
              <w:rPr>
                <w:sz w:val="24"/>
              </w:rPr>
              <w:t xml:space="preserve">mem-int:Yul_Strax_Agent_Member</w:t>
            </w:r>
          </w:p>
        </w:tc>
      </w:tr>
      <w:tr>
        <w:tc>
          <w:tcPr>
            <w:tcW w:w="907" w:type="dxa"/>
          </w:tcPr>
          <w:p>
            <w:pPr>
              <w:pStyle w:val="0"/>
            </w:pPr>
            <w:r>
              <w:rPr>
                <w:sz w:val="24"/>
              </w:rPr>
              <w:t xml:space="preserve">10.10</w:t>
            </w:r>
          </w:p>
        </w:tc>
        <w:tc>
          <w:tcPr>
            <w:tcW w:w="2608" w:type="dxa"/>
          </w:tcPr>
          <w:p>
            <w:pPr>
              <w:pStyle w:val="0"/>
            </w:pPr>
            <w:r>
              <w:rPr>
                <w:sz w:val="24"/>
              </w:rPr>
            </w:r>
          </w:p>
        </w:tc>
        <w:tc>
          <w:tcPr>
            <w:tcW w:w="2608" w:type="dxa"/>
          </w:tcPr>
          <w:p>
            <w:pPr>
              <w:pStyle w:val="0"/>
            </w:pPr>
            <w:r>
              <w:rPr>
                <w:sz w:val="24"/>
              </w:rPr>
              <w:t xml:space="preserve">Другие юридические лица</w:t>
            </w:r>
          </w:p>
        </w:tc>
        <w:tc>
          <w:tcPr>
            <w:tcW w:w="2948" w:type="dxa"/>
          </w:tcPr>
          <w:p>
            <w:pPr>
              <w:pStyle w:val="0"/>
            </w:pPr>
            <w:r>
              <w:rPr>
                <w:sz w:val="24"/>
              </w:rPr>
              <w:t xml:space="preserve">mem-int:Drugie_Yul_Member</w:t>
            </w:r>
          </w:p>
        </w:tc>
      </w:tr>
      <w:tr>
        <w:tc>
          <w:tcPr>
            <w:tcW w:w="907" w:type="dxa"/>
          </w:tcPr>
          <w:p>
            <w:pPr>
              <w:pStyle w:val="0"/>
            </w:pPr>
            <w:r>
              <w:rPr>
                <w:sz w:val="24"/>
              </w:rPr>
              <w:t xml:space="preserve">11</w:t>
            </w:r>
          </w:p>
        </w:tc>
        <w:tc>
          <w:tcPr>
            <w:tcW w:w="2608" w:type="dxa"/>
          </w:tcPr>
          <w:p>
            <w:pPr>
              <w:pStyle w:val="0"/>
            </w:pPr>
            <w:r>
              <w:rPr>
                <w:sz w:val="24"/>
              </w:rPr>
              <w:t xml:space="preserve">Является перестраховщиком, которому передано в перестрахование обязательство по страховой выплате</w:t>
            </w:r>
          </w:p>
        </w:tc>
        <w:tc>
          <w:tcPr>
            <w:tcW w:w="2608" w:type="dxa"/>
          </w:tcPr>
          <w:p>
            <w:pPr>
              <w:pStyle w:val="0"/>
            </w:pPr>
            <w:r>
              <w:rPr>
                <w:sz w:val="24"/>
              </w:rPr>
            </w:r>
          </w:p>
        </w:tc>
        <w:tc>
          <w:tcPr>
            <w:tcW w:w="2948" w:type="dxa"/>
          </w:tcPr>
          <w:p>
            <w:pPr>
              <w:pStyle w:val="0"/>
            </w:pPr>
            <w:r>
              <w:rPr>
                <w:sz w:val="24"/>
              </w:rPr>
              <w:t xml:space="preserve">ins-dic:PskPerObyazPoStrVypEnumerator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t xml:space="preserve">Является участником договора сострахования, перестраховочного пула или ассоциации, если такой договор или условия участия предполагают солидарную или субсидиарную ответственность</w:t>
            </w:r>
          </w:p>
        </w:tc>
        <w:tc>
          <w:tcPr>
            <w:tcW w:w="2608" w:type="dxa"/>
          </w:tcPr>
          <w:p>
            <w:pPr>
              <w:pStyle w:val="0"/>
            </w:pPr>
            <w:r>
              <w:rPr>
                <w:sz w:val="24"/>
              </w:rPr>
            </w:r>
          </w:p>
        </w:tc>
        <w:tc>
          <w:tcPr>
            <w:tcW w:w="2948" w:type="dxa"/>
          </w:tcPr>
          <w:p>
            <w:pPr>
              <w:pStyle w:val="0"/>
            </w:pPr>
            <w:r>
              <w:rPr>
                <w:sz w:val="24"/>
              </w:rPr>
              <w:t xml:space="preserve">ins-dic:YAvlUchDogSostrPerPulaUslUchSolidIliSubsOtvEnumerator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bl>
    <w:p>
      <w:pPr>
        <w:pStyle w:val="0"/>
        <w:ind w:firstLine="540"/>
        <w:jc w:val="both"/>
      </w:pPr>
      <w:r>
        <w:rPr>
          <w:sz w:val="24"/>
        </w:rPr>
      </w:r>
    </w:p>
    <w:p>
      <w:pPr>
        <w:pStyle w:val="0"/>
        <w:outlineLvl w:val="2"/>
        <w:jc w:val="both"/>
      </w:pPr>
      <w:r>
        <w:rPr>
          <w:sz w:val="24"/>
        </w:rPr>
        <w:t xml:space="preserve">Раздел 2. Отчетность по </w:t>
      </w:r>
      <w:hyperlink w:history="0" w:anchor="P1001" w:tooltip="Отчетность по форме 0420151">
        <w:r>
          <w:rPr>
            <w:sz w:val="24"/>
            <w:color w:val="0000ff"/>
          </w:rPr>
          <w:t xml:space="preserve">форме 0420151</w:t>
        </w:r>
      </w:hyperlink>
      <w:r>
        <w:rPr>
          <w:sz w:val="24"/>
        </w:rPr>
        <w:t xml:space="preserve"> "Сведения об обособленных подразделениях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обособленного подразделения</w:t>
            </w:r>
          </w:p>
        </w:tc>
        <w:tc>
          <w:tcPr>
            <w:tcW w:w="2608" w:type="dxa"/>
          </w:tcPr>
          <w:p>
            <w:pPr>
              <w:pStyle w:val="0"/>
            </w:pPr>
            <w:r>
              <w:rPr>
                <w:sz w:val="24"/>
              </w:rPr>
            </w:r>
          </w:p>
        </w:tc>
        <w:tc>
          <w:tcPr>
            <w:tcW w:w="2948" w:type="dxa"/>
          </w:tcPr>
          <w:p>
            <w:pPr>
              <w:pStyle w:val="0"/>
            </w:pPr>
            <w:r>
              <w:rPr>
                <w:sz w:val="24"/>
              </w:rPr>
              <w:t xml:space="preserve">nfo-dic:Vid_Obosobpodrazd_Enumerator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Филиал</w:t>
            </w:r>
          </w:p>
        </w:tc>
        <w:tc>
          <w:tcPr>
            <w:tcW w:w="2948" w:type="dxa"/>
          </w:tcPr>
          <w:p>
            <w:pPr>
              <w:pStyle w:val="0"/>
            </w:pPr>
            <w:r>
              <w:rPr>
                <w:sz w:val="24"/>
              </w:rPr>
              <w:t xml:space="preserve">mem-int:FilialMember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Представительство</w:t>
            </w:r>
          </w:p>
        </w:tc>
        <w:tc>
          <w:tcPr>
            <w:tcW w:w="2948" w:type="dxa"/>
          </w:tcPr>
          <w:p>
            <w:pPr>
              <w:pStyle w:val="0"/>
            </w:pPr>
            <w:r>
              <w:rPr>
                <w:sz w:val="24"/>
              </w:rPr>
              <w:t xml:space="preserve">mem-int:PredstavitelstvoMember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Иное</w:t>
            </w:r>
          </w:p>
        </w:tc>
        <w:tc>
          <w:tcPr>
            <w:tcW w:w="2948" w:type="dxa"/>
          </w:tcPr>
          <w:p>
            <w:pPr>
              <w:pStyle w:val="0"/>
            </w:pPr>
            <w:r>
              <w:rPr>
                <w:sz w:val="24"/>
              </w:rPr>
              <w:t xml:space="preserve">mem-int:Inoe_Member</w:t>
            </w:r>
          </w:p>
        </w:tc>
      </w:tr>
      <w:tr>
        <w:tc>
          <w:tcPr>
            <w:tcW w:w="907" w:type="dxa"/>
          </w:tcPr>
          <w:p>
            <w:pPr>
              <w:pStyle w:val="0"/>
            </w:pPr>
            <w:r>
              <w:rPr>
                <w:sz w:val="24"/>
              </w:rPr>
              <w:t xml:space="preserve">2</w:t>
            </w:r>
          </w:p>
        </w:tc>
        <w:tc>
          <w:tcPr>
            <w:tcW w:w="2608" w:type="dxa"/>
          </w:tcPr>
          <w:p>
            <w:pPr>
              <w:pStyle w:val="0"/>
            </w:pPr>
            <w:r>
              <w:rPr>
                <w:sz w:val="24"/>
              </w:rPr>
              <w:t xml:space="preserve">Информация об изменениях</w:t>
            </w:r>
          </w:p>
        </w:tc>
        <w:tc>
          <w:tcPr>
            <w:tcW w:w="2608" w:type="dxa"/>
          </w:tcPr>
          <w:p>
            <w:pPr>
              <w:pStyle w:val="0"/>
            </w:pPr>
            <w:r>
              <w:rPr>
                <w:sz w:val="24"/>
              </w:rPr>
            </w:r>
          </w:p>
        </w:tc>
        <w:tc>
          <w:tcPr>
            <w:tcW w:w="2948" w:type="dxa"/>
          </w:tcPr>
          <w:p>
            <w:pPr>
              <w:pStyle w:val="0"/>
            </w:pPr>
            <w:r>
              <w:rPr>
                <w:sz w:val="24"/>
              </w:rPr>
              <w:t xml:space="preserve">ins-dic:InformacziyaobizmeneniyaxEnumerator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Предоставление страховых услуг физическим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ins-dic:PredostavlenieUslugFizLitsamEnumerator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r>
        <w:tc>
          <w:tcPr>
            <w:tcW w:w="907" w:type="dxa"/>
          </w:tcPr>
          <w:p>
            <w:pPr>
              <w:pStyle w:val="0"/>
            </w:pPr>
            <w:r>
              <w:rPr>
                <w:sz w:val="24"/>
              </w:rPr>
              <w:t xml:space="preserve">4</w:t>
            </w:r>
          </w:p>
        </w:tc>
        <w:tc>
          <w:tcPr>
            <w:tcW w:w="2608" w:type="dxa"/>
          </w:tcPr>
          <w:p>
            <w:pPr>
              <w:pStyle w:val="0"/>
            </w:pPr>
            <w:r>
              <w:rPr>
                <w:sz w:val="24"/>
              </w:rPr>
              <w:t xml:space="preserve">Предоставление страховых услуг юридическим лицам по месту нахождения</w:t>
            </w:r>
          </w:p>
        </w:tc>
        <w:tc>
          <w:tcPr>
            <w:tcW w:w="2608" w:type="dxa"/>
          </w:tcPr>
          <w:p>
            <w:pPr>
              <w:pStyle w:val="0"/>
            </w:pPr>
            <w:r>
              <w:rPr>
                <w:sz w:val="24"/>
              </w:rPr>
            </w:r>
          </w:p>
        </w:tc>
        <w:tc>
          <w:tcPr>
            <w:tcW w:w="2948" w:type="dxa"/>
          </w:tcPr>
          <w:p>
            <w:pPr>
              <w:pStyle w:val="0"/>
            </w:pPr>
            <w:r>
              <w:rPr>
                <w:sz w:val="24"/>
              </w:rPr>
              <w:t xml:space="preserve">ins-dic:PredostavlenieUslugYurLitsamEnumerator</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0</w:t>
            </w:r>
          </w:p>
        </w:tc>
        <w:tc>
          <w:tcPr>
            <w:tcW w:w="2948" w:type="dxa"/>
          </w:tcPr>
          <w:p>
            <w:pPr>
              <w:pStyle w:val="0"/>
            </w:pPr>
            <w:r>
              <w:rPr>
                <w:sz w:val="24"/>
              </w:rPr>
              <w:t xml:space="preserve">mem-int:p0_Member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mem-int:p1_mMember</w:t>
            </w:r>
          </w:p>
        </w:tc>
      </w:tr>
    </w:tbl>
    <w:p>
      <w:pPr>
        <w:pStyle w:val="0"/>
        <w:ind w:firstLine="540"/>
        <w:jc w:val="both"/>
      </w:pPr>
      <w:r>
        <w:rPr>
          <w:sz w:val="24"/>
        </w:rPr>
      </w:r>
    </w:p>
    <w:p>
      <w:pPr>
        <w:pStyle w:val="0"/>
        <w:outlineLvl w:val="2"/>
        <w:jc w:val="both"/>
      </w:pPr>
      <w:r>
        <w:rPr>
          <w:sz w:val="24"/>
        </w:rPr>
        <w:t xml:space="preserve">Раздел 3. Отчетность по </w:t>
      </w:r>
      <w:hyperlink w:history="0" w:anchor="P1468" w:tooltip="Отчетность по форме 0420152">
        <w:r>
          <w:rPr>
            <w:sz w:val="24"/>
            <w:color w:val="0000ff"/>
          </w:rPr>
          <w:t xml:space="preserve">форме 0420152</w:t>
        </w:r>
      </w:hyperlink>
      <w:r>
        <w:rPr>
          <w:sz w:val="24"/>
        </w:rPr>
        <w:t xml:space="preserve"> "Отчет об акционерах (участниках) и сведения об аффилированных лицах страховой организации"</w:t>
      </w:r>
    </w:p>
    <w:p>
      <w:pPr>
        <w:pStyle w:val="0"/>
        <w:ind w:firstLine="540"/>
        <w:jc w:val="both"/>
      </w:pPr>
      <w:r>
        <w:rPr>
          <w:sz w:val="24"/>
        </w:rPr>
      </w:r>
    </w:p>
    <w:p>
      <w:pPr>
        <w:pStyle w:val="0"/>
        <w:outlineLvl w:val="3"/>
        <w:jc w:val="both"/>
      </w:pPr>
      <w:r>
        <w:rPr>
          <w:sz w:val="24"/>
        </w:rPr>
        <w:t xml:space="preserve">Подраздел 3.1. </w:t>
      </w:r>
      <w:hyperlink w:history="0" w:anchor="P1555" w:tooltip="Раздел 2. Сведения об аффилированных лицах">
        <w:r>
          <w:rPr>
            <w:sz w:val="24"/>
            <w:color w:val="0000ff"/>
          </w:rPr>
          <w:t xml:space="preserve">Раздел 2</w:t>
        </w:r>
      </w:hyperlink>
      <w:r>
        <w:rPr>
          <w:sz w:val="24"/>
        </w:rPr>
        <w:t xml:space="preserve"> "Сведения об аффилированных лицах"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A1-1</w:t>
            </w:r>
          </w:p>
        </w:tc>
        <w:tc>
          <w:tcPr>
            <w:tcW w:w="2608" w:type="dxa"/>
          </w:tcPr>
          <w:p>
            <w:pPr>
              <w:pStyle w:val="0"/>
            </w:pPr>
            <w:r>
              <w:rPr>
                <w:sz w:val="24"/>
              </w:rPr>
            </w:r>
          </w:p>
        </w:tc>
        <w:tc>
          <w:tcPr>
            <w:tcW w:w="2948" w:type="dxa"/>
          </w:tcPr>
          <w:p>
            <w:pPr>
              <w:pStyle w:val="0"/>
            </w:pPr>
            <w:r>
              <w:rPr>
                <w:sz w:val="24"/>
              </w:rPr>
              <w:t xml:space="preserve">nfo-dic:Osnovanie_Aff_A1_1Enumerator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w:t>
            </w:r>
          </w:p>
        </w:tc>
        <w:tc>
          <w:tcPr>
            <w:tcW w:w="2608" w:type="dxa"/>
          </w:tcPr>
          <w:p>
            <w:pPr>
              <w:pStyle w:val="0"/>
            </w:pPr>
            <w:r>
              <w:rPr>
                <w:sz w:val="24"/>
              </w:rPr>
              <w:t xml:space="preserve">A1-2</w:t>
            </w:r>
          </w:p>
        </w:tc>
        <w:tc>
          <w:tcPr>
            <w:tcW w:w="2608" w:type="dxa"/>
          </w:tcPr>
          <w:p>
            <w:pPr>
              <w:pStyle w:val="0"/>
            </w:pPr>
            <w:r>
              <w:rPr>
                <w:sz w:val="24"/>
              </w:rPr>
            </w:r>
          </w:p>
        </w:tc>
        <w:tc>
          <w:tcPr>
            <w:tcW w:w="2948" w:type="dxa"/>
          </w:tcPr>
          <w:p>
            <w:pPr>
              <w:pStyle w:val="0"/>
            </w:pPr>
            <w:r>
              <w:rPr>
                <w:sz w:val="24"/>
              </w:rPr>
              <w:t xml:space="preserve">nfo-dic:Osnovanie_Aff_A1_2Enumerator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w:t>
            </w:r>
          </w:p>
        </w:tc>
        <w:tc>
          <w:tcPr>
            <w:tcW w:w="2608" w:type="dxa"/>
          </w:tcPr>
          <w:p>
            <w:pPr>
              <w:pStyle w:val="0"/>
            </w:pPr>
            <w:r>
              <w:rPr>
                <w:sz w:val="24"/>
              </w:rPr>
              <w:t xml:space="preserve">A1-3</w:t>
            </w:r>
          </w:p>
        </w:tc>
        <w:tc>
          <w:tcPr>
            <w:tcW w:w="2608" w:type="dxa"/>
          </w:tcPr>
          <w:p>
            <w:pPr>
              <w:pStyle w:val="0"/>
            </w:pPr>
            <w:r>
              <w:rPr>
                <w:sz w:val="24"/>
              </w:rPr>
            </w:r>
          </w:p>
        </w:tc>
        <w:tc>
          <w:tcPr>
            <w:tcW w:w="2948" w:type="dxa"/>
          </w:tcPr>
          <w:p>
            <w:pPr>
              <w:pStyle w:val="0"/>
            </w:pPr>
            <w:r>
              <w:rPr>
                <w:sz w:val="24"/>
              </w:rPr>
              <w:t xml:space="preserve">nfo-dic:Osnovanie_Aff_A1_3Enumerator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w:t>
            </w:r>
          </w:p>
        </w:tc>
        <w:tc>
          <w:tcPr>
            <w:tcW w:w="2608" w:type="dxa"/>
          </w:tcPr>
          <w:p>
            <w:pPr>
              <w:pStyle w:val="0"/>
            </w:pPr>
            <w:r>
              <w:rPr>
                <w:sz w:val="24"/>
              </w:rPr>
              <w:t xml:space="preserve">A2</w:t>
            </w:r>
          </w:p>
        </w:tc>
        <w:tc>
          <w:tcPr>
            <w:tcW w:w="2608" w:type="dxa"/>
          </w:tcPr>
          <w:p>
            <w:pPr>
              <w:pStyle w:val="0"/>
            </w:pPr>
            <w:r>
              <w:rPr>
                <w:sz w:val="24"/>
              </w:rPr>
            </w:r>
          </w:p>
        </w:tc>
        <w:tc>
          <w:tcPr>
            <w:tcW w:w="2948" w:type="dxa"/>
          </w:tcPr>
          <w:p>
            <w:pPr>
              <w:pStyle w:val="0"/>
            </w:pPr>
            <w:r>
              <w:rPr>
                <w:sz w:val="24"/>
              </w:rPr>
              <w:t xml:space="preserve">nfo-dic:Osnovanie_Aff_A2Enumerator</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w:t>
            </w:r>
          </w:p>
        </w:tc>
        <w:tc>
          <w:tcPr>
            <w:tcW w:w="2608" w:type="dxa"/>
          </w:tcPr>
          <w:p>
            <w:pPr>
              <w:pStyle w:val="0"/>
            </w:pPr>
            <w:r>
              <w:rPr>
                <w:sz w:val="24"/>
              </w:rPr>
              <w:t xml:space="preserve">A3</w:t>
            </w:r>
          </w:p>
        </w:tc>
        <w:tc>
          <w:tcPr>
            <w:tcW w:w="2608" w:type="dxa"/>
          </w:tcPr>
          <w:p>
            <w:pPr>
              <w:pStyle w:val="0"/>
            </w:pPr>
            <w:r>
              <w:rPr>
                <w:sz w:val="24"/>
              </w:rPr>
            </w:r>
          </w:p>
        </w:tc>
        <w:tc>
          <w:tcPr>
            <w:tcW w:w="2948" w:type="dxa"/>
          </w:tcPr>
          <w:p>
            <w:pPr>
              <w:pStyle w:val="0"/>
            </w:pPr>
            <w:r>
              <w:rPr>
                <w:sz w:val="24"/>
              </w:rPr>
              <w:t xml:space="preserve">nfo-dic:Osnovanie_Aff_A3Enumerator</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6</w:t>
            </w:r>
          </w:p>
        </w:tc>
        <w:tc>
          <w:tcPr>
            <w:tcW w:w="2608" w:type="dxa"/>
          </w:tcPr>
          <w:p>
            <w:pPr>
              <w:pStyle w:val="0"/>
            </w:pPr>
            <w:r>
              <w:rPr>
                <w:sz w:val="24"/>
              </w:rPr>
              <w:t xml:space="preserve">A4</w:t>
            </w:r>
          </w:p>
        </w:tc>
        <w:tc>
          <w:tcPr>
            <w:tcW w:w="2608" w:type="dxa"/>
          </w:tcPr>
          <w:p>
            <w:pPr>
              <w:pStyle w:val="0"/>
            </w:pPr>
            <w:r>
              <w:rPr>
                <w:sz w:val="24"/>
              </w:rPr>
            </w:r>
          </w:p>
        </w:tc>
        <w:tc>
          <w:tcPr>
            <w:tcW w:w="2948" w:type="dxa"/>
          </w:tcPr>
          <w:p>
            <w:pPr>
              <w:pStyle w:val="0"/>
            </w:pPr>
            <w:r>
              <w:rPr>
                <w:sz w:val="24"/>
              </w:rPr>
              <w:t xml:space="preserve">nfo-dic:Osnovanie_Aff_A4Enumerator</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w:t>
            </w:r>
          </w:p>
        </w:tc>
        <w:tc>
          <w:tcPr>
            <w:tcW w:w="2608" w:type="dxa"/>
          </w:tcPr>
          <w:p>
            <w:pPr>
              <w:pStyle w:val="0"/>
            </w:pPr>
            <w:r>
              <w:rPr>
                <w:sz w:val="24"/>
              </w:rPr>
              <w:t xml:space="preserve">Основание принадлежности лиц к группе лиц, к которой принадлежит отчитывающаяся организация</w:t>
            </w:r>
          </w:p>
        </w:tc>
        <w:tc>
          <w:tcPr>
            <w:tcW w:w="2608" w:type="dxa"/>
          </w:tcPr>
          <w:p>
            <w:pPr>
              <w:pStyle w:val="0"/>
            </w:pPr>
            <w:r>
              <w:rPr>
                <w:sz w:val="24"/>
              </w:rPr>
            </w:r>
          </w:p>
        </w:tc>
        <w:tc>
          <w:tcPr>
            <w:tcW w:w="2948" w:type="dxa"/>
          </w:tcPr>
          <w:p>
            <w:pPr>
              <w:pStyle w:val="0"/>
            </w:pPr>
            <w:r>
              <w:rPr>
                <w:sz w:val="24"/>
              </w:rPr>
              <w:t xml:space="preserve">nfo-dic:Kod_osnov_prinadl_k_gruppe_licz2Enumerator</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ГЛ1</w:t>
            </w:r>
          </w:p>
        </w:tc>
        <w:tc>
          <w:tcPr>
            <w:tcW w:w="2948" w:type="dxa"/>
          </w:tcPr>
          <w:p>
            <w:pPr>
              <w:pStyle w:val="0"/>
            </w:pPr>
            <w:r>
              <w:rPr>
                <w:sz w:val="24"/>
              </w:rPr>
              <w:t xml:space="preserve">mem-int:Org_iFL_iliYUL_esli_50procz_golosMember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ГЛ2</w:t>
            </w:r>
          </w:p>
        </w:tc>
        <w:tc>
          <w:tcPr>
            <w:tcW w:w="2948" w:type="dxa"/>
          </w:tcPr>
          <w:p>
            <w:pPr>
              <w:pStyle w:val="0"/>
            </w:pPr>
            <w:r>
              <w:rPr>
                <w:sz w:val="24"/>
              </w:rPr>
              <w:t xml:space="preserve">mem-int:Org_iFL_osushh_funkcz_edin_isp_organa_OrgMember</w:t>
            </w:r>
          </w:p>
        </w:tc>
      </w:tr>
      <w:tr>
        <w:tc>
          <w:tcPr>
            <w:tcW w:w="907" w:type="dxa"/>
          </w:tcPr>
          <w:p>
            <w:pPr>
              <w:pStyle w:val="0"/>
            </w:pPr>
            <w:r>
              <w:rPr>
                <w:sz w:val="24"/>
              </w:rPr>
              <w:t xml:space="preserve">7.3</w:t>
            </w:r>
          </w:p>
        </w:tc>
        <w:tc>
          <w:tcPr>
            <w:tcW w:w="2608" w:type="dxa"/>
          </w:tcPr>
          <w:p>
            <w:pPr>
              <w:pStyle w:val="0"/>
            </w:pPr>
            <w:r>
              <w:rPr>
                <w:sz w:val="24"/>
              </w:rPr>
            </w:r>
          </w:p>
        </w:tc>
        <w:tc>
          <w:tcPr>
            <w:tcW w:w="2608" w:type="dxa"/>
          </w:tcPr>
          <w:p>
            <w:pPr>
              <w:pStyle w:val="0"/>
            </w:pPr>
            <w:r>
              <w:rPr>
                <w:sz w:val="24"/>
              </w:rPr>
              <w:t xml:space="preserve">ГЛ3</w:t>
            </w:r>
          </w:p>
        </w:tc>
        <w:tc>
          <w:tcPr>
            <w:tcW w:w="2948" w:type="dxa"/>
          </w:tcPr>
          <w:p>
            <w:pPr>
              <w:pStyle w:val="0"/>
            </w:pPr>
            <w:r>
              <w:rPr>
                <w:sz w:val="24"/>
              </w:rPr>
              <w:t xml:space="preserve">mem-int:Org_iFL_davat_rasporyazh_OrgMember</w:t>
            </w:r>
          </w:p>
        </w:tc>
      </w:tr>
      <w:tr>
        <w:tc>
          <w:tcPr>
            <w:tcW w:w="907" w:type="dxa"/>
          </w:tcPr>
          <w:p>
            <w:pPr>
              <w:pStyle w:val="0"/>
            </w:pPr>
            <w:r>
              <w:rPr>
                <w:sz w:val="24"/>
              </w:rPr>
              <w:t xml:space="preserve">7.4</w:t>
            </w:r>
          </w:p>
        </w:tc>
        <w:tc>
          <w:tcPr>
            <w:tcW w:w="2608" w:type="dxa"/>
          </w:tcPr>
          <w:p>
            <w:pPr>
              <w:pStyle w:val="0"/>
            </w:pPr>
            <w:r>
              <w:rPr>
                <w:sz w:val="24"/>
              </w:rPr>
            </w:r>
          </w:p>
        </w:tc>
        <w:tc>
          <w:tcPr>
            <w:tcW w:w="2608" w:type="dxa"/>
          </w:tcPr>
          <w:p>
            <w:pPr>
              <w:pStyle w:val="0"/>
            </w:pPr>
            <w:r>
              <w:rPr>
                <w:sz w:val="24"/>
              </w:rPr>
              <w:t xml:space="preserve">ГЛ4</w:t>
            </w:r>
          </w:p>
        </w:tc>
        <w:tc>
          <w:tcPr>
            <w:tcW w:w="2948" w:type="dxa"/>
          </w:tcPr>
          <w:p>
            <w:pPr>
              <w:pStyle w:val="0"/>
            </w:pPr>
            <w:r>
              <w:rPr>
                <w:sz w:val="24"/>
              </w:rPr>
              <w:t xml:space="preserve">mem-int:Org_iFL_po_egoPredl_naznach_EdIspOrgOrgMember</w:t>
            </w:r>
          </w:p>
        </w:tc>
      </w:tr>
      <w:tr>
        <w:tc>
          <w:tcPr>
            <w:tcW w:w="907" w:type="dxa"/>
          </w:tcPr>
          <w:p>
            <w:pPr>
              <w:pStyle w:val="0"/>
            </w:pPr>
            <w:r>
              <w:rPr>
                <w:sz w:val="24"/>
              </w:rPr>
              <w:t xml:space="preserve">7.5</w:t>
            </w:r>
          </w:p>
        </w:tc>
        <w:tc>
          <w:tcPr>
            <w:tcW w:w="2608" w:type="dxa"/>
          </w:tcPr>
          <w:p>
            <w:pPr>
              <w:pStyle w:val="0"/>
            </w:pPr>
            <w:r>
              <w:rPr>
                <w:sz w:val="24"/>
              </w:rPr>
            </w:r>
          </w:p>
        </w:tc>
        <w:tc>
          <w:tcPr>
            <w:tcW w:w="2608" w:type="dxa"/>
          </w:tcPr>
          <w:p>
            <w:pPr>
              <w:pStyle w:val="0"/>
            </w:pPr>
            <w:r>
              <w:rPr>
                <w:sz w:val="24"/>
              </w:rPr>
              <w:t xml:space="preserve">ГЛ5</w:t>
            </w:r>
          </w:p>
        </w:tc>
        <w:tc>
          <w:tcPr>
            <w:tcW w:w="2948" w:type="dxa"/>
          </w:tcPr>
          <w:p>
            <w:pPr>
              <w:pStyle w:val="0"/>
            </w:pPr>
            <w:r>
              <w:rPr>
                <w:sz w:val="24"/>
              </w:rPr>
              <w:t xml:space="preserve">mem-int:Org_iFL_poPredl_izbrBolee50proczKolleg_OrgMember</w:t>
            </w:r>
          </w:p>
        </w:tc>
      </w:tr>
      <w:tr>
        <w:tc>
          <w:tcPr>
            <w:tcW w:w="907" w:type="dxa"/>
          </w:tcPr>
          <w:p>
            <w:pPr>
              <w:pStyle w:val="0"/>
            </w:pPr>
            <w:r>
              <w:rPr>
                <w:sz w:val="24"/>
              </w:rPr>
              <w:t xml:space="preserve">7.6</w:t>
            </w:r>
          </w:p>
        </w:tc>
        <w:tc>
          <w:tcPr>
            <w:tcW w:w="2608" w:type="dxa"/>
          </w:tcPr>
          <w:p>
            <w:pPr>
              <w:pStyle w:val="0"/>
            </w:pPr>
            <w:r>
              <w:rPr>
                <w:sz w:val="24"/>
              </w:rPr>
            </w:r>
          </w:p>
        </w:tc>
        <w:tc>
          <w:tcPr>
            <w:tcW w:w="2608" w:type="dxa"/>
          </w:tcPr>
          <w:p>
            <w:pPr>
              <w:pStyle w:val="0"/>
            </w:pPr>
            <w:r>
              <w:rPr>
                <w:sz w:val="24"/>
              </w:rPr>
              <w:t xml:space="preserve">ГЛ6</w:t>
            </w:r>
          </w:p>
        </w:tc>
        <w:tc>
          <w:tcPr>
            <w:tcW w:w="2948" w:type="dxa"/>
          </w:tcPr>
          <w:p>
            <w:pPr>
              <w:pStyle w:val="0"/>
            </w:pPr>
            <w:r>
              <w:rPr>
                <w:sz w:val="24"/>
              </w:rPr>
              <w:t xml:space="preserve">mem-int:XozOb_odnim_iz_kot_yavl_klirOrg_bol50prKollFLMember</w:t>
            </w:r>
          </w:p>
        </w:tc>
      </w:tr>
      <w:tr>
        <w:tc>
          <w:tcPr>
            <w:tcW w:w="907" w:type="dxa"/>
          </w:tcPr>
          <w:p>
            <w:pPr>
              <w:pStyle w:val="0"/>
            </w:pPr>
            <w:r>
              <w:rPr>
                <w:sz w:val="24"/>
              </w:rPr>
              <w:t xml:space="preserve">7.7</w:t>
            </w:r>
          </w:p>
        </w:tc>
        <w:tc>
          <w:tcPr>
            <w:tcW w:w="2608" w:type="dxa"/>
          </w:tcPr>
          <w:p>
            <w:pPr>
              <w:pStyle w:val="0"/>
            </w:pPr>
            <w:r>
              <w:rPr>
                <w:sz w:val="24"/>
              </w:rPr>
            </w:r>
          </w:p>
        </w:tc>
        <w:tc>
          <w:tcPr>
            <w:tcW w:w="2608" w:type="dxa"/>
          </w:tcPr>
          <w:p>
            <w:pPr>
              <w:pStyle w:val="0"/>
            </w:pPr>
            <w:r>
              <w:rPr>
                <w:sz w:val="24"/>
              </w:rPr>
              <w:t xml:space="preserve">ГЛ8-1</w:t>
            </w:r>
          </w:p>
        </w:tc>
        <w:tc>
          <w:tcPr>
            <w:tcW w:w="2948" w:type="dxa"/>
          </w:tcPr>
          <w:p>
            <w:pPr>
              <w:pStyle w:val="0"/>
            </w:pPr>
            <w:r>
              <w:rPr>
                <w:sz w:val="24"/>
              </w:rPr>
              <w:t xml:space="preserve">mem-int:GL8_1_ch1st9FZMember</w:t>
            </w:r>
          </w:p>
        </w:tc>
      </w:tr>
      <w:tr>
        <w:tc>
          <w:tcPr>
            <w:tcW w:w="907" w:type="dxa"/>
          </w:tcPr>
          <w:p>
            <w:pPr>
              <w:pStyle w:val="0"/>
            </w:pPr>
            <w:r>
              <w:rPr>
                <w:sz w:val="24"/>
              </w:rPr>
              <w:t xml:space="preserve">7.8</w:t>
            </w:r>
          </w:p>
        </w:tc>
        <w:tc>
          <w:tcPr>
            <w:tcW w:w="2608" w:type="dxa"/>
          </w:tcPr>
          <w:p>
            <w:pPr>
              <w:pStyle w:val="0"/>
            </w:pPr>
            <w:r>
              <w:rPr>
                <w:sz w:val="24"/>
              </w:rPr>
            </w:r>
          </w:p>
        </w:tc>
        <w:tc>
          <w:tcPr>
            <w:tcW w:w="2608" w:type="dxa"/>
          </w:tcPr>
          <w:p>
            <w:pPr>
              <w:pStyle w:val="0"/>
            </w:pPr>
            <w:r>
              <w:rPr>
                <w:sz w:val="24"/>
              </w:rPr>
              <w:t xml:space="preserve">ГЛ8-2</w:t>
            </w:r>
          </w:p>
        </w:tc>
        <w:tc>
          <w:tcPr>
            <w:tcW w:w="2948" w:type="dxa"/>
          </w:tcPr>
          <w:p>
            <w:pPr>
              <w:pStyle w:val="0"/>
            </w:pPr>
            <w:r>
              <w:rPr>
                <w:sz w:val="24"/>
              </w:rPr>
              <w:t xml:space="preserve">mem-int:GL8_2_ch1st9FZMember</w:t>
            </w:r>
          </w:p>
        </w:tc>
      </w:tr>
      <w:tr>
        <w:tc>
          <w:tcPr>
            <w:tcW w:w="907" w:type="dxa"/>
          </w:tcPr>
          <w:p>
            <w:pPr>
              <w:pStyle w:val="0"/>
            </w:pPr>
            <w:r>
              <w:rPr>
                <w:sz w:val="24"/>
              </w:rPr>
              <w:t xml:space="preserve">7.9</w:t>
            </w:r>
          </w:p>
        </w:tc>
        <w:tc>
          <w:tcPr>
            <w:tcW w:w="2608" w:type="dxa"/>
          </w:tcPr>
          <w:p>
            <w:pPr>
              <w:pStyle w:val="0"/>
            </w:pPr>
            <w:r>
              <w:rPr>
                <w:sz w:val="24"/>
              </w:rPr>
            </w:r>
          </w:p>
        </w:tc>
        <w:tc>
          <w:tcPr>
            <w:tcW w:w="2608" w:type="dxa"/>
          </w:tcPr>
          <w:p>
            <w:pPr>
              <w:pStyle w:val="0"/>
            </w:pPr>
            <w:r>
              <w:rPr>
                <w:sz w:val="24"/>
              </w:rPr>
              <w:t xml:space="preserve">ГЛ8-3</w:t>
            </w:r>
          </w:p>
        </w:tc>
        <w:tc>
          <w:tcPr>
            <w:tcW w:w="2948" w:type="dxa"/>
          </w:tcPr>
          <w:p>
            <w:pPr>
              <w:pStyle w:val="0"/>
            </w:pPr>
            <w:r>
              <w:rPr>
                <w:sz w:val="24"/>
              </w:rPr>
              <w:t xml:space="preserve">mem-int:GL8_3_ch1st9FZMember</w:t>
            </w:r>
          </w:p>
        </w:tc>
      </w:tr>
      <w:tr>
        <w:tc>
          <w:tcPr>
            <w:tcW w:w="907" w:type="dxa"/>
          </w:tcPr>
          <w:p>
            <w:pPr>
              <w:pStyle w:val="0"/>
            </w:pPr>
            <w:r>
              <w:rPr>
                <w:sz w:val="24"/>
              </w:rPr>
              <w:t xml:space="preserve">7.10</w:t>
            </w:r>
          </w:p>
        </w:tc>
        <w:tc>
          <w:tcPr>
            <w:tcW w:w="2608" w:type="dxa"/>
          </w:tcPr>
          <w:p>
            <w:pPr>
              <w:pStyle w:val="0"/>
            </w:pPr>
            <w:r>
              <w:rPr>
                <w:sz w:val="24"/>
              </w:rPr>
            </w:r>
          </w:p>
        </w:tc>
        <w:tc>
          <w:tcPr>
            <w:tcW w:w="2608" w:type="dxa"/>
          </w:tcPr>
          <w:p>
            <w:pPr>
              <w:pStyle w:val="0"/>
            </w:pPr>
            <w:r>
              <w:rPr>
                <w:sz w:val="24"/>
              </w:rPr>
              <w:t xml:space="preserve">ГЛ8-4</w:t>
            </w:r>
          </w:p>
        </w:tc>
        <w:tc>
          <w:tcPr>
            <w:tcW w:w="2948" w:type="dxa"/>
          </w:tcPr>
          <w:p>
            <w:pPr>
              <w:pStyle w:val="0"/>
            </w:pPr>
            <w:r>
              <w:rPr>
                <w:sz w:val="24"/>
              </w:rPr>
              <w:t xml:space="preserve">mem-int:GL8_4_ch1st9FZMember</w:t>
            </w:r>
          </w:p>
        </w:tc>
      </w:tr>
      <w:tr>
        <w:tc>
          <w:tcPr>
            <w:tcW w:w="907" w:type="dxa"/>
          </w:tcPr>
          <w:p>
            <w:pPr>
              <w:pStyle w:val="0"/>
            </w:pPr>
            <w:r>
              <w:rPr>
                <w:sz w:val="24"/>
              </w:rPr>
              <w:t xml:space="preserve">7.11</w:t>
            </w:r>
          </w:p>
        </w:tc>
        <w:tc>
          <w:tcPr>
            <w:tcW w:w="2608" w:type="dxa"/>
          </w:tcPr>
          <w:p>
            <w:pPr>
              <w:pStyle w:val="0"/>
            </w:pPr>
            <w:r>
              <w:rPr>
                <w:sz w:val="24"/>
              </w:rPr>
            </w:r>
          </w:p>
        </w:tc>
        <w:tc>
          <w:tcPr>
            <w:tcW w:w="2608" w:type="dxa"/>
          </w:tcPr>
          <w:p>
            <w:pPr>
              <w:pStyle w:val="0"/>
            </w:pPr>
            <w:r>
              <w:rPr>
                <w:sz w:val="24"/>
              </w:rPr>
              <w:t xml:space="preserve">ГЛ8-5</w:t>
            </w:r>
          </w:p>
        </w:tc>
        <w:tc>
          <w:tcPr>
            <w:tcW w:w="2948" w:type="dxa"/>
          </w:tcPr>
          <w:p>
            <w:pPr>
              <w:pStyle w:val="0"/>
            </w:pPr>
            <w:r>
              <w:rPr>
                <w:sz w:val="24"/>
              </w:rPr>
              <w:t xml:space="preserve">mem-int:GL8_5_ch1st9FZMember</w:t>
            </w:r>
          </w:p>
        </w:tc>
      </w:tr>
      <w:tr>
        <w:tc>
          <w:tcPr>
            <w:tcW w:w="907" w:type="dxa"/>
          </w:tcPr>
          <w:p>
            <w:pPr>
              <w:pStyle w:val="0"/>
            </w:pPr>
            <w:r>
              <w:rPr>
                <w:sz w:val="24"/>
              </w:rPr>
              <w:t xml:space="preserve">7.12</w:t>
            </w:r>
          </w:p>
        </w:tc>
        <w:tc>
          <w:tcPr>
            <w:tcW w:w="2608" w:type="dxa"/>
          </w:tcPr>
          <w:p>
            <w:pPr>
              <w:pStyle w:val="0"/>
            </w:pPr>
            <w:r>
              <w:rPr>
                <w:sz w:val="24"/>
              </w:rPr>
            </w:r>
          </w:p>
        </w:tc>
        <w:tc>
          <w:tcPr>
            <w:tcW w:w="2608" w:type="dxa"/>
          </w:tcPr>
          <w:p>
            <w:pPr>
              <w:pStyle w:val="0"/>
            </w:pPr>
            <w:r>
              <w:rPr>
                <w:sz w:val="24"/>
              </w:rPr>
              <w:t xml:space="preserve">ГЛ8-6</w:t>
            </w:r>
          </w:p>
        </w:tc>
        <w:tc>
          <w:tcPr>
            <w:tcW w:w="2948" w:type="dxa"/>
          </w:tcPr>
          <w:p>
            <w:pPr>
              <w:pStyle w:val="0"/>
            </w:pPr>
            <w:r>
              <w:rPr>
                <w:sz w:val="24"/>
              </w:rPr>
              <w:t xml:space="preserve">mem-int:GL8_6_ch1st9FZMember</w:t>
            </w:r>
          </w:p>
        </w:tc>
      </w:tr>
      <w:tr>
        <w:tc>
          <w:tcPr>
            <w:tcW w:w="907" w:type="dxa"/>
          </w:tcPr>
          <w:p>
            <w:pPr>
              <w:pStyle w:val="0"/>
            </w:pPr>
            <w:r>
              <w:rPr>
                <w:sz w:val="24"/>
              </w:rPr>
              <w:t xml:space="preserve">7.13</w:t>
            </w:r>
          </w:p>
        </w:tc>
        <w:tc>
          <w:tcPr>
            <w:tcW w:w="2608" w:type="dxa"/>
          </w:tcPr>
          <w:p>
            <w:pPr>
              <w:pStyle w:val="0"/>
            </w:pPr>
            <w:r>
              <w:rPr>
                <w:sz w:val="24"/>
              </w:rPr>
            </w:r>
          </w:p>
        </w:tc>
        <w:tc>
          <w:tcPr>
            <w:tcW w:w="2608" w:type="dxa"/>
          </w:tcPr>
          <w:p>
            <w:pPr>
              <w:pStyle w:val="0"/>
            </w:pPr>
            <w:r>
              <w:rPr>
                <w:sz w:val="24"/>
              </w:rPr>
              <w:t xml:space="preserve">ГЛ8-7</w:t>
            </w:r>
          </w:p>
        </w:tc>
        <w:tc>
          <w:tcPr>
            <w:tcW w:w="2948" w:type="dxa"/>
          </w:tcPr>
          <w:p>
            <w:pPr>
              <w:pStyle w:val="0"/>
            </w:pPr>
            <w:r>
              <w:rPr>
                <w:sz w:val="24"/>
              </w:rPr>
              <w:t xml:space="preserve">mem-int:GL8_7_ch1st9FZMember</w:t>
            </w:r>
          </w:p>
        </w:tc>
      </w:tr>
      <w:tr>
        <w:tc>
          <w:tcPr>
            <w:tcW w:w="907" w:type="dxa"/>
          </w:tcPr>
          <w:p>
            <w:pPr>
              <w:pStyle w:val="0"/>
            </w:pPr>
            <w:r>
              <w:rPr>
                <w:sz w:val="24"/>
              </w:rPr>
              <w:t xml:space="preserve">7.14</w:t>
            </w:r>
          </w:p>
        </w:tc>
        <w:tc>
          <w:tcPr>
            <w:tcW w:w="2608" w:type="dxa"/>
          </w:tcPr>
          <w:p>
            <w:pPr>
              <w:pStyle w:val="0"/>
            </w:pPr>
            <w:r>
              <w:rPr>
                <w:sz w:val="24"/>
              </w:rPr>
            </w:r>
          </w:p>
        </w:tc>
        <w:tc>
          <w:tcPr>
            <w:tcW w:w="2608" w:type="dxa"/>
          </w:tcPr>
          <w:p>
            <w:pPr>
              <w:pStyle w:val="0"/>
            </w:pPr>
            <w:r>
              <w:rPr>
                <w:sz w:val="24"/>
              </w:rPr>
              <w:t xml:space="preserve">ГЛ8-9</w:t>
            </w:r>
          </w:p>
        </w:tc>
        <w:tc>
          <w:tcPr>
            <w:tcW w:w="2948" w:type="dxa"/>
          </w:tcPr>
          <w:p>
            <w:pPr>
              <w:pStyle w:val="0"/>
            </w:pPr>
            <w:r>
              <w:rPr>
                <w:sz w:val="24"/>
              </w:rPr>
              <w:t xml:space="preserve">mem-int:GL8_9_ch1st9FZMember</w:t>
            </w:r>
          </w:p>
        </w:tc>
      </w:tr>
      <w:tr>
        <w:tc>
          <w:tcPr>
            <w:tcW w:w="907" w:type="dxa"/>
          </w:tcPr>
          <w:p>
            <w:pPr>
              <w:pStyle w:val="0"/>
            </w:pPr>
            <w:r>
              <w:rPr>
                <w:sz w:val="24"/>
              </w:rPr>
              <w:t xml:space="preserve">7.15</w:t>
            </w:r>
          </w:p>
        </w:tc>
        <w:tc>
          <w:tcPr>
            <w:tcW w:w="2608" w:type="dxa"/>
          </w:tcPr>
          <w:p>
            <w:pPr>
              <w:pStyle w:val="0"/>
            </w:pPr>
            <w:r>
              <w:rPr>
                <w:sz w:val="24"/>
              </w:rPr>
            </w:r>
          </w:p>
        </w:tc>
        <w:tc>
          <w:tcPr>
            <w:tcW w:w="2608" w:type="dxa"/>
          </w:tcPr>
          <w:p>
            <w:pPr>
              <w:pStyle w:val="0"/>
            </w:pPr>
            <w:r>
              <w:rPr>
                <w:sz w:val="24"/>
              </w:rPr>
              <w:t xml:space="preserve">ГЛ9</w:t>
            </w:r>
          </w:p>
        </w:tc>
        <w:tc>
          <w:tcPr>
            <w:tcW w:w="2948" w:type="dxa"/>
          </w:tcPr>
          <w:p>
            <w:pPr>
              <w:pStyle w:val="0"/>
            </w:pPr>
            <w:r>
              <w:rPr>
                <w:sz w:val="24"/>
              </w:rPr>
              <w:t xml:space="preserve">mem-int:Org_FL_YULp1do8ch1st9FZ_O_zashh_konkurMember</w:t>
            </w:r>
          </w:p>
        </w:tc>
      </w:tr>
    </w:tbl>
    <w:p>
      <w:pPr>
        <w:pStyle w:val="0"/>
        <w:ind w:firstLine="540"/>
        <w:jc w:val="both"/>
      </w:pPr>
      <w:r>
        <w:rPr>
          <w:sz w:val="24"/>
        </w:rPr>
      </w:r>
    </w:p>
    <w:p>
      <w:pPr>
        <w:pStyle w:val="0"/>
        <w:outlineLvl w:val="2"/>
        <w:jc w:val="both"/>
      </w:pPr>
      <w:r>
        <w:rPr>
          <w:sz w:val="24"/>
        </w:rPr>
        <w:t xml:space="preserve">Раздел 4. Отчетность по </w:t>
      </w:r>
      <w:hyperlink w:history="0" w:anchor="P1888" w:tooltip="Отчетность по форме 0420153">
        <w:r>
          <w:rPr>
            <w:sz w:val="24"/>
            <w:color w:val="0000ff"/>
          </w:rPr>
          <w:t xml:space="preserve">форме 0420153</w:t>
        </w:r>
      </w:hyperlink>
      <w:r>
        <w:rPr>
          <w:sz w:val="24"/>
        </w:rPr>
        <w:t xml:space="preserve"> "Сведения о размере гарантийного депозита филиала иностранной страховой организации"</w:t>
      </w:r>
    </w:p>
    <w:p>
      <w:pPr>
        <w:pStyle w:val="0"/>
        <w:ind w:firstLine="540"/>
        <w:jc w:val="both"/>
      </w:pPr>
      <w:r>
        <w:rPr>
          <w:sz w:val="24"/>
        </w:rPr>
      </w:r>
    </w:p>
    <w:p>
      <w:pPr>
        <w:pStyle w:val="0"/>
        <w:outlineLvl w:val="3"/>
        <w:jc w:val="both"/>
      </w:pPr>
      <w:r>
        <w:rPr>
          <w:sz w:val="24"/>
        </w:rPr>
        <w:t xml:space="preserve">Подраздел 4.1. </w:t>
      </w:r>
      <w:hyperlink w:history="0" w:anchor="P2122" w:tooltip="Раздел 4.">
        <w:r>
          <w:rPr>
            <w:sz w:val="24"/>
            <w:color w:val="0000ff"/>
          </w:rPr>
          <w:t xml:space="preserve">Раздел 4</w:t>
        </w:r>
      </w:hyperlink>
      <w:r>
        <w:rPr>
          <w:sz w:val="24"/>
        </w:rPr>
        <w:t xml:space="preserve"> "Сведения об ответственном актуарии, осуществившем проведение актуарного оценивания расчетного размера гарантийного депозита"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pPr>
            <w:r>
              <w:rPr>
                <w:sz w:val="24"/>
              </w:rPr>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договора о проведении актуарного оценивания</w:t>
            </w:r>
          </w:p>
        </w:tc>
        <w:tc>
          <w:tcPr>
            <w:tcW w:w="2608" w:type="dxa"/>
          </w:tcPr>
          <w:p>
            <w:pPr>
              <w:pStyle w:val="0"/>
            </w:pPr>
            <w:r>
              <w:rPr>
                <w:sz w:val="24"/>
              </w:rPr>
            </w:r>
          </w:p>
        </w:tc>
        <w:tc>
          <w:tcPr>
            <w:tcW w:w="2948" w:type="dxa"/>
          </w:tcPr>
          <w:p>
            <w:pPr>
              <w:pStyle w:val="0"/>
            </w:pPr>
            <w:r>
              <w:rPr>
                <w:sz w:val="24"/>
              </w:rPr>
              <w:t xml:space="preserve">ins-dic:Vid__Dog_Na_Provedenie_Aktuarnogo_Oczenivaniya_Enumerator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Гражданско-правовой договор</w:t>
            </w:r>
          </w:p>
        </w:tc>
        <w:tc>
          <w:tcPr>
            <w:tcW w:w="2948" w:type="dxa"/>
          </w:tcPr>
          <w:p>
            <w:pPr>
              <w:pStyle w:val="0"/>
            </w:pPr>
            <w:r>
              <w:rPr>
                <w:sz w:val="24"/>
              </w:rPr>
              <w:t xml:space="preserve">mem-int:GrazhdanskoPravovojDogovorMember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Трудовой договор</w:t>
            </w:r>
          </w:p>
        </w:tc>
        <w:tc>
          <w:tcPr>
            <w:tcW w:w="2948" w:type="dxa"/>
          </w:tcPr>
          <w:p>
            <w:pPr>
              <w:pStyle w:val="0"/>
            </w:pPr>
            <w:r>
              <w:rPr>
                <w:sz w:val="24"/>
              </w:rPr>
              <w:t xml:space="preserve">mem-int:TrudovojDogovorMember</w:t>
            </w:r>
          </w:p>
        </w:tc>
      </w:tr>
    </w:tbl>
    <w:p>
      <w:pPr>
        <w:pStyle w:val="0"/>
        <w:ind w:firstLine="540"/>
        <w:jc w:val="both"/>
      </w:pPr>
      <w:r>
        <w:rPr>
          <w:sz w:val="24"/>
        </w:rPr>
      </w:r>
    </w:p>
    <w:p>
      <w:pPr>
        <w:pStyle w:val="0"/>
        <w:outlineLvl w:val="3"/>
        <w:jc w:val="both"/>
      </w:pPr>
      <w:r>
        <w:rPr>
          <w:sz w:val="24"/>
        </w:rPr>
        <w:t xml:space="preserve">Подраздел 4.2. </w:t>
      </w:r>
      <w:hyperlink w:history="0" w:anchor="P2204" w:tooltip="Раздел 5.">
        <w:r>
          <w:rPr>
            <w:sz w:val="24"/>
            <w:color w:val="0000ff"/>
          </w:rPr>
          <w:t xml:space="preserve">Раздел 5</w:t>
        </w:r>
      </w:hyperlink>
      <w:r>
        <w:rPr>
          <w:sz w:val="24"/>
        </w:rPr>
        <w:t xml:space="preserve"> "Сведения из документа, составленного по результатам аудита достоверности данных, использованных в расчете расчетного размера гарантийного депозита"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Мнение, выраженное в документе</w:t>
            </w:r>
          </w:p>
        </w:tc>
        <w:tc>
          <w:tcPr>
            <w:tcW w:w="2608" w:type="dxa"/>
          </w:tcPr>
          <w:p>
            <w:pPr>
              <w:pStyle w:val="0"/>
            </w:pPr>
            <w:r>
              <w:rPr>
                <w:sz w:val="24"/>
              </w:rPr>
            </w:r>
          </w:p>
        </w:tc>
        <w:tc>
          <w:tcPr>
            <w:tcW w:w="2948" w:type="dxa"/>
          </w:tcPr>
          <w:p>
            <w:pPr>
              <w:pStyle w:val="0"/>
            </w:pPr>
            <w:r>
              <w:rPr>
                <w:sz w:val="24"/>
              </w:rPr>
              <w:t xml:space="preserve">ins-dic:MnenieVyrazhennoeVDokumenteEnumerator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Немодифицированное мнение</w:t>
            </w:r>
          </w:p>
        </w:tc>
        <w:tc>
          <w:tcPr>
            <w:tcW w:w="2948" w:type="dxa"/>
          </w:tcPr>
          <w:p>
            <w:pPr>
              <w:pStyle w:val="0"/>
            </w:pPr>
            <w:r>
              <w:rPr>
                <w:sz w:val="24"/>
              </w:rPr>
              <w:t xml:space="preserve">mem-int:Nemod_MnenieMember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Мнение с оговоркой</w:t>
            </w:r>
          </w:p>
        </w:tc>
        <w:tc>
          <w:tcPr>
            <w:tcW w:w="2948" w:type="dxa"/>
          </w:tcPr>
          <w:p>
            <w:pPr>
              <w:pStyle w:val="0"/>
            </w:pPr>
            <w:r>
              <w:rPr>
                <w:sz w:val="24"/>
              </w:rPr>
              <w:t xml:space="preserve">mem-int:Mnenie_S_OgovorkojMember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Отрицательное мнение</w:t>
            </w:r>
          </w:p>
        </w:tc>
        <w:tc>
          <w:tcPr>
            <w:tcW w:w="2948" w:type="dxa"/>
          </w:tcPr>
          <w:p>
            <w:pPr>
              <w:pStyle w:val="0"/>
            </w:pPr>
            <w:r>
              <w:rPr>
                <w:sz w:val="24"/>
              </w:rPr>
              <w:t xml:space="preserve">mem-int:Otricz_MnenieMember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Отказ от выражения мнения</w:t>
            </w:r>
          </w:p>
        </w:tc>
        <w:tc>
          <w:tcPr>
            <w:tcW w:w="2948" w:type="dxa"/>
          </w:tcPr>
          <w:p>
            <w:pPr>
              <w:pStyle w:val="0"/>
            </w:pPr>
            <w:r>
              <w:rPr>
                <w:sz w:val="24"/>
              </w:rPr>
              <w:t xml:space="preserve">mem-int:Otkaz_Ot_MneniyaMember</w:t>
            </w:r>
          </w:p>
        </w:tc>
      </w:tr>
    </w:tbl>
    <w:p>
      <w:pPr>
        <w:pStyle w:val="0"/>
        <w:ind w:firstLine="540"/>
        <w:jc w:val="both"/>
      </w:pPr>
      <w:r>
        <w:rPr>
          <w:sz w:val="24"/>
        </w:rPr>
      </w:r>
    </w:p>
    <w:p>
      <w:pPr>
        <w:pStyle w:val="0"/>
        <w:outlineLvl w:val="2"/>
        <w:jc w:val="both"/>
      </w:pPr>
      <w:r>
        <w:rPr>
          <w:sz w:val="24"/>
        </w:rPr>
        <w:t xml:space="preserve">Раздел 5. Отчетность по </w:t>
      </w:r>
      <w:hyperlink w:history="0" w:anchor="P2335" w:tooltip="Отчетность по форме 0420154">
        <w:r>
          <w:rPr>
            <w:sz w:val="24"/>
            <w:color w:val="0000ff"/>
          </w:rPr>
          <w:t xml:space="preserve">форме 0420154</w:t>
        </w:r>
      </w:hyperlink>
      <w:r>
        <w:rPr>
          <w:sz w:val="24"/>
        </w:rPr>
        <w:t xml:space="preserve"> "Отчет об активах и обязательствах страховщика"</w:t>
      </w:r>
    </w:p>
    <w:p>
      <w:pPr>
        <w:pStyle w:val="0"/>
        <w:ind w:firstLine="540"/>
        <w:jc w:val="both"/>
      </w:pPr>
      <w:r>
        <w:rPr>
          <w:sz w:val="24"/>
        </w:rPr>
      </w:r>
    </w:p>
    <w:p>
      <w:pPr>
        <w:pStyle w:val="0"/>
        <w:outlineLvl w:val="3"/>
        <w:jc w:val="both"/>
      </w:pPr>
      <w:r>
        <w:rPr>
          <w:sz w:val="24"/>
        </w:rPr>
        <w:t xml:space="preserve">Подраздел 5.1. </w:t>
      </w:r>
      <w:hyperlink w:history="0" w:anchor="P2420" w:tooltip="Раздел 2.">
        <w:r>
          <w:rPr>
            <w:sz w:val="24"/>
            <w:color w:val="0000ff"/>
          </w:rPr>
          <w:t xml:space="preserve">Раздел 2</w:t>
        </w:r>
      </w:hyperlink>
      <w:r>
        <w:rPr>
          <w:sz w:val="24"/>
        </w:rPr>
        <w:t xml:space="preserve"> "Отдельные виды активов"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Актив по договору обязательного страхования гражданской ответственности владельца опасного объекта</w:t>
            </w:r>
          </w:p>
        </w:tc>
        <w:tc>
          <w:tcPr>
            <w:tcW w:w="2608" w:type="dxa"/>
          </w:tcPr>
          <w:p>
            <w:pPr>
              <w:pStyle w:val="0"/>
            </w:pPr>
            <w:r>
              <w:rPr>
                <w:sz w:val="24"/>
              </w:rPr>
            </w:r>
          </w:p>
        </w:tc>
        <w:tc>
          <w:tcPr>
            <w:tcW w:w="2948" w:type="dxa"/>
          </w:tcPr>
          <w:p>
            <w:pPr>
              <w:pStyle w:val="0"/>
            </w:pPr>
            <w:r>
              <w:rPr>
                <w:sz w:val="24"/>
              </w:rPr>
              <w:t xml:space="preserve">ins-dic:AktDogOsopoEnumerator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w:t>
            </w:r>
          </w:p>
        </w:tc>
        <w:tc>
          <w:tcPr>
            <w:tcW w:w="2608" w:type="dxa"/>
          </w:tcPr>
          <w:p>
            <w:pPr>
              <w:pStyle w:val="0"/>
            </w:pPr>
            <w:r>
              <w:rPr>
                <w:sz w:val="24"/>
              </w:rPr>
              <w:t xml:space="preserve">Актив по договору обязательного страхования гражданской ответственности перевозчика</w:t>
            </w:r>
          </w:p>
        </w:tc>
        <w:tc>
          <w:tcPr>
            <w:tcW w:w="2608" w:type="dxa"/>
          </w:tcPr>
          <w:p>
            <w:pPr>
              <w:pStyle w:val="0"/>
            </w:pPr>
            <w:r>
              <w:rPr>
                <w:sz w:val="24"/>
              </w:rPr>
            </w:r>
          </w:p>
        </w:tc>
        <w:tc>
          <w:tcPr>
            <w:tcW w:w="2948" w:type="dxa"/>
          </w:tcPr>
          <w:p>
            <w:pPr>
              <w:pStyle w:val="0"/>
            </w:pPr>
            <w:r>
              <w:rPr>
                <w:sz w:val="24"/>
              </w:rPr>
              <w:t xml:space="preserve">ins-dic:AktDogOsgopEnumerator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Актив по договору страхования гражданско-правовой ответственности за убытки и вред, причиненные радиационным воздействием</w:t>
            </w:r>
          </w:p>
        </w:tc>
        <w:tc>
          <w:tcPr>
            <w:tcW w:w="2608" w:type="dxa"/>
          </w:tcPr>
          <w:p>
            <w:pPr>
              <w:pStyle w:val="0"/>
            </w:pPr>
            <w:r>
              <w:rPr>
                <w:sz w:val="24"/>
              </w:rPr>
            </w:r>
          </w:p>
        </w:tc>
        <w:tc>
          <w:tcPr>
            <w:tcW w:w="2948" w:type="dxa"/>
          </w:tcPr>
          <w:p>
            <w:pPr>
              <w:pStyle w:val="0"/>
            </w:pPr>
            <w:r>
              <w:rPr>
                <w:sz w:val="24"/>
              </w:rPr>
              <w:t xml:space="preserve">ins-dic:AktDogUk311216Enumerator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w:t>
            </w:r>
          </w:p>
        </w:tc>
        <w:tc>
          <w:tcPr>
            <w:tcW w:w="2608" w:type="dxa"/>
          </w:tcPr>
          <w:p>
            <w:pPr>
              <w:pStyle w:val="0"/>
            </w:pPr>
            <w:r>
              <w:rPr>
                <w:sz w:val="24"/>
              </w:rPr>
              <w:t xml:space="preserve">Акции соответствуют условиям для включения в состав активов вместо долей участия в уставном капитале</w:t>
            </w:r>
          </w:p>
        </w:tc>
        <w:tc>
          <w:tcPr>
            <w:tcW w:w="2608" w:type="dxa"/>
          </w:tcPr>
          <w:p>
            <w:pPr>
              <w:pStyle w:val="0"/>
            </w:pPr>
            <w:r>
              <w:rPr>
                <w:sz w:val="24"/>
              </w:rPr>
            </w:r>
          </w:p>
        </w:tc>
        <w:tc>
          <w:tcPr>
            <w:tcW w:w="2948" w:type="dxa"/>
          </w:tcPr>
          <w:p>
            <w:pPr>
              <w:pStyle w:val="0"/>
            </w:pPr>
            <w:r>
              <w:rPr>
                <w:sz w:val="24"/>
              </w:rPr>
              <w:t xml:space="preserve">ins-dic:AkcziiSootUslUkAbShDesPp3.1.2P3.1PolN781Enumerator</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5</w:t>
            </w:r>
          </w:p>
        </w:tc>
        <w:tc>
          <w:tcPr>
            <w:tcW w:w="2608" w:type="dxa"/>
          </w:tcPr>
          <w:p>
            <w:pPr>
              <w:pStyle w:val="0"/>
            </w:pPr>
            <w:r>
              <w:rPr>
                <w:sz w:val="24"/>
              </w:rPr>
              <w:t xml:space="preserve">Актив относится к активам, стоимость которых определяется с учетом коэффициента снижения стоимости активов</w:t>
            </w:r>
          </w:p>
        </w:tc>
        <w:tc>
          <w:tcPr>
            <w:tcW w:w="2608" w:type="dxa"/>
          </w:tcPr>
          <w:p>
            <w:pPr>
              <w:pStyle w:val="0"/>
            </w:pPr>
            <w:r>
              <w:rPr>
                <w:sz w:val="24"/>
              </w:rPr>
            </w:r>
          </w:p>
        </w:tc>
        <w:tc>
          <w:tcPr>
            <w:tcW w:w="2948" w:type="dxa"/>
          </w:tcPr>
          <w:p>
            <w:pPr>
              <w:pStyle w:val="0"/>
            </w:pPr>
            <w:r>
              <w:rPr>
                <w:sz w:val="24"/>
              </w:rPr>
              <w:t xml:space="preserve">ins-dic:AktivSootvTrebPp7.92.1P7.92PolN781PEnumerator</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Актив является цифровым рублем</w:t>
            </w:r>
          </w:p>
        </w:tc>
        <w:tc>
          <w:tcPr>
            <w:tcW w:w="2608" w:type="dxa"/>
          </w:tcPr>
          <w:p>
            <w:pPr>
              <w:pStyle w:val="0"/>
            </w:pPr>
            <w:r>
              <w:rPr>
                <w:sz w:val="24"/>
              </w:rPr>
            </w:r>
          </w:p>
        </w:tc>
        <w:tc>
          <w:tcPr>
            <w:tcW w:w="2948" w:type="dxa"/>
          </w:tcPr>
          <w:p>
            <w:pPr>
              <w:pStyle w:val="0"/>
            </w:pPr>
            <w:r>
              <w:rPr>
                <w:sz w:val="24"/>
              </w:rPr>
              <w:t xml:space="preserve">ins-dic:AktivYAvlCZifrovymRublEnumerator</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7</w:t>
            </w:r>
          </w:p>
        </w:tc>
        <w:tc>
          <w:tcPr>
            <w:tcW w:w="2608" w:type="dxa"/>
          </w:tcPr>
          <w:p>
            <w:pPr>
              <w:pStyle w:val="0"/>
            </w:pPr>
            <w:r>
              <w:rPr>
                <w:sz w:val="24"/>
              </w:rPr>
              <w:t xml:space="preserve">Актив является цифровым финансовым активом, цифровой валютой</w:t>
            </w:r>
          </w:p>
        </w:tc>
        <w:tc>
          <w:tcPr>
            <w:tcW w:w="2608" w:type="dxa"/>
          </w:tcPr>
          <w:p>
            <w:pPr>
              <w:pStyle w:val="0"/>
            </w:pPr>
            <w:r>
              <w:rPr>
                <w:sz w:val="24"/>
              </w:rPr>
            </w:r>
          </w:p>
        </w:tc>
        <w:tc>
          <w:tcPr>
            <w:tcW w:w="2948" w:type="dxa"/>
          </w:tcPr>
          <w:p>
            <w:pPr>
              <w:pStyle w:val="0"/>
            </w:pPr>
            <w:r>
              <w:rPr>
                <w:sz w:val="24"/>
              </w:rPr>
              <w:t xml:space="preserve">ins-dic:AktivYavlCzifrFinAktivCzifrValyutojEnumerator</w:t>
            </w:r>
          </w:p>
        </w:tc>
      </w:tr>
      <w:tr>
        <w:tc>
          <w:tcPr>
            <w:tcW w:w="907" w:type="dxa"/>
          </w:tcPr>
          <w:p>
            <w:pPr>
              <w:pStyle w:val="0"/>
            </w:pPr>
            <w:r>
              <w:rPr>
                <w:sz w:val="24"/>
              </w:rPr>
              <w:t xml:space="preserve">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8</w:t>
            </w:r>
          </w:p>
        </w:tc>
        <w:tc>
          <w:tcPr>
            <w:tcW w:w="2608" w:type="dxa"/>
          </w:tcPr>
          <w:p>
            <w:pPr>
              <w:pStyle w:val="0"/>
            </w:pPr>
            <w:r>
              <w:rPr>
                <w:sz w:val="24"/>
              </w:rPr>
              <w:t xml:space="preserve">Вид депозита</w:t>
            </w:r>
          </w:p>
        </w:tc>
        <w:tc>
          <w:tcPr>
            <w:tcW w:w="2608" w:type="dxa"/>
          </w:tcPr>
          <w:p>
            <w:pPr>
              <w:pStyle w:val="0"/>
            </w:pPr>
            <w:r>
              <w:rPr>
                <w:sz w:val="24"/>
              </w:rPr>
            </w:r>
          </w:p>
        </w:tc>
        <w:tc>
          <w:tcPr>
            <w:tcW w:w="2948" w:type="dxa"/>
          </w:tcPr>
          <w:p>
            <w:pPr>
              <w:pStyle w:val="0"/>
            </w:pPr>
            <w:r>
              <w:rPr>
                <w:sz w:val="24"/>
              </w:rPr>
              <w:t xml:space="preserve">ins-dic:VidDepozEnumerator</w:t>
            </w:r>
          </w:p>
        </w:tc>
      </w:tr>
      <w:tr>
        <w:tc>
          <w:tcPr>
            <w:tcW w:w="907" w:type="dxa"/>
          </w:tcPr>
          <w:p>
            <w:pPr>
              <w:pStyle w:val="0"/>
            </w:pPr>
            <w:r>
              <w:rPr>
                <w:sz w:val="24"/>
              </w:rPr>
              <w:t xml:space="preserve">8.1</w:t>
            </w:r>
          </w:p>
        </w:tc>
        <w:tc>
          <w:tcPr>
            <w:tcW w:w="2608" w:type="dxa"/>
          </w:tcPr>
          <w:p>
            <w:pPr>
              <w:pStyle w:val="0"/>
            </w:pPr>
            <w:r>
              <w:rPr>
                <w:sz w:val="24"/>
              </w:rPr>
            </w:r>
          </w:p>
        </w:tc>
        <w:tc>
          <w:tcPr>
            <w:tcW w:w="2608" w:type="dxa"/>
          </w:tcPr>
          <w:p>
            <w:pPr>
              <w:pStyle w:val="0"/>
            </w:pPr>
            <w:r>
              <w:rPr>
                <w:sz w:val="24"/>
              </w:rPr>
              <w:t xml:space="preserve">Срочный, удостоверенный депозитным сертификатом</w:t>
            </w:r>
          </w:p>
        </w:tc>
        <w:tc>
          <w:tcPr>
            <w:tcW w:w="2948" w:type="dxa"/>
          </w:tcPr>
          <w:p>
            <w:pPr>
              <w:pStyle w:val="0"/>
            </w:pPr>
            <w:r>
              <w:rPr>
                <w:sz w:val="24"/>
              </w:rPr>
              <w:t xml:space="preserve">mem-int:SrochUdostDepSertMember</w:t>
            </w:r>
          </w:p>
        </w:tc>
      </w:tr>
      <w:tr>
        <w:tc>
          <w:tcPr>
            <w:tcW w:w="907" w:type="dxa"/>
          </w:tcPr>
          <w:p>
            <w:pPr>
              <w:pStyle w:val="0"/>
            </w:pPr>
            <w:r>
              <w:rPr>
                <w:sz w:val="24"/>
              </w:rPr>
              <w:t xml:space="preserve">8.2</w:t>
            </w:r>
          </w:p>
        </w:tc>
        <w:tc>
          <w:tcPr>
            <w:tcW w:w="2608" w:type="dxa"/>
          </w:tcPr>
          <w:p>
            <w:pPr>
              <w:pStyle w:val="0"/>
            </w:pPr>
            <w:r>
              <w:rPr>
                <w:sz w:val="24"/>
              </w:rPr>
            </w:r>
          </w:p>
        </w:tc>
        <w:tc>
          <w:tcPr>
            <w:tcW w:w="2608" w:type="dxa"/>
          </w:tcPr>
          <w:p>
            <w:pPr>
              <w:pStyle w:val="0"/>
            </w:pPr>
            <w:r>
              <w:rPr>
                <w:sz w:val="24"/>
              </w:rPr>
              <w:t xml:space="preserve">Срочный, удостоверенный иным документом, кроме депозитного сертификата</w:t>
            </w:r>
          </w:p>
        </w:tc>
        <w:tc>
          <w:tcPr>
            <w:tcW w:w="2948" w:type="dxa"/>
          </w:tcPr>
          <w:p>
            <w:pPr>
              <w:pStyle w:val="0"/>
            </w:pPr>
            <w:r>
              <w:rPr>
                <w:sz w:val="24"/>
              </w:rPr>
              <w:t xml:space="preserve">mem-int:SrochUdostInDokKrDepSertMember</w:t>
            </w:r>
          </w:p>
        </w:tc>
      </w:tr>
      <w:tr>
        <w:tc>
          <w:tcPr>
            <w:tcW w:w="907" w:type="dxa"/>
          </w:tcPr>
          <w:p>
            <w:pPr>
              <w:pStyle w:val="0"/>
            </w:pPr>
            <w:r>
              <w:rPr>
                <w:sz w:val="24"/>
              </w:rPr>
              <w:t xml:space="preserve">8.3</w:t>
            </w:r>
          </w:p>
        </w:tc>
        <w:tc>
          <w:tcPr>
            <w:tcW w:w="2608" w:type="dxa"/>
          </w:tcPr>
          <w:p>
            <w:pPr>
              <w:pStyle w:val="0"/>
            </w:pPr>
            <w:r>
              <w:rPr>
                <w:sz w:val="24"/>
              </w:rPr>
            </w:r>
          </w:p>
        </w:tc>
        <w:tc>
          <w:tcPr>
            <w:tcW w:w="2608" w:type="dxa"/>
          </w:tcPr>
          <w:p>
            <w:pPr>
              <w:pStyle w:val="0"/>
            </w:pPr>
            <w:r>
              <w:rPr>
                <w:sz w:val="24"/>
              </w:rPr>
              <w:t xml:space="preserve">До востребования</w:t>
            </w:r>
          </w:p>
        </w:tc>
        <w:tc>
          <w:tcPr>
            <w:tcW w:w="2948" w:type="dxa"/>
          </w:tcPr>
          <w:p>
            <w:pPr>
              <w:pStyle w:val="0"/>
            </w:pPr>
            <w:r>
              <w:rPr>
                <w:sz w:val="24"/>
              </w:rPr>
              <w:t xml:space="preserve">mem-int:Do_vostrebMember</w:t>
            </w:r>
          </w:p>
        </w:tc>
      </w:tr>
      <w:tr>
        <w:tc>
          <w:tcPr>
            <w:tcW w:w="907" w:type="dxa"/>
          </w:tcPr>
          <w:p>
            <w:pPr>
              <w:pStyle w:val="0"/>
            </w:pPr>
            <w:r>
              <w:rPr>
                <w:sz w:val="24"/>
              </w:rPr>
              <w:t xml:space="preserve">8.4</w:t>
            </w:r>
          </w:p>
        </w:tc>
        <w:tc>
          <w:tcPr>
            <w:tcW w:w="2608" w:type="dxa"/>
          </w:tcPr>
          <w:p>
            <w:pPr>
              <w:pStyle w:val="0"/>
            </w:pPr>
            <w:r>
              <w:rPr>
                <w:sz w:val="24"/>
              </w:rPr>
            </w:r>
          </w:p>
        </w:tc>
        <w:tc>
          <w:tcPr>
            <w:tcW w:w="2608" w:type="dxa"/>
          </w:tcPr>
          <w:p>
            <w:pPr>
              <w:pStyle w:val="0"/>
            </w:pPr>
            <w:r>
              <w:rPr>
                <w:sz w:val="24"/>
              </w:rPr>
              <w:t xml:space="preserve">Неснижаемый остаток на расчетном счете</w:t>
            </w:r>
          </w:p>
        </w:tc>
        <w:tc>
          <w:tcPr>
            <w:tcW w:w="2948" w:type="dxa"/>
          </w:tcPr>
          <w:p>
            <w:pPr>
              <w:pStyle w:val="0"/>
            </w:pPr>
            <w:r>
              <w:rPr>
                <w:sz w:val="24"/>
              </w:rPr>
              <w:t xml:space="preserve">mem-int:NesnizhOstRaschShhMember</w:t>
            </w:r>
          </w:p>
        </w:tc>
      </w:tr>
      <w:tr>
        <w:tc>
          <w:tcPr>
            <w:tcW w:w="907" w:type="dxa"/>
          </w:tcPr>
          <w:p>
            <w:pPr>
              <w:pStyle w:val="0"/>
            </w:pPr>
            <w:r>
              <w:rPr>
                <w:sz w:val="24"/>
              </w:rPr>
              <w:t xml:space="preserve">9</w:t>
            </w:r>
          </w:p>
        </w:tc>
        <w:tc>
          <w:tcPr>
            <w:tcW w:w="2608" w:type="dxa"/>
          </w:tcPr>
          <w:p>
            <w:pPr>
              <w:pStyle w:val="0"/>
            </w:pPr>
            <w:r>
              <w:rPr>
                <w:sz w:val="24"/>
              </w:rPr>
              <w:t xml:space="preserve">Вид рынка ценных бумаг, на котором обращается ценная бумага</w:t>
            </w:r>
          </w:p>
        </w:tc>
        <w:tc>
          <w:tcPr>
            <w:tcW w:w="2608" w:type="dxa"/>
          </w:tcPr>
          <w:p>
            <w:pPr>
              <w:pStyle w:val="0"/>
            </w:pPr>
            <w:r>
              <w:rPr>
                <w:sz w:val="24"/>
              </w:rPr>
            </w:r>
          </w:p>
        </w:tc>
        <w:tc>
          <w:tcPr>
            <w:tcW w:w="2948" w:type="dxa"/>
          </w:tcPr>
          <w:p>
            <w:pPr>
              <w:pStyle w:val="0"/>
            </w:pPr>
            <w:r>
              <w:rPr>
                <w:sz w:val="24"/>
              </w:rPr>
              <w:t xml:space="preserve">ins-dic:VidRynkaCBEnumerator</w:t>
            </w:r>
          </w:p>
        </w:tc>
      </w:tr>
      <w:tr>
        <w:tc>
          <w:tcPr>
            <w:tcW w:w="907" w:type="dxa"/>
          </w:tcPr>
          <w:p>
            <w:pPr>
              <w:pStyle w:val="0"/>
            </w:pPr>
            <w:r>
              <w:rPr>
                <w:sz w:val="24"/>
              </w:rPr>
              <w:t xml:space="preserve">9.1</w:t>
            </w:r>
          </w:p>
        </w:tc>
        <w:tc>
          <w:tcPr>
            <w:tcW w:w="2608" w:type="dxa"/>
          </w:tcPr>
          <w:p>
            <w:pPr>
              <w:pStyle w:val="0"/>
            </w:pPr>
            <w:r>
              <w:rPr>
                <w:sz w:val="24"/>
              </w:rPr>
            </w:r>
          </w:p>
        </w:tc>
        <w:tc>
          <w:tcPr>
            <w:tcW w:w="2608" w:type="dxa"/>
          </w:tcPr>
          <w:p>
            <w:pPr>
              <w:pStyle w:val="0"/>
            </w:pPr>
            <w:r>
              <w:rPr>
                <w:sz w:val="24"/>
              </w:rPr>
              <w:t xml:space="preserve">Биржевой рынок</w:t>
            </w:r>
          </w:p>
        </w:tc>
        <w:tc>
          <w:tcPr>
            <w:tcW w:w="2948" w:type="dxa"/>
          </w:tcPr>
          <w:p>
            <w:pPr>
              <w:pStyle w:val="0"/>
            </w:pPr>
            <w:r>
              <w:rPr>
                <w:sz w:val="24"/>
              </w:rPr>
              <w:t xml:space="preserve">mem-int:BirzhevojRynokMember</w:t>
            </w:r>
          </w:p>
        </w:tc>
      </w:tr>
      <w:tr>
        <w:tc>
          <w:tcPr>
            <w:tcW w:w="907" w:type="dxa"/>
          </w:tcPr>
          <w:p>
            <w:pPr>
              <w:pStyle w:val="0"/>
            </w:pPr>
            <w:r>
              <w:rPr>
                <w:sz w:val="24"/>
              </w:rPr>
              <w:t xml:space="preserve">9.2</w:t>
            </w:r>
          </w:p>
        </w:tc>
        <w:tc>
          <w:tcPr>
            <w:tcW w:w="2608" w:type="dxa"/>
          </w:tcPr>
          <w:p>
            <w:pPr>
              <w:pStyle w:val="0"/>
            </w:pPr>
            <w:r>
              <w:rPr>
                <w:sz w:val="24"/>
              </w:rPr>
            </w:r>
          </w:p>
        </w:tc>
        <w:tc>
          <w:tcPr>
            <w:tcW w:w="2608" w:type="dxa"/>
          </w:tcPr>
          <w:p>
            <w:pPr>
              <w:pStyle w:val="0"/>
            </w:pPr>
            <w:r>
              <w:rPr>
                <w:sz w:val="24"/>
              </w:rPr>
              <w:t xml:space="preserve">Внебиржевой рынок</w:t>
            </w:r>
          </w:p>
        </w:tc>
        <w:tc>
          <w:tcPr>
            <w:tcW w:w="2948" w:type="dxa"/>
          </w:tcPr>
          <w:p>
            <w:pPr>
              <w:pStyle w:val="0"/>
            </w:pPr>
            <w:r>
              <w:rPr>
                <w:sz w:val="24"/>
              </w:rPr>
              <w:t xml:space="preserve">mem-int:VnebirzhevojRynokMember</w:t>
            </w:r>
          </w:p>
        </w:tc>
      </w:tr>
      <w:tr>
        <w:tc>
          <w:tcPr>
            <w:tcW w:w="907" w:type="dxa"/>
          </w:tcPr>
          <w:p>
            <w:pPr>
              <w:pStyle w:val="0"/>
            </w:pPr>
            <w:r>
              <w:rPr>
                <w:sz w:val="24"/>
              </w:rPr>
              <w:t xml:space="preserve">10</w:t>
            </w:r>
          </w:p>
        </w:tc>
        <w:tc>
          <w:tcPr>
            <w:tcW w:w="2608" w:type="dxa"/>
          </w:tcPr>
          <w:p>
            <w:pPr>
              <w:pStyle w:val="0"/>
            </w:pPr>
            <w:r>
              <w:rPr>
                <w:sz w:val="24"/>
              </w:rPr>
              <w:t xml:space="preserve">Вид структурной сделки</w:t>
            </w:r>
          </w:p>
        </w:tc>
        <w:tc>
          <w:tcPr>
            <w:tcW w:w="2608" w:type="dxa"/>
          </w:tcPr>
          <w:p>
            <w:pPr>
              <w:pStyle w:val="0"/>
            </w:pPr>
            <w:r>
              <w:rPr>
                <w:sz w:val="24"/>
              </w:rPr>
            </w:r>
          </w:p>
        </w:tc>
        <w:tc>
          <w:tcPr>
            <w:tcW w:w="2948" w:type="dxa"/>
          </w:tcPr>
          <w:p>
            <w:pPr>
              <w:pStyle w:val="0"/>
            </w:pPr>
            <w:r>
              <w:rPr>
                <w:sz w:val="24"/>
              </w:rPr>
              <w:t xml:space="preserve">ins-dic:VidStrSdelkiEnumerator</w:t>
            </w:r>
          </w:p>
        </w:tc>
      </w:tr>
      <w:tr>
        <w:tc>
          <w:tcPr>
            <w:tcW w:w="907" w:type="dxa"/>
          </w:tcPr>
          <w:p>
            <w:pPr>
              <w:pStyle w:val="0"/>
            </w:pPr>
            <w:r>
              <w:rPr>
                <w:sz w:val="24"/>
              </w:rPr>
              <w:t xml:space="preserve">10.1</w:t>
            </w:r>
          </w:p>
        </w:tc>
        <w:tc>
          <w:tcPr>
            <w:tcW w:w="2608" w:type="dxa"/>
          </w:tcPr>
          <w:p>
            <w:pPr>
              <w:pStyle w:val="0"/>
            </w:pPr>
            <w:r>
              <w:rPr>
                <w:sz w:val="24"/>
              </w:rPr>
            </w:r>
          </w:p>
        </w:tc>
        <w:tc>
          <w:tcPr>
            <w:tcW w:w="2608" w:type="dxa"/>
          </w:tcPr>
          <w:p>
            <w:pPr>
              <w:pStyle w:val="0"/>
            </w:pPr>
            <w:r>
              <w:rPr>
                <w:sz w:val="24"/>
              </w:rPr>
              <w:t xml:space="preserve">Форвард</w:t>
            </w:r>
          </w:p>
        </w:tc>
        <w:tc>
          <w:tcPr>
            <w:tcW w:w="2948" w:type="dxa"/>
          </w:tcPr>
          <w:p>
            <w:pPr>
              <w:pStyle w:val="0"/>
            </w:pPr>
            <w:r>
              <w:rPr>
                <w:sz w:val="24"/>
              </w:rPr>
              <w:t xml:space="preserve">mem-int:ForvardMember</w:t>
            </w:r>
          </w:p>
        </w:tc>
      </w:tr>
      <w:tr>
        <w:tc>
          <w:tcPr>
            <w:tcW w:w="907" w:type="dxa"/>
          </w:tcPr>
          <w:p>
            <w:pPr>
              <w:pStyle w:val="0"/>
            </w:pPr>
            <w:r>
              <w:rPr>
                <w:sz w:val="24"/>
              </w:rPr>
              <w:t xml:space="preserve">10.2</w:t>
            </w:r>
          </w:p>
        </w:tc>
        <w:tc>
          <w:tcPr>
            <w:tcW w:w="2608" w:type="dxa"/>
          </w:tcPr>
          <w:p>
            <w:pPr>
              <w:pStyle w:val="0"/>
            </w:pPr>
            <w:r>
              <w:rPr>
                <w:sz w:val="24"/>
              </w:rPr>
            </w:r>
          </w:p>
        </w:tc>
        <w:tc>
          <w:tcPr>
            <w:tcW w:w="2608" w:type="dxa"/>
          </w:tcPr>
          <w:p>
            <w:pPr>
              <w:pStyle w:val="0"/>
            </w:pPr>
            <w:r>
              <w:rPr>
                <w:sz w:val="24"/>
              </w:rPr>
              <w:t xml:space="preserve">Опцион "на продажу" (put)</w:t>
            </w:r>
          </w:p>
        </w:tc>
        <w:tc>
          <w:tcPr>
            <w:tcW w:w="2948" w:type="dxa"/>
          </w:tcPr>
          <w:p>
            <w:pPr>
              <w:pStyle w:val="0"/>
            </w:pPr>
            <w:r>
              <w:rPr>
                <w:sz w:val="24"/>
              </w:rPr>
              <w:t xml:space="preserve">mem-int:OpczionPutMember</w:t>
            </w:r>
          </w:p>
        </w:tc>
      </w:tr>
      <w:tr>
        <w:tc>
          <w:tcPr>
            <w:tcW w:w="907" w:type="dxa"/>
          </w:tcPr>
          <w:p>
            <w:pPr>
              <w:pStyle w:val="0"/>
            </w:pPr>
            <w:r>
              <w:rPr>
                <w:sz w:val="24"/>
              </w:rPr>
              <w:t xml:space="preserve">10.3</w:t>
            </w:r>
          </w:p>
        </w:tc>
        <w:tc>
          <w:tcPr>
            <w:tcW w:w="2608" w:type="dxa"/>
          </w:tcPr>
          <w:p>
            <w:pPr>
              <w:pStyle w:val="0"/>
            </w:pPr>
            <w:r>
              <w:rPr>
                <w:sz w:val="24"/>
              </w:rPr>
            </w:r>
          </w:p>
        </w:tc>
        <w:tc>
          <w:tcPr>
            <w:tcW w:w="2608" w:type="dxa"/>
          </w:tcPr>
          <w:p>
            <w:pPr>
              <w:pStyle w:val="0"/>
            </w:pPr>
            <w:r>
              <w:rPr>
                <w:sz w:val="24"/>
              </w:rPr>
              <w:t xml:space="preserve">Опцион "на покупку" (call)</w:t>
            </w:r>
          </w:p>
        </w:tc>
        <w:tc>
          <w:tcPr>
            <w:tcW w:w="2948" w:type="dxa"/>
          </w:tcPr>
          <w:p>
            <w:pPr>
              <w:pStyle w:val="0"/>
            </w:pPr>
            <w:r>
              <w:rPr>
                <w:sz w:val="24"/>
              </w:rPr>
              <w:t xml:space="preserve">mem-int:OpczionKolMember</w:t>
            </w:r>
          </w:p>
        </w:tc>
      </w:tr>
      <w:tr>
        <w:tc>
          <w:tcPr>
            <w:tcW w:w="907" w:type="dxa"/>
          </w:tcPr>
          <w:p>
            <w:pPr>
              <w:pStyle w:val="0"/>
            </w:pPr>
            <w:r>
              <w:rPr>
                <w:sz w:val="24"/>
              </w:rPr>
              <w:t xml:space="preserve">10.4</w:t>
            </w:r>
          </w:p>
        </w:tc>
        <w:tc>
          <w:tcPr>
            <w:tcW w:w="2608" w:type="dxa"/>
          </w:tcPr>
          <w:p>
            <w:pPr>
              <w:pStyle w:val="0"/>
            </w:pPr>
            <w:r>
              <w:rPr>
                <w:sz w:val="24"/>
              </w:rPr>
            </w:r>
          </w:p>
        </w:tc>
        <w:tc>
          <w:tcPr>
            <w:tcW w:w="2608" w:type="dxa"/>
          </w:tcPr>
          <w:p>
            <w:pPr>
              <w:pStyle w:val="0"/>
            </w:pPr>
            <w:r>
              <w:rPr>
                <w:sz w:val="24"/>
              </w:rPr>
              <w:t xml:space="preserve">Фьючерс</w:t>
            </w:r>
          </w:p>
        </w:tc>
        <w:tc>
          <w:tcPr>
            <w:tcW w:w="2948" w:type="dxa"/>
          </w:tcPr>
          <w:p>
            <w:pPr>
              <w:pStyle w:val="0"/>
            </w:pPr>
            <w:r>
              <w:rPr>
                <w:sz w:val="24"/>
              </w:rPr>
              <w:t xml:space="preserve">mem-int:FyuchersMember</w:t>
            </w:r>
          </w:p>
        </w:tc>
      </w:tr>
      <w:tr>
        <w:tc>
          <w:tcPr>
            <w:tcW w:w="907" w:type="dxa"/>
          </w:tcPr>
          <w:p>
            <w:pPr>
              <w:pStyle w:val="0"/>
            </w:pPr>
            <w:r>
              <w:rPr>
                <w:sz w:val="24"/>
              </w:rPr>
              <w:t xml:space="preserve">10.5</w:t>
            </w:r>
          </w:p>
        </w:tc>
        <w:tc>
          <w:tcPr>
            <w:tcW w:w="2608" w:type="dxa"/>
          </w:tcPr>
          <w:p>
            <w:pPr>
              <w:pStyle w:val="0"/>
            </w:pPr>
            <w:r>
              <w:rPr>
                <w:sz w:val="24"/>
              </w:rPr>
            </w:r>
          </w:p>
        </w:tc>
        <w:tc>
          <w:tcPr>
            <w:tcW w:w="2608" w:type="dxa"/>
          </w:tcPr>
          <w:p>
            <w:pPr>
              <w:pStyle w:val="0"/>
            </w:pPr>
            <w:r>
              <w:rPr>
                <w:sz w:val="24"/>
              </w:rPr>
              <w:t xml:space="preserve">Своп</w:t>
            </w:r>
          </w:p>
        </w:tc>
        <w:tc>
          <w:tcPr>
            <w:tcW w:w="2948" w:type="dxa"/>
          </w:tcPr>
          <w:p>
            <w:pPr>
              <w:pStyle w:val="0"/>
            </w:pPr>
            <w:r>
              <w:rPr>
                <w:sz w:val="24"/>
              </w:rPr>
              <w:t xml:space="preserve">mem-int:SvopMember</w:t>
            </w:r>
          </w:p>
        </w:tc>
      </w:tr>
      <w:tr>
        <w:tc>
          <w:tcPr>
            <w:tcW w:w="907" w:type="dxa"/>
          </w:tcPr>
          <w:p>
            <w:pPr>
              <w:pStyle w:val="0"/>
            </w:pPr>
            <w:r>
              <w:rPr>
                <w:sz w:val="24"/>
              </w:rPr>
              <w:t xml:space="preserve">10.6</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10.7</w:t>
            </w:r>
          </w:p>
        </w:tc>
        <w:tc>
          <w:tcPr>
            <w:tcW w:w="2608" w:type="dxa"/>
          </w:tcPr>
          <w:p>
            <w:pPr>
              <w:pStyle w:val="0"/>
            </w:pPr>
            <w:r>
              <w:rPr>
                <w:sz w:val="24"/>
              </w:rPr>
            </w:r>
          </w:p>
        </w:tc>
        <w:tc>
          <w:tcPr>
            <w:tcW w:w="2608" w:type="dxa"/>
          </w:tcPr>
          <w:p>
            <w:pPr>
              <w:pStyle w:val="0"/>
            </w:pPr>
            <w:r>
              <w:rPr>
                <w:sz w:val="24"/>
              </w:rPr>
              <w:t xml:space="preserve">Не является производным финансовым инструментом</w:t>
            </w:r>
          </w:p>
        </w:tc>
        <w:tc>
          <w:tcPr>
            <w:tcW w:w="2948" w:type="dxa"/>
          </w:tcPr>
          <w:p>
            <w:pPr>
              <w:pStyle w:val="0"/>
            </w:pPr>
            <w:r>
              <w:rPr>
                <w:sz w:val="24"/>
              </w:rPr>
              <w:t xml:space="preserve">mem-int:NeYavlPFIMember</w:t>
            </w:r>
          </w:p>
        </w:tc>
      </w:tr>
      <w:tr>
        <w:tc>
          <w:tcPr>
            <w:tcW w:w="907" w:type="dxa"/>
          </w:tcPr>
          <w:p>
            <w:pPr>
              <w:pStyle w:val="0"/>
            </w:pPr>
            <w:r>
              <w:rPr>
                <w:sz w:val="24"/>
              </w:rPr>
              <w:t xml:space="preserve">11</w:t>
            </w:r>
          </w:p>
        </w:tc>
        <w:tc>
          <w:tcPr>
            <w:tcW w:w="2608" w:type="dxa"/>
          </w:tcPr>
          <w:p>
            <w:pPr>
              <w:pStyle w:val="0"/>
            </w:pPr>
            <w:r>
              <w:rPr>
                <w:sz w:val="24"/>
              </w:rPr>
              <w:t xml:space="preserve">Включен в расчет нормативного соотношения собственных средств (капитала) и принятых обязательств</w:t>
            </w:r>
          </w:p>
        </w:tc>
        <w:tc>
          <w:tcPr>
            <w:tcW w:w="2608" w:type="dxa"/>
          </w:tcPr>
          <w:p>
            <w:pPr>
              <w:pStyle w:val="0"/>
            </w:pPr>
            <w:r>
              <w:rPr>
                <w:sz w:val="24"/>
              </w:rPr>
            </w:r>
          </w:p>
        </w:tc>
        <w:tc>
          <w:tcPr>
            <w:tcW w:w="2948" w:type="dxa"/>
          </w:tcPr>
          <w:p>
            <w:pPr>
              <w:pStyle w:val="0"/>
            </w:pPr>
            <w:r>
              <w:rPr>
                <w:sz w:val="24"/>
              </w:rPr>
              <w:t xml:space="preserve">ins-dic:VklRaschNormSootnSSKapPrinObyazEnumerator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12</w:t>
            </w:r>
          </w:p>
        </w:tc>
        <w:tc>
          <w:tcPr>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12.1</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mem-int:GruppaKredKach01Member</w:t>
            </w:r>
          </w:p>
        </w:tc>
      </w:tr>
      <w:tr>
        <w:tc>
          <w:tcPr>
            <w:tcW w:w="907" w:type="dxa"/>
          </w:tcPr>
          <w:p>
            <w:pPr>
              <w:pStyle w:val="0"/>
            </w:pPr>
            <w:r>
              <w:rPr>
                <w:sz w:val="24"/>
              </w:rPr>
              <w:t xml:space="preserve">12.2</w:t>
            </w:r>
          </w:p>
        </w:tc>
        <w:tc>
          <w:tcPr>
            <w:tcW w:w="2608" w:type="dxa"/>
          </w:tcPr>
          <w:p>
            <w:pPr>
              <w:pStyle w:val="0"/>
            </w:pPr>
            <w:r>
              <w:rPr>
                <w:sz w:val="24"/>
              </w:rPr>
            </w:r>
          </w:p>
        </w:tc>
        <w:tc>
          <w:tcPr>
            <w:tcW w:w="2608" w:type="dxa"/>
          </w:tcPr>
          <w:p>
            <w:pPr>
              <w:pStyle w:val="0"/>
            </w:pPr>
            <w:r>
              <w:rPr>
                <w:sz w:val="24"/>
              </w:rPr>
              <w:t xml:space="preserve">2</w:t>
            </w:r>
          </w:p>
        </w:tc>
        <w:tc>
          <w:tcPr>
            <w:tcW w:w="2948" w:type="dxa"/>
          </w:tcPr>
          <w:p>
            <w:pPr>
              <w:pStyle w:val="0"/>
            </w:pPr>
            <w:r>
              <w:rPr>
                <w:sz w:val="24"/>
              </w:rPr>
              <w:t xml:space="preserve">mem-int:GruppaKredKach02Member</w:t>
            </w:r>
          </w:p>
        </w:tc>
      </w:tr>
      <w:tr>
        <w:tc>
          <w:tcPr>
            <w:tcW w:w="907" w:type="dxa"/>
          </w:tcPr>
          <w:p>
            <w:pPr>
              <w:pStyle w:val="0"/>
            </w:pPr>
            <w:r>
              <w:rPr>
                <w:sz w:val="24"/>
              </w:rPr>
              <w:t xml:space="preserve">12.3</w:t>
            </w:r>
          </w:p>
        </w:tc>
        <w:tc>
          <w:tcPr>
            <w:tcW w:w="2608" w:type="dxa"/>
          </w:tcPr>
          <w:p>
            <w:pPr>
              <w:pStyle w:val="0"/>
            </w:pPr>
            <w:r>
              <w:rPr>
                <w:sz w:val="24"/>
              </w:rPr>
            </w:r>
          </w:p>
        </w:tc>
        <w:tc>
          <w:tcPr>
            <w:tcW w:w="2608" w:type="dxa"/>
          </w:tcPr>
          <w:p>
            <w:pPr>
              <w:pStyle w:val="0"/>
            </w:pPr>
            <w:r>
              <w:rPr>
                <w:sz w:val="24"/>
              </w:rPr>
              <w:t xml:space="preserve">3</w:t>
            </w:r>
          </w:p>
        </w:tc>
        <w:tc>
          <w:tcPr>
            <w:tcW w:w="2948" w:type="dxa"/>
          </w:tcPr>
          <w:p>
            <w:pPr>
              <w:pStyle w:val="0"/>
            </w:pPr>
            <w:r>
              <w:rPr>
                <w:sz w:val="24"/>
              </w:rPr>
              <w:t xml:space="preserve">mem-int:GruppaKredKach03Member</w:t>
            </w:r>
          </w:p>
        </w:tc>
      </w:tr>
      <w:tr>
        <w:tc>
          <w:tcPr>
            <w:tcW w:w="907" w:type="dxa"/>
          </w:tcPr>
          <w:p>
            <w:pPr>
              <w:pStyle w:val="0"/>
            </w:pPr>
            <w:r>
              <w:rPr>
                <w:sz w:val="24"/>
              </w:rPr>
              <w:t xml:space="preserve">12.4</w:t>
            </w:r>
          </w:p>
        </w:tc>
        <w:tc>
          <w:tcPr>
            <w:tcW w:w="2608" w:type="dxa"/>
          </w:tcPr>
          <w:p>
            <w:pPr>
              <w:pStyle w:val="0"/>
            </w:pPr>
            <w:r>
              <w:rPr>
                <w:sz w:val="24"/>
              </w:rPr>
            </w:r>
          </w:p>
        </w:tc>
        <w:tc>
          <w:tcPr>
            <w:tcW w:w="2608" w:type="dxa"/>
          </w:tcPr>
          <w:p>
            <w:pPr>
              <w:pStyle w:val="0"/>
            </w:pPr>
            <w:r>
              <w:rPr>
                <w:sz w:val="24"/>
              </w:rPr>
              <w:t xml:space="preserve">4</w:t>
            </w:r>
          </w:p>
        </w:tc>
        <w:tc>
          <w:tcPr>
            <w:tcW w:w="2948" w:type="dxa"/>
          </w:tcPr>
          <w:p>
            <w:pPr>
              <w:pStyle w:val="0"/>
            </w:pPr>
            <w:r>
              <w:rPr>
                <w:sz w:val="24"/>
              </w:rPr>
              <w:t xml:space="preserve">mem-int:GruppaKredKach04Member</w:t>
            </w:r>
          </w:p>
        </w:tc>
      </w:tr>
      <w:tr>
        <w:tc>
          <w:tcPr>
            <w:tcW w:w="907" w:type="dxa"/>
          </w:tcPr>
          <w:p>
            <w:pPr>
              <w:pStyle w:val="0"/>
            </w:pPr>
            <w:r>
              <w:rPr>
                <w:sz w:val="24"/>
              </w:rPr>
              <w:t xml:space="preserve">12.5</w:t>
            </w:r>
          </w:p>
        </w:tc>
        <w:tc>
          <w:tcPr>
            <w:tcW w:w="2608" w:type="dxa"/>
          </w:tcPr>
          <w:p>
            <w:pPr>
              <w:pStyle w:val="0"/>
            </w:pPr>
            <w:r>
              <w:rPr>
                <w:sz w:val="24"/>
              </w:rPr>
            </w:r>
          </w:p>
        </w:tc>
        <w:tc>
          <w:tcPr>
            <w:tcW w:w="2608" w:type="dxa"/>
          </w:tcPr>
          <w:p>
            <w:pPr>
              <w:pStyle w:val="0"/>
            </w:pPr>
            <w:r>
              <w:rPr>
                <w:sz w:val="24"/>
              </w:rPr>
              <w:t xml:space="preserve">5</w:t>
            </w:r>
          </w:p>
        </w:tc>
        <w:tc>
          <w:tcPr>
            <w:tcW w:w="2948" w:type="dxa"/>
          </w:tcPr>
          <w:p>
            <w:pPr>
              <w:pStyle w:val="0"/>
            </w:pPr>
            <w:r>
              <w:rPr>
                <w:sz w:val="24"/>
              </w:rPr>
              <w:t xml:space="preserve">mem-int:GruppaKredKach05Member</w:t>
            </w:r>
          </w:p>
        </w:tc>
      </w:tr>
      <w:tr>
        <w:tc>
          <w:tcPr>
            <w:tcW w:w="907" w:type="dxa"/>
          </w:tcPr>
          <w:p>
            <w:pPr>
              <w:pStyle w:val="0"/>
            </w:pPr>
            <w:r>
              <w:rPr>
                <w:sz w:val="24"/>
              </w:rPr>
              <w:t xml:space="preserve">12.6</w:t>
            </w:r>
          </w:p>
        </w:tc>
        <w:tc>
          <w:tcPr>
            <w:tcW w:w="2608" w:type="dxa"/>
          </w:tcPr>
          <w:p>
            <w:pPr>
              <w:pStyle w:val="0"/>
            </w:pPr>
            <w:r>
              <w:rPr>
                <w:sz w:val="24"/>
              </w:rPr>
            </w:r>
          </w:p>
        </w:tc>
        <w:tc>
          <w:tcPr>
            <w:tcW w:w="2608" w:type="dxa"/>
          </w:tcPr>
          <w:p>
            <w:pPr>
              <w:pStyle w:val="0"/>
            </w:pPr>
            <w:r>
              <w:rPr>
                <w:sz w:val="24"/>
              </w:rPr>
              <w:t xml:space="preserve">6</w:t>
            </w:r>
          </w:p>
        </w:tc>
        <w:tc>
          <w:tcPr>
            <w:tcW w:w="2948" w:type="dxa"/>
          </w:tcPr>
          <w:p>
            <w:pPr>
              <w:pStyle w:val="0"/>
            </w:pPr>
            <w:r>
              <w:rPr>
                <w:sz w:val="24"/>
              </w:rPr>
              <w:t xml:space="preserve">mem-int:GruppaKredKach06Member</w:t>
            </w:r>
          </w:p>
        </w:tc>
      </w:tr>
      <w:tr>
        <w:tc>
          <w:tcPr>
            <w:tcW w:w="907" w:type="dxa"/>
          </w:tcPr>
          <w:p>
            <w:pPr>
              <w:pStyle w:val="0"/>
            </w:pPr>
            <w:r>
              <w:rPr>
                <w:sz w:val="24"/>
              </w:rPr>
              <w:t xml:space="preserve">12.7</w:t>
            </w:r>
          </w:p>
        </w:tc>
        <w:tc>
          <w:tcPr>
            <w:tcW w:w="2608" w:type="dxa"/>
          </w:tcPr>
          <w:p>
            <w:pPr>
              <w:pStyle w:val="0"/>
            </w:pPr>
            <w:r>
              <w:rPr>
                <w:sz w:val="24"/>
              </w:rPr>
            </w:r>
          </w:p>
        </w:tc>
        <w:tc>
          <w:tcPr>
            <w:tcW w:w="2608" w:type="dxa"/>
          </w:tcPr>
          <w:p>
            <w:pPr>
              <w:pStyle w:val="0"/>
            </w:pPr>
            <w:r>
              <w:rPr>
                <w:sz w:val="24"/>
              </w:rPr>
              <w:t xml:space="preserve">7</w:t>
            </w:r>
          </w:p>
        </w:tc>
        <w:tc>
          <w:tcPr>
            <w:tcW w:w="2948" w:type="dxa"/>
          </w:tcPr>
          <w:p>
            <w:pPr>
              <w:pStyle w:val="0"/>
            </w:pPr>
            <w:r>
              <w:rPr>
                <w:sz w:val="24"/>
              </w:rPr>
              <w:t xml:space="preserve">mem-int:GruppaKredKach07Member</w:t>
            </w:r>
          </w:p>
        </w:tc>
      </w:tr>
      <w:tr>
        <w:tc>
          <w:tcPr>
            <w:tcW w:w="907" w:type="dxa"/>
          </w:tcPr>
          <w:p>
            <w:pPr>
              <w:pStyle w:val="0"/>
            </w:pPr>
            <w:r>
              <w:rPr>
                <w:sz w:val="24"/>
              </w:rPr>
              <w:t xml:space="preserve">12.8</w:t>
            </w:r>
          </w:p>
        </w:tc>
        <w:tc>
          <w:tcPr>
            <w:tcW w:w="2608" w:type="dxa"/>
          </w:tcPr>
          <w:p>
            <w:pPr>
              <w:pStyle w:val="0"/>
            </w:pPr>
            <w:r>
              <w:rPr>
                <w:sz w:val="24"/>
              </w:rPr>
            </w:r>
          </w:p>
        </w:tc>
        <w:tc>
          <w:tcPr>
            <w:tcW w:w="2608" w:type="dxa"/>
          </w:tcPr>
          <w:p>
            <w:pPr>
              <w:pStyle w:val="0"/>
            </w:pPr>
            <w:r>
              <w:rPr>
                <w:sz w:val="24"/>
              </w:rPr>
              <w:t xml:space="preserve">8</w:t>
            </w:r>
          </w:p>
        </w:tc>
        <w:tc>
          <w:tcPr>
            <w:tcW w:w="2948" w:type="dxa"/>
          </w:tcPr>
          <w:p>
            <w:pPr>
              <w:pStyle w:val="0"/>
            </w:pPr>
            <w:r>
              <w:rPr>
                <w:sz w:val="24"/>
              </w:rPr>
              <w:t xml:space="preserve">mem-int:GruppaKredKach08Member</w:t>
            </w:r>
          </w:p>
        </w:tc>
      </w:tr>
      <w:tr>
        <w:tc>
          <w:tcPr>
            <w:tcW w:w="907" w:type="dxa"/>
          </w:tcPr>
          <w:p>
            <w:pPr>
              <w:pStyle w:val="0"/>
            </w:pPr>
            <w:r>
              <w:rPr>
                <w:sz w:val="24"/>
              </w:rPr>
              <w:t xml:space="preserve">12.9</w:t>
            </w:r>
          </w:p>
        </w:tc>
        <w:tc>
          <w:tcPr>
            <w:tcW w:w="2608" w:type="dxa"/>
          </w:tcPr>
          <w:p>
            <w:pPr>
              <w:pStyle w:val="0"/>
            </w:pPr>
            <w:r>
              <w:rPr>
                <w:sz w:val="24"/>
              </w:rPr>
            </w:r>
          </w:p>
        </w:tc>
        <w:tc>
          <w:tcPr>
            <w:tcW w:w="2608" w:type="dxa"/>
          </w:tcPr>
          <w:p>
            <w:pPr>
              <w:pStyle w:val="0"/>
            </w:pPr>
            <w:r>
              <w:rPr>
                <w:sz w:val="24"/>
              </w:rPr>
              <w:t xml:space="preserve">9</w:t>
            </w:r>
          </w:p>
        </w:tc>
        <w:tc>
          <w:tcPr>
            <w:tcW w:w="2948" w:type="dxa"/>
          </w:tcPr>
          <w:p>
            <w:pPr>
              <w:pStyle w:val="0"/>
            </w:pPr>
            <w:r>
              <w:rPr>
                <w:sz w:val="24"/>
              </w:rPr>
              <w:t xml:space="preserve">mem-int:GruppaKredKach09Member</w:t>
            </w:r>
          </w:p>
        </w:tc>
      </w:tr>
      <w:tr>
        <w:tc>
          <w:tcPr>
            <w:tcW w:w="907" w:type="dxa"/>
          </w:tcPr>
          <w:p>
            <w:pPr>
              <w:pStyle w:val="0"/>
            </w:pPr>
            <w:r>
              <w:rPr>
                <w:sz w:val="24"/>
              </w:rPr>
              <w:t xml:space="preserve">12.10</w:t>
            </w:r>
          </w:p>
        </w:tc>
        <w:tc>
          <w:tcPr>
            <w:tcW w:w="2608" w:type="dxa"/>
          </w:tcPr>
          <w:p>
            <w:pPr>
              <w:pStyle w:val="0"/>
            </w:pPr>
            <w:r>
              <w:rPr>
                <w:sz w:val="24"/>
              </w:rPr>
            </w:r>
          </w:p>
        </w:tc>
        <w:tc>
          <w:tcPr>
            <w:tcW w:w="2608" w:type="dxa"/>
          </w:tcPr>
          <w:p>
            <w:pPr>
              <w:pStyle w:val="0"/>
            </w:pPr>
            <w:r>
              <w:rPr>
                <w:sz w:val="24"/>
              </w:rPr>
              <w:t xml:space="preserve">10</w:t>
            </w:r>
          </w:p>
        </w:tc>
        <w:tc>
          <w:tcPr>
            <w:tcW w:w="2948" w:type="dxa"/>
          </w:tcPr>
          <w:p>
            <w:pPr>
              <w:pStyle w:val="0"/>
            </w:pPr>
            <w:r>
              <w:rPr>
                <w:sz w:val="24"/>
              </w:rPr>
              <w:t xml:space="preserve">mem-int:GruppaKredKach10Member</w:t>
            </w:r>
          </w:p>
        </w:tc>
      </w:tr>
      <w:tr>
        <w:tc>
          <w:tcPr>
            <w:tcW w:w="907" w:type="dxa"/>
          </w:tcPr>
          <w:p>
            <w:pPr>
              <w:pStyle w:val="0"/>
            </w:pPr>
            <w:r>
              <w:rPr>
                <w:sz w:val="24"/>
              </w:rPr>
              <w:t xml:space="preserve">12.11</w:t>
            </w:r>
          </w:p>
        </w:tc>
        <w:tc>
          <w:tcPr>
            <w:tcW w:w="2608" w:type="dxa"/>
          </w:tcPr>
          <w:p>
            <w:pPr>
              <w:pStyle w:val="0"/>
            </w:pPr>
            <w:r>
              <w:rPr>
                <w:sz w:val="24"/>
              </w:rPr>
            </w:r>
          </w:p>
        </w:tc>
        <w:tc>
          <w:tcPr>
            <w:tcW w:w="2608" w:type="dxa"/>
          </w:tcPr>
          <w:p>
            <w:pPr>
              <w:pStyle w:val="0"/>
            </w:pPr>
            <w:r>
              <w:rPr>
                <w:sz w:val="24"/>
              </w:rPr>
              <w:t xml:space="preserve">11</w:t>
            </w:r>
          </w:p>
        </w:tc>
        <w:tc>
          <w:tcPr>
            <w:tcW w:w="2948" w:type="dxa"/>
          </w:tcPr>
          <w:p>
            <w:pPr>
              <w:pStyle w:val="0"/>
            </w:pPr>
            <w:r>
              <w:rPr>
                <w:sz w:val="24"/>
              </w:rPr>
              <w:t xml:space="preserve">mem-int:GruppaKredKach11Member</w:t>
            </w:r>
          </w:p>
        </w:tc>
      </w:tr>
      <w:tr>
        <w:tc>
          <w:tcPr>
            <w:tcW w:w="907" w:type="dxa"/>
          </w:tcPr>
          <w:p>
            <w:pPr>
              <w:pStyle w:val="0"/>
            </w:pPr>
            <w:r>
              <w:rPr>
                <w:sz w:val="24"/>
              </w:rPr>
              <w:t xml:space="preserve">12.12</w:t>
            </w:r>
          </w:p>
        </w:tc>
        <w:tc>
          <w:tcPr>
            <w:tcW w:w="2608" w:type="dxa"/>
          </w:tcPr>
          <w:p>
            <w:pPr>
              <w:pStyle w:val="0"/>
            </w:pPr>
            <w:r>
              <w:rPr>
                <w:sz w:val="24"/>
              </w:rPr>
            </w:r>
          </w:p>
        </w:tc>
        <w:tc>
          <w:tcPr>
            <w:tcW w:w="2608" w:type="dxa"/>
          </w:tcPr>
          <w:p>
            <w:pPr>
              <w:pStyle w:val="0"/>
            </w:pPr>
            <w:r>
              <w:rPr>
                <w:sz w:val="24"/>
              </w:rPr>
              <w:t xml:space="preserve">12</w:t>
            </w:r>
          </w:p>
        </w:tc>
        <w:tc>
          <w:tcPr>
            <w:tcW w:w="2948" w:type="dxa"/>
          </w:tcPr>
          <w:p>
            <w:pPr>
              <w:pStyle w:val="0"/>
            </w:pPr>
            <w:r>
              <w:rPr>
                <w:sz w:val="24"/>
              </w:rPr>
              <w:t xml:space="preserve">mem-int:GruppaKredKach12Member</w:t>
            </w:r>
          </w:p>
        </w:tc>
      </w:tr>
      <w:tr>
        <w:tc>
          <w:tcPr>
            <w:tcW w:w="907" w:type="dxa"/>
          </w:tcPr>
          <w:p>
            <w:pPr>
              <w:pStyle w:val="0"/>
            </w:pPr>
            <w:r>
              <w:rPr>
                <w:sz w:val="24"/>
              </w:rPr>
              <w:t xml:space="preserve">12.13</w:t>
            </w:r>
          </w:p>
        </w:tc>
        <w:tc>
          <w:tcPr>
            <w:tcW w:w="2608" w:type="dxa"/>
          </w:tcPr>
          <w:p>
            <w:pPr>
              <w:pStyle w:val="0"/>
            </w:pPr>
            <w:r>
              <w:rPr>
                <w:sz w:val="24"/>
              </w:rPr>
            </w:r>
          </w:p>
        </w:tc>
        <w:tc>
          <w:tcPr>
            <w:tcW w:w="2608" w:type="dxa"/>
          </w:tcPr>
          <w:p>
            <w:pPr>
              <w:pStyle w:val="0"/>
            </w:pPr>
            <w:r>
              <w:rPr>
                <w:sz w:val="24"/>
              </w:rPr>
              <w:t xml:space="preserve">13</w:t>
            </w:r>
          </w:p>
        </w:tc>
        <w:tc>
          <w:tcPr>
            <w:tcW w:w="2948" w:type="dxa"/>
          </w:tcPr>
          <w:p>
            <w:pPr>
              <w:pStyle w:val="0"/>
            </w:pPr>
            <w:r>
              <w:rPr>
                <w:sz w:val="24"/>
              </w:rPr>
              <w:t xml:space="preserve">mem-int:GruppaKredKach13Member</w:t>
            </w:r>
          </w:p>
        </w:tc>
      </w:tr>
      <w:tr>
        <w:tc>
          <w:tcPr>
            <w:tcW w:w="907" w:type="dxa"/>
          </w:tcPr>
          <w:p>
            <w:pPr>
              <w:pStyle w:val="0"/>
            </w:pPr>
            <w:r>
              <w:rPr>
                <w:sz w:val="24"/>
              </w:rPr>
              <w:t xml:space="preserve">12.14</w:t>
            </w:r>
          </w:p>
        </w:tc>
        <w:tc>
          <w:tcPr>
            <w:tcW w:w="2608" w:type="dxa"/>
          </w:tcPr>
          <w:p>
            <w:pPr>
              <w:pStyle w:val="0"/>
            </w:pPr>
            <w:r>
              <w:rPr>
                <w:sz w:val="24"/>
              </w:rPr>
            </w:r>
          </w:p>
        </w:tc>
        <w:tc>
          <w:tcPr>
            <w:tcW w:w="2608" w:type="dxa"/>
          </w:tcPr>
          <w:p>
            <w:pPr>
              <w:pStyle w:val="0"/>
            </w:pPr>
            <w:r>
              <w:rPr>
                <w:sz w:val="24"/>
              </w:rPr>
              <w:t xml:space="preserve">14</w:t>
            </w:r>
          </w:p>
        </w:tc>
        <w:tc>
          <w:tcPr>
            <w:tcW w:w="2948" w:type="dxa"/>
          </w:tcPr>
          <w:p>
            <w:pPr>
              <w:pStyle w:val="0"/>
            </w:pPr>
            <w:r>
              <w:rPr>
                <w:sz w:val="24"/>
              </w:rPr>
              <w:t xml:space="preserve">mem-int:GruppaKredKach14Member</w:t>
            </w:r>
          </w:p>
        </w:tc>
      </w:tr>
      <w:tr>
        <w:tc>
          <w:tcPr>
            <w:tcW w:w="907" w:type="dxa"/>
          </w:tcPr>
          <w:p>
            <w:pPr>
              <w:pStyle w:val="0"/>
            </w:pPr>
            <w:r>
              <w:rPr>
                <w:sz w:val="24"/>
              </w:rPr>
              <w:t xml:space="preserve">12.15</w:t>
            </w:r>
          </w:p>
        </w:tc>
        <w:tc>
          <w:tcPr>
            <w:tcW w:w="2608" w:type="dxa"/>
          </w:tcPr>
          <w:p>
            <w:pPr>
              <w:pStyle w:val="0"/>
            </w:pPr>
            <w:r>
              <w:rPr>
                <w:sz w:val="24"/>
              </w:rPr>
            </w:r>
          </w:p>
        </w:tc>
        <w:tc>
          <w:tcPr>
            <w:tcW w:w="2608" w:type="dxa"/>
          </w:tcPr>
          <w:p>
            <w:pPr>
              <w:pStyle w:val="0"/>
            </w:pPr>
            <w:r>
              <w:rPr>
                <w:sz w:val="24"/>
              </w:rPr>
              <w:t xml:space="preserve">15</w:t>
            </w:r>
          </w:p>
        </w:tc>
        <w:tc>
          <w:tcPr>
            <w:tcW w:w="2948" w:type="dxa"/>
          </w:tcPr>
          <w:p>
            <w:pPr>
              <w:pStyle w:val="0"/>
            </w:pPr>
            <w:r>
              <w:rPr>
                <w:sz w:val="24"/>
              </w:rPr>
              <w:t xml:space="preserve">mem-int:GruppaKredKach15Member</w:t>
            </w:r>
          </w:p>
        </w:tc>
      </w:tr>
      <w:tr>
        <w:tc>
          <w:tcPr>
            <w:tcW w:w="907" w:type="dxa"/>
          </w:tcPr>
          <w:p>
            <w:pPr>
              <w:pStyle w:val="0"/>
            </w:pPr>
            <w:r>
              <w:rPr>
                <w:sz w:val="24"/>
              </w:rPr>
              <w:t xml:space="preserve">12.16</w:t>
            </w:r>
          </w:p>
        </w:tc>
        <w:tc>
          <w:tcPr>
            <w:tcW w:w="2608" w:type="dxa"/>
          </w:tcPr>
          <w:p>
            <w:pPr>
              <w:pStyle w:val="0"/>
            </w:pPr>
            <w:r>
              <w:rPr>
                <w:sz w:val="24"/>
              </w:rPr>
            </w:r>
          </w:p>
        </w:tc>
        <w:tc>
          <w:tcPr>
            <w:tcW w:w="2608" w:type="dxa"/>
          </w:tcPr>
          <w:p>
            <w:pPr>
              <w:pStyle w:val="0"/>
            </w:pPr>
            <w:r>
              <w:rPr>
                <w:sz w:val="24"/>
              </w:rPr>
              <w:t xml:space="preserve">16</w:t>
            </w:r>
          </w:p>
        </w:tc>
        <w:tc>
          <w:tcPr>
            <w:tcW w:w="2948" w:type="dxa"/>
          </w:tcPr>
          <w:p>
            <w:pPr>
              <w:pStyle w:val="0"/>
            </w:pPr>
            <w:r>
              <w:rPr>
                <w:sz w:val="24"/>
              </w:rPr>
              <w:t xml:space="preserve">mem-int:GruppaKredKach16Member</w:t>
            </w:r>
          </w:p>
        </w:tc>
      </w:tr>
      <w:tr>
        <w:tc>
          <w:tcPr>
            <w:tcW w:w="907" w:type="dxa"/>
          </w:tcPr>
          <w:p>
            <w:pPr>
              <w:pStyle w:val="0"/>
            </w:pPr>
            <w:r>
              <w:rPr>
                <w:sz w:val="24"/>
              </w:rPr>
              <w:t xml:space="preserve">12.17</w:t>
            </w:r>
          </w:p>
        </w:tc>
        <w:tc>
          <w:tcPr>
            <w:tcW w:w="2608" w:type="dxa"/>
          </w:tcPr>
          <w:p>
            <w:pPr>
              <w:pStyle w:val="0"/>
            </w:pPr>
            <w:r>
              <w:rPr>
                <w:sz w:val="24"/>
              </w:rPr>
            </w:r>
          </w:p>
        </w:tc>
        <w:tc>
          <w:tcPr>
            <w:tcW w:w="2608" w:type="dxa"/>
          </w:tcPr>
          <w:p>
            <w:pPr>
              <w:pStyle w:val="0"/>
            </w:pPr>
            <w:r>
              <w:rPr>
                <w:sz w:val="24"/>
              </w:rPr>
              <w:t xml:space="preserve">17</w:t>
            </w:r>
          </w:p>
        </w:tc>
        <w:tc>
          <w:tcPr>
            <w:tcW w:w="2948" w:type="dxa"/>
          </w:tcPr>
          <w:p>
            <w:pPr>
              <w:pStyle w:val="0"/>
            </w:pPr>
            <w:r>
              <w:rPr>
                <w:sz w:val="24"/>
              </w:rPr>
              <w:t xml:space="preserve">mem-int:GruppaKredKach17Member</w:t>
            </w:r>
          </w:p>
        </w:tc>
      </w:tr>
      <w:tr>
        <w:tc>
          <w:tcPr>
            <w:tcW w:w="907" w:type="dxa"/>
          </w:tcPr>
          <w:p>
            <w:pPr>
              <w:pStyle w:val="0"/>
            </w:pPr>
            <w:r>
              <w:rPr>
                <w:sz w:val="24"/>
              </w:rPr>
              <w:t xml:space="preserve">12.18</w:t>
            </w:r>
          </w:p>
        </w:tc>
        <w:tc>
          <w:tcPr>
            <w:tcW w:w="2608" w:type="dxa"/>
          </w:tcPr>
          <w:p>
            <w:pPr>
              <w:pStyle w:val="0"/>
            </w:pPr>
            <w:r>
              <w:rPr>
                <w:sz w:val="24"/>
              </w:rPr>
            </w:r>
          </w:p>
        </w:tc>
        <w:tc>
          <w:tcPr>
            <w:tcW w:w="2608" w:type="dxa"/>
          </w:tcPr>
          <w:p>
            <w:pPr>
              <w:pStyle w:val="0"/>
            </w:pPr>
            <w:r>
              <w:rPr>
                <w:sz w:val="24"/>
              </w:rPr>
              <w:t xml:space="preserve">18</w:t>
            </w:r>
          </w:p>
        </w:tc>
        <w:tc>
          <w:tcPr>
            <w:tcW w:w="2948" w:type="dxa"/>
          </w:tcPr>
          <w:p>
            <w:pPr>
              <w:pStyle w:val="0"/>
            </w:pPr>
            <w:r>
              <w:rPr>
                <w:sz w:val="24"/>
              </w:rPr>
              <w:t xml:space="preserve">mem-int:GruppaKredKach18Member</w:t>
            </w:r>
          </w:p>
        </w:tc>
      </w:tr>
      <w:tr>
        <w:tc>
          <w:tcPr>
            <w:tcW w:w="907" w:type="dxa"/>
          </w:tcPr>
          <w:p>
            <w:pPr>
              <w:pStyle w:val="0"/>
            </w:pPr>
            <w:r>
              <w:rPr>
                <w:sz w:val="24"/>
              </w:rPr>
              <w:t xml:space="preserve">12.19</w:t>
            </w:r>
          </w:p>
        </w:tc>
        <w:tc>
          <w:tcPr>
            <w:tcW w:w="2608" w:type="dxa"/>
          </w:tcPr>
          <w:p>
            <w:pPr>
              <w:pStyle w:val="0"/>
            </w:pPr>
            <w:r>
              <w:rPr>
                <w:sz w:val="24"/>
              </w:rPr>
            </w:r>
          </w:p>
        </w:tc>
        <w:tc>
          <w:tcPr>
            <w:tcW w:w="2608" w:type="dxa"/>
          </w:tcPr>
          <w:p>
            <w:pPr>
              <w:pStyle w:val="0"/>
            </w:pPr>
            <w:r>
              <w:rPr>
                <w:sz w:val="24"/>
              </w:rPr>
              <w:t xml:space="preserve">19</w:t>
            </w:r>
          </w:p>
        </w:tc>
        <w:tc>
          <w:tcPr>
            <w:tcW w:w="2948" w:type="dxa"/>
          </w:tcPr>
          <w:p>
            <w:pPr>
              <w:pStyle w:val="0"/>
            </w:pPr>
            <w:r>
              <w:rPr>
                <w:sz w:val="24"/>
              </w:rPr>
              <w:t xml:space="preserve">mem-int:GruppaKredKach19Member</w:t>
            </w:r>
          </w:p>
        </w:tc>
      </w:tr>
      <w:tr>
        <w:tc>
          <w:tcPr>
            <w:tcW w:w="907" w:type="dxa"/>
          </w:tcPr>
          <w:p>
            <w:pPr>
              <w:pStyle w:val="0"/>
            </w:pPr>
            <w:r>
              <w:rPr>
                <w:sz w:val="24"/>
              </w:rPr>
              <w:t xml:space="preserve">12.20</w:t>
            </w:r>
          </w:p>
        </w:tc>
        <w:tc>
          <w:tcPr>
            <w:tcW w:w="2608" w:type="dxa"/>
          </w:tcPr>
          <w:p>
            <w:pPr>
              <w:pStyle w:val="0"/>
            </w:pPr>
            <w:r>
              <w:rPr>
                <w:sz w:val="24"/>
              </w:rPr>
            </w:r>
          </w:p>
        </w:tc>
        <w:tc>
          <w:tcPr>
            <w:tcW w:w="2608" w:type="dxa"/>
          </w:tcPr>
          <w:p>
            <w:pPr>
              <w:pStyle w:val="0"/>
            </w:pPr>
            <w:r>
              <w:rPr>
                <w:sz w:val="24"/>
              </w:rPr>
              <w:t xml:space="preserve">20</w:t>
            </w:r>
          </w:p>
        </w:tc>
        <w:tc>
          <w:tcPr>
            <w:tcW w:w="2948" w:type="dxa"/>
          </w:tcPr>
          <w:p>
            <w:pPr>
              <w:pStyle w:val="0"/>
            </w:pPr>
            <w:r>
              <w:rPr>
                <w:sz w:val="24"/>
              </w:rPr>
              <w:t xml:space="preserve">mem-int:GruppaKredKach20Member</w:t>
            </w:r>
          </w:p>
        </w:tc>
      </w:tr>
      <w:tr>
        <w:tc>
          <w:tcPr>
            <w:tcW w:w="907" w:type="dxa"/>
          </w:tcPr>
          <w:p>
            <w:pPr>
              <w:pStyle w:val="0"/>
            </w:pPr>
            <w:r>
              <w:rPr>
                <w:sz w:val="24"/>
              </w:rPr>
              <w:t xml:space="preserve">12.21</w:t>
            </w:r>
          </w:p>
        </w:tc>
        <w:tc>
          <w:tcPr>
            <w:tcW w:w="2608" w:type="dxa"/>
          </w:tcPr>
          <w:p>
            <w:pPr>
              <w:pStyle w:val="0"/>
            </w:pPr>
            <w:r>
              <w:rPr>
                <w:sz w:val="24"/>
              </w:rPr>
            </w:r>
          </w:p>
        </w:tc>
        <w:tc>
          <w:tcPr>
            <w:tcW w:w="2608" w:type="dxa"/>
          </w:tcPr>
          <w:p>
            <w:pPr>
              <w:pStyle w:val="0"/>
            </w:pPr>
            <w:r>
              <w:rPr>
                <w:sz w:val="24"/>
              </w:rPr>
              <w:t xml:space="preserve">21</w:t>
            </w:r>
          </w:p>
        </w:tc>
        <w:tc>
          <w:tcPr>
            <w:tcW w:w="2948" w:type="dxa"/>
          </w:tcPr>
          <w:p>
            <w:pPr>
              <w:pStyle w:val="0"/>
            </w:pPr>
            <w:r>
              <w:rPr>
                <w:sz w:val="24"/>
              </w:rPr>
              <w:t xml:space="preserve">mem-int:GruppaKredKach21Member</w:t>
            </w:r>
          </w:p>
        </w:tc>
      </w:tr>
      <w:tr>
        <w:tc>
          <w:tcPr>
            <w:tcW w:w="907" w:type="dxa"/>
          </w:tcPr>
          <w:p>
            <w:pPr>
              <w:pStyle w:val="0"/>
            </w:pPr>
            <w:r>
              <w:rPr>
                <w:sz w:val="24"/>
              </w:rPr>
              <w:t xml:space="preserve">12.22</w:t>
            </w:r>
          </w:p>
        </w:tc>
        <w:tc>
          <w:tcPr>
            <w:tcW w:w="2608" w:type="dxa"/>
          </w:tcPr>
          <w:p>
            <w:pPr>
              <w:pStyle w:val="0"/>
            </w:pPr>
            <w:r>
              <w:rPr>
                <w:sz w:val="24"/>
              </w:rPr>
            </w:r>
          </w:p>
        </w:tc>
        <w:tc>
          <w:tcPr>
            <w:tcW w:w="2608" w:type="dxa"/>
          </w:tcPr>
          <w:p>
            <w:pPr>
              <w:pStyle w:val="0"/>
            </w:pPr>
            <w:r>
              <w:rPr>
                <w:sz w:val="24"/>
              </w:rPr>
              <w:t xml:space="preserve">22</w:t>
            </w:r>
          </w:p>
        </w:tc>
        <w:tc>
          <w:tcPr>
            <w:tcW w:w="2948" w:type="dxa"/>
          </w:tcPr>
          <w:p>
            <w:pPr>
              <w:pStyle w:val="0"/>
            </w:pPr>
            <w:r>
              <w:rPr>
                <w:sz w:val="24"/>
              </w:rPr>
              <w:t xml:space="preserve">mem-int:GruppaKredKach22Member</w:t>
            </w:r>
          </w:p>
        </w:tc>
      </w:tr>
      <w:tr>
        <w:tc>
          <w:tcPr>
            <w:tcW w:w="907" w:type="dxa"/>
          </w:tcPr>
          <w:p>
            <w:pPr>
              <w:pStyle w:val="0"/>
            </w:pPr>
            <w:r>
              <w:rPr>
                <w:sz w:val="24"/>
              </w:rPr>
              <w:t xml:space="preserve">12.23</w:t>
            </w:r>
          </w:p>
        </w:tc>
        <w:tc>
          <w:tcPr>
            <w:tcW w:w="2608" w:type="dxa"/>
          </w:tcPr>
          <w:p>
            <w:pPr>
              <w:pStyle w:val="0"/>
            </w:pPr>
            <w:r>
              <w:rPr>
                <w:sz w:val="24"/>
              </w:rPr>
            </w:r>
          </w:p>
        </w:tc>
        <w:tc>
          <w:tcPr>
            <w:tcW w:w="2608" w:type="dxa"/>
          </w:tcPr>
          <w:p>
            <w:pPr>
              <w:pStyle w:val="0"/>
            </w:pPr>
            <w:r>
              <w:rPr>
                <w:sz w:val="24"/>
              </w:rPr>
              <w:t xml:space="preserve">23</w:t>
            </w:r>
          </w:p>
        </w:tc>
        <w:tc>
          <w:tcPr>
            <w:tcW w:w="2948" w:type="dxa"/>
          </w:tcPr>
          <w:p>
            <w:pPr>
              <w:pStyle w:val="0"/>
            </w:pPr>
            <w:r>
              <w:rPr>
                <w:sz w:val="24"/>
              </w:rPr>
              <w:t xml:space="preserve">mem-int:GruppaKredKach23Member</w:t>
            </w:r>
          </w:p>
        </w:tc>
      </w:tr>
      <w:tr>
        <w:tc>
          <w:tcPr>
            <w:tcW w:w="907" w:type="dxa"/>
          </w:tcPr>
          <w:p>
            <w:pPr>
              <w:pStyle w:val="0"/>
            </w:pPr>
            <w:r>
              <w:rPr>
                <w:sz w:val="24"/>
              </w:rPr>
              <w:t xml:space="preserve">13</w:t>
            </w:r>
          </w:p>
        </w:tc>
        <w:tc>
          <w:tcPr>
            <w:tcW w:w="2608" w:type="dxa"/>
          </w:tcPr>
          <w:p>
            <w:pPr>
              <w:pStyle w:val="0"/>
            </w:pPr>
            <w:r>
              <w:rPr>
                <w:sz w:val="24"/>
              </w:rPr>
              <w:t xml:space="preserve">Иностранный финансовый инструмент квалифицирован в качестве ценной бумаги</w:t>
            </w:r>
          </w:p>
        </w:tc>
        <w:tc>
          <w:tcPr>
            <w:tcW w:w="2608" w:type="dxa"/>
          </w:tcPr>
          <w:p>
            <w:pPr>
              <w:pStyle w:val="0"/>
            </w:pPr>
            <w:r>
              <w:rPr>
                <w:sz w:val="24"/>
              </w:rPr>
            </w:r>
          </w:p>
        </w:tc>
        <w:tc>
          <w:tcPr>
            <w:tcW w:w="2948" w:type="dxa"/>
          </w:tcPr>
          <w:p>
            <w:pPr>
              <w:pStyle w:val="0"/>
            </w:pPr>
            <w:r>
              <w:rPr>
                <w:sz w:val="24"/>
              </w:rPr>
              <w:t xml:space="preserve">ins-dic:InFinInstrKvalCzBumEnumerator</w:t>
            </w:r>
          </w:p>
        </w:tc>
      </w:tr>
      <w:tr>
        <w:tc>
          <w:tcPr>
            <w:tcW w:w="907" w:type="dxa"/>
          </w:tcPr>
          <w:p>
            <w:pPr>
              <w:pStyle w:val="0"/>
            </w:pPr>
            <w:r>
              <w:rPr>
                <w:sz w:val="24"/>
              </w:rPr>
              <w:t xml:space="preserve">13.1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13.3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14</w:t>
            </w:r>
          </w:p>
        </w:tc>
        <w:tc>
          <w:tcPr>
            <w:tcW w:w="2608" w:type="dxa"/>
          </w:tcPr>
          <w:p>
            <w:pPr>
              <w:pStyle w:val="0"/>
            </w:pPr>
            <w:r>
              <w:rPr>
                <w:sz w:val="24"/>
              </w:rPr>
              <w:t xml:space="preserve">Иностранный финансовый инструмент квалифицирован в качестве ценной бумаги и признан в бухгалтерском учете как производный инструмент</w:t>
            </w:r>
          </w:p>
        </w:tc>
        <w:tc>
          <w:tcPr>
            <w:tcW w:w="2608" w:type="dxa"/>
          </w:tcPr>
          <w:p>
            <w:pPr>
              <w:pStyle w:val="0"/>
            </w:pPr>
            <w:r>
              <w:rPr>
                <w:sz w:val="24"/>
              </w:rPr>
            </w:r>
          </w:p>
        </w:tc>
        <w:tc>
          <w:tcPr>
            <w:tcW w:w="2948" w:type="dxa"/>
          </w:tcPr>
          <w:p>
            <w:pPr>
              <w:pStyle w:val="0"/>
            </w:pPr>
            <w:r>
              <w:rPr>
                <w:sz w:val="24"/>
              </w:rPr>
              <w:t xml:space="preserve">nfo-dic:InFinInstrKvalCzBumIPriznVBUKakProizvodFinInstrumEnumerator</w:t>
            </w:r>
          </w:p>
        </w:tc>
      </w:tr>
      <w:tr>
        <w:tc>
          <w:tcPr>
            <w:tcW w:w="907" w:type="dxa"/>
          </w:tcPr>
          <w:p>
            <w:pPr>
              <w:pStyle w:val="0"/>
            </w:pPr>
            <w:r>
              <w:rPr>
                <w:sz w:val="24"/>
              </w:rPr>
              <w:t xml:space="preserve">14.1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14.3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15</w:t>
            </w:r>
          </w:p>
        </w:tc>
        <w:tc>
          <w:tcPr>
            <w:tcW w:w="2608" w:type="dxa"/>
          </w:tcPr>
          <w:p>
            <w:pPr>
              <w:pStyle w:val="0"/>
            </w:pPr>
            <w:r>
              <w:rPr>
                <w:sz w:val="24"/>
              </w:rPr>
              <w:t xml:space="preserve">Интервальный паевой инвестиционный фонд подпадает под исключение, предусмотренное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ins-dic:IntervPIFIsklPunkt316Enumerator</w:t>
            </w:r>
          </w:p>
        </w:tc>
      </w:tr>
      <w:tr>
        <w:tc>
          <w:tcPr>
            <w:tcW w:w="907" w:type="dxa"/>
          </w:tcPr>
          <w:p>
            <w:pPr>
              <w:pStyle w:val="0"/>
            </w:pPr>
            <w:r>
              <w:rPr>
                <w:sz w:val="24"/>
              </w:rPr>
              <w:t xml:space="preserve">15.1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15.2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15.3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16</w:t>
            </w:r>
          </w:p>
        </w:tc>
        <w:tc>
          <w:tcPr>
            <w:tcW w:w="2608" w:type="dxa"/>
          </w:tcPr>
          <w:p>
            <w:pPr>
              <w:pStyle w:val="0"/>
            </w:pPr>
            <w:r>
              <w:rPr>
                <w:sz w:val="24"/>
              </w:rPr>
              <w:t xml:space="preserve">Категория в бухгалтерской (финансовой) отчетности (для активов)</w:t>
            </w:r>
          </w:p>
        </w:tc>
        <w:tc>
          <w:tcPr>
            <w:tcW w:w="2608" w:type="dxa"/>
          </w:tcPr>
          <w:p>
            <w:pPr>
              <w:pStyle w:val="0"/>
            </w:pPr>
            <w:r>
              <w:rPr>
                <w:sz w:val="24"/>
              </w:rPr>
            </w:r>
          </w:p>
        </w:tc>
        <w:tc>
          <w:tcPr>
            <w:tcW w:w="2948" w:type="dxa"/>
          </w:tcPr>
          <w:p>
            <w:pPr>
              <w:pStyle w:val="0"/>
            </w:pPr>
            <w:r>
              <w:rPr>
                <w:sz w:val="24"/>
              </w:rPr>
              <w:t xml:space="preserve">ins-dic:KatBfoAktEnumerator2</w:t>
            </w:r>
          </w:p>
        </w:tc>
      </w:tr>
      <w:tr>
        <w:tc>
          <w:tcPr>
            <w:tcW w:w="907" w:type="dxa"/>
          </w:tcPr>
          <w:p>
            <w:pPr>
              <w:pStyle w:val="0"/>
            </w:pPr>
            <w:r>
              <w:rPr>
                <w:sz w:val="24"/>
              </w:rPr>
              <w:t xml:space="preserve">16.1</w:t>
            </w:r>
          </w:p>
        </w:tc>
        <w:tc>
          <w:tcPr>
            <w:tcW w:w="2608" w:type="dxa"/>
          </w:tcPr>
          <w:p>
            <w:pPr>
              <w:pStyle w:val="0"/>
            </w:pPr>
            <w:r>
              <w:rPr>
                <w:sz w:val="24"/>
              </w:rPr>
            </w:r>
          </w:p>
        </w:tc>
        <w:tc>
          <w:tcPr>
            <w:tcW w:w="2608" w:type="dxa"/>
          </w:tcPr>
          <w:p>
            <w:pPr>
              <w:pStyle w:val="0"/>
            </w:pPr>
            <w:r>
              <w:rPr>
                <w:sz w:val="24"/>
              </w:rPr>
              <w:t xml:space="preserve">Денежные средства</w:t>
            </w:r>
          </w:p>
        </w:tc>
        <w:tc>
          <w:tcPr>
            <w:tcW w:w="2948" w:type="dxa"/>
          </w:tcPr>
          <w:p>
            <w:pPr>
              <w:pStyle w:val="0"/>
            </w:pPr>
            <w:r>
              <w:rPr>
                <w:sz w:val="24"/>
              </w:rPr>
              <w:t xml:space="preserve">mem-int:DenezhnyeSredstvaMember</w:t>
            </w:r>
          </w:p>
        </w:tc>
      </w:tr>
      <w:tr>
        <w:tc>
          <w:tcPr>
            <w:tcW w:w="907" w:type="dxa"/>
          </w:tcPr>
          <w:p>
            <w:pPr>
              <w:pStyle w:val="0"/>
            </w:pPr>
            <w:r>
              <w:rPr>
                <w:sz w:val="24"/>
              </w:rPr>
              <w:t xml:space="preserve">16.2</w:t>
            </w:r>
          </w:p>
        </w:tc>
        <w:tc>
          <w:tcPr>
            <w:tcW w:w="2608" w:type="dxa"/>
          </w:tcPr>
          <w:p>
            <w:pPr>
              <w:pStyle w:val="0"/>
            </w:pPr>
            <w:r>
              <w:rPr>
                <w:sz w:val="24"/>
              </w:rPr>
            </w:r>
          </w:p>
        </w:tc>
        <w:tc>
          <w:tcPr>
            <w:tcW w:w="2608" w:type="dxa"/>
          </w:tcPr>
          <w:p>
            <w:pPr>
              <w:pStyle w:val="0"/>
            </w:pPr>
            <w:r>
              <w:rPr>
                <w:sz w:val="24"/>
              </w:rPr>
              <w:t xml:space="preserve">Финансовые активы, в обязательном порядке классифицируемые как оцениваемые по справедливой стоимости через прибыль или убыток</w:t>
            </w:r>
          </w:p>
        </w:tc>
        <w:tc>
          <w:tcPr>
            <w:tcW w:w="2948" w:type="dxa"/>
          </w:tcPr>
          <w:p>
            <w:pPr>
              <w:pStyle w:val="0"/>
            </w:pPr>
            <w:r>
              <w:rPr>
                <w:sz w:val="24"/>
              </w:rPr>
              <w:t xml:space="preserve">mem-int:FinansovyeAktivyVObyazatelnomPoryadkeKlassificziruemyeKakOczenivaemyePoSpravedlivojStoimostiCHerezPribylIliUbytokMember</w:t>
            </w:r>
          </w:p>
        </w:tc>
      </w:tr>
      <w:tr>
        <w:tc>
          <w:tcPr>
            <w:tcW w:w="907" w:type="dxa"/>
          </w:tcPr>
          <w:p>
            <w:pPr>
              <w:pStyle w:val="0"/>
            </w:pPr>
            <w:r>
              <w:rPr>
                <w:sz w:val="24"/>
              </w:rPr>
              <w:t xml:space="preserve">16.3</w:t>
            </w:r>
          </w:p>
        </w:tc>
        <w:tc>
          <w:tcPr>
            <w:tcW w:w="2608" w:type="dxa"/>
          </w:tcPr>
          <w:p>
            <w:pPr>
              <w:pStyle w:val="0"/>
            </w:pPr>
            <w:r>
              <w:rPr>
                <w:sz w:val="24"/>
              </w:rPr>
            </w:r>
          </w:p>
        </w:tc>
        <w:tc>
          <w:tcPr>
            <w:tcW w:w="2608" w:type="dxa"/>
          </w:tcPr>
          <w:p>
            <w:pPr>
              <w:pStyle w:val="0"/>
            </w:pPr>
            <w:r>
              <w:rPr>
                <w:sz w:val="24"/>
              </w:rPr>
              <w:t xml:space="preserve">Финансовые активы, классифицируемые как оцениваемые по справедливой стоимости через прибыль или убыток по усмотрению страховщика</w:t>
            </w:r>
          </w:p>
        </w:tc>
        <w:tc>
          <w:tcPr>
            <w:tcW w:w="2948" w:type="dxa"/>
          </w:tcPr>
          <w:p>
            <w:pPr>
              <w:pStyle w:val="0"/>
            </w:pPr>
            <w:r>
              <w:rPr>
                <w:sz w:val="24"/>
              </w:rPr>
              <w:t xml:space="preserve">mem-int:FAKlasKakOczenPoSSCherezPribIliUbytPoUsmotrStraxovshhikaMember</w:t>
            </w:r>
          </w:p>
        </w:tc>
      </w:tr>
      <w:tr>
        <w:tc>
          <w:tcPr>
            <w:tcW w:w="907" w:type="dxa"/>
          </w:tcPr>
          <w:p>
            <w:pPr>
              <w:pStyle w:val="0"/>
            </w:pPr>
            <w:r>
              <w:rPr>
                <w:sz w:val="24"/>
              </w:rPr>
              <w:t xml:space="preserve">16.4</w:t>
            </w:r>
          </w:p>
        </w:tc>
        <w:tc>
          <w:tcPr>
            <w:tcW w:w="2608" w:type="dxa"/>
          </w:tcPr>
          <w:p>
            <w:pPr>
              <w:pStyle w:val="0"/>
            </w:pPr>
            <w:r>
              <w:rPr>
                <w:sz w:val="24"/>
              </w:rPr>
            </w:r>
          </w:p>
        </w:tc>
        <w:tc>
          <w:tcPr>
            <w:tcW w:w="2608" w:type="dxa"/>
          </w:tcPr>
          <w:p>
            <w:pPr>
              <w:pStyle w:val="0"/>
            </w:pPr>
            <w:r>
              <w:rPr>
                <w:sz w:val="24"/>
              </w:rPr>
              <w:t xml:space="preserve">Долговые инструменты</w:t>
            </w:r>
          </w:p>
        </w:tc>
        <w:tc>
          <w:tcPr>
            <w:tcW w:w="2948" w:type="dxa"/>
          </w:tcPr>
          <w:p>
            <w:pPr>
              <w:pStyle w:val="0"/>
            </w:pPr>
            <w:r>
              <w:rPr>
                <w:sz w:val="24"/>
              </w:rPr>
              <w:t xml:space="preserve">mem-int:DolgovyeInstrumentyMember</w:t>
            </w:r>
          </w:p>
        </w:tc>
      </w:tr>
      <w:tr>
        <w:tc>
          <w:tcPr>
            <w:tcW w:w="907" w:type="dxa"/>
          </w:tcPr>
          <w:p>
            <w:pPr>
              <w:pStyle w:val="0"/>
            </w:pPr>
            <w:r>
              <w:rPr>
                <w:sz w:val="24"/>
              </w:rPr>
              <w:t xml:space="preserve">16.5</w:t>
            </w:r>
          </w:p>
        </w:tc>
        <w:tc>
          <w:tcPr>
            <w:tcW w:w="2608" w:type="dxa"/>
          </w:tcPr>
          <w:p>
            <w:pPr>
              <w:pStyle w:val="0"/>
            </w:pPr>
            <w:r>
              <w:rPr>
                <w:sz w:val="24"/>
              </w:rPr>
            </w:r>
          </w:p>
        </w:tc>
        <w:tc>
          <w:tcPr>
            <w:tcW w:w="2608" w:type="dxa"/>
          </w:tcPr>
          <w:p>
            <w:pPr>
              <w:pStyle w:val="0"/>
            </w:pPr>
            <w:r>
              <w:rPr>
                <w:sz w:val="24"/>
              </w:rPr>
              <w:t xml:space="preserve">Долевые инструменты</w:t>
            </w:r>
          </w:p>
        </w:tc>
        <w:tc>
          <w:tcPr>
            <w:tcW w:w="2948" w:type="dxa"/>
          </w:tcPr>
          <w:p>
            <w:pPr>
              <w:pStyle w:val="0"/>
            </w:pPr>
            <w:r>
              <w:rPr>
                <w:sz w:val="24"/>
              </w:rPr>
              <w:t xml:space="preserve">mem-int:DolevyeInstrumentyMember</w:t>
            </w:r>
          </w:p>
        </w:tc>
      </w:tr>
      <w:tr>
        <w:tc>
          <w:tcPr>
            <w:tcW w:w="907" w:type="dxa"/>
          </w:tcPr>
          <w:p>
            <w:pPr>
              <w:pStyle w:val="0"/>
            </w:pPr>
            <w:r>
              <w:rPr>
                <w:sz w:val="24"/>
              </w:rPr>
              <w:t xml:space="preserve">16.6</w:t>
            </w:r>
          </w:p>
        </w:tc>
        <w:tc>
          <w:tcPr>
            <w:tcW w:w="2608" w:type="dxa"/>
          </w:tcPr>
          <w:p>
            <w:pPr>
              <w:pStyle w:val="0"/>
            </w:pPr>
            <w:r>
              <w:rPr>
                <w:sz w:val="24"/>
              </w:rPr>
            </w:r>
          </w:p>
        </w:tc>
        <w:tc>
          <w:tcPr>
            <w:tcW w:w="2608" w:type="dxa"/>
          </w:tcPr>
          <w:p>
            <w:pPr>
              <w:pStyle w:val="0"/>
            </w:pPr>
            <w:r>
              <w:rPr>
                <w:sz w:val="24"/>
              </w:rPr>
              <w:t xml:space="preserve">Депозиты и прочие размещенные средства в кредитных организациях и банках-нерезидентах</w:t>
            </w:r>
          </w:p>
        </w:tc>
        <w:tc>
          <w:tcPr>
            <w:tcW w:w="2948" w:type="dxa"/>
          </w:tcPr>
          <w:p>
            <w:pPr>
              <w:pStyle w:val="0"/>
            </w:pPr>
            <w:r>
              <w:rPr>
                <w:sz w:val="24"/>
              </w:rPr>
              <w:t xml:space="preserve">mem-int:DepozityIProchieRazmeshhennyeSredstvaVKreditnyxOrganizacziyaxIBankaxNerezidentaxMember</w:t>
            </w:r>
          </w:p>
        </w:tc>
      </w:tr>
      <w:tr>
        <w:tc>
          <w:tcPr>
            <w:tcW w:w="907" w:type="dxa"/>
          </w:tcPr>
          <w:p>
            <w:pPr>
              <w:pStyle w:val="0"/>
            </w:pPr>
            <w:r>
              <w:rPr>
                <w:sz w:val="24"/>
              </w:rPr>
              <w:t xml:space="preserve">16.7</w:t>
            </w:r>
          </w:p>
        </w:tc>
        <w:tc>
          <w:tcPr>
            <w:tcW w:w="2608" w:type="dxa"/>
          </w:tcPr>
          <w:p>
            <w:pPr>
              <w:pStyle w:val="0"/>
            </w:pPr>
            <w:r>
              <w:rPr>
                <w:sz w:val="24"/>
              </w:rPr>
            </w:r>
          </w:p>
        </w:tc>
        <w:tc>
          <w:tcPr>
            <w:tcW w:w="2608" w:type="dxa"/>
          </w:tcPr>
          <w:p>
            <w:pPr>
              <w:pStyle w:val="0"/>
            </w:pPr>
            <w:r>
              <w:rPr>
                <w:sz w:val="24"/>
              </w:rPr>
              <w:t xml:space="preserve">Займы, прочие размещенные средства и прочая дебиторская задолженность</w:t>
            </w:r>
          </w:p>
        </w:tc>
        <w:tc>
          <w:tcPr>
            <w:tcW w:w="2948" w:type="dxa"/>
          </w:tcPr>
          <w:p>
            <w:pPr>
              <w:pStyle w:val="0"/>
            </w:pPr>
            <w:r>
              <w:rPr>
                <w:sz w:val="24"/>
              </w:rPr>
              <w:t xml:space="preserve">mem-int:ZajmyProchieRazmeshhennyeSredstvaIProchayaDebitorskayaZadolzhennostMember</w:t>
            </w:r>
          </w:p>
        </w:tc>
      </w:tr>
      <w:tr>
        <w:tc>
          <w:tcPr>
            <w:tcW w:w="907" w:type="dxa"/>
          </w:tcPr>
          <w:p>
            <w:pPr>
              <w:pStyle w:val="0"/>
            </w:pPr>
            <w:r>
              <w:rPr>
                <w:sz w:val="24"/>
              </w:rPr>
              <w:t xml:space="preserve">16.8</w:t>
            </w:r>
          </w:p>
        </w:tc>
        <w:tc>
          <w:tcPr>
            <w:tcW w:w="2608" w:type="dxa"/>
          </w:tcPr>
          <w:p>
            <w:pPr>
              <w:pStyle w:val="0"/>
            </w:pPr>
            <w:r>
              <w:rPr>
                <w:sz w:val="24"/>
              </w:rPr>
            </w:r>
          </w:p>
        </w:tc>
        <w:tc>
          <w:tcPr>
            <w:tcW w:w="2608" w:type="dxa"/>
          </w:tcPr>
          <w:p>
            <w:pPr>
              <w:pStyle w:val="0"/>
            </w:pPr>
            <w:r>
              <w:rPr>
                <w:sz w:val="24"/>
              </w:rPr>
              <w:t xml:space="preserve">Инвестиции в ассоциированные предприятия</w:t>
            </w:r>
          </w:p>
        </w:tc>
        <w:tc>
          <w:tcPr>
            <w:tcW w:w="2948" w:type="dxa"/>
          </w:tcPr>
          <w:p>
            <w:pPr>
              <w:pStyle w:val="0"/>
            </w:pPr>
            <w:r>
              <w:rPr>
                <w:sz w:val="24"/>
              </w:rPr>
              <w:t xml:space="preserve">mem-int:InvesticziiVAssocziirovannyePredpriyatiyaMember</w:t>
            </w:r>
          </w:p>
        </w:tc>
      </w:tr>
      <w:tr>
        <w:tc>
          <w:tcPr>
            <w:tcW w:w="907" w:type="dxa"/>
          </w:tcPr>
          <w:p>
            <w:pPr>
              <w:pStyle w:val="0"/>
            </w:pPr>
            <w:r>
              <w:rPr>
                <w:sz w:val="24"/>
              </w:rPr>
              <w:t xml:space="preserve">16.9</w:t>
            </w:r>
          </w:p>
        </w:tc>
        <w:tc>
          <w:tcPr>
            <w:tcW w:w="2608" w:type="dxa"/>
          </w:tcPr>
          <w:p>
            <w:pPr>
              <w:pStyle w:val="0"/>
            </w:pPr>
            <w:r>
              <w:rPr>
                <w:sz w:val="24"/>
              </w:rPr>
            </w:r>
          </w:p>
        </w:tc>
        <w:tc>
          <w:tcPr>
            <w:tcW w:w="2608" w:type="dxa"/>
          </w:tcPr>
          <w:p>
            <w:pPr>
              <w:pStyle w:val="0"/>
            </w:pPr>
            <w:r>
              <w:rPr>
                <w:sz w:val="24"/>
              </w:rPr>
              <w:t xml:space="preserve">Инвестиции в совместно контролируемые предприятия</w:t>
            </w:r>
          </w:p>
        </w:tc>
        <w:tc>
          <w:tcPr>
            <w:tcW w:w="2948" w:type="dxa"/>
          </w:tcPr>
          <w:p>
            <w:pPr>
              <w:pStyle w:val="0"/>
            </w:pPr>
            <w:r>
              <w:rPr>
                <w:sz w:val="24"/>
              </w:rPr>
              <w:t xml:space="preserve">mem-int:InvesticziiVSovmestnoKontroliruemyePredpriyatiyaMember</w:t>
            </w:r>
          </w:p>
        </w:tc>
      </w:tr>
      <w:tr>
        <w:tc>
          <w:tcPr>
            <w:tcW w:w="907" w:type="dxa"/>
          </w:tcPr>
          <w:p>
            <w:pPr>
              <w:pStyle w:val="0"/>
            </w:pPr>
            <w:r>
              <w:rPr>
                <w:sz w:val="24"/>
              </w:rPr>
              <w:t xml:space="preserve">16.10</w:t>
            </w:r>
          </w:p>
        </w:tc>
        <w:tc>
          <w:tcPr>
            <w:tcW w:w="2608" w:type="dxa"/>
          </w:tcPr>
          <w:p>
            <w:pPr>
              <w:pStyle w:val="0"/>
            </w:pPr>
            <w:r>
              <w:rPr>
                <w:sz w:val="24"/>
              </w:rPr>
            </w:r>
          </w:p>
        </w:tc>
        <w:tc>
          <w:tcPr>
            <w:tcW w:w="2608" w:type="dxa"/>
          </w:tcPr>
          <w:p>
            <w:pPr>
              <w:pStyle w:val="0"/>
            </w:pPr>
            <w:r>
              <w:rPr>
                <w:sz w:val="24"/>
              </w:rPr>
              <w:t xml:space="preserve">Инвестиции в дочерние предприятия</w:t>
            </w:r>
          </w:p>
        </w:tc>
        <w:tc>
          <w:tcPr>
            <w:tcW w:w="2948" w:type="dxa"/>
          </w:tcPr>
          <w:p>
            <w:pPr>
              <w:pStyle w:val="0"/>
            </w:pPr>
            <w:r>
              <w:rPr>
                <w:sz w:val="24"/>
              </w:rPr>
              <w:t xml:space="preserve">mem-int:InvesticziiVDocherniePredpriyatiyaMember</w:t>
            </w:r>
          </w:p>
        </w:tc>
      </w:tr>
      <w:tr>
        <w:tc>
          <w:tcPr>
            <w:tcW w:w="907" w:type="dxa"/>
          </w:tcPr>
          <w:p>
            <w:pPr>
              <w:pStyle w:val="0"/>
            </w:pPr>
            <w:r>
              <w:rPr>
                <w:sz w:val="24"/>
              </w:rPr>
              <w:t xml:space="preserve">16.11</w:t>
            </w:r>
          </w:p>
        </w:tc>
        <w:tc>
          <w:tcPr>
            <w:tcW w:w="2608" w:type="dxa"/>
          </w:tcPr>
          <w:p>
            <w:pPr>
              <w:pStyle w:val="0"/>
            </w:pPr>
            <w:r>
              <w:rPr>
                <w:sz w:val="24"/>
              </w:rPr>
            </w:r>
          </w:p>
        </w:tc>
        <w:tc>
          <w:tcPr>
            <w:tcW w:w="2608" w:type="dxa"/>
          </w:tcPr>
          <w:p>
            <w:pPr>
              <w:pStyle w:val="0"/>
            </w:pPr>
            <w:r>
              <w:rPr>
                <w:sz w:val="24"/>
              </w:rPr>
              <w:t xml:space="preserve">Прочие активы</w:t>
            </w:r>
          </w:p>
        </w:tc>
        <w:tc>
          <w:tcPr>
            <w:tcW w:w="2948" w:type="dxa"/>
          </w:tcPr>
          <w:p>
            <w:pPr>
              <w:pStyle w:val="0"/>
            </w:pPr>
            <w:r>
              <w:rPr>
                <w:sz w:val="24"/>
              </w:rPr>
              <w:t xml:space="preserve">mem-int:ProchieAktivyMember</w:t>
            </w:r>
          </w:p>
        </w:tc>
      </w:tr>
      <w:tr>
        <w:tc>
          <w:tcPr>
            <w:tcW w:w="907" w:type="dxa"/>
          </w:tcPr>
          <w:p>
            <w:pPr>
              <w:pStyle w:val="0"/>
            </w:pPr>
            <w:r>
              <w:rPr>
                <w:sz w:val="24"/>
              </w:rPr>
              <w:t xml:space="preserve">17</w:t>
            </w:r>
          </w:p>
        </w:tc>
        <w:tc>
          <w:tcPr>
            <w:tcW w:w="2608" w:type="dxa"/>
          </w:tcPr>
          <w:p>
            <w:pPr>
              <w:pStyle w:val="0"/>
            </w:pPr>
            <w:r>
              <w:rPr>
                <w:sz w:val="24"/>
              </w:rPr>
              <w:t xml:space="preserve">Категория вещей, в том числе недвижимости</w:t>
            </w:r>
          </w:p>
        </w:tc>
        <w:tc>
          <w:tcPr>
            <w:tcW w:w="2608" w:type="dxa"/>
          </w:tcPr>
          <w:p>
            <w:pPr>
              <w:pStyle w:val="0"/>
            </w:pPr>
            <w:r>
              <w:rPr>
                <w:sz w:val="24"/>
              </w:rPr>
            </w:r>
          </w:p>
        </w:tc>
        <w:tc>
          <w:tcPr>
            <w:tcW w:w="2948" w:type="dxa"/>
          </w:tcPr>
          <w:p>
            <w:pPr>
              <w:pStyle w:val="0"/>
            </w:pPr>
            <w:r>
              <w:rPr>
                <w:sz w:val="24"/>
              </w:rPr>
              <w:t xml:space="preserve">ins-dic:KatVeshhEnumerator</w:t>
            </w:r>
          </w:p>
        </w:tc>
      </w:tr>
      <w:tr>
        <w:tc>
          <w:tcPr>
            <w:tcW w:w="907" w:type="dxa"/>
          </w:tcPr>
          <w:p>
            <w:pPr>
              <w:pStyle w:val="0"/>
            </w:pPr>
            <w:r>
              <w:rPr>
                <w:sz w:val="24"/>
              </w:rPr>
              <w:t xml:space="preserve">17.1</w:t>
            </w:r>
          </w:p>
        </w:tc>
        <w:tc>
          <w:tcPr>
            <w:tcW w:w="2608" w:type="dxa"/>
          </w:tcPr>
          <w:p>
            <w:pPr>
              <w:pStyle w:val="0"/>
            </w:pPr>
            <w:r>
              <w:rPr>
                <w:sz w:val="24"/>
              </w:rPr>
            </w:r>
          </w:p>
        </w:tc>
        <w:tc>
          <w:tcPr>
            <w:tcW w:w="2608" w:type="dxa"/>
          </w:tcPr>
          <w:p>
            <w:pPr>
              <w:pStyle w:val="0"/>
            </w:pPr>
            <w:r>
              <w:rPr>
                <w:sz w:val="24"/>
              </w:rPr>
              <w:t xml:space="preserve">Жилая недвижимость</w:t>
            </w:r>
          </w:p>
        </w:tc>
        <w:tc>
          <w:tcPr>
            <w:tcW w:w="2948" w:type="dxa"/>
          </w:tcPr>
          <w:p>
            <w:pPr>
              <w:pStyle w:val="0"/>
            </w:pPr>
            <w:r>
              <w:rPr>
                <w:sz w:val="24"/>
              </w:rPr>
              <w:t xml:space="preserve">mem-int:ZhilNedvMember</w:t>
            </w:r>
          </w:p>
        </w:tc>
      </w:tr>
      <w:tr>
        <w:tc>
          <w:tcPr>
            <w:tcW w:w="907" w:type="dxa"/>
          </w:tcPr>
          <w:p>
            <w:pPr>
              <w:pStyle w:val="0"/>
            </w:pPr>
            <w:r>
              <w:rPr>
                <w:sz w:val="24"/>
              </w:rPr>
              <w:t xml:space="preserve">17.2</w:t>
            </w:r>
          </w:p>
        </w:tc>
        <w:tc>
          <w:tcPr>
            <w:tcW w:w="2608" w:type="dxa"/>
          </w:tcPr>
          <w:p>
            <w:pPr>
              <w:pStyle w:val="0"/>
            </w:pPr>
            <w:r>
              <w:rPr>
                <w:sz w:val="24"/>
              </w:rPr>
            </w:r>
          </w:p>
        </w:tc>
        <w:tc>
          <w:tcPr>
            <w:tcW w:w="2608" w:type="dxa"/>
          </w:tcPr>
          <w:p>
            <w:pPr>
              <w:pStyle w:val="0"/>
            </w:pPr>
            <w:r>
              <w:rPr>
                <w:sz w:val="24"/>
              </w:rPr>
              <w:t xml:space="preserve">Земельный участок, на котором расположена жилая недвижимость</w:t>
            </w:r>
          </w:p>
        </w:tc>
        <w:tc>
          <w:tcPr>
            <w:tcW w:w="2948" w:type="dxa"/>
          </w:tcPr>
          <w:p>
            <w:pPr>
              <w:pStyle w:val="0"/>
            </w:pPr>
            <w:r>
              <w:rPr>
                <w:sz w:val="24"/>
              </w:rPr>
              <w:t xml:space="preserve">mem-int:ZemUchZhilNedvMember</w:t>
            </w:r>
          </w:p>
        </w:tc>
      </w:tr>
      <w:tr>
        <w:tc>
          <w:tcPr>
            <w:tcW w:w="907" w:type="dxa"/>
          </w:tcPr>
          <w:p>
            <w:pPr>
              <w:pStyle w:val="0"/>
            </w:pPr>
            <w:r>
              <w:rPr>
                <w:sz w:val="24"/>
              </w:rPr>
              <w:t xml:space="preserve">17.3</w:t>
            </w:r>
          </w:p>
        </w:tc>
        <w:tc>
          <w:tcPr>
            <w:tcW w:w="2608" w:type="dxa"/>
          </w:tcPr>
          <w:p>
            <w:pPr>
              <w:pStyle w:val="0"/>
            </w:pPr>
            <w:r>
              <w:rPr>
                <w:sz w:val="24"/>
              </w:rPr>
            </w:r>
          </w:p>
        </w:tc>
        <w:tc>
          <w:tcPr>
            <w:tcW w:w="2608" w:type="dxa"/>
          </w:tcPr>
          <w:p>
            <w:pPr>
              <w:pStyle w:val="0"/>
            </w:pPr>
            <w:r>
              <w:rPr>
                <w:sz w:val="24"/>
              </w:rPr>
              <w:t xml:space="preserve">Нежилая недвижимость</w:t>
            </w:r>
          </w:p>
        </w:tc>
        <w:tc>
          <w:tcPr>
            <w:tcW w:w="2948" w:type="dxa"/>
          </w:tcPr>
          <w:p>
            <w:pPr>
              <w:pStyle w:val="0"/>
            </w:pPr>
            <w:r>
              <w:rPr>
                <w:sz w:val="24"/>
              </w:rPr>
              <w:t xml:space="preserve">mem-int:NezhilNedvMember</w:t>
            </w:r>
          </w:p>
        </w:tc>
      </w:tr>
      <w:tr>
        <w:tc>
          <w:tcPr>
            <w:tcW w:w="907" w:type="dxa"/>
          </w:tcPr>
          <w:p>
            <w:pPr>
              <w:pStyle w:val="0"/>
            </w:pPr>
            <w:r>
              <w:rPr>
                <w:sz w:val="24"/>
              </w:rPr>
              <w:t xml:space="preserve">17.4</w:t>
            </w:r>
          </w:p>
        </w:tc>
        <w:tc>
          <w:tcPr>
            <w:tcW w:w="2608" w:type="dxa"/>
          </w:tcPr>
          <w:p>
            <w:pPr>
              <w:pStyle w:val="0"/>
            </w:pPr>
            <w:r>
              <w:rPr>
                <w:sz w:val="24"/>
              </w:rPr>
            </w:r>
          </w:p>
        </w:tc>
        <w:tc>
          <w:tcPr>
            <w:tcW w:w="2608" w:type="dxa"/>
          </w:tcPr>
          <w:p>
            <w:pPr>
              <w:pStyle w:val="0"/>
            </w:pPr>
            <w:r>
              <w:rPr>
                <w:sz w:val="24"/>
              </w:rPr>
              <w:t xml:space="preserve">Земельный участок, на котором расположена нежилая недвижимость</w:t>
            </w:r>
          </w:p>
        </w:tc>
        <w:tc>
          <w:tcPr>
            <w:tcW w:w="2948" w:type="dxa"/>
          </w:tcPr>
          <w:p>
            <w:pPr>
              <w:pStyle w:val="0"/>
            </w:pPr>
            <w:r>
              <w:rPr>
                <w:sz w:val="24"/>
              </w:rPr>
              <w:t xml:space="preserve">mem-int:ZemUchNezhilNedvMember</w:t>
            </w:r>
          </w:p>
        </w:tc>
      </w:tr>
      <w:tr>
        <w:tc>
          <w:tcPr>
            <w:tcW w:w="907" w:type="dxa"/>
          </w:tcPr>
          <w:p>
            <w:pPr>
              <w:pStyle w:val="0"/>
            </w:pPr>
            <w:r>
              <w:rPr>
                <w:sz w:val="24"/>
              </w:rPr>
              <w:t xml:space="preserve">18</w:t>
            </w:r>
          </w:p>
        </w:tc>
        <w:tc>
          <w:tcPr>
            <w:tcW w:w="2608" w:type="dxa"/>
          </w:tcPr>
          <w:p>
            <w:pPr>
              <w:pStyle w:val="0"/>
            </w:pPr>
            <w:r>
              <w:rPr>
                <w:sz w:val="24"/>
              </w:rPr>
              <w:t xml:space="preserve">Категория долевых ценных бумаг</w:t>
            </w:r>
          </w:p>
        </w:tc>
        <w:tc>
          <w:tcPr>
            <w:tcW w:w="2608" w:type="dxa"/>
          </w:tcPr>
          <w:p>
            <w:pPr>
              <w:pStyle w:val="0"/>
            </w:pPr>
            <w:r>
              <w:rPr>
                <w:sz w:val="24"/>
              </w:rPr>
            </w:r>
          </w:p>
        </w:tc>
        <w:tc>
          <w:tcPr>
            <w:tcW w:w="2948" w:type="dxa"/>
          </w:tcPr>
          <w:p>
            <w:pPr>
              <w:pStyle w:val="0"/>
            </w:pPr>
            <w:r>
              <w:rPr>
                <w:sz w:val="24"/>
              </w:rPr>
              <w:t xml:space="preserve">ins-dic:KatDolCzBumEnumerator</w:t>
            </w:r>
          </w:p>
        </w:tc>
      </w:tr>
      <w:tr>
        <w:tc>
          <w:tcPr>
            <w:tcW w:w="907" w:type="dxa"/>
          </w:tcPr>
          <w:p>
            <w:pPr>
              <w:pStyle w:val="0"/>
            </w:pPr>
            <w:r>
              <w:rPr>
                <w:sz w:val="24"/>
              </w:rPr>
              <w:t xml:space="preserve">18.1</w:t>
            </w:r>
          </w:p>
        </w:tc>
        <w:tc>
          <w:tcPr>
            <w:tcW w:w="2608" w:type="dxa"/>
          </w:tcPr>
          <w:p>
            <w:pPr>
              <w:pStyle w:val="0"/>
            </w:pPr>
            <w:r>
              <w:rPr>
                <w:sz w:val="24"/>
              </w:rPr>
            </w:r>
          </w:p>
        </w:tc>
        <w:tc>
          <w:tcPr>
            <w:tcW w:w="2608" w:type="dxa"/>
          </w:tcPr>
          <w:p>
            <w:pPr>
              <w:pStyle w:val="0"/>
            </w:pPr>
            <w:r>
              <w:rPr>
                <w:sz w:val="24"/>
              </w:rPr>
              <w:t xml:space="preserve">Долевые ценные бумаги кредитных организаций</w:t>
            </w:r>
          </w:p>
        </w:tc>
        <w:tc>
          <w:tcPr>
            <w:tcW w:w="2948" w:type="dxa"/>
          </w:tcPr>
          <w:p>
            <w:pPr>
              <w:pStyle w:val="0"/>
            </w:pPr>
            <w:r>
              <w:rPr>
                <w:sz w:val="24"/>
              </w:rPr>
              <w:t xml:space="preserve">mem-int:Dol_Czb_Ko_Member</w:t>
            </w:r>
          </w:p>
        </w:tc>
      </w:tr>
      <w:tr>
        <w:tc>
          <w:tcPr>
            <w:tcW w:w="907" w:type="dxa"/>
          </w:tcPr>
          <w:p>
            <w:pPr>
              <w:pStyle w:val="0"/>
            </w:pPr>
            <w:r>
              <w:rPr>
                <w:sz w:val="24"/>
              </w:rPr>
              <w:t xml:space="preserve">18.2</w:t>
            </w:r>
          </w:p>
        </w:tc>
        <w:tc>
          <w:tcPr>
            <w:tcW w:w="2608" w:type="dxa"/>
          </w:tcPr>
          <w:p>
            <w:pPr>
              <w:pStyle w:val="0"/>
            </w:pPr>
            <w:r>
              <w:rPr>
                <w:sz w:val="24"/>
              </w:rPr>
            </w:r>
          </w:p>
        </w:tc>
        <w:tc>
          <w:tcPr>
            <w:tcW w:w="2608" w:type="dxa"/>
          </w:tcPr>
          <w:p>
            <w:pPr>
              <w:pStyle w:val="0"/>
            </w:pPr>
            <w:r>
              <w:rPr>
                <w:sz w:val="24"/>
              </w:rPr>
              <w:t xml:space="preserve">Долевые ценные бумаги некредитных финансовых организаций</w:t>
            </w:r>
          </w:p>
        </w:tc>
        <w:tc>
          <w:tcPr>
            <w:tcW w:w="2948" w:type="dxa"/>
          </w:tcPr>
          <w:p>
            <w:pPr>
              <w:pStyle w:val="0"/>
            </w:pPr>
            <w:r>
              <w:rPr>
                <w:sz w:val="24"/>
              </w:rPr>
              <w:t xml:space="preserve">mem-int:Dol_Czb_Nfo_Member</w:t>
            </w:r>
          </w:p>
        </w:tc>
      </w:tr>
      <w:tr>
        <w:tc>
          <w:tcPr>
            <w:tcW w:w="907" w:type="dxa"/>
          </w:tcPr>
          <w:p>
            <w:pPr>
              <w:pStyle w:val="0"/>
            </w:pPr>
            <w:r>
              <w:rPr>
                <w:sz w:val="24"/>
              </w:rPr>
              <w:t xml:space="preserve">18.3</w:t>
            </w:r>
          </w:p>
        </w:tc>
        <w:tc>
          <w:tcPr>
            <w:tcW w:w="2608" w:type="dxa"/>
          </w:tcPr>
          <w:p>
            <w:pPr>
              <w:pStyle w:val="0"/>
            </w:pPr>
            <w:r>
              <w:rPr>
                <w:sz w:val="24"/>
              </w:rPr>
            </w:r>
          </w:p>
        </w:tc>
        <w:tc>
          <w:tcPr>
            <w:tcW w:w="2608" w:type="dxa"/>
          </w:tcPr>
          <w:p>
            <w:pPr>
              <w:pStyle w:val="0"/>
            </w:pPr>
            <w:r>
              <w:rPr>
                <w:sz w:val="24"/>
              </w:rPr>
              <w:t xml:space="preserve">Долевые ценные бумаги нефинансовых организаций</w:t>
            </w:r>
          </w:p>
        </w:tc>
        <w:tc>
          <w:tcPr>
            <w:tcW w:w="2948" w:type="dxa"/>
          </w:tcPr>
          <w:p>
            <w:pPr>
              <w:pStyle w:val="0"/>
            </w:pPr>
            <w:r>
              <w:rPr>
                <w:sz w:val="24"/>
              </w:rPr>
              <w:t xml:space="preserve">mem-int:Dol_Czb_Nefin_Org_Member</w:t>
            </w:r>
          </w:p>
        </w:tc>
      </w:tr>
      <w:tr>
        <w:tc>
          <w:tcPr>
            <w:tcW w:w="907" w:type="dxa"/>
          </w:tcPr>
          <w:p>
            <w:pPr>
              <w:pStyle w:val="0"/>
            </w:pPr>
            <w:r>
              <w:rPr>
                <w:sz w:val="24"/>
              </w:rPr>
              <w:t xml:space="preserve">18.4</w:t>
            </w:r>
          </w:p>
        </w:tc>
        <w:tc>
          <w:tcPr>
            <w:tcW w:w="2608" w:type="dxa"/>
          </w:tcPr>
          <w:p>
            <w:pPr>
              <w:pStyle w:val="0"/>
            </w:pPr>
            <w:r>
              <w:rPr>
                <w:sz w:val="24"/>
              </w:rPr>
            </w:r>
          </w:p>
        </w:tc>
        <w:tc>
          <w:tcPr>
            <w:tcW w:w="2608" w:type="dxa"/>
          </w:tcPr>
          <w:p>
            <w:pPr>
              <w:pStyle w:val="0"/>
            </w:pPr>
            <w:r>
              <w:rPr>
                <w:sz w:val="24"/>
              </w:rPr>
              <w:t xml:space="preserve">Долевые ценные бумаги банков-нерезидентов</w:t>
            </w:r>
          </w:p>
        </w:tc>
        <w:tc>
          <w:tcPr>
            <w:tcW w:w="2948" w:type="dxa"/>
          </w:tcPr>
          <w:p>
            <w:pPr>
              <w:pStyle w:val="0"/>
            </w:pPr>
            <w:r>
              <w:rPr>
                <w:sz w:val="24"/>
              </w:rPr>
              <w:t xml:space="preserve">mem-int:Dol_Czb_Bankov_Nerezidentov_Member</w:t>
            </w:r>
          </w:p>
        </w:tc>
      </w:tr>
      <w:tr>
        <w:tc>
          <w:tcPr>
            <w:tcW w:w="907" w:type="dxa"/>
          </w:tcPr>
          <w:p>
            <w:pPr>
              <w:pStyle w:val="0"/>
            </w:pPr>
            <w:r>
              <w:rPr>
                <w:sz w:val="24"/>
              </w:rPr>
              <w:t xml:space="preserve">18.5</w:t>
            </w:r>
          </w:p>
        </w:tc>
        <w:tc>
          <w:tcPr>
            <w:tcW w:w="2608" w:type="dxa"/>
          </w:tcPr>
          <w:p>
            <w:pPr>
              <w:pStyle w:val="0"/>
            </w:pPr>
            <w:r>
              <w:rPr>
                <w:sz w:val="24"/>
              </w:rPr>
            </w:r>
          </w:p>
        </w:tc>
        <w:tc>
          <w:tcPr>
            <w:tcW w:w="2608" w:type="dxa"/>
          </w:tcPr>
          <w:p>
            <w:pPr>
              <w:pStyle w:val="0"/>
            </w:pPr>
            <w:r>
              <w:rPr>
                <w:sz w:val="24"/>
              </w:rPr>
              <w:t xml:space="preserve">Прочие долевые ценные бумаги нерезидентов</w:t>
            </w:r>
          </w:p>
        </w:tc>
        <w:tc>
          <w:tcPr>
            <w:tcW w:w="2948" w:type="dxa"/>
          </w:tcPr>
          <w:p>
            <w:pPr>
              <w:pStyle w:val="0"/>
            </w:pPr>
            <w:r>
              <w:rPr>
                <w:sz w:val="24"/>
              </w:rPr>
              <w:t xml:space="preserve">mem-int:Dol_Czb_Prochie_Nerez_Member</w:t>
            </w:r>
          </w:p>
        </w:tc>
      </w:tr>
      <w:tr>
        <w:tc>
          <w:tcPr>
            <w:tcW w:w="907" w:type="dxa"/>
          </w:tcPr>
          <w:p>
            <w:pPr>
              <w:pStyle w:val="0"/>
            </w:pPr>
            <w:r>
              <w:rPr>
                <w:sz w:val="24"/>
              </w:rPr>
              <w:t xml:space="preserve">19</w:t>
            </w:r>
          </w:p>
        </w:tc>
        <w:tc>
          <w:tcPr>
            <w:tcW w:w="2608" w:type="dxa"/>
          </w:tcPr>
          <w:p>
            <w:pPr>
              <w:pStyle w:val="0"/>
            </w:pPr>
            <w:r>
              <w:rPr>
                <w:sz w:val="24"/>
              </w:rPr>
              <w:t xml:space="preserve">Категория долговых ценных бумаг</w:t>
            </w:r>
          </w:p>
        </w:tc>
        <w:tc>
          <w:tcPr>
            <w:tcW w:w="2608" w:type="dxa"/>
          </w:tcPr>
          <w:p>
            <w:pPr>
              <w:pStyle w:val="0"/>
            </w:pPr>
            <w:r>
              <w:rPr>
                <w:sz w:val="24"/>
              </w:rPr>
            </w:r>
          </w:p>
        </w:tc>
        <w:tc>
          <w:tcPr>
            <w:tcW w:w="2948" w:type="dxa"/>
          </w:tcPr>
          <w:p>
            <w:pPr>
              <w:pStyle w:val="0"/>
            </w:pPr>
            <w:r>
              <w:rPr>
                <w:sz w:val="24"/>
              </w:rPr>
              <w:t xml:space="preserve">ins-dic:KatDolgCzBumEnumerator</w:t>
            </w:r>
          </w:p>
        </w:tc>
      </w:tr>
      <w:tr>
        <w:tc>
          <w:tcPr>
            <w:tcW w:w="907" w:type="dxa"/>
          </w:tcPr>
          <w:p>
            <w:pPr>
              <w:pStyle w:val="0"/>
            </w:pPr>
            <w:r>
              <w:rPr>
                <w:sz w:val="24"/>
              </w:rPr>
              <w:t xml:space="preserve">19.1</w:t>
            </w:r>
          </w:p>
        </w:tc>
        <w:tc>
          <w:tcPr>
            <w:tcW w:w="2608" w:type="dxa"/>
          </w:tcPr>
          <w:p>
            <w:pPr>
              <w:pStyle w:val="0"/>
            </w:pPr>
            <w:r>
              <w:rPr>
                <w:sz w:val="24"/>
              </w:rPr>
            </w:r>
          </w:p>
        </w:tc>
        <w:tc>
          <w:tcPr>
            <w:tcW w:w="2608" w:type="dxa"/>
          </w:tcPr>
          <w:p>
            <w:pPr>
              <w:pStyle w:val="0"/>
            </w:pPr>
            <w:r>
              <w:rPr>
                <w:sz w:val="24"/>
              </w:rPr>
              <w:t xml:space="preserve">Долговые ценные бумаги Российской Федерации</w:t>
            </w:r>
          </w:p>
        </w:tc>
        <w:tc>
          <w:tcPr>
            <w:tcW w:w="2948" w:type="dxa"/>
          </w:tcPr>
          <w:p>
            <w:pPr>
              <w:pStyle w:val="0"/>
            </w:pPr>
            <w:r>
              <w:rPr>
                <w:sz w:val="24"/>
              </w:rPr>
              <w:t xml:space="preserve">mem-int:Dolg_Czb_Rf_Member</w:t>
            </w:r>
          </w:p>
        </w:tc>
      </w:tr>
      <w:tr>
        <w:tc>
          <w:tcPr>
            <w:tcW w:w="907" w:type="dxa"/>
          </w:tcPr>
          <w:p>
            <w:pPr>
              <w:pStyle w:val="0"/>
            </w:pPr>
            <w:r>
              <w:rPr>
                <w:sz w:val="24"/>
              </w:rPr>
              <w:t xml:space="preserve">19.2</w:t>
            </w:r>
          </w:p>
        </w:tc>
        <w:tc>
          <w:tcPr>
            <w:tcW w:w="2608" w:type="dxa"/>
          </w:tcPr>
          <w:p>
            <w:pPr>
              <w:pStyle w:val="0"/>
            </w:pPr>
            <w:r>
              <w:rPr>
                <w:sz w:val="24"/>
              </w:rPr>
            </w:r>
          </w:p>
        </w:tc>
        <w:tc>
          <w:tcPr>
            <w:tcW w:w="2608" w:type="dxa"/>
          </w:tcPr>
          <w:p>
            <w:pPr>
              <w:pStyle w:val="0"/>
            </w:pPr>
            <w:r>
              <w:rPr>
                <w:sz w:val="24"/>
              </w:rPr>
              <w:t xml:space="preserve">Долговые ценные бумаги субъектов Российской Федерации и органов местного самоуправления</w:t>
            </w:r>
          </w:p>
        </w:tc>
        <w:tc>
          <w:tcPr>
            <w:tcW w:w="2948" w:type="dxa"/>
          </w:tcPr>
          <w:p>
            <w:pPr>
              <w:pStyle w:val="0"/>
            </w:pPr>
            <w:r>
              <w:rPr>
                <w:sz w:val="24"/>
              </w:rPr>
              <w:t xml:space="preserve">mem-int:Dolg_Czb_Sub_Rf_Omsu_Member</w:t>
            </w:r>
          </w:p>
        </w:tc>
      </w:tr>
      <w:tr>
        <w:tc>
          <w:tcPr>
            <w:tcW w:w="907" w:type="dxa"/>
          </w:tcPr>
          <w:p>
            <w:pPr>
              <w:pStyle w:val="0"/>
            </w:pPr>
            <w:r>
              <w:rPr>
                <w:sz w:val="24"/>
              </w:rPr>
              <w:t xml:space="preserve">19.3</w:t>
            </w:r>
          </w:p>
        </w:tc>
        <w:tc>
          <w:tcPr>
            <w:tcW w:w="2608" w:type="dxa"/>
          </w:tcPr>
          <w:p>
            <w:pPr>
              <w:pStyle w:val="0"/>
            </w:pPr>
            <w:r>
              <w:rPr>
                <w:sz w:val="24"/>
              </w:rPr>
            </w:r>
          </w:p>
        </w:tc>
        <w:tc>
          <w:tcPr>
            <w:tcW w:w="2608" w:type="dxa"/>
          </w:tcPr>
          <w:p>
            <w:pPr>
              <w:pStyle w:val="0"/>
            </w:pPr>
            <w:r>
              <w:rPr>
                <w:sz w:val="24"/>
              </w:rPr>
              <w:t xml:space="preserve">Долговые ценные бумаги кредитных организаций</w:t>
            </w:r>
          </w:p>
        </w:tc>
        <w:tc>
          <w:tcPr>
            <w:tcW w:w="2948" w:type="dxa"/>
          </w:tcPr>
          <w:p>
            <w:pPr>
              <w:pStyle w:val="0"/>
            </w:pPr>
            <w:r>
              <w:rPr>
                <w:sz w:val="24"/>
              </w:rPr>
              <w:t xml:space="preserve">mem-int:Dolg_Czb_Ko_Member</w:t>
            </w:r>
          </w:p>
        </w:tc>
      </w:tr>
      <w:tr>
        <w:tc>
          <w:tcPr>
            <w:tcW w:w="907" w:type="dxa"/>
          </w:tcPr>
          <w:p>
            <w:pPr>
              <w:pStyle w:val="0"/>
            </w:pPr>
            <w:r>
              <w:rPr>
                <w:sz w:val="24"/>
              </w:rPr>
              <w:t xml:space="preserve">19.4</w:t>
            </w:r>
          </w:p>
        </w:tc>
        <w:tc>
          <w:tcPr>
            <w:tcW w:w="2608" w:type="dxa"/>
          </w:tcPr>
          <w:p>
            <w:pPr>
              <w:pStyle w:val="0"/>
            </w:pPr>
            <w:r>
              <w:rPr>
                <w:sz w:val="24"/>
              </w:rPr>
            </w:r>
          </w:p>
        </w:tc>
        <w:tc>
          <w:tcPr>
            <w:tcW w:w="2608" w:type="dxa"/>
          </w:tcPr>
          <w:p>
            <w:pPr>
              <w:pStyle w:val="0"/>
            </w:pPr>
            <w:r>
              <w:rPr>
                <w:sz w:val="24"/>
              </w:rPr>
              <w:t xml:space="preserve">Долговые ценные бумаги некредитных финансовых организаций</w:t>
            </w:r>
          </w:p>
        </w:tc>
        <w:tc>
          <w:tcPr>
            <w:tcW w:w="2948" w:type="dxa"/>
          </w:tcPr>
          <w:p>
            <w:pPr>
              <w:pStyle w:val="0"/>
            </w:pPr>
            <w:r>
              <w:rPr>
                <w:sz w:val="24"/>
              </w:rPr>
              <w:t xml:space="preserve">mem-int:Dolg_Czb_Nfo_Member</w:t>
            </w:r>
          </w:p>
        </w:tc>
      </w:tr>
      <w:tr>
        <w:tc>
          <w:tcPr>
            <w:tcW w:w="907" w:type="dxa"/>
          </w:tcPr>
          <w:p>
            <w:pPr>
              <w:pStyle w:val="0"/>
            </w:pPr>
            <w:r>
              <w:rPr>
                <w:sz w:val="24"/>
              </w:rPr>
              <w:t xml:space="preserve">19.5</w:t>
            </w:r>
          </w:p>
        </w:tc>
        <w:tc>
          <w:tcPr>
            <w:tcW w:w="2608" w:type="dxa"/>
          </w:tcPr>
          <w:p>
            <w:pPr>
              <w:pStyle w:val="0"/>
            </w:pPr>
            <w:r>
              <w:rPr>
                <w:sz w:val="24"/>
              </w:rPr>
            </w:r>
          </w:p>
        </w:tc>
        <w:tc>
          <w:tcPr>
            <w:tcW w:w="2608" w:type="dxa"/>
          </w:tcPr>
          <w:p>
            <w:pPr>
              <w:pStyle w:val="0"/>
            </w:pPr>
            <w:r>
              <w:rPr>
                <w:sz w:val="24"/>
              </w:rPr>
              <w:t xml:space="preserve">Долговые ценные бумаги нефинансовых организаций</w:t>
            </w:r>
          </w:p>
        </w:tc>
        <w:tc>
          <w:tcPr>
            <w:tcW w:w="2948" w:type="dxa"/>
          </w:tcPr>
          <w:p>
            <w:pPr>
              <w:pStyle w:val="0"/>
            </w:pPr>
            <w:r>
              <w:rPr>
                <w:sz w:val="24"/>
              </w:rPr>
              <w:t xml:space="preserve">mem-int:Dolg_Czb_Nefin_Org_Member</w:t>
            </w:r>
          </w:p>
        </w:tc>
      </w:tr>
      <w:tr>
        <w:tc>
          <w:tcPr>
            <w:tcW w:w="907" w:type="dxa"/>
          </w:tcPr>
          <w:p>
            <w:pPr>
              <w:pStyle w:val="0"/>
            </w:pPr>
            <w:r>
              <w:rPr>
                <w:sz w:val="24"/>
              </w:rPr>
              <w:t xml:space="preserve">19.6</w:t>
            </w:r>
          </w:p>
        </w:tc>
        <w:tc>
          <w:tcPr>
            <w:tcW w:w="2608" w:type="dxa"/>
          </w:tcPr>
          <w:p>
            <w:pPr>
              <w:pStyle w:val="0"/>
            </w:pPr>
            <w:r>
              <w:rPr>
                <w:sz w:val="24"/>
              </w:rPr>
            </w:r>
          </w:p>
        </w:tc>
        <w:tc>
          <w:tcPr>
            <w:tcW w:w="2608" w:type="dxa"/>
          </w:tcPr>
          <w:p>
            <w:pPr>
              <w:pStyle w:val="0"/>
            </w:pPr>
            <w:r>
              <w:rPr>
                <w:sz w:val="24"/>
              </w:rPr>
              <w:t xml:space="preserve">Долговые ценные бумаги иностранных государств</w:t>
            </w:r>
          </w:p>
        </w:tc>
        <w:tc>
          <w:tcPr>
            <w:tcW w:w="2948" w:type="dxa"/>
          </w:tcPr>
          <w:p>
            <w:pPr>
              <w:pStyle w:val="0"/>
            </w:pPr>
            <w:r>
              <w:rPr>
                <w:sz w:val="24"/>
              </w:rPr>
              <w:t xml:space="preserve">mem-int:Dolg_Czb_Inostr_Gos_Member</w:t>
            </w:r>
          </w:p>
        </w:tc>
      </w:tr>
      <w:tr>
        <w:tc>
          <w:tcPr>
            <w:tcW w:w="907" w:type="dxa"/>
          </w:tcPr>
          <w:p>
            <w:pPr>
              <w:pStyle w:val="0"/>
            </w:pPr>
            <w:r>
              <w:rPr>
                <w:sz w:val="24"/>
              </w:rPr>
              <w:t xml:space="preserve">19.7</w:t>
            </w:r>
          </w:p>
        </w:tc>
        <w:tc>
          <w:tcPr>
            <w:tcW w:w="2608" w:type="dxa"/>
          </w:tcPr>
          <w:p>
            <w:pPr>
              <w:pStyle w:val="0"/>
            </w:pPr>
            <w:r>
              <w:rPr>
                <w:sz w:val="24"/>
              </w:rPr>
            </w:r>
          </w:p>
        </w:tc>
        <w:tc>
          <w:tcPr>
            <w:tcW w:w="2608" w:type="dxa"/>
          </w:tcPr>
          <w:p>
            <w:pPr>
              <w:pStyle w:val="0"/>
            </w:pPr>
            <w:r>
              <w:rPr>
                <w:sz w:val="24"/>
              </w:rPr>
              <w:t xml:space="preserve">Долговые ценные бумаги банков-нерезидентов</w:t>
            </w:r>
          </w:p>
        </w:tc>
        <w:tc>
          <w:tcPr>
            <w:tcW w:w="2948" w:type="dxa"/>
          </w:tcPr>
          <w:p>
            <w:pPr>
              <w:pStyle w:val="0"/>
            </w:pPr>
            <w:r>
              <w:rPr>
                <w:sz w:val="24"/>
              </w:rPr>
              <w:t xml:space="preserve">mem-int:DoIg_Czb_Bankov_Nerezidentov_Member</w:t>
            </w:r>
          </w:p>
        </w:tc>
      </w:tr>
      <w:tr>
        <w:tc>
          <w:tcPr>
            <w:tcW w:w="907" w:type="dxa"/>
          </w:tcPr>
          <w:p>
            <w:pPr>
              <w:pStyle w:val="0"/>
            </w:pPr>
            <w:r>
              <w:rPr>
                <w:sz w:val="24"/>
              </w:rPr>
              <w:t xml:space="preserve">19.8</w:t>
            </w:r>
          </w:p>
        </w:tc>
        <w:tc>
          <w:tcPr>
            <w:tcW w:w="2608" w:type="dxa"/>
          </w:tcPr>
          <w:p>
            <w:pPr>
              <w:pStyle w:val="0"/>
            </w:pPr>
            <w:r>
              <w:rPr>
                <w:sz w:val="24"/>
              </w:rPr>
            </w:r>
          </w:p>
        </w:tc>
        <w:tc>
          <w:tcPr>
            <w:tcW w:w="2608" w:type="dxa"/>
          </w:tcPr>
          <w:p>
            <w:pPr>
              <w:pStyle w:val="0"/>
            </w:pPr>
            <w:r>
              <w:rPr>
                <w:sz w:val="24"/>
              </w:rPr>
              <w:t xml:space="preserve">Долговые ценные бумаги предприятий специального назначения - нерезидентов</w:t>
            </w:r>
          </w:p>
        </w:tc>
        <w:tc>
          <w:tcPr>
            <w:tcW w:w="2948" w:type="dxa"/>
          </w:tcPr>
          <w:p>
            <w:pPr>
              <w:pStyle w:val="0"/>
            </w:pPr>
            <w:r>
              <w:rPr>
                <w:sz w:val="24"/>
              </w:rPr>
              <w:t xml:space="preserve">mem-int:DolgCzenBumOrgSpecNaznNerezMember</w:t>
            </w:r>
          </w:p>
        </w:tc>
      </w:tr>
      <w:tr>
        <w:tc>
          <w:tcPr>
            <w:tcW w:w="907" w:type="dxa"/>
          </w:tcPr>
          <w:p>
            <w:pPr>
              <w:pStyle w:val="0"/>
            </w:pPr>
            <w:r>
              <w:rPr>
                <w:sz w:val="24"/>
              </w:rPr>
              <w:t xml:space="preserve">19.9</w:t>
            </w:r>
          </w:p>
        </w:tc>
        <w:tc>
          <w:tcPr>
            <w:tcW w:w="2608" w:type="dxa"/>
          </w:tcPr>
          <w:p>
            <w:pPr>
              <w:pStyle w:val="0"/>
            </w:pPr>
            <w:r>
              <w:rPr>
                <w:sz w:val="24"/>
              </w:rPr>
            </w:r>
          </w:p>
        </w:tc>
        <w:tc>
          <w:tcPr>
            <w:tcW w:w="2608" w:type="dxa"/>
          </w:tcPr>
          <w:p>
            <w:pPr>
              <w:pStyle w:val="0"/>
            </w:pPr>
            <w:r>
              <w:rPr>
                <w:sz w:val="24"/>
              </w:rPr>
              <w:t xml:space="preserve">Прочие долговые ценные бумаги нерезидентов</w:t>
            </w:r>
          </w:p>
        </w:tc>
        <w:tc>
          <w:tcPr>
            <w:tcW w:w="2948" w:type="dxa"/>
          </w:tcPr>
          <w:p>
            <w:pPr>
              <w:pStyle w:val="0"/>
            </w:pPr>
            <w:r>
              <w:rPr>
                <w:sz w:val="24"/>
              </w:rPr>
              <w:t xml:space="preserve">mem-int:Dolg_Czb_Prochie_Nerez_Member</w:t>
            </w:r>
          </w:p>
        </w:tc>
      </w:tr>
      <w:tr>
        <w:tc>
          <w:tcPr>
            <w:tcW w:w="907" w:type="dxa"/>
          </w:tcPr>
          <w:p>
            <w:pPr>
              <w:pStyle w:val="0"/>
            </w:pPr>
            <w:r>
              <w:rPr>
                <w:sz w:val="24"/>
              </w:rPr>
              <w:t xml:space="preserve">20</w:t>
            </w:r>
          </w:p>
        </w:tc>
        <w:tc>
          <w:tcPr>
            <w:tcW w:w="2608" w:type="dxa"/>
          </w:tcPr>
          <w:p>
            <w:pPr>
              <w:pStyle w:val="0"/>
            </w:pPr>
            <w:r>
              <w:rPr>
                <w:sz w:val="24"/>
              </w:rPr>
              <w:t xml:space="preserve">Копии первичных документов переданы в специализированный депозитарий</w:t>
            </w:r>
          </w:p>
        </w:tc>
        <w:tc>
          <w:tcPr>
            <w:tcW w:w="2608" w:type="dxa"/>
          </w:tcPr>
          <w:p>
            <w:pPr>
              <w:pStyle w:val="0"/>
            </w:pPr>
            <w:r>
              <w:rPr>
                <w:sz w:val="24"/>
              </w:rPr>
            </w:r>
          </w:p>
        </w:tc>
        <w:tc>
          <w:tcPr>
            <w:tcW w:w="2948" w:type="dxa"/>
          </w:tcPr>
          <w:p>
            <w:pPr>
              <w:pStyle w:val="0"/>
            </w:pPr>
            <w:r>
              <w:rPr>
                <w:sz w:val="24"/>
              </w:rPr>
              <w:t xml:space="preserve">ins-dic:InfDsPerSpecDepPunkt3115Enumerator</w:t>
            </w:r>
          </w:p>
        </w:tc>
      </w:tr>
      <w:tr>
        <w:tc>
          <w:tcPr>
            <w:tcW w:w="907" w:type="dxa"/>
          </w:tcPr>
          <w:p>
            <w:pPr>
              <w:pStyle w:val="0"/>
            </w:pPr>
            <w:r>
              <w:rPr>
                <w:sz w:val="24"/>
              </w:rPr>
              <w:t xml:space="preserve">20.1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20.3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21</w:t>
            </w:r>
          </w:p>
        </w:tc>
        <w:tc>
          <w:tcPr>
            <w:tcW w:w="2608" w:type="dxa"/>
          </w:tcPr>
          <w:p>
            <w:pPr>
              <w:pStyle w:val="0"/>
            </w:pPr>
            <w:r>
              <w:rPr>
                <w:sz w:val="24"/>
              </w:rPr>
              <w:t xml:space="preserve">Наличие залога</w:t>
            </w:r>
          </w:p>
        </w:tc>
        <w:tc>
          <w:tcPr>
            <w:tcW w:w="2608" w:type="dxa"/>
          </w:tcPr>
          <w:p>
            <w:pPr>
              <w:pStyle w:val="0"/>
            </w:pPr>
            <w:r>
              <w:rPr>
                <w:sz w:val="24"/>
              </w:rPr>
            </w:r>
          </w:p>
        </w:tc>
        <w:tc>
          <w:tcPr>
            <w:tcW w:w="2948" w:type="dxa"/>
          </w:tcPr>
          <w:p>
            <w:pPr>
              <w:pStyle w:val="0"/>
            </w:pPr>
            <w:r>
              <w:rPr>
                <w:sz w:val="24"/>
              </w:rPr>
              <w:t xml:space="preserve">ins-dic:NalichZalogEnumerator</w:t>
            </w:r>
          </w:p>
        </w:tc>
      </w:tr>
      <w:tr>
        <w:tc>
          <w:tcPr>
            <w:tcW w:w="907" w:type="dxa"/>
          </w:tcPr>
          <w:p>
            <w:pPr>
              <w:pStyle w:val="0"/>
            </w:pPr>
            <w:r>
              <w:rPr>
                <w:sz w:val="24"/>
              </w:rPr>
              <w:t xml:space="preserve">21.1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22</w:t>
            </w:r>
          </w:p>
        </w:tc>
        <w:tc>
          <w:tcPr>
            <w:tcW w:w="2608" w:type="dxa"/>
          </w:tcPr>
          <w:p>
            <w:pPr>
              <w:pStyle w:val="0"/>
            </w:pPr>
            <w:r>
              <w:rPr>
                <w:sz w:val="24"/>
              </w:rPr>
              <w:t xml:space="preserve">Наложен арест, иное обременение или применены обеспечительные меры, препятствующие отчуждению имущества</w:t>
            </w:r>
          </w:p>
        </w:tc>
        <w:tc>
          <w:tcPr>
            <w:tcW w:w="2608" w:type="dxa"/>
          </w:tcPr>
          <w:p>
            <w:pPr>
              <w:pStyle w:val="0"/>
            </w:pPr>
            <w:r>
              <w:rPr>
                <w:sz w:val="24"/>
              </w:rPr>
            </w:r>
          </w:p>
        </w:tc>
        <w:tc>
          <w:tcPr>
            <w:tcW w:w="2948" w:type="dxa"/>
          </w:tcPr>
          <w:p>
            <w:pPr>
              <w:pStyle w:val="0"/>
            </w:pPr>
            <w:r>
              <w:rPr>
                <w:sz w:val="24"/>
              </w:rPr>
              <w:t xml:space="preserve">ins-dic:ArestObremObespMerPrepOtchEnumerator</w:t>
            </w:r>
          </w:p>
        </w:tc>
      </w:tr>
      <w:tr>
        <w:tc>
          <w:tcPr>
            <w:tcW w:w="907" w:type="dxa"/>
          </w:tcPr>
          <w:p>
            <w:pPr>
              <w:pStyle w:val="0"/>
            </w:pPr>
            <w:r>
              <w:rPr>
                <w:sz w:val="24"/>
              </w:rPr>
              <w:t xml:space="preserve">22.1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22.3</w:t>
            </w:r>
          </w:p>
        </w:tc>
        <w:tc>
          <w:tcPr>
            <w:tcW w:w="2608" w:type="dxa"/>
          </w:tcPr>
          <w:p>
            <w:pPr>
              <w:pStyle w:val="0"/>
            </w:pPr>
            <w:r>
              <w:rPr>
                <w:sz w:val="24"/>
              </w:rPr>
            </w:r>
          </w:p>
        </w:tc>
        <w:tc>
          <w:tcPr>
            <w:tcW w:w="2608" w:type="dxa"/>
          </w:tcPr>
          <w:p>
            <w:pPr>
              <w:pStyle w:val="0"/>
            </w:pPr>
            <w:r>
              <w:rPr>
                <w:sz w:val="24"/>
              </w:rPr>
              <w:t xml:space="preserve">Является исключением</w:t>
            </w:r>
          </w:p>
        </w:tc>
        <w:tc>
          <w:tcPr>
            <w:tcW w:w="2948" w:type="dxa"/>
          </w:tcPr>
          <w:p>
            <w:pPr>
              <w:pStyle w:val="0"/>
            </w:pPr>
            <w:r>
              <w:rPr>
                <w:sz w:val="24"/>
              </w:rPr>
              <w:t xml:space="preserve">mem-int:YAvlyaetsyaIsklyucheniemMember</w:t>
            </w:r>
          </w:p>
        </w:tc>
      </w:tr>
      <w:tr>
        <w:tc>
          <w:tcPr>
            <w:tcW w:w="907" w:type="dxa"/>
          </w:tcPr>
          <w:p>
            <w:pPr>
              <w:pStyle w:val="0"/>
            </w:pPr>
            <w:r>
              <w:rPr>
                <w:sz w:val="24"/>
              </w:rPr>
              <w:t xml:space="preserve">23</w:t>
            </w:r>
          </w:p>
        </w:tc>
        <w:tc>
          <w:tcPr>
            <w:tcW w:w="2608" w:type="dxa"/>
          </w:tcPr>
          <w:p>
            <w:pPr>
              <w:pStyle w:val="0"/>
            </w:pPr>
            <w:r>
              <w:rPr>
                <w:sz w:val="24"/>
              </w:rPr>
              <w:t xml:space="preserve">Направление сделки</w:t>
            </w:r>
          </w:p>
        </w:tc>
        <w:tc>
          <w:tcPr>
            <w:tcW w:w="2608" w:type="dxa"/>
          </w:tcPr>
          <w:p>
            <w:pPr>
              <w:pStyle w:val="0"/>
            </w:pPr>
            <w:r>
              <w:rPr>
                <w:sz w:val="24"/>
              </w:rPr>
            </w:r>
          </w:p>
        </w:tc>
        <w:tc>
          <w:tcPr>
            <w:tcW w:w="2948" w:type="dxa"/>
          </w:tcPr>
          <w:p>
            <w:pPr>
              <w:pStyle w:val="0"/>
            </w:pPr>
            <w:r>
              <w:rPr>
                <w:sz w:val="24"/>
              </w:rPr>
              <w:t xml:space="preserve">ins-dic:NaprSdelkiEnumerator</w:t>
            </w:r>
          </w:p>
        </w:tc>
      </w:tr>
      <w:tr>
        <w:tc>
          <w:tcPr>
            <w:tcW w:w="907" w:type="dxa"/>
          </w:tcPr>
          <w:p>
            <w:pPr>
              <w:pStyle w:val="0"/>
            </w:pPr>
            <w:r>
              <w:rPr>
                <w:sz w:val="24"/>
              </w:rPr>
              <w:t xml:space="preserve">23.1</w:t>
            </w:r>
          </w:p>
        </w:tc>
        <w:tc>
          <w:tcPr>
            <w:tcW w:w="2608" w:type="dxa"/>
          </w:tcPr>
          <w:p>
            <w:pPr>
              <w:pStyle w:val="0"/>
            </w:pPr>
            <w:r>
              <w:rPr>
                <w:sz w:val="24"/>
              </w:rPr>
            </w:r>
          </w:p>
        </w:tc>
        <w:tc>
          <w:tcPr>
            <w:tcW w:w="2608" w:type="dxa"/>
          </w:tcPr>
          <w:p>
            <w:pPr>
              <w:pStyle w:val="0"/>
            </w:pPr>
            <w:r>
              <w:rPr>
                <w:sz w:val="24"/>
              </w:rPr>
              <w:t xml:space="preserve">Покупка</w:t>
            </w:r>
          </w:p>
        </w:tc>
        <w:tc>
          <w:tcPr>
            <w:tcW w:w="2948" w:type="dxa"/>
          </w:tcPr>
          <w:p>
            <w:pPr>
              <w:pStyle w:val="0"/>
            </w:pPr>
            <w:r>
              <w:rPr>
                <w:sz w:val="24"/>
              </w:rPr>
              <w:t xml:space="preserve">mem-int:PokupkaMember</w:t>
            </w:r>
          </w:p>
        </w:tc>
      </w:tr>
      <w:tr>
        <w:tc>
          <w:tcPr>
            <w:tcW w:w="907" w:type="dxa"/>
          </w:tcPr>
          <w:p>
            <w:pPr>
              <w:pStyle w:val="0"/>
            </w:pPr>
            <w:r>
              <w:rPr>
                <w:sz w:val="24"/>
              </w:rPr>
              <w:t xml:space="preserve">23.2</w:t>
            </w:r>
          </w:p>
        </w:tc>
        <w:tc>
          <w:tcPr>
            <w:tcW w:w="2608" w:type="dxa"/>
          </w:tcPr>
          <w:p>
            <w:pPr>
              <w:pStyle w:val="0"/>
            </w:pPr>
            <w:r>
              <w:rPr>
                <w:sz w:val="24"/>
              </w:rPr>
            </w:r>
          </w:p>
        </w:tc>
        <w:tc>
          <w:tcPr>
            <w:tcW w:w="2608" w:type="dxa"/>
          </w:tcPr>
          <w:p>
            <w:pPr>
              <w:pStyle w:val="0"/>
            </w:pPr>
            <w:r>
              <w:rPr>
                <w:sz w:val="24"/>
              </w:rPr>
              <w:t xml:space="preserve">Продажа</w:t>
            </w:r>
          </w:p>
        </w:tc>
        <w:tc>
          <w:tcPr>
            <w:tcW w:w="2948" w:type="dxa"/>
          </w:tcPr>
          <w:p>
            <w:pPr>
              <w:pStyle w:val="0"/>
            </w:pPr>
            <w:r>
              <w:rPr>
                <w:sz w:val="24"/>
              </w:rPr>
              <w:t xml:space="preserve">mem-int:ProdazhaMember</w:t>
            </w:r>
          </w:p>
        </w:tc>
      </w:tr>
      <w:tr>
        <w:tc>
          <w:tcPr>
            <w:tcW w:w="907" w:type="dxa"/>
          </w:tcPr>
          <w:p>
            <w:pPr>
              <w:pStyle w:val="0"/>
            </w:pPr>
            <w:r>
              <w:rPr>
                <w:sz w:val="24"/>
              </w:rPr>
              <w:t xml:space="preserve">23.3</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24</w:t>
            </w:r>
          </w:p>
        </w:tc>
        <w:tc>
          <w:tcPr>
            <w:tcW w:w="2608" w:type="dxa"/>
          </w:tcPr>
          <w:p>
            <w:pPr>
              <w:pStyle w:val="0"/>
            </w:pPr>
            <w:r>
              <w:rPr>
                <w:sz w:val="24"/>
              </w:rPr>
              <w:t xml:space="preserve">Облигации без срока погашения, по которым решение об их выпуске не предусматривает право эмитента отказаться в одностороннем порядке от выплаты процентов по таким облигациям</w:t>
            </w:r>
          </w:p>
        </w:tc>
        <w:tc>
          <w:tcPr>
            <w:tcW w:w="2608" w:type="dxa"/>
          </w:tcPr>
          <w:p>
            <w:pPr>
              <w:pStyle w:val="0"/>
            </w:pPr>
            <w:r>
              <w:rPr>
                <w:sz w:val="24"/>
              </w:rPr>
            </w:r>
          </w:p>
        </w:tc>
        <w:tc>
          <w:tcPr>
            <w:tcW w:w="2948" w:type="dxa"/>
          </w:tcPr>
          <w:p>
            <w:pPr>
              <w:pStyle w:val="0"/>
            </w:pPr>
            <w:r>
              <w:rPr>
                <w:sz w:val="24"/>
              </w:rPr>
              <w:t xml:space="preserve">ins-dic:BessrochObligBezPravaOtkazOtVyplatyEnumerator</w:t>
            </w:r>
          </w:p>
        </w:tc>
      </w:tr>
      <w:tr>
        <w:tc>
          <w:tcPr>
            <w:tcW w:w="907" w:type="dxa"/>
          </w:tcPr>
          <w:p>
            <w:pPr>
              <w:pStyle w:val="0"/>
            </w:pPr>
            <w:r>
              <w:rPr>
                <w:sz w:val="24"/>
              </w:rPr>
              <w:t xml:space="preserve">24.1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25</w:t>
            </w:r>
          </w:p>
        </w:tc>
        <w:tc>
          <w:tcPr>
            <w:tcW w:w="2608" w:type="dxa"/>
          </w:tcPr>
          <w:p>
            <w:pPr>
              <w:pStyle w:val="0"/>
            </w:pPr>
            <w:r>
              <w:rPr>
                <w:sz w:val="24"/>
              </w:rPr>
              <w:t xml:space="preserve">Оплата задолженности денежными средствами</w:t>
            </w:r>
          </w:p>
        </w:tc>
        <w:tc>
          <w:tcPr>
            <w:tcW w:w="2608" w:type="dxa"/>
          </w:tcPr>
          <w:p>
            <w:pPr>
              <w:pStyle w:val="0"/>
            </w:pPr>
            <w:r>
              <w:rPr>
                <w:sz w:val="24"/>
              </w:rPr>
            </w:r>
          </w:p>
        </w:tc>
        <w:tc>
          <w:tcPr>
            <w:tcW w:w="2948" w:type="dxa"/>
          </w:tcPr>
          <w:p>
            <w:pPr>
              <w:pStyle w:val="0"/>
            </w:pPr>
            <w:r>
              <w:rPr>
                <w:sz w:val="24"/>
              </w:rPr>
              <w:t xml:space="preserve">ins-dic:OplZadolzhDenSrEnumerator</w:t>
            </w:r>
          </w:p>
        </w:tc>
      </w:tr>
      <w:tr>
        <w:tc>
          <w:tcPr>
            <w:tcW w:w="907" w:type="dxa"/>
          </w:tcPr>
          <w:p>
            <w:pPr>
              <w:pStyle w:val="0"/>
            </w:pPr>
            <w:r>
              <w:rPr>
                <w:sz w:val="24"/>
              </w:rPr>
              <w:t xml:space="preserve">25.1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26</w:t>
            </w:r>
          </w:p>
        </w:tc>
        <w:tc>
          <w:tcPr>
            <w:tcW w:w="2608" w:type="dxa"/>
          </w:tcPr>
          <w:p>
            <w:pPr>
              <w:pStyle w:val="0"/>
            </w:pPr>
            <w:r>
              <w:rPr>
                <w:sz w:val="24"/>
              </w:rPr>
              <w:t xml:space="preserve">По договору страхования существует просрочка страховой премии (взноса)</w:t>
            </w:r>
          </w:p>
        </w:tc>
        <w:tc>
          <w:tcPr>
            <w:tcW w:w="2608" w:type="dxa"/>
          </w:tcPr>
          <w:p>
            <w:pPr>
              <w:pStyle w:val="0"/>
            </w:pPr>
            <w:r>
              <w:rPr>
                <w:sz w:val="24"/>
              </w:rPr>
            </w:r>
          </w:p>
        </w:tc>
        <w:tc>
          <w:tcPr>
            <w:tcW w:w="2948" w:type="dxa"/>
          </w:tcPr>
          <w:p>
            <w:pPr>
              <w:pStyle w:val="0"/>
            </w:pPr>
            <w:r>
              <w:rPr>
                <w:sz w:val="24"/>
              </w:rPr>
              <w:t xml:space="preserve">ins-dic:PoDogStraxSushProsrStrPremXznSrokBol5RabDnejEnumerator</w:t>
            </w:r>
          </w:p>
        </w:tc>
      </w:tr>
      <w:tr>
        <w:tc>
          <w:tcPr>
            <w:tcW w:w="907" w:type="dxa"/>
          </w:tcPr>
          <w:p>
            <w:pPr>
              <w:pStyle w:val="0"/>
            </w:pPr>
            <w:r>
              <w:rPr>
                <w:sz w:val="24"/>
              </w:rPr>
              <w:t xml:space="preserve">26.1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26.3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27</w:t>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27.1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27.3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28</w:t>
            </w:r>
          </w:p>
        </w:tc>
        <w:tc>
          <w:tcPr>
            <w:tcW w:w="2608" w:type="dxa"/>
          </w:tcPr>
          <w:p>
            <w:pPr>
              <w:pStyle w:val="0"/>
            </w:pPr>
            <w:r>
              <w:rPr>
                <w:sz w:val="24"/>
              </w:rPr>
              <w:t xml:space="preserve">Права требования, возникшие в связи с авансовыми платежами страховщика по договору исходящего перестрахования, если такой договор не признан до расчетной даты включительно</w:t>
            </w:r>
          </w:p>
        </w:tc>
        <w:tc>
          <w:tcPr>
            <w:tcW w:w="2608" w:type="dxa"/>
          </w:tcPr>
          <w:p>
            <w:pPr>
              <w:pStyle w:val="0"/>
            </w:pPr>
            <w:r>
              <w:rPr>
                <w:sz w:val="24"/>
              </w:rPr>
            </w:r>
          </w:p>
        </w:tc>
        <w:tc>
          <w:tcPr>
            <w:tcW w:w="2948" w:type="dxa"/>
          </w:tcPr>
          <w:p>
            <w:pPr>
              <w:pStyle w:val="0"/>
            </w:pPr>
            <w:r>
              <w:rPr>
                <w:sz w:val="24"/>
              </w:rPr>
              <w:t xml:space="preserve">ins-dic:PravTrebUdovlPunkt31121415Enumerator</w:t>
            </w:r>
          </w:p>
        </w:tc>
      </w:tr>
      <w:tr>
        <w:tc>
          <w:tcPr>
            <w:tcW w:w="907" w:type="dxa"/>
          </w:tcPr>
          <w:p>
            <w:pPr>
              <w:pStyle w:val="0"/>
            </w:pPr>
            <w:r>
              <w:rPr>
                <w:sz w:val="24"/>
              </w:rPr>
              <w:t xml:space="preserve">28.1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29</w:t>
            </w:r>
          </w:p>
        </w:tc>
        <w:tc>
          <w:tcPr>
            <w:tcW w:w="2608" w:type="dxa"/>
          </w:tcPr>
          <w:p>
            <w:pPr>
              <w:pStyle w:val="0"/>
            </w:pPr>
            <w:r>
              <w:rPr>
                <w:sz w:val="24"/>
              </w:rPr>
              <w:t xml:space="preserve">Права требования относятся к правам требования в рамках расчетов по сделкам с ценными бумагами и погашения ценных бумаг</w:t>
            </w:r>
          </w:p>
        </w:tc>
        <w:tc>
          <w:tcPr>
            <w:tcW w:w="2608" w:type="dxa"/>
          </w:tcPr>
          <w:p>
            <w:pPr>
              <w:pStyle w:val="0"/>
            </w:pPr>
            <w:r>
              <w:rPr>
                <w:sz w:val="24"/>
              </w:rPr>
            </w:r>
          </w:p>
        </w:tc>
        <w:tc>
          <w:tcPr>
            <w:tcW w:w="2948" w:type="dxa"/>
          </w:tcPr>
          <w:p>
            <w:pPr>
              <w:pStyle w:val="0"/>
            </w:pPr>
            <w:r>
              <w:rPr>
                <w:sz w:val="24"/>
              </w:rPr>
              <w:t xml:space="preserve">ins-dic:PravTrebUdovlPunkt311223Enumerator</w:t>
            </w:r>
          </w:p>
        </w:tc>
      </w:tr>
      <w:tr>
        <w:tc>
          <w:tcPr>
            <w:tcW w:w="907" w:type="dxa"/>
          </w:tcPr>
          <w:p>
            <w:pPr>
              <w:pStyle w:val="0"/>
            </w:pPr>
            <w:r>
              <w:rPr>
                <w:sz w:val="24"/>
              </w:rPr>
              <w:t xml:space="preserve">29.1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30</w:t>
            </w:r>
          </w:p>
        </w:tc>
        <w:tc>
          <w:tcPr>
            <w:tcW w:w="2608" w:type="dxa"/>
          </w:tcPr>
          <w:p>
            <w:pPr>
              <w:pStyle w:val="0"/>
            </w:pPr>
            <w:r>
              <w:rPr>
                <w:sz w:val="24"/>
              </w:rPr>
              <w:t xml:space="preserve">Права требования относятся к правам требования к депозитарию по выплатам по ценным бумагам в установленный срок</w:t>
            </w:r>
          </w:p>
        </w:tc>
        <w:tc>
          <w:tcPr>
            <w:tcW w:w="2608" w:type="dxa"/>
          </w:tcPr>
          <w:p>
            <w:pPr>
              <w:pStyle w:val="0"/>
            </w:pPr>
            <w:r>
              <w:rPr>
                <w:sz w:val="24"/>
              </w:rPr>
            </w:r>
          </w:p>
        </w:tc>
        <w:tc>
          <w:tcPr>
            <w:tcW w:w="2948" w:type="dxa"/>
          </w:tcPr>
          <w:p>
            <w:pPr>
              <w:pStyle w:val="0"/>
            </w:pPr>
            <w:r>
              <w:rPr>
                <w:sz w:val="24"/>
              </w:rPr>
              <w:t xml:space="preserve">ins-dic:PravTrebUdovlPunkt31125Enumerator</w:t>
            </w:r>
          </w:p>
        </w:tc>
      </w:tr>
      <w:tr>
        <w:tc>
          <w:tcPr>
            <w:tcW w:w="907" w:type="dxa"/>
          </w:tcPr>
          <w:p>
            <w:pPr>
              <w:pStyle w:val="0"/>
            </w:pPr>
            <w:r>
              <w:rPr>
                <w:sz w:val="24"/>
              </w:rPr>
              <w:t xml:space="preserve">30.1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31</w:t>
            </w:r>
          </w:p>
        </w:tc>
        <w:tc>
          <w:tcPr>
            <w:tcW w:w="2608" w:type="dxa"/>
          </w:tcPr>
          <w:p>
            <w:pPr>
              <w:pStyle w:val="0"/>
            </w:pPr>
            <w:r>
              <w:rPr>
                <w:sz w:val="24"/>
              </w:rPr>
              <w:t xml:space="preserve">Права требования относятся к правам требования по обязательствам страховых агентов и страховых брокеров по перечислению страховых премий (взносов) в установленный срок</w:t>
            </w:r>
          </w:p>
        </w:tc>
        <w:tc>
          <w:tcPr>
            <w:tcW w:w="2608" w:type="dxa"/>
          </w:tcPr>
          <w:p>
            <w:pPr>
              <w:pStyle w:val="0"/>
            </w:pPr>
            <w:r>
              <w:rPr>
                <w:sz w:val="24"/>
              </w:rPr>
            </w:r>
          </w:p>
        </w:tc>
        <w:tc>
          <w:tcPr>
            <w:tcW w:w="2948" w:type="dxa"/>
          </w:tcPr>
          <w:p>
            <w:pPr>
              <w:pStyle w:val="0"/>
            </w:pPr>
            <w:r>
              <w:rPr>
                <w:sz w:val="24"/>
              </w:rPr>
              <w:t xml:space="preserve">ins-dic:PravTrebUdovlPunkt31127Enumerator</w:t>
            </w:r>
          </w:p>
        </w:tc>
      </w:tr>
      <w:tr>
        <w:tc>
          <w:tcPr>
            <w:tcW w:w="907" w:type="dxa"/>
          </w:tcPr>
          <w:p>
            <w:pPr>
              <w:pStyle w:val="0"/>
            </w:pPr>
            <w:r>
              <w:rPr>
                <w:sz w:val="24"/>
              </w:rPr>
              <w:t xml:space="preserve">31.1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32</w:t>
            </w:r>
          </w:p>
        </w:tc>
        <w:tc>
          <w:tcPr>
            <w:tcW w:w="2608" w:type="dxa"/>
          </w:tcPr>
          <w:p>
            <w:pPr>
              <w:pStyle w:val="0"/>
            </w:pPr>
            <w:r>
              <w:rPr>
                <w:sz w:val="24"/>
              </w:rPr>
              <w:t xml:space="preserve">Права требования по обязательствам страхователя - физического лица по возврату займа соответствуют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ins-dic:PravaTrebSootvP3.1.12.8P3.1P710PEnumerator</w:t>
            </w:r>
          </w:p>
        </w:tc>
      </w:tr>
      <w:tr>
        <w:tc>
          <w:tcPr>
            <w:tcW w:w="907" w:type="dxa"/>
          </w:tcPr>
          <w:p>
            <w:pPr>
              <w:pStyle w:val="0"/>
            </w:pPr>
            <w:r>
              <w:rPr>
                <w:sz w:val="24"/>
              </w:rPr>
              <w:t xml:space="preserve">32.1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33</w:t>
            </w:r>
          </w:p>
        </w:tc>
        <w:tc>
          <w:tcPr>
            <w:tcW w:w="2608" w:type="dxa"/>
          </w:tcPr>
          <w:p>
            <w:pPr>
              <w:pStyle w:val="0"/>
            </w:pPr>
            <w:r>
              <w:rPr>
                <w:sz w:val="24"/>
              </w:rPr>
              <w:t xml:space="preserve">Права требования к перестраховщику соответствуют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ins-dic:PravaTrebSootvTrebPp3.1.12.9P3.1PolN781PEnumerator</w:t>
            </w:r>
          </w:p>
        </w:tc>
      </w:tr>
      <w:tr>
        <w:tc>
          <w:tcPr>
            <w:tcW w:w="907" w:type="dxa"/>
          </w:tcPr>
          <w:p>
            <w:pPr>
              <w:pStyle w:val="0"/>
            </w:pPr>
            <w:r>
              <w:rPr>
                <w:sz w:val="24"/>
              </w:rPr>
              <w:t xml:space="preserve">33.1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34</w:t>
            </w:r>
          </w:p>
        </w:tc>
        <w:tc>
          <w:tcPr>
            <w:tcW w:w="2608" w:type="dxa"/>
          </w:tcPr>
          <w:p>
            <w:pPr>
              <w:pStyle w:val="0"/>
            </w:pPr>
            <w:r>
              <w:rPr>
                <w:sz w:val="24"/>
              </w:rPr>
              <w:t xml:space="preserve">Права требования относятся к правам требования к страховщику по расчетам в рамках соглашений о перестраховочных пулах по видам обязательного страхования или регламентированы правилами профессиональной деятельности</w:t>
            </w:r>
          </w:p>
        </w:tc>
        <w:tc>
          <w:tcPr>
            <w:tcW w:w="2608" w:type="dxa"/>
          </w:tcPr>
          <w:p>
            <w:pPr>
              <w:pStyle w:val="0"/>
            </w:pPr>
            <w:r>
              <w:rPr>
                <w:sz w:val="24"/>
              </w:rPr>
            </w:r>
          </w:p>
        </w:tc>
        <w:tc>
          <w:tcPr>
            <w:tcW w:w="2948" w:type="dxa"/>
          </w:tcPr>
          <w:p>
            <w:pPr>
              <w:pStyle w:val="0"/>
            </w:pPr>
            <w:r>
              <w:rPr>
                <w:sz w:val="24"/>
              </w:rPr>
              <w:t xml:space="preserve">ins-dic:PravaTrebSootvAbz3Ili4P3.1.12.10P3.1Pol710PEnumerator</w:t>
            </w:r>
          </w:p>
        </w:tc>
      </w:tr>
      <w:tr>
        <w:tc>
          <w:tcPr>
            <w:tcW w:w="907" w:type="dxa"/>
          </w:tcPr>
          <w:p>
            <w:pPr>
              <w:pStyle w:val="0"/>
            </w:pPr>
            <w:r>
              <w:rPr>
                <w:sz w:val="24"/>
              </w:rPr>
              <w:t xml:space="preserve">34.1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35</w:t>
            </w:r>
          </w:p>
        </w:tc>
        <w:tc>
          <w:tcPr>
            <w:tcW w:w="2608" w:type="dxa"/>
          </w:tcPr>
          <w:p>
            <w:pPr>
              <w:pStyle w:val="0"/>
            </w:pPr>
            <w:r>
              <w:rPr>
                <w:sz w:val="24"/>
              </w:rPr>
              <w:t xml:space="preserve">Права требования относятся к правам требования к страховщику, основанным на суброгации или регрессе и установленным вступившим в законную силу решением суда</w:t>
            </w:r>
          </w:p>
        </w:tc>
        <w:tc>
          <w:tcPr>
            <w:tcW w:w="2608" w:type="dxa"/>
          </w:tcPr>
          <w:p>
            <w:pPr>
              <w:pStyle w:val="0"/>
            </w:pPr>
            <w:r>
              <w:rPr>
                <w:sz w:val="24"/>
              </w:rPr>
            </w:r>
          </w:p>
        </w:tc>
        <w:tc>
          <w:tcPr>
            <w:tcW w:w="2948" w:type="dxa"/>
          </w:tcPr>
          <w:p>
            <w:pPr>
              <w:pStyle w:val="0"/>
            </w:pPr>
            <w:r>
              <w:rPr>
                <w:sz w:val="24"/>
              </w:rPr>
              <w:t xml:space="preserve">ins-dic:PravaTrebSootvAbz5P3.1.12.10P3.1P710PEnumerator</w:t>
            </w:r>
          </w:p>
        </w:tc>
      </w:tr>
      <w:tr>
        <w:tc>
          <w:tcPr>
            <w:tcW w:w="907" w:type="dxa"/>
          </w:tcPr>
          <w:p>
            <w:pPr>
              <w:pStyle w:val="0"/>
            </w:pPr>
            <w:r>
              <w:rPr>
                <w:sz w:val="24"/>
              </w:rPr>
              <w:t xml:space="preserve">35.1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36</w:t>
            </w:r>
          </w:p>
        </w:tc>
        <w:tc>
          <w:tcPr>
            <w:tcW w:w="2608" w:type="dxa"/>
          </w:tcPr>
          <w:p>
            <w:pPr>
              <w:pStyle w:val="0"/>
            </w:pPr>
            <w:r>
              <w:rPr>
                <w:sz w:val="24"/>
              </w:rPr>
              <w:t xml:space="preserve">Права требования относятся к правам требования к профессиональным объединениям страховщиков по видам обязательного страхования гражданской ответственности</w:t>
            </w:r>
          </w:p>
        </w:tc>
        <w:tc>
          <w:tcPr>
            <w:tcW w:w="2608" w:type="dxa"/>
          </w:tcPr>
          <w:p>
            <w:pPr>
              <w:pStyle w:val="0"/>
            </w:pPr>
            <w:r>
              <w:rPr>
                <w:sz w:val="24"/>
              </w:rPr>
            </w:r>
          </w:p>
        </w:tc>
        <w:tc>
          <w:tcPr>
            <w:tcW w:w="2948" w:type="dxa"/>
          </w:tcPr>
          <w:p>
            <w:pPr>
              <w:pStyle w:val="0"/>
            </w:pPr>
            <w:r>
              <w:rPr>
                <w:sz w:val="24"/>
              </w:rPr>
              <w:t xml:space="preserve">ins-dic:PravaTrebSootvP3.1.12.14P3.1Polozh710PEnumerator</w:t>
            </w:r>
          </w:p>
        </w:tc>
      </w:tr>
      <w:tr>
        <w:tc>
          <w:tcPr>
            <w:tcW w:w="907" w:type="dxa"/>
          </w:tcPr>
          <w:p>
            <w:pPr>
              <w:pStyle w:val="0"/>
            </w:pPr>
            <w:r>
              <w:rPr>
                <w:sz w:val="24"/>
              </w:rPr>
              <w:t xml:space="preserve">36.1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37</w:t>
            </w:r>
          </w:p>
        </w:tc>
        <w:tc>
          <w:tcPr>
            <w:tcW w:w="2608" w:type="dxa"/>
          </w:tcPr>
          <w:p>
            <w:pPr>
              <w:pStyle w:val="0"/>
            </w:pPr>
            <w:r>
              <w:rPr>
                <w:sz w:val="24"/>
              </w:rPr>
              <w:t xml:space="preserve">Предметом договора репо являются активы, предусмотренные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ins-dic:PravTrebUdovlPunkt31126Enumerator</w:t>
            </w:r>
          </w:p>
        </w:tc>
      </w:tr>
      <w:tr>
        <w:tc>
          <w:tcPr>
            <w:tcW w:w="907" w:type="dxa"/>
          </w:tcPr>
          <w:p>
            <w:pPr>
              <w:pStyle w:val="0"/>
            </w:pPr>
            <w:r>
              <w:rPr>
                <w:sz w:val="24"/>
              </w:rPr>
              <w:t xml:space="preserve">37.1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38</w:t>
            </w:r>
          </w:p>
        </w:tc>
        <w:tc>
          <w:tcPr>
            <w:tcW w:w="2608" w:type="dxa"/>
          </w:tcPr>
          <w:p>
            <w:pPr>
              <w:pStyle w:val="0"/>
            </w:pPr>
            <w:r>
              <w:rPr>
                <w:sz w:val="24"/>
              </w:rPr>
              <w:t xml:space="preserve">Проектная облигация соответствует требованиям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ins-dic:OblSootUslUkAbPyatnDvVtPp6.5.10.1P6.5PolN781Enumerator</w:t>
            </w:r>
          </w:p>
        </w:tc>
      </w:tr>
      <w:tr>
        <w:tc>
          <w:tcPr>
            <w:tcW w:w="907" w:type="dxa"/>
          </w:tcPr>
          <w:p>
            <w:pPr>
              <w:pStyle w:val="0"/>
            </w:pPr>
            <w:r>
              <w:rPr>
                <w:sz w:val="24"/>
              </w:rPr>
              <w:t xml:space="preserve">38.1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38.2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38.3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39</w:t>
            </w:r>
          </w:p>
        </w:tc>
        <w:tc>
          <w:tcPr>
            <w:tcW w:w="2608" w:type="dxa"/>
          </w:tcPr>
          <w:p>
            <w:pPr>
              <w:pStyle w:val="0"/>
            </w:pPr>
            <w:r>
              <w:rPr>
                <w:sz w:val="24"/>
              </w:rPr>
              <w:t xml:space="preserve">Риски изменения стоимости активов в полном объеме возложены на выгодоприобретателей</w:t>
            </w:r>
          </w:p>
        </w:tc>
        <w:tc>
          <w:tcPr>
            <w:tcW w:w="2608" w:type="dxa"/>
          </w:tcPr>
          <w:p>
            <w:pPr>
              <w:pStyle w:val="0"/>
            </w:pPr>
            <w:r>
              <w:rPr>
                <w:sz w:val="24"/>
              </w:rPr>
            </w:r>
          </w:p>
        </w:tc>
        <w:tc>
          <w:tcPr>
            <w:tcW w:w="2948" w:type="dxa"/>
          </w:tcPr>
          <w:p>
            <w:pPr>
              <w:pStyle w:val="0"/>
            </w:pPr>
            <w:r>
              <w:rPr>
                <w:sz w:val="24"/>
              </w:rPr>
              <w:t xml:space="preserve">ins-dic:RiskAktPeredStrlEnumerator</w:t>
            </w:r>
          </w:p>
        </w:tc>
      </w:tr>
      <w:tr>
        <w:tc>
          <w:tcPr>
            <w:tcW w:w="907" w:type="dxa"/>
          </w:tcPr>
          <w:p>
            <w:pPr>
              <w:pStyle w:val="0"/>
            </w:pPr>
            <w:r>
              <w:rPr>
                <w:sz w:val="24"/>
              </w:rPr>
              <w:t xml:space="preserve">39.1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39.2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39.3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40</w:t>
            </w:r>
          </w:p>
        </w:tc>
        <w:tc>
          <w:tcPr>
            <w:tcW w:w="2608" w:type="dxa"/>
          </w:tcPr>
          <w:p>
            <w:pPr>
              <w:pStyle w:val="0"/>
            </w:pPr>
            <w:r>
              <w:rPr>
                <w:sz w:val="24"/>
              </w:rPr>
              <w:t xml:space="preserve">Стоимость зависит от изменения стоимости аффинированного золота</w:t>
            </w:r>
          </w:p>
        </w:tc>
        <w:tc>
          <w:tcPr>
            <w:tcW w:w="2608" w:type="dxa"/>
          </w:tcPr>
          <w:p>
            <w:pPr>
              <w:pStyle w:val="0"/>
            </w:pPr>
            <w:r>
              <w:rPr>
                <w:sz w:val="24"/>
              </w:rPr>
            </w:r>
          </w:p>
        </w:tc>
        <w:tc>
          <w:tcPr>
            <w:tcW w:w="2948" w:type="dxa"/>
          </w:tcPr>
          <w:p>
            <w:pPr>
              <w:pStyle w:val="0"/>
            </w:pPr>
            <w:r>
              <w:rPr>
                <w:sz w:val="24"/>
              </w:rPr>
              <w:t xml:space="preserve">ins-dic:StoimZavisOtIzmStoimAffZolotaEnumerator</w:t>
            </w:r>
          </w:p>
        </w:tc>
      </w:tr>
      <w:tr>
        <w:tc>
          <w:tcPr>
            <w:tcW w:w="907" w:type="dxa"/>
          </w:tcPr>
          <w:p>
            <w:pPr>
              <w:pStyle w:val="0"/>
            </w:pPr>
            <w:r>
              <w:rPr>
                <w:sz w:val="24"/>
              </w:rPr>
              <w:t xml:space="preserve">40.1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40.2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41</w:t>
            </w:r>
          </w:p>
        </w:tc>
        <w:tc>
          <w:tcPr>
            <w:tcW w:w="2608" w:type="dxa"/>
          </w:tcPr>
          <w:p>
            <w:pPr>
              <w:pStyle w:val="0"/>
            </w:pPr>
            <w:r>
              <w:rPr>
                <w:sz w:val="24"/>
              </w:rPr>
              <w:t xml:space="preserve">Субординированный инструмент</w:t>
            </w:r>
          </w:p>
        </w:tc>
        <w:tc>
          <w:tcPr>
            <w:tcW w:w="2608" w:type="dxa"/>
          </w:tcPr>
          <w:p>
            <w:pPr>
              <w:pStyle w:val="0"/>
            </w:pPr>
            <w:r>
              <w:rPr>
                <w:sz w:val="24"/>
              </w:rPr>
            </w:r>
          </w:p>
        </w:tc>
        <w:tc>
          <w:tcPr>
            <w:tcW w:w="2948" w:type="dxa"/>
          </w:tcPr>
          <w:p>
            <w:pPr>
              <w:pStyle w:val="0"/>
            </w:pPr>
            <w:r>
              <w:rPr>
                <w:sz w:val="24"/>
              </w:rPr>
              <w:t xml:space="preserve">ins-dic:SubordInstrEnumerator</w:t>
            </w:r>
          </w:p>
        </w:tc>
      </w:tr>
      <w:tr>
        <w:tc>
          <w:tcPr>
            <w:tcW w:w="907" w:type="dxa"/>
          </w:tcPr>
          <w:p>
            <w:pPr>
              <w:pStyle w:val="0"/>
            </w:pPr>
            <w:r>
              <w:rPr>
                <w:sz w:val="24"/>
              </w:rPr>
              <w:t xml:space="preserve">41.1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41.2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42</w:t>
            </w:r>
          </w:p>
        </w:tc>
        <w:tc>
          <w:tcPr>
            <w:tcW w:w="2608" w:type="dxa"/>
          </w:tcPr>
          <w:p>
            <w:pPr>
              <w:pStyle w:val="0"/>
            </w:pPr>
            <w:r>
              <w:rPr>
                <w:sz w:val="24"/>
              </w:rPr>
              <w:t xml:space="preserve">Облигация соответствует требованиям к финансовой устойчивости и платежеспособности страховщиков в отношении кредитного рейтинга</w:t>
            </w:r>
          </w:p>
        </w:tc>
        <w:tc>
          <w:tcPr>
            <w:tcW w:w="2608" w:type="dxa"/>
          </w:tcPr>
          <w:p>
            <w:pPr>
              <w:pStyle w:val="0"/>
            </w:pPr>
            <w:r>
              <w:rPr>
                <w:sz w:val="24"/>
              </w:rPr>
            </w:r>
          </w:p>
        </w:tc>
        <w:tc>
          <w:tcPr>
            <w:tcW w:w="2948" w:type="dxa"/>
          </w:tcPr>
          <w:p>
            <w:pPr>
              <w:pStyle w:val="0"/>
            </w:pPr>
            <w:r>
              <w:rPr>
                <w:sz w:val="24"/>
              </w:rPr>
              <w:t xml:space="preserve">ins-dic:StrukturObligSootvRegTrebKKredRejtinguEnumerator</w:t>
            </w:r>
          </w:p>
        </w:tc>
      </w:tr>
      <w:tr>
        <w:tc>
          <w:tcPr>
            <w:tcW w:w="907" w:type="dxa"/>
          </w:tcPr>
          <w:p>
            <w:pPr>
              <w:pStyle w:val="0"/>
            </w:pPr>
            <w:r>
              <w:rPr>
                <w:sz w:val="24"/>
              </w:rPr>
              <w:t xml:space="preserve">42.1</w:t>
            </w:r>
          </w:p>
        </w:tc>
        <w:tc>
          <w:tcPr>
            <w:tcW w:w="2608" w:type="dxa"/>
          </w:tcPr>
          <w:p>
            <w:pPr>
              <w:pStyle w:val="0"/>
            </w:pPr>
            <w:r>
              <w:rPr>
                <w:sz w:val="24"/>
              </w:rPr>
            </w:r>
          </w:p>
        </w:tc>
        <w:tc>
          <w:tcPr>
            <w:tcW w:w="2608" w:type="dxa"/>
          </w:tcPr>
          <w:p>
            <w:pPr>
              <w:pStyle w:val="0"/>
            </w:pPr>
            <w:r>
              <w:rPr>
                <w:sz w:val="24"/>
              </w:rPr>
              <w:t xml:space="preserve">Соответствует, два кредитных рейтинга и более</w:t>
            </w:r>
          </w:p>
        </w:tc>
        <w:tc>
          <w:tcPr>
            <w:tcW w:w="2948" w:type="dxa"/>
          </w:tcPr>
          <w:p>
            <w:pPr>
              <w:pStyle w:val="0"/>
            </w:pPr>
            <w:r>
              <w:rPr>
                <w:sz w:val="24"/>
              </w:rPr>
              <w:t xml:space="preserve">mem-int:SootvetstvuetDvaIBoleeKreditnyxRejtingovMember</w:t>
            </w:r>
          </w:p>
        </w:tc>
      </w:tr>
      <w:tr>
        <w:tc>
          <w:tcPr>
            <w:tcW w:w="907" w:type="dxa"/>
          </w:tcPr>
          <w:p>
            <w:pPr>
              <w:pStyle w:val="0"/>
            </w:pPr>
            <w:r>
              <w:rPr>
                <w:sz w:val="24"/>
              </w:rPr>
              <w:t xml:space="preserve">42.2</w:t>
            </w:r>
          </w:p>
        </w:tc>
        <w:tc>
          <w:tcPr>
            <w:tcW w:w="2608" w:type="dxa"/>
          </w:tcPr>
          <w:p>
            <w:pPr>
              <w:pStyle w:val="0"/>
            </w:pPr>
            <w:r>
              <w:rPr>
                <w:sz w:val="24"/>
              </w:rPr>
            </w:r>
          </w:p>
        </w:tc>
        <w:tc>
          <w:tcPr>
            <w:tcW w:w="2608" w:type="dxa"/>
          </w:tcPr>
          <w:p>
            <w:pPr>
              <w:pStyle w:val="0"/>
            </w:pPr>
            <w:r>
              <w:rPr>
                <w:sz w:val="24"/>
              </w:rPr>
              <w:t xml:space="preserve">Соответствует, один кредитный рейтинг</w:t>
            </w:r>
          </w:p>
        </w:tc>
        <w:tc>
          <w:tcPr>
            <w:tcW w:w="2948" w:type="dxa"/>
          </w:tcPr>
          <w:p>
            <w:pPr>
              <w:pStyle w:val="0"/>
            </w:pPr>
            <w:r>
              <w:rPr>
                <w:sz w:val="24"/>
              </w:rPr>
              <w:t xml:space="preserve">mem-int:SootvetstvuetOdinKreditnyjRejtingMember</w:t>
            </w:r>
          </w:p>
        </w:tc>
      </w:tr>
      <w:tr>
        <w:tc>
          <w:tcPr>
            <w:tcW w:w="907" w:type="dxa"/>
          </w:tcPr>
          <w:p>
            <w:pPr>
              <w:pStyle w:val="0"/>
            </w:pPr>
            <w:r>
              <w:rPr>
                <w:sz w:val="24"/>
              </w:rPr>
              <w:t xml:space="preserve">42.3</w:t>
            </w:r>
          </w:p>
        </w:tc>
        <w:tc>
          <w:tcPr>
            <w:tcW w:w="2608" w:type="dxa"/>
          </w:tcPr>
          <w:p>
            <w:pPr>
              <w:pStyle w:val="0"/>
            </w:pPr>
            <w:r>
              <w:rPr>
                <w:sz w:val="24"/>
              </w:rPr>
            </w:r>
          </w:p>
        </w:tc>
        <w:tc>
          <w:tcPr>
            <w:tcW w:w="2608" w:type="dxa"/>
          </w:tcPr>
          <w:p>
            <w:pPr>
              <w:pStyle w:val="0"/>
            </w:pPr>
            <w:r>
              <w:rPr>
                <w:sz w:val="24"/>
              </w:rPr>
              <w:t xml:space="preserve">Не соответствует</w:t>
            </w:r>
          </w:p>
        </w:tc>
        <w:tc>
          <w:tcPr>
            <w:tcW w:w="2948" w:type="dxa"/>
          </w:tcPr>
          <w:p>
            <w:pPr>
              <w:pStyle w:val="0"/>
            </w:pPr>
            <w:r>
              <w:rPr>
                <w:sz w:val="24"/>
              </w:rPr>
              <w:t xml:space="preserve">mem-int:NeSootvetstvuetMember</w:t>
            </w:r>
          </w:p>
        </w:tc>
      </w:tr>
      <w:tr>
        <w:tc>
          <w:tcPr>
            <w:tcW w:w="907" w:type="dxa"/>
          </w:tcPr>
          <w:p>
            <w:pPr>
              <w:pStyle w:val="0"/>
            </w:pPr>
            <w:r>
              <w:rPr>
                <w:sz w:val="24"/>
              </w:rPr>
              <w:t xml:space="preserve">42.4</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43</w:t>
            </w:r>
          </w:p>
        </w:tc>
        <w:tc>
          <w:tcPr>
            <w:tcW w:w="2608" w:type="dxa"/>
          </w:tcPr>
          <w:p>
            <w:pPr>
              <w:pStyle w:val="0"/>
            </w:pPr>
            <w:r>
              <w:rPr>
                <w:sz w:val="24"/>
              </w:rPr>
              <w:t xml:space="preserve">Облигация соответствует иным требованиям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ins-dic:StruktInstrPunkt37Enumerator</w:t>
            </w:r>
          </w:p>
        </w:tc>
      </w:tr>
      <w:tr>
        <w:tc>
          <w:tcPr>
            <w:tcW w:w="907" w:type="dxa"/>
          </w:tcPr>
          <w:p>
            <w:pPr>
              <w:pStyle w:val="0"/>
            </w:pPr>
            <w:r>
              <w:rPr>
                <w:sz w:val="24"/>
              </w:rPr>
              <w:t xml:space="preserve">43.1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43.3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44</w:t>
            </w:r>
          </w:p>
        </w:tc>
        <w:tc>
          <w:tcPr>
            <w:tcW w:w="2608" w:type="dxa"/>
          </w:tcPr>
          <w:p>
            <w:pPr>
              <w:pStyle w:val="0"/>
            </w:pPr>
            <w:r>
              <w:rPr>
                <w:sz w:val="24"/>
              </w:rPr>
              <w:t xml:space="preserve">Условия досрочного возврата депозита</w:t>
            </w:r>
          </w:p>
        </w:tc>
        <w:tc>
          <w:tcPr>
            <w:tcW w:w="2608" w:type="dxa"/>
          </w:tcPr>
          <w:p>
            <w:pPr>
              <w:pStyle w:val="0"/>
            </w:pPr>
            <w:r>
              <w:rPr>
                <w:sz w:val="24"/>
              </w:rPr>
            </w:r>
          </w:p>
        </w:tc>
        <w:tc>
          <w:tcPr>
            <w:tcW w:w="2948" w:type="dxa"/>
          </w:tcPr>
          <w:p>
            <w:pPr>
              <w:pStyle w:val="0"/>
            </w:pPr>
            <w:r>
              <w:rPr>
                <w:sz w:val="24"/>
              </w:rPr>
              <w:t xml:space="preserve">ins-dic:UsiDosrVozvrDepozEnumerator</w:t>
            </w:r>
          </w:p>
        </w:tc>
      </w:tr>
      <w:tr>
        <w:tc>
          <w:tcPr>
            <w:tcW w:w="907" w:type="dxa"/>
          </w:tcPr>
          <w:p>
            <w:pPr>
              <w:pStyle w:val="0"/>
            </w:pPr>
            <w:r>
              <w:rPr>
                <w:sz w:val="24"/>
              </w:rPr>
              <w:t xml:space="preserve">44.1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44.2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45</w:t>
            </w:r>
          </w:p>
        </w:tc>
        <w:tc>
          <w:tcPr>
            <w:tcW w:w="2608" w:type="dxa"/>
          </w:tcPr>
          <w:p>
            <w:pPr>
              <w:pStyle w:val="0"/>
            </w:pPr>
            <w:r>
              <w:rPr>
                <w:sz w:val="24"/>
              </w:rPr>
              <w:t xml:space="preserve">Установлен срок, соответствующий предельному сроку для определения задолженности перед страховщиком</w:t>
            </w:r>
          </w:p>
        </w:tc>
        <w:tc>
          <w:tcPr>
            <w:tcW w:w="2608" w:type="dxa"/>
          </w:tcPr>
          <w:p>
            <w:pPr>
              <w:pStyle w:val="0"/>
            </w:pPr>
            <w:r>
              <w:rPr>
                <w:sz w:val="24"/>
              </w:rPr>
            </w:r>
          </w:p>
        </w:tc>
        <w:tc>
          <w:tcPr>
            <w:tcW w:w="2948" w:type="dxa"/>
          </w:tcPr>
          <w:p>
            <w:pPr>
              <w:pStyle w:val="0"/>
            </w:pPr>
            <w:r>
              <w:rPr>
                <w:sz w:val="24"/>
              </w:rPr>
              <w:t xml:space="preserve">ins-dic:UstPredSrokSootvTab10Pril2_710PEnumerator</w:t>
            </w:r>
          </w:p>
        </w:tc>
      </w:tr>
      <w:tr>
        <w:tc>
          <w:tcPr>
            <w:tcW w:w="907" w:type="dxa"/>
          </w:tcPr>
          <w:p>
            <w:pPr>
              <w:pStyle w:val="0"/>
            </w:pPr>
            <w:r>
              <w:rPr>
                <w:sz w:val="24"/>
              </w:rPr>
              <w:t xml:space="preserve">45.1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46</w:t>
            </w:r>
          </w:p>
        </w:tc>
        <w:tc>
          <w:tcPr>
            <w:tcW w:w="2608" w:type="dxa"/>
          </w:tcPr>
          <w:p>
            <w:pPr>
              <w:pStyle w:val="0"/>
            </w:pPr>
            <w:r>
              <w:rPr>
                <w:sz w:val="24"/>
              </w:rPr>
              <w:t xml:space="preserve">Ценные бумаги инвестиционных фондов подпадают под исключение, предусмотренное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ins-dic:CzenBumInFondPunkt3112Enumerator</w:t>
            </w:r>
          </w:p>
        </w:tc>
      </w:tr>
      <w:tr>
        <w:tc>
          <w:tcPr>
            <w:tcW w:w="907" w:type="dxa"/>
          </w:tcPr>
          <w:p>
            <w:pPr>
              <w:pStyle w:val="0"/>
            </w:pPr>
            <w:r>
              <w:rPr>
                <w:sz w:val="24"/>
              </w:rPr>
              <w:t xml:space="preserve">46.1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47</w:t>
            </w:r>
          </w:p>
        </w:tc>
        <w:tc>
          <w:tcPr>
            <w:tcW w:w="2608" w:type="dxa"/>
          </w:tcPr>
          <w:p>
            <w:pPr>
              <w:pStyle w:val="0"/>
            </w:pPr>
            <w:r>
              <w:rPr>
                <w:sz w:val="24"/>
              </w:rPr>
              <w:t xml:space="preserve">Ценные бумаги, переданные без прекращения признания</w:t>
            </w:r>
          </w:p>
        </w:tc>
        <w:tc>
          <w:tcPr>
            <w:tcW w:w="2608" w:type="dxa"/>
          </w:tcPr>
          <w:p>
            <w:pPr>
              <w:pStyle w:val="0"/>
            </w:pPr>
            <w:r>
              <w:rPr>
                <w:sz w:val="24"/>
              </w:rPr>
            </w:r>
          </w:p>
        </w:tc>
        <w:tc>
          <w:tcPr>
            <w:tcW w:w="2948" w:type="dxa"/>
          </w:tcPr>
          <w:p>
            <w:pPr>
              <w:pStyle w:val="0"/>
            </w:pPr>
            <w:r>
              <w:rPr>
                <w:sz w:val="24"/>
              </w:rPr>
              <w:t xml:space="preserve">ins-dic:Czb_Per_Bez_Prekr_Prizn_Enumerator</w:t>
            </w:r>
          </w:p>
        </w:tc>
      </w:tr>
      <w:tr>
        <w:tc>
          <w:tcPr>
            <w:tcW w:w="907" w:type="dxa"/>
          </w:tcPr>
          <w:p>
            <w:pPr>
              <w:pStyle w:val="0"/>
            </w:pPr>
            <w:r>
              <w:rPr>
                <w:sz w:val="24"/>
              </w:rPr>
              <w:t xml:space="preserve">47.1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47.2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3"/>
        <w:jc w:val="both"/>
      </w:pPr>
      <w:r>
        <w:rPr>
          <w:sz w:val="24"/>
        </w:rPr>
        <w:t xml:space="preserve">Подраздел 5.2. </w:t>
      </w:r>
      <w:hyperlink w:history="0" w:anchor="P25242" w:tooltip="Раздел 3.">
        <w:r>
          <w:rPr>
            <w:sz w:val="24"/>
            <w:color w:val="0000ff"/>
          </w:rPr>
          <w:t xml:space="preserve">Раздел 3</w:t>
        </w:r>
      </w:hyperlink>
      <w:r>
        <w:rPr>
          <w:sz w:val="24"/>
        </w:rPr>
        <w:t xml:space="preserve"> "Отдельные виды обязательств"</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рынка ценных бумаг, на котором обращается ценная бумага</w:t>
            </w:r>
          </w:p>
        </w:tc>
        <w:tc>
          <w:tcPr>
            <w:tcW w:w="2608" w:type="dxa"/>
          </w:tcPr>
          <w:p>
            <w:pPr>
              <w:pStyle w:val="0"/>
            </w:pPr>
            <w:r>
              <w:rPr>
                <w:sz w:val="24"/>
              </w:rPr>
            </w:r>
          </w:p>
        </w:tc>
        <w:tc>
          <w:tcPr>
            <w:tcW w:w="2948" w:type="dxa"/>
          </w:tcPr>
          <w:p>
            <w:pPr>
              <w:pStyle w:val="0"/>
            </w:pPr>
            <w:r>
              <w:rPr>
                <w:sz w:val="24"/>
              </w:rPr>
              <w:t xml:space="preserve">ins-dic:VidRynkaCBEnumerator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Биржевой рынок</w:t>
            </w:r>
          </w:p>
        </w:tc>
        <w:tc>
          <w:tcPr>
            <w:tcW w:w="2948" w:type="dxa"/>
          </w:tcPr>
          <w:p>
            <w:pPr>
              <w:pStyle w:val="0"/>
            </w:pPr>
            <w:r>
              <w:rPr>
                <w:sz w:val="24"/>
              </w:rPr>
              <w:t xml:space="preserve">mem-int:BirzhevojRynokMember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Внебиржевой рынок</w:t>
            </w:r>
          </w:p>
        </w:tc>
        <w:tc>
          <w:tcPr>
            <w:tcW w:w="2948" w:type="dxa"/>
          </w:tcPr>
          <w:p>
            <w:pPr>
              <w:pStyle w:val="0"/>
            </w:pPr>
            <w:r>
              <w:rPr>
                <w:sz w:val="24"/>
              </w:rPr>
              <w:t xml:space="preserve">mem-int:VnebirzhevojRynokMember</w:t>
            </w:r>
          </w:p>
        </w:tc>
      </w:tr>
      <w:tr>
        <w:tc>
          <w:tcPr>
            <w:tcW w:w="907" w:type="dxa"/>
          </w:tcPr>
          <w:p>
            <w:pPr>
              <w:pStyle w:val="0"/>
            </w:pPr>
            <w:r>
              <w:rPr>
                <w:sz w:val="24"/>
              </w:rPr>
              <w:t xml:space="preserve">2</w:t>
            </w:r>
          </w:p>
        </w:tc>
        <w:tc>
          <w:tcPr>
            <w:tcW w:w="2608" w:type="dxa"/>
          </w:tcPr>
          <w:p>
            <w:pPr>
              <w:pStyle w:val="0"/>
            </w:pPr>
            <w:r>
              <w:rPr>
                <w:sz w:val="24"/>
              </w:rPr>
              <w:t xml:space="preserve">Включен в расчет нормативного соотношения собственных средств (капитала) и принятых обязательств</w:t>
            </w:r>
          </w:p>
        </w:tc>
        <w:tc>
          <w:tcPr>
            <w:tcW w:w="2608" w:type="dxa"/>
          </w:tcPr>
          <w:p>
            <w:pPr>
              <w:pStyle w:val="0"/>
            </w:pPr>
            <w:r>
              <w:rPr>
                <w:sz w:val="24"/>
              </w:rPr>
            </w:r>
          </w:p>
        </w:tc>
        <w:tc>
          <w:tcPr>
            <w:tcW w:w="2948" w:type="dxa"/>
          </w:tcPr>
          <w:p>
            <w:pPr>
              <w:pStyle w:val="0"/>
            </w:pPr>
            <w:r>
              <w:rPr>
                <w:sz w:val="24"/>
              </w:rPr>
              <w:t xml:space="preserve">ins-dic:VklRaschNormSootnSSKapPrinObyazEnumerator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3</w:t>
            </w:r>
          </w:p>
        </w:tc>
        <w:tc>
          <w:tcPr>
            <w:tcW w:w="2608" w:type="dxa"/>
          </w:tcPr>
          <w:p>
            <w:pPr>
              <w:pStyle w:val="0"/>
            </w:pPr>
            <w:r>
              <w:rPr>
                <w:sz w:val="24"/>
              </w:rPr>
              <w:t xml:space="preserve">Группа кредитного качества</w:t>
            </w:r>
          </w:p>
        </w:tc>
        <w:tc>
          <w:tcPr>
            <w:tcW w:w="2608" w:type="dxa"/>
          </w:tcPr>
          <w:p>
            <w:pPr>
              <w:pStyle w:val="0"/>
            </w:pPr>
            <w:r>
              <w:rPr>
                <w:sz w:val="24"/>
              </w:rPr>
            </w:r>
          </w:p>
        </w:tc>
        <w:tc>
          <w:tcPr>
            <w:tcW w:w="2948" w:type="dxa"/>
          </w:tcPr>
          <w:p>
            <w:pPr>
              <w:pStyle w:val="0"/>
            </w:pPr>
            <w:r>
              <w:rPr>
                <w:sz w:val="24"/>
              </w:rPr>
              <w:t xml:space="preserve">ins-dic:GrupKredKachEnumerator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1</w:t>
            </w:r>
          </w:p>
        </w:tc>
        <w:tc>
          <w:tcPr>
            <w:tcW w:w="2948" w:type="dxa"/>
          </w:tcPr>
          <w:p>
            <w:pPr>
              <w:pStyle w:val="0"/>
            </w:pPr>
            <w:r>
              <w:rPr>
                <w:sz w:val="24"/>
              </w:rPr>
              <w:t xml:space="preserve">mem-int:GruppaKredKach01Member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2</w:t>
            </w:r>
          </w:p>
        </w:tc>
        <w:tc>
          <w:tcPr>
            <w:tcW w:w="2948" w:type="dxa"/>
          </w:tcPr>
          <w:p>
            <w:pPr>
              <w:pStyle w:val="0"/>
            </w:pPr>
            <w:r>
              <w:rPr>
                <w:sz w:val="24"/>
              </w:rPr>
              <w:t xml:space="preserve">mem-int:GruppaKredKach02Member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3</w:t>
            </w:r>
          </w:p>
        </w:tc>
        <w:tc>
          <w:tcPr>
            <w:tcW w:w="2948" w:type="dxa"/>
          </w:tcPr>
          <w:p>
            <w:pPr>
              <w:pStyle w:val="0"/>
            </w:pPr>
            <w:r>
              <w:rPr>
                <w:sz w:val="24"/>
              </w:rPr>
              <w:t xml:space="preserve">mem-int:GruppaKredKach03Member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4</w:t>
            </w:r>
          </w:p>
        </w:tc>
        <w:tc>
          <w:tcPr>
            <w:tcW w:w="2948" w:type="dxa"/>
          </w:tcPr>
          <w:p>
            <w:pPr>
              <w:pStyle w:val="0"/>
            </w:pPr>
            <w:r>
              <w:rPr>
                <w:sz w:val="24"/>
              </w:rPr>
              <w:t xml:space="preserve">mem-int:GruppaKredKach04Member</w:t>
            </w:r>
          </w:p>
        </w:tc>
      </w:tr>
      <w:tr>
        <w:tc>
          <w:tcPr>
            <w:tcW w:w="907" w:type="dxa"/>
          </w:tcPr>
          <w:p>
            <w:pPr>
              <w:pStyle w:val="0"/>
            </w:pPr>
            <w:r>
              <w:rPr>
                <w:sz w:val="24"/>
              </w:rPr>
              <w:t xml:space="preserve">3.5</w:t>
            </w:r>
          </w:p>
        </w:tc>
        <w:tc>
          <w:tcPr>
            <w:tcW w:w="2608" w:type="dxa"/>
          </w:tcPr>
          <w:p>
            <w:pPr>
              <w:pStyle w:val="0"/>
            </w:pPr>
            <w:r>
              <w:rPr>
                <w:sz w:val="24"/>
              </w:rPr>
            </w:r>
          </w:p>
        </w:tc>
        <w:tc>
          <w:tcPr>
            <w:tcW w:w="2608" w:type="dxa"/>
          </w:tcPr>
          <w:p>
            <w:pPr>
              <w:pStyle w:val="0"/>
            </w:pPr>
            <w:r>
              <w:rPr>
                <w:sz w:val="24"/>
              </w:rPr>
              <w:t xml:space="preserve">5</w:t>
            </w:r>
          </w:p>
        </w:tc>
        <w:tc>
          <w:tcPr>
            <w:tcW w:w="2948" w:type="dxa"/>
          </w:tcPr>
          <w:p>
            <w:pPr>
              <w:pStyle w:val="0"/>
            </w:pPr>
            <w:r>
              <w:rPr>
                <w:sz w:val="24"/>
              </w:rPr>
              <w:t xml:space="preserve">mem-int:GruppaKredKach05Member</w:t>
            </w:r>
          </w:p>
        </w:tc>
      </w:tr>
      <w:tr>
        <w:tc>
          <w:tcPr>
            <w:tcW w:w="907" w:type="dxa"/>
          </w:tcPr>
          <w:p>
            <w:pPr>
              <w:pStyle w:val="0"/>
            </w:pPr>
            <w:r>
              <w:rPr>
                <w:sz w:val="24"/>
              </w:rPr>
              <w:t xml:space="preserve">3.6</w:t>
            </w:r>
          </w:p>
        </w:tc>
        <w:tc>
          <w:tcPr>
            <w:tcW w:w="2608" w:type="dxa"/>
          </w:tcPr>
          <w:p>
            <w:pPr>
              <w:pStyle w:val="0"/>
            </w:pPr>
            <w:r>
              <w:rPr>
                <w:sz w:val="24"/>
              </w:rPr>
            </w:r>
          </w:p>
        </w:tc>
        <w:tc>
          <w:tcPr>
            <w:tcW w:w="2608" w:type="dxa"/>
          </w:tcPr>
          <w:p>
            <w:pPr>
              <w:pStyle w:val="0"/>
            </w:pPr>
            <w:r>
              <w:rPr>
                <w:sz w:val="24"/>
              </w:rPr>
              <w:t xml:space="preserve">6</w:t>
            </w:r>
          </w:p>
        </w:tc>
        <w:tc>
          <w:tcPr>
            <w:tcW w:w="2948" w:type="dxa"/>
          </w:tcPr>
          <w:p>
            <w:pPr>
              <w:pStyle w:val="0"/>
            </w:pPr>
            <w:r>
              <w:rPr>
                <w:sz w:val="24"/>
              </w:rPr>
              <w:t xml:space="preserve">mem-int:GruppaKredKach06Member</w:t>
            </w:r>
          </w:p>
        </w:tc>
      </w:tr>
      <w:tr>
        <w:tc>
          <w:tcPr>
            <w:tcW w:w="907" w:type="dxa"/>
          </w:tcPr>
          <w:p>
            <w:pPr>
              <w:pStyle w:val="0"/>
            </w:pPr>
            <w:r>
              <w:rPr>
                <w:sz w:val="24"/>
              </w:rPr>
              <w:t xml:space="preserve">3.7</w:t>
            </w:r>
          </w:p>
        </w:tc>
        <w:tc>
          <w:tcPr>
            <w:tcW w:w="2608" w:type="dxa"/>
          </w:tcPr>
          <w:p>
            <w:pPr>
              <w:pStyle w:val="0"/>
            </w:pPr>
            <w:r>
              <w:rPr>
                <w:sz w:val="24"/>
              </w:rPr>
            </w:r>
          </w:p>
        </w:tc>
        <w:tc>
          <w:tcPr>
            <w:tcW w:w="2608" w:type="dxa"/>
          </w:tcPr>
          <w:p>
            <w:pPr>
              <w:pStyle w:val="0"/>
            </w:pPr>
            <w:r>
              <w:rPr>
                <w:sz w:val="24"/>
              </w:rPr>
              <w:t xml:space="preserve">7</w:t>
            </w:r>
          </w:p>
        </w:tc>
        <w:tc>
          <w:tcPr>
            <w:tcW w:w="2948" w:type="dxa"/>
          </w:tcPr>
          <w:p>
            <w:pPr>
              <w:pStyle w:val="0"/>
            </w:pPr>
            <w:r>
              <w:rPr>
                <w:sz w:val="24"/>
              </w:rPr>
              <w:t xml:space="preserve">mem-int:GruppaKredKach07Member</w:t>
            </w:r>
          </w:p>
        </w:tc>
      </w:tr>
      <w:tr>
        <w:tc>
          <w:tcPr>
            <w:tcW w:w="907" w:type="dxa"/>
          </w:tcPr>
          <w:p>
            <w:pPr>
              <w:pStyle w:val="0"/>
            </w:pPr>
            <w:r>
              <w:rPr>
                <w:sz w:val="24"/>
              </w:rPr>
              <w:t xml:space="preserve">3.8</w:t>
            </w:r>
          </w:p>
        </w:tc>
        <w:tc>
          <w:tcPr>
            <w:tcW w:w="2608" w:type="dxa"/>
          </w:tcPr>
          <w:p>
            <w:pPr>
              <w:pStyle w:val="0"/>
            </w:pPr>
            <w:r>
              <w:rPr>
                <w:sz w:val="24"/>
              </w:rPr>
            </w:r>
          </w:p>
        </w:tc>
        <w:tc>
          <w:tcPr>
            <w:tcW w:w="2608" w:type="dxa"/>
          </w:tcPr>
          <w:p>
            <w:pPr>
              <w:pStyle w:val="0"/>
            </w:pPr>
            <w:r>
              <w:rPr>
                <w:sz w:val="24"/>
              </w:rPr>
              <w:t xml:space="preserve">8</w:t>
            </w:r>
          </w:p>
        </w:tc>
        <w:tc>
          <w:tcPr>
            <w:tcW w:w="2948" w:type="dxa"/>
          </w:tcPr>
          <w:p>
            <w:pPr>
              <w:pStyle w:val="0"/>
            </w:pPr>
            <w:r>
              <w:rPr>
                <w:sz w:val="24"/>
              </w:rPr>
              <w:t xml:space="preserve">mem-int:GruppaKredKach08Member</w:t>
            </w:r>
          </w:p>
        </w:tc>
      </w:tr>
      <w:tr>
        <w:tc>
          <w:tcPr>
            <w:tcW w:w="907" w:type="dxa"/>
          </w:tcPr>
          <w:p>
            <w:pPr>
              <w:pStyle w:val="0"/>
            </w:pPr>
            <w:r>
              <w:rPr>
                <w:sz w:val="24"/>
              </w:rPr>
              <w:t xml:space="preserve">3.9</w:t>
            </w:r>
          </w:p>
        </w:tc>
        <w:tc>
          <w:tcPr>
            <w:tcW w:w="2608" w:type="dxa"/>
          </w:tcPr>
          <w:p>
            <w:pPr>
              <w:pStyle w:val="0"/>
            </w:pPr>
            <w:r>
              <w:rPr>
                <w:sz w:val="24"/>
              </w:rPr>
            </w:r>
          </w:p>
        </w:tc>
        <w:tc>
          <w:tcPr>
            <w:tcW w:w="2608" w:type="dxa"/>
          </w:tcPr>
          <w:p>
            <w:pPr>
              <w:pStyle w:val="0"/>
            </w:pPr>
            <w:r>
              <w:rPr>
                <w:sz w:val="24"/>
              </w:rPr>
              <w:t xml:space="preserve">9</w:t>
            </w:r>
          </w:p>
        </w:tc>
        <w:tc>
          <w:tcPr>
            <w:tcW w:w="2948" w:type="dxa"/>
          </w:tcPr>
          <w:p>
            <w:pPr>
              <w:pStyle w:val="0"/>
            </w:pPr>
            <w:r>
              <w:rPr>
                <w:sz w:val="24"/>
              </w:rPr>
              <w:t xml:space="preserve">mem-int:GruppaKredKach09Member</w:t>
            </w:r>
          </w:p>
        </w:tc>
      </w:tr>
      <w:tr>
        <w:tc>
          <w:tcPr>
            <w:tcW w:w="907" w:type="dxa"/>
          </w:tcPr>
          <w:p>
            <w:pPr>
              <w:pStyle w:val="0"/>
            </w:pPr>
            <w:r>
              <w:rPr>
                <w:sz w:val="24"/>
              </w:rPr>
              <w:t xml:space="preserve">3.10</w:t>
            </w:r>
          </w:p>
        </w:tc>
        <w:tc>
          <w:tcPr>
            <w:tcW w:w="2608" w:type="dxa"/>
          </w:tcPr>
          <w:p>
            <w:pPr>
              <w:pStyle w:val="0"/>
            </w:pPr>
            <w:r>
              <w:rPr>
                <w:sz w:val="24"/>
              </w:rPr>
            </w:r>
          </w:p>
        </w:tc>
        <w:tc>
          <w:tcPr>
            <w:tcW w:w="2608" w:type="dxa"/>
          </w:tcPr>
          <w:p>
            <w:pPr>
              <w:pStyle w:val="0"/>
            </w:pPr>
            <w:r>
              <w:rPr>
                <w:sz w:val="24"/>
              </w:rPr>
              <w:t xml:space="preserve">10</w:t>
            </w:r>
          </w:p>
        </w:tc>
        <w:tc>
          <w:tcPr>
            <w:tcW w:w="2948" w:type="dxa"/>
          </w:tcPr>
          <w:p>
            <w:pPr>
              <w:pStyle w:val="0"/>
            </w:pPr>
            <w:r>
              <w:rPr>
                <w:sz w:val="24"/>
              </w:rPr>
              <w:t xml:space="preserve">mem-int:GruppaKredKach10Member</w:t>
            </w:r>
          </w:p>
        </w:tc>
      </w:tr>
      <w:tr>
        <w:tc>
          <w:tcPr>
            <w:tcW w:w="907" w:type="dxa"/>
          </w:tcPr>
          <w:p>
            <w:pPr>
              <w:pStyle w:val="0"/>
            </w:pPr>
            <w:r>
              <w:rPr>
                <w:sz w:val="24"/>
              </w:rPr>
              <w:t xml:space="preserve">3.11</w:t>
            </w:r>
          </w:p>
        </w:tc>
        <w:tc>
          <w:tcPr>
            <w:tcW w:w="2608" w:type="dxa"/>
          </w:tcPr>
          <w:p>
            <w:pPr>
              <w:pStyle w:val="0"/>
            </w:pPr>
            <w:r>
              <w:rPr>
                <w:sz w:val="24"/>
              </w:rPr>
            </w:r>
          </w:p>
        </w:tc>
        <w:tc>
          <w:tcPr>
            <w:tcW w:w="2608" w:type="dxa"/>
          </w:tcPr>
          <w:p>
            <w:pPr>
              <w:pStyle w:val="0"/>
            </w:pPr>
            <w:r>
              <w:rPr>
                <w:sz w:val="24"/>
              </w:rPr>
              <w:t xml:space="preserve">11</w:t>
            </w:r>
          </w:p>
        </w:tc>
        <w:tc>
          <w:tcPr>
            <w:tcW w:w="2948" w:type="dxa"/>
          </w:tcPr>
          <w:p>
            <w:pPr>
              <w:pStyle w:val="0"/>
            </w:pPr>
            <w:r>
              <w:rPr>
                <w:sz w:val="24"/>
              </w:rPr>
              <w:t xml:space="preserve">mem-int:GruppaKredKach11Member</w:t>
            </w:r>
          </w:p>
        </w:tc>
      </w:tr>
      <w:tr>
        <w:tc>
          <w:tcPr>
            <w:tcW w:w="907" w:type="dxa"/>
          </w:tcPr>
          <w:p>
            <w:pPr>
              <w:pStyle w:val="0"/>
            </w:pPr>
            <w:r>
              <w:rPr>
                <w:sz w:val="24"/>
              </w:rPr>
              <w:t xml:space="preserve">3.12</w:t>
            </w:r>
          </w:p>
        </w:tc>
        <w:tc>
          <w:tcPr>
            <w:tcW w:w="2608" w:type="dxa"/>
          </w:tcPr>
          <w:p>
            <w:pPr>
              <w:pStyle w:val="0"/>
            </w:pPr>
            <w:r>
              <w:rPr>
                <w:sz w:val="24"/>
              </w:rPr>
            </w:r>
          </w:p>
        </w:tc>
        <w:tc>
          <w:tcPr>
            <w:tcW w:w="2608" w:type="dxa"/>
          </w:tcPr>
          <w:p>
            <w:pPr>
              <w:pStyle w:val="0"/>
            </w:pPr>
            <w:r>
              <w:rPr>
                <w:sz w:val="24"/>
              </w:rPr>
              <w:t xml:space="preserve">12</w:t>
            </w:r>
          </w:p>
        </w:tc>
        <w:tc>
          <w:tcPr>
            <w:tcW w:w="2948" w:type="dxa"/>
          </w:tcPr>
          <w:p>
            <w:pPr>
              <w:pStyle w:val="0"/>
            </w:pPr>
            <w:r>
              <w:rPr>
                <w:sz w:val="24"/>
              </w:rPr>
              <w:t xml:space="preserve">mem-int:GruppaKredKach12Member</w:t>
            </w:r>
          </w:p>
        </w:tc>
      </w:tr>
      <w:tr>
        <w:tc>
          <w:tcPr>
            <w:tcW w:w="907" w:type="dxa"/>
          </w:tcPr>
          <w:p>
            <w:pPr>
              <w:pStyle w:val="0"/>
            </w:pPr>
            <w:r>
              <w:rPr>
                <w:sz w:val="24"/>
              </w:rPr>
              <w:t xml:space="preserve">3.13</w:t>
            </w:r>
          </w:p>
        </w:tc>
        <w:tc>
          <w:tcPr>
            <w:tcW w:w="2608" w:type="dxa"/>
          </w:tcPr>
          <w:p>
            <w:pPr>
              <w:pStyle w:val="0"/>
            </w:pPr>
            <w:r>
              <w:rPr>
                <w:sz w:val="24"/>
              </w:rPr>
            </w:r>
          </w:p>
        </w:tc>
        <w:tc>
          <w:tcPr>
            <w:tcW w:w="2608" w:type="dxa"/>
          </w:tcPr>
          <w:p>
            <w:pPr>
              <w:pStyle w:val="0"/>
            </w:pPr>
            <w:r>
              <w:rPr>
                <w:sz w:val="24"/>
              </w:rPr>
              <w:t xml:space="preserve">13</w:t>
            </w:r>
          </w:p>
        </w:tc>
        <w:tc>
          <w:tcPr>
            <w:tcW w:w="2948" w:type="dxa"/>
          </w:tcPr>
          <w:p>
            <w:pPr>
              <w:pStyle w:val="0"/>
            </w:pPr>
            <w:r>
              <w:rPr>
                <w:sz w:val="24"/>
              </w:rPr>
              <w:t xml:space="preserve">mem-int:GruppaKredKach13Member</w:t>
            </w:r>
          </w:p>
        </w:tc>
      </w:tr>
      <w:tr>
        <w:tc>
          <w:tcPr>
            <w:tcW w:w="907" w:type="dxa"/>
          </w:tcPr>
          <w:p>
            <w:pPr>
              <w:pStyle w:val="0"/>
            </w:pPr>
            <w:r>
              <w:rPr>
                <w:sz w:val="24"/>
              </w:rPr>
              <w:t xml:space="preserve">3.14</w:t>
            </w:r>
          </w:p>
        </w:tc>
        <w:tc>
          <w:tcPr>
            <w:tcW w:w="2608" w:type="dxa"/>
          </w:tcPr>
          <w:p>
            <w:pPr>
              <w:pStyle w:val="0"/>
            </w:pPr>
            <w:r>
              <w:rPr>
                <w:sz w:val="24"/>
              </w:rPr>
            </w:r>
          </w:p>
        </w:tc>
        <w:tc>
          <w:tcPr>
            <w:tcW w:w="2608" w:type="dxa"/>
          </w:tcPr>
          <w:p>
            <w:pPr>
              <w:pStyle w:val="0"/>
            </w:pPr>
            <w:r>
              <w:rPr>
                <w:sz w:val="24"/>
              </w:rPr>
              <w:t xml:space="preserve">14</w:t>
            </w:r>
          </w:p>
        </w:tc>
        <w:tc>
          <w:tcPr>
            <w:tcW w:w="2948" w:type="dxa"/>
          </w:tcPr>
          <w:p>
            <w:pPr>
              <w:pStyle w:val="0"/>
            </w:pPr>
            <w:r>
              <w:rPr>
                <w:sz w:val="24"/>
              </w:rPr>
              <w:t xml:space="preserve">mem-int:GruppaKredKach14Member</w:t>
            </w:r>
          </w:p>
        </w:tc>
      </w:tr>
      <w:tr>
        <w:tc>
          <w:tcPr>
            <w:tcW w:w="907" w:type="dxa"/>
          </w:tcPr>
          <w:p>
            <w:pPr>
              <w:pStyle w:val="0"/>
            </w:pPr>
            <w:r>
              <w:rPr>
                <w:sz w:val="24"/>
              </w:rPr>
              <w:t xml:space="preserve">3.15</w:t>
            </w:r>
          </w:p>
        </w:tc>
        <w:tc>
          <w:tcPr>
            <w:tcW w:w="2608" w:type="dxa"/>
          </w:tcPr>
          <w:p>
            <w:pPr>
              <w:pStyle w:val="0"/>
            </w:pPr>
            <w:r>
              <w:rPr>
                <w:sz w:val="24"/>
              </w:rPr>
            </w:r>
          </w:p>
        </w:tc>
        <w:tc>
          <w:tcPr>
            <w:tcW w:w="2608" w:type="dxa"/>
          </w:tcPr>
          <w:p>
            <w:pPr>
              <w:pStyle w:val="0"/>
            </w:pPr>
            <w:r>
              <w:rPr>
                <w:sz w:val="24"/>
              </w:rPr>
              <w:t xml:space="preserve">15</w:t>
            </w:r>
          </w:p>
        </w:tc>
        <w:tc>
          <w:tcPr>
            <w:tcW w:w="2948" w:type="dxa"/>
          </w:tcPr>
          <w:p>
            <w:pPr>
              <w:pStyle w:val="0"/>
            </w:pPr>
            <w:r>
              <w:rPr>
                <w:sz w:val="24"/>
              </w:rPr>
              <w:t xml:space="preserve">mem-int:GruppaKredKach15Member</w:t>
            </w:r>
          </w:p>
        </w:tc>
      </w:tr>
      <w:tr>
        <w:tc>
          <w:tcPr>
            <w:tcW w:w="907" w:type="dxa"/>
          </w:tcPr>
          <w:p>
            <w:pPr>
              <w:pStyle w:val="0"/>
            </w:pPr>
            <w:r>
              <w:rPr>
                <w:sz w:val="24"/>
              </w:rPr>
              <w:t xml:space="preserve">3.16</w:t>
            </w:r>
          </w:p>
        </w:tc>
        <w:tc>
          <w:tcPr>
            <w:tcW w:w="2608" w:type="dxa"/>
          </w:tcPr>
          <w:p>
            <w:pPr>
              <w:pStyle w:val="0"/>
            </w:pPr>
            <w:r>
              <w:rPr>
                <w:sz w:val="24"/>
              </w:rPr>
            </w:r>
          </w:p>
        </w:tc>
        <w:tc>
          <w:tcPr>
            <w:tcW w:w="2608" w:type="dxa"/>
          </w:tcPr>
          <w:p>
            <w:pPr>
              <w:pStyle w:val="0"/>
            </w:pPr>
            <w:r>
              <w:rPr>
                <w:sz w:val="24"/>
              </w:rPr>
              <w:t xml:space="preserve">16</w:t>
            </w:r>
          </w:p>
        </w:tc>
        <w:tc>
          <w:tcPr>
            <w:tcW w:w="2948" w:type="dxa"/>
          </w:tcPr>
          <w:p>
            <w:pPr>
              <w:pStyle w:val="0"/>
            </w:pPr>
            <w:r>
              <w:rPr>
                <w:sz w:val="24"/>
              </w:rPr>
              <w:t xml:space="preserve">mem-int:GruppaKredKach16Member</w:t>
            </w:r>
          </w:p>
        </w:tc>
      </w:tr>
      <w:tr>
        <w:tc>
          <w:tcPr>
            <w:tcW w:w="907" w:type="dxa"/>
          </w:tcPr>
          <w:p>
            <w:pPr>
              <w:pStyle w:val="0"/>
            </w:pPr>
            <w:r>
              <w:rPr>
                <w:sz w:val="24"/>
              </w:rPr>
              <w:t xml:space="preserve">3.17</w:t>
            </w:r>
          </w:p>
        </w:tc>
        <w:tc>
          <w:tcPr>
            <w:tcW w:w="2608" w:type="dxa"/>
          </w:tcPr>
          <w:p>
            <w:pPr>
              <w:pStyle w:val="0"/>
            </w:pPr>
            <w:r>
              <w:rPr>
                <w:sz w:val="24"/>
              </w:rPr>
            </w:r>
          </w:p>
        </w:tc>
        <w:tc>
          <w:tcPr>
            <w:tcW w:w="2608" w:type="dxa"/>
          </w:tcPr>
          <w:p>
            <w:pPr>
              <w:pStyle w:val="0"/>
            </w:pPr>
            <w:r>
              <w:rPr>
                <w:sz w:val="24"/>
              </w:rPr>
              <w:t xml:space="preserve">17</w:t>
            </w:r>
          </w:p>
        </w:tc>
        <w:tc>
          <w:tcPr>
            <w:tcW w:w="2948" w:type="dxa"/>
          </w:tcPr>
          <w:p>
            <w:pPr>
              <w:pStyle w:val="0"/>
            </w:pPr>
            <w:r>
              <w:rPr>
                <w:sz w:val="24"/>
              </w:rPr>
              <w:t xml:space="preserve">mem-int:GruppaKredKach17Member</w:t>
            </w:r>
          </w:p>
        </w:tc>
      </w:tr>
      <w:tr>
        <w:tc>
          <w:tcPr>
            <w:tcW w:w="907" w:type="dxa"/>
          </w:tcPr>
          <w:p>
            <w:pPr>
              <w:pStyle w:val="0"/>
            </w:pPr>
            <w:r>
              <w:rPr>
                <w:sz w:val="24"/>
              </w:rPr>
              <w:t xml:space="preserve">3.18</w:t>
            </w:r>
          </w:p>
        </w:tc>
        <w:tc>
          <w:tcPr>
            <w:tcW w:w="2608" w:type="dxa"/>
          </w:tcPr>
          <w:p>
            <w:pPr>
              <w:pStyle w:val="0"/>
            </w:pPr>
            <w:r>
              <w:rPr>
                <w:sz w:val="24"/>
              </w:rPr>
            </w:r>
          </w:p>
        </w:tc>
        <w:tc>
          <w:tcPr>
            <w:tcW w:w="2608" w:type="dxa"/>
          </w:tcPr>
          <w:p>
            <w:pPr>
              <w:pStyle w:val="0"/>
            </w:pPr>
            <w:r>
              <w:rPr>
                <w:sz w:val="24"/>
              </w:rPr>
              <w:t xml:space="preserve">18</w:t>
            </w:r>
          </w:p>
        </w:tc>
        <w:tc>
          <w:tcPr>
            <w:tcW w:w="2948" w:type="dxa"/>
          </w:tcPr>
          <w:p>
            <w:pPr>
              <w:pStyle w:val="0"/>
            </w:pPr>
            <w:r>
              <w:rPr>
                <w:sz w:val="24"/>
              </w:rPr>
              <w:t xml:space="preserve">mem-int:GruppaKredKach18Member</w:t>
            </w:r>
          </w:p>
        </w:tc>
      </w:tr>
      <w:tr>
        <w:tc>
          <w:tcPr>
            <w:tcW w:w="907" w:type="dxa"/>
          </w:tcPr>
          <w:p>
            <w:pPr>
              <w:pStyle w:val="0"/>
            </w:pPr>
            <w:r>
              <w:rPr>
                <w:sz w:val="24"/>
              </w:rPr>
              <w:t xml:space="preserve">3.19</w:t>
            </w:r>
          </w:p>
        </w:tc>
        <w:tc>
          <w:tcPr>
            <w:tcW w:w="2608" w:type="dxa"/>
          </w:tcPr>
          <w:p>
            <w:pPr>
              <w:pStyle w:val="0"/>
            </w:pPr>
            <w:r>
              <w:rPr>
                <w:sz w:val="24"/>
              </w:rPr>
            </w:r>
          </w:p>
        </w:tc>
        <w:tc>
          <w:tcPr>
            <w:tcW w:w="2608" w:type="dxa"/>
          </w:tcPr>
          <w:p>
            <w:pPr>
              <w:pStyle w:val="0"/>
            </w:pPr>
            <w:r>
              <w:rPr>
                <w:sz w:val="24"/>
              </w:rPr>
              <w:t xml:space="preserve">19</w:t>
            </w:r>
          </w:p>
        </w:tc>
        <w:tc>
          <w:tcPr>
            <w:tcW w:w="2948" w:type="dxa"/>
          </w:tcPr>
          <w:p>
            <w:pPr>
              <w:pStyle w:val="0"/>
            </w:pPr>
            <w:r>
              <w:rPr>
                <w:sz w:val="24"/>
              </w:rPr>
              <w:t xml:space="preserve">mem-int:GruppaKredKach19Member</w:t>
            </w:r>
          </w:p>
        </w:tc>
      </w:tr>
      <w:tr>
        <w:tc>
          <w:tcPr>
            <w:tcW w:w="907" w:type="dxa"/>
          </w:tcPr>
          <w:p>
            <w:pPr>
              <w:pStyle w:val="0"/>
            </w:pPr>
            <w:r>
              <w:rPr>
                <w:sz w:val="24"/>
              </w:rPr>
              <w:t xml:space="preserve">3.20</w:t>
            </w:r>
          </w:p>
        </w:tc>
        <w:tc>
          <w:tcPr>
            <w:tcW w:w="2608" w:type="dxa"/>
          </w:tcPr>
          <w:p>
            <w:pPr>
              <w:pStyle w:val="0"/>
            </w:pPr>
            <w:r>
              <w:rPr>
                <w:sz w:val="24"/>
              </w:rPr>
            </w:r>
          </w:p>
        </w:tc>
        <w:tc>
          <w:tcPr>
            <w:tcW w:w="2608" w:type="dxa"/>
          </w:tcPr>
          <w:p>
            <w:pPr>
              <w:pStyle w:val="0"/>
            </w:pPr>
            <w:r>
              <w:rPr>
                <w:sz w:val="24"/>
              </w:rPr>
              <w:t xml:space="preserve">20</w:t>
            </w:r>
          </w:p>
        </w:tc>
        <w:tc>
          <w:tcPr>
            <w:tcW w:w="2948" w:type="dxa"/>
          </w:tcPr>
          <w:p>
            <w:pPr>
              <w:pStyle w:val="0"/>
            </w:pPr>
            <w:r>
              <w:rPr>
                <w:sz w:val="24"/>
              </w:rPr>
              <w:t xml:space="preserve">mem-int:GruppaKredKach20Member</w:t>
            </w:r>
          </w:p>
        </w:tc>
      </w:tr>
      <w:tr>
        <w:tc>
          <w:tcPr>
            <w:tcW w:w="907" w:type="dxa"/>
          </w:tcPr>
          <w:p>
            <w:pPr>
              <w:pStyle w:val="0"/>
            </w:pPr>
            <w:r>
              <w:rPr>
                <w:sz w:val="24"/>
              </w:rPr>
              <w:t xml:space="preserve">3.21</w:t>
            </w:r>
          </w:p>
        </w:tc>
        <w:tc>
          <w:tcPr>
            <w:tcW w:w="2608" w:type="dxa"/>
          </w:tcPr>
          <w:p>
            <w:pPr>
              <w:pStyle w:val="0"/>
            </w:pPr>
            <w:r>
              <w:rPr>
                <w:sz w:val="24"/>
              </w:rPr>
            </w:r>
          </w:p>
        </w:tc>
        <w:tc>
          <w:tcPr>
            <w:tcW w:w="2608" w:type="dxa"/>
          </w:tcPr>
          <w:p>
            <w:pPr>
              <w:pStyle w:val="0"/>
            </w:pPr>
            <w:r>
              <w:rPr>
                <w:sz w:val="24"/>
              </w:rPr>
              <w:t xml:space="preserve">21</w:t>
            </w:r>
          </w:p>
        </w:tc>
        <w:tc>
          <w:tcPr>
            <w:tcW w:w="2948" w:type="dxa"/>
          </w:tcPr>
          <w:p>
            <w:pPr>
              <w:pStyle w:val="0"/>
            </w:pPr>
            <w:r>
              <w:rPr>
                <w:sz w:val="24"/>
              </w:rPr>
              <w:t xml:space="preserve">mem-int:GruppaKredKach21Member</w:t>
            </w:r>
          </w:p>
        </w:tc>
      </w:tr>
      <w:tr>
        <w:tc>
          <w:tcPr>
            <w:tcW w:w="907" w:type="dxa"/>
          </w:tcPr>
          <w:p>
            <w:pPr>
              <w:pStyle w:val="0"/>
            </w:pPr>
            <w:r>
              <w:rPr>
                <w:sz w:val="24"/>
              </w:rPr>
              <w:t xml:space="preserve">3.22</w:t>
            </w:r>
          </w:p>
        </w:tc>
        <w:tc>
          <w:tcPr>
            <w:tcW w:w="2608" w:type="dxa"/>
          </w:tcPr>
          <w:p>
            <w:pPr>
              <w:pStyle w:val="0"/>
            </w:pPr>
            <w:r>
              <w:rPr>
                <w:sz w:val="24"/>
              </w:rPr>
            </w:r>
          </w:p>
        </w:tc>
        <w:tc>
          <w:tcPr>
            <w:tcW w:w="2608" w:type="dxa"/>
          </w:tcPr>
          <w:p>
            <w:pPr>
              <w:pStyle w:val="0"/>
            </w:pPr>
            <w:r>
              <w:rPr>
                <w:sz w:val="24"/>
              </w:rPr>
              <w:t xml:space="preserve">22</w:t>
            </w:r>
          </w:p>
        </w:tc>
        <w:tc>
          <w:tcPr>
            <w:tcW w:w="2948" w:type="dxa"/>
          </w:tcPr>
          <w:p>
            <w:pPr>
              <w:pStyle w:val="0"/>
            </w:pPr>
            <w:r>
              <w:rPr>
                <w:sz w:val="24"/>
              </w:rPr>
              <w:t xml:space="preserve">mem-int:GruppaKredKach22Member</w:t>
            </w:r>
          </w:p>
        </w:tc>
      </w:tr>
      <w:tr>
        <w:tc>
          <w:tcPr>
            <w:tcW w:w="907" w:type="dxa"/>
          </w:tcPr>
          <w:p>
            <w:pPr>
              <w:pStyle w:val="0"/>
            </w:pPr>
            <w:r>
              <w:rPr>
                <w:sz w:val="24"/>
              </w:rPr>
              <w:t xml:space="preserve">3.23</w:t>
            </w:r>
          </w:p>
        </w:tc>
        <w:tc>
          <w:tcPr>
            <w:tcW w:w="2608" w:type="dxa"/>
          </w:tcPr>
          <w:p>
            <w:pPr>
              <w:pStyle w:val="0"/>
            </w:pPr>
            <w:r>
              <w:rPr>
                <w:sz w:val="24"/>
              </w:rPr>
            </w:r>
          </w:p>
        </w:tc>
        <w:tc>
          <w:tcPr>
            <w:tcW w:w="2608" w:type="dxa"/>
          </w:tcPr>
          <w:p>
            <w:pPr>
              <w:pStyle w:val="0"/>
            </w:pPr>
            <w:r>
              <w:rPr>
                <w:sz w:val="24"/>
              </w:rPr>
              <w:t xml:space="preserve">23</w:t>
            </w:r>
          </w:p>
        </w:tc>
        <w:tc>
          <w:tcPr>
            <w:tcW w:w="2948" w:type="dxa"/>
          </w:tcPr>
          <w:p>
            <w:pPr>
              <w:pStyle w:val="0"/>
            </w:pPr>
            <w:r>
              <w:rPr>
                <w:sz w:val="24"/>
              </w:rPr>
              <w:t xml:space="preserve">mem-int:GruppaKredKach23Member</w:t>
            </w:r>
          </w:p>
        </w:tc>
      </w:tr>
      <w:tr>
        <w:tc>
          <w:tcPr>
            <w:tcW w:w="907" w:type="dxa"/>
          </w:tcPr>
          <w:p>
            <w:pPr>
              <w:pStyle w:val="0"/>
            </w:pPr>
            <w:r>
              <w:rPr>
                <w:sz w:val="24"/>
              </w:rPr>
              <w:t xml:space="preserve">4</w:t>
            </w:r>
          </w:p>
        </w:tc>
        <w:tc>
          <w:tcPr>
            <w:tcW w:w="2608" w:type="dxa"/>
          </w:tcPr>
          <w:p>
            <w:pPr>
              <w:pStyle w:val="0"/>
            </w:pPr>
            <w:r>
              <w:rPr>
                <w:sz w:val="24"/>
              </w:rPr>
              <w:t xml:space="preserve">Направление сделки</w:t>
            </w:r>
          </w:p>
        </w:tc>
        <w:tc>
          <w:tcPr>
            <w:tcW w:w="2608" w:type="dxa"/>
          </w:tcPr>
          <w:p>
            <w:pPr>
              <w:pStyle w:val="0"/>
            </w:pPr>
            <w:r>
              <w:rPr>
                <w:sz w:val="24"/>
              </w:rPr>
            </w:r>
          </w:p>
        </w:tc>
        <w:tc>
          <w:tcPr>
            <w:tcW w:w="2948" w:type="dxa"/>
          </w:tcPr>
          <w:p>
            <w:pPr>
              <w:pStyle w:val="0"/>
            </w:pPr>
            <w:r>
              <w:rPr>
                <w:sz w:val="24"/>
              </w:rPr>
              <w:t xml:space="preserve">ins-dic:NaprSdelkiEnumerator</w:t>
            </w:r>
          </w:p>
        </w:tc>
      </w:tr>
      <w:tr>
        <w:tc>
          <w:tcPr>
            <w:tcW w:w="907" w:type="dxa"/>
          </w:tcPr>
          <w:p>
            <w:pPr>
              <w:pStyle w:val="0"/>
            </w:pPr>
            <w:r>
              <w:rPr>
                <w:sz w:val="24"/>
              </w:rPr>
              <w:t xml:space="preserve">4.1</w:t>
            </w:r>
          </w:p>
        </w:tc>
        <w:tc>
          <w:tcPr>
            <w:tcW w:w="2608" w:type="dxa"/>
          </w:tcPr>
          <w:p>
            <w:pPr>
              <w:pStyle w:val="0"/>
            </w:pPr>
            <w:r>
              <w:rPr>
                <w:sz w:val="24"/>
              </w:rPr>
            </w:r>
          </w:p>
        </w:tc>
        <w:tc>
          <w:tcPr>
            <w:tcW w:w="2608" w:type="dxa"/>
          </w:tcPr>
          <w:p>
            <w:pPr>
              <w:pStyle w:val="0"/>
            </w:pPr>
            <w:r>
              <w:rPr>
                <w:sz w:val="24"/>
              </w:rPr>
              <w:t xml:space="preserve">Покупка</w:t>
            </w:r>
          </w:p>
        </w:tc>
        <w:tc>
          <w:tcPr>
            <w:tcW w:w="2948" w:type="dxa"/>
          </w:tcPr>
          <w:p>
            <w:pPr>
              <w:pStyle w:val="0"/>
            </w:pPr>
            <w:r>
              <w:rPr>
                <w:sz w:val="24"/>
              </w:rPr>
              <w:t xml:space="preserve">mem-int:PokupkaMember</w:t>
            </w:r>
          </w:p>
        </w:tc>
      </w:tr>
      <w:tr>
        <w:tc>
          <w:tcPr>
            <w:tcW w:w="907" w:type="dxa"/>
          </w:tcPr>
          <w:p>
            <w:pPr>
              <w:pStyle w:val="0"/>
            </w:pPr>
            <w:r>
              <w:rPr>
                <w:sz w:val="24"/>
              </w:rPr>
              <w:t xml:space="preserve">4.2</w:t>
            </w:r>
          </w:p>
        </w:tc>
        <w:tc>
          <w:tcPr>
            <w:tcW w:w="2608" w:type="dxa"/>
          </w:tcPr>
          <w:p>
            <w:pPr>
              <w:pStyle w:val="0"/>
            </w:pPr>
            <w:r>
              <w:rPr>
                <w:sz w:val="24"/>
              </w:rPr>
            </w:r>
          </w:p>
        </w:tc>
        <w:tc>
          <w:tcPr>
            <w:tcW w:w="2608" w:type="dxa"/>
          </w:tcPr>
          <w:p>
            <w:pPr>
              <w:pStyle w:val="0"/>
            </w:pPr>
            <w:r>
              <w:rPr>
                <w:sz w:val="24"/>
              </w:rPr>
              <w:t xml:space="preserve">Продажа</w:t>
            </w:r>
          </w:p>
        </w:tc>
        <w:tc>
          <w:tcPr>
            <w:tcW w:w="2948" w:type="dxa"/>
          </w:tcPr>
          <w:p>
            <w:pPr>
              <w:pStyle w:val="0"/>
            </w:pPr>
            <w:r>
              <w:rPr>
                <w:sz w:val="24"/>
              </w:rPr>
              <w:t xml:space="preserve">mem-int:ProdazhaMember</w:t>
            </w:r>
          </w:p>
        </w:tc>
      </w:tr>
      <w:tr>
        <w:tc>
          <w:tcPr>
            <w:tcW w:w="907" w:type="dxa"/>
          </w:tcPr>
          <w:p>
            <w:pPr>
              <w:pStyle w:val="0"/>
            </w:pPr>
            <w:r>
              <w:rPr>
                <w:sz w:val="24"/>
              </w:rPr>
              <w:t xml:space="preserve">4.3</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5</w:t>
            </w:r>
          </w:p>
        </w:tc>
        <w:tc>
          <w:tcPr>
            <w:tcW w:w="2608" w:type="dxa"/>
          </w:tcPr>
          <w:p>
            <w:pPr>
              <w:pStyle w:val="0"/>
            </w:pPr>
            <w:r>
              <w:rPr>
                <w:sz w:val="24"/>
              </w:rPr>
              <w:t xml:space="preserve">Поручительство (гарантия) соответствует условиям, предусмотренным требованиями к финансовой устойчивости и платежеспособности страховщиков</w:t>
            </w:r>
          </w:p>
        </w:tc>
        <w:tc>
          <w:tcPr>
            <w:tcW w:w="2608" w:type="dxa"/>
          </w:tcPr>
          <w:p>
            <w:pPr>
              <w:pStyle w:val="0"/>
            </w:pPr>
            <w:r>
              <w:rPr>
                <w:sz w:val="24"/>
              </w:rPr>
            </w:r>
          </w:p>
        </w:tc>
        <w:tc>
          <w:tcPr>
            <w:tcW w:w="2948" w:type="dxa"/>
          </w:tcPr>
          <w:p>
            <w:pPr>
              <w:pStyle w:val="0"/>
            </w:pPr>
            <w:r>
              <w:rPr>
                <w:sz w:val="24"/>
              </w:rPr>
              <w:t xml:space="preserve">ins-dic:GarPoruchSootvPunkt318Enumerator</w:t>
            </w:r>
          </w:p>
        </w:tc>
      </w:tr>
      <w:tr>
        <w:tc>
          <w:tcPr>
            <w:tcW w:w="907" w:type="dxa"/>
          </w:tcPr>
          <w:p>
            <w:pPr>
              <w:pStyle w:val="0"/>
            </w:pPr>
            <w:r>
              <w:rPr>
                <w:sz w:val="24"/>
              </w:rPr>
              <w:t xml:space="preserve">5.1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5.2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r>
        <w:tc>
          <w:tcPr>
            <w:tcW w:w="907" w:type="dxa"/>
          </w:tcPr>
          <w:p>
            <w:pPr>
              <w:pStyle w:val="0"/>
            </w:pPr>
            <w:r>
              <w:rPr>
                <w:sz w:val="24"/>
              </w:rPr>
              <w:t xml:space="preserve">5.3</w:t>
            </w:r>
          </w:p>
        </w:tc>
        <w:tc>
          <w:tcPr>
            <w:tcW w:w="2608" w:type="dxa"/>
          </w:tcPr>
          <w:p>
            <w:pPr>
              <w:pStyle w:val="0"/>
            </w:pPr>
            <w:r>
              <w:rPr>
                <w:sz w:val="24"/>
              </w:rPr>
            </w:r>
          </w:p>
        </w:tc>
        <w:tc>
          <w:tcPr>
            <w:tcW w:w="2608" w:type="dxa"/>
          </w:tcPr>
          <w:p>
            <w:pPr>
              <w:pStyle w:val="0"/>
            </w:pPr>
            <w:r>
              <w:rPr>
                <w:sz w:val="24"/>
              </w:rPr>
              <w:t xml:space="preserve">Неприменимо</w:t>
            </w:r>
          </w:p>
        </w:tc>
        <w:tc>
          <w:tcPr>
            <w:tcW w:w="2948" w:type="dxa"/>
          </w:tcPr>
          <w:p>
            <w:pPr>
              <w:pStyle w:val="0"/>
            </w:pPr>
            <w:r>
              <w:rPr>
                <w:sz w:val="24"/>
              </w:rPr>
              <w:t xml:space="preserve">mem-int:NeprimenimoMember</w:t>
            </w:r>
          </w:p>
        </w:tc>
      </w:tr>
      <w:tr>
        <w:tc>
          <w:tcPr>
            <w:tcW w:w="907" w:type="dxa"/>
          </w:tcPr>
          <w:p>
            <w:pPr>
              <w:pStyle w:val="0"/>
            </w:pPr>
            <w:r>
              <w:rPr>
                <w:sz w:val="24"/>
              </w:rPr>
              <w:t xml:space="preserve">6</w:t>
            </w:r>
          </w:p>
        </w:tc>
        <w:tc>
          <w:tcPr>
            <w:tcW w:w="2608" w:type="dxa"/>
          </w:tcPr>
          <w:p>
            <w:pPr>
              <w:pStyle w:val="0"/>
            </w:pPr>
            <w:r>
              <w:rPr>
                <w:sz w:val="24"/>
              </w:rPr>
              <w:t xml:space="preserve">Стоимость зависит от изменения стоимости аффинированного золота</w:t>
            </w:r>
          </w:p>
        </w:tc>
        <w:tc>
          <w:tcPr>
            <w:tcW w:w="2608" w:type="dxa"/>
          </w:tcPr>
          <w:p>
            <w:pPr>
              <w:pStyle w:val="0"/>
            </w:pPr>
            <w:r>
              <w:rPr>
                <w:sz w:val="24"/>
              </w:rPr>
            </w:r>
          </w:p>
        </w:tc>
        <w:tc>
          <w:tcPr>
            <w:tcW w:w="2948" w:type="dxa"/>
          </w:tcPr>
          <w:p>
            <w:pPr>
              <w:pStyle w:val="0"/>
            </w:pPr>
            <w:r>
              <w:rPr>
                <w:sz w:val="24"/>
              </w:rPr>
              <w:t xml:space="preserve">ins-dic:StoimZavisOtIzmStoimAffZolotaEnumerator</w:t>
            </w:r>
          </w:p>
        </w:tc>
      </w:tr>
      <w:tr>
        <w:tc>
          <w:tcPr>
            <w:tcW w:w="907" w:type="dxa"/>
          </w:tcPr>
          <w:p>
            <w:pPr>
              <w:pStyle w:val="0"/>
            </w:pPr>
            <w:r>
              <w:rPr>
                <w:sz w:val="24"/>
              </w:rPr>
              <w:t xml:space="preserve">6.1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6.2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3"/>
        <w:jc w:val="both"/>
      </w:pPr>
      <w:r>
        <w:rPr>
          <w:sz w:val="24"/>
        </w:rPr>
        <w:t xml:space="preserve">Подраздел 5.3. </w:t>
      </w:r>
      <w:hyperlink w:history="0" w:anchor="P27590" w:tooltip="Раздел 7.">
        <w:r>
          <w:rPr>
            <w:sz w:val="24"/>
            <w:color w:val="0000ff"/>
          </w:rPr>
          <w:t xml:space="preserve">Раздел 7</w:t>
        </w:r>
      </w:hyperlink>
      <w:r>
        <w:rPr>
          <w:sz w:val="24"/>
        </w:rPr>
        <w:t xml:space="preserve"> "Залог"</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залога</w:t>
            </w:r>
          </w:p>
        </w:tc>
        <w:tc>
          <w:tcPr>
            <w:tcW w:w="2608" w:type="dxa"/>
          </w:tcPr>
          <w:p>
            <w:pPr>
              <w:pStyle w:val="0"/>
            </w:pPr>
            <w:r>
              <w:rPr>
                <w:sz w:val="24"/>
              </w:rPr>
            </w:r>
          </w:p>
        </w:tc>
        <w:tc>
          <w:tcPr>
            <w:tcW w:w="2948" w:type="dxa"/>
          </w:tcPr>
          <w:p>
            <w:pPr>
              <w:pStyle w:val="0"/>
            </w:pPr>
            <w:r>
              <w:rPr>
                <w:sz w:val="24"/>
              </w:rPr>
              <w:t xml:space="preserve">ins-dic:VidZalogEnumerator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Залог ценной бумаги</w:t>
            </w:r>
          </w:p>
        </w:tc>
        <w:tc>
          <w:tcPr>
            <w:tcW w:w="2948" w:type="dxa"/>
          </w:tcPr>
          <w:p>
            <w:pPr>
              <w:pStyle w:val="0"/>
            </w:pPr>
            <w:r>
              <w:rPr>
                <w:sz w:val="24"/>
              </w:rPr>
              <w:t xml:space="preserve">mem-int:CZennyeBumagiMember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Залог иных прав требования, кроме залога ценной бумаги</w:t>
            </w:r>
          </w:p>
        </w:tc>
        <w:tc>
          <w:tcPr>
            <w:tcW w:w="2948" w:type="dxa"/>
          </w:tcPr>
          <w:p>
            <w:pPr>
              <w:pStyle w:val="0"/>
            </w:pPr>
            <w:r>
              <w:rPr>
                <w:sz w:val="24"/>
              </w:rPr>
              <w:t xml:space="preserve">mem-int:InyePravTrebKrCzenBumMember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Залог жилой недвижимости, включая земельный участок, на котором она расположена</w:t>
            </w:r>
          </w:p>
        </w:tc>
        <w:tc>
          <w:tcPr>
            <w:tcW w:w="2948" w:type="dxa"/>
          </w:tcPr>
          <w:p>
            <w:pPr>
              <w:pStyle w:val="0"/>
            </w:pPr>
            <w:r>
              <w:rPr>
                <w:sz w:val="24"/>
              </w:rPr>
              <w:t xml:space="preserve">mem-int:ZhilNedvVklZemUchMember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Залог нежилой недвижимости, включая земельный участок, на котором она расположена</w:t>
            </w:r>
          </w:p>
        </w:tc>
        <w:tc>
          <w:tcPr>
            <w:tcW w:w="2948" w:type="dxa"/>
          </w:tcPr>
          <w:p>
            <w:pPr>
              <w:pStyle w:val="0"/>
            </w:pPr>
            <w:r>
              <w:rPr>
                <w:sz w:val="24"/>
              </w:rPr>
              <w:t xml:space="preserve">mem-int:NezhilNedvVklZemUchMember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Иной вид залога</w:t>
            </w:r>
          </w:p>
        </w:tc>
        <w:tc>
          <w:tcPr>
            <w:tcW w:w="2948" w:type="dxa"/>
          </w:tcPr>
          <w:p>
            <w:pPr>
              <w:pStyle w:val="0"/>
            </w:pPr>
            <w:r>
              <w:rPr>
                <w:sz w:val="24"/>
              </w:rPr>
              <w:t xml:space="preserve">mem-int:Inoe_Member</w:t>
            </w:r>
          </w:p>
        </w:tc>
      </w:tr>
    </w:tbl>
    <w:p>
      <w:pPr>
        <w:pStyle w:val="0"/>
        <w:ind w:firstLine="540"/>
        <w:jc w:val="both"/>
      </w:pPr>
      <w:r>
        <w:rPr>
          <w:sz w:val="24"/>
        </w:rPr>
      </w:r>
    </w:p>
    <w:p>
      <w:pPr>
        <w:pStyle w:val="0"/>
        <w:outlineLvl w:val="2"/>
        <w:jc w:val="both"/>
      </w:pPr>
      <w:r>
        <w:rPr>
          <w:sz w:val="24"/>
        </w:rPr>
        <w:t xml:space="preserve">Раздел 6. Отчетность по </w:t>
      </w:r>
      <w:hyperlink w:history="0" w:anchor="P34526" w:tooltip="Отчетность по форме 0420159">
        <w:r>
          <w:rPr>
            <w:sz w:val="24"/>
            <w:color w:val="0000ff"/>
          </w:rPr>
          <w:t xml:space="preserve">форме 0420159</w:t>
        </w:r>
      </w:hyperlink>
      <w:r>
        <w:rPr>
          <w:sz w:val="24"/>
        </w:rPr>
        <w:t xml:space="preserve"> "Сведения о сделках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Перечень учетных групп</w:t>
            </w:r>
          </w:p>
        </w:tc>
        <w:tc>
          <w:tcPr>
            <w:tcW w:w="2608" w:type="dxa"/>
          </w:tcPr>
          <w:p>
            <w:pPr>
              <w:pStyle w:val="0"/>
            </w:pPr>
            <w:r>
              <w:rPr>
                <w:sz w:val="24"/>
              </w:rPr>
            </w:r>
          </w:p>
        </w:tc>
        <w:tc>
          <w:tcPr>
            <w:tcW w:w="2948" w:type="dxa"/>
          </w:tcPr>
          <w:p>
            <w:pPr>
              <w:pStyle w:val="0"/>
            </w:pPr>
            <w:r>
              <w:rPr>
                <w:sz w:val="24"/>
              </w:rPr>
              <w:t xml:space="preserve">ins-dic:PerechenUchetGruppEnumerator2</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добровольное медицинское страхование</w:t>
            </w:r>
          </w:p>
        </w:tc>
        <w:tc>
          <w:tcPr>
            <w:tcW w:w="2948" w:type="dxa"/>
          </w:tcPr>
          <w:p>
            <w:pPr>
              <w:pStyle w:val="0"/>
            </w:pPr>
            <w:r>
              <w:rPr>
                <w:sz w:val="24"/>
              </w:rPr>
              <w:t xml:space="preserve">mem-int:Uchet_Gruppa_1Member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2.1 - страхование от несчастных случаев и болезней</w:t>
            </w:r>
          </w:p>
        </w:tc>
        <w:tc>
          <w:tcPr>
            <w:tcW w:w="2948" w:type="dxa"/>
          </w:tcPr>
          <w:p>
            <w:pPr>
              <w:pStyle w:val="0"/>
            </w:pPr>
            <w:r>
              <w:rPr>
                <w:sz w:val="24"/>
              </w:rPr>
              <w:t xml:space="preserve">mem-int:Uchet_Gruppa_2_1_Member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4 - страхование гражданской ответственности владельцев транспортных средств в рамках международных систем страхования</w:t>
            </w:r>
          </w:p>
        </w:tc>
        <w:tc>
          <w:tcPr>
            <w:tcW w:w="2948" w:type="dxa"/>
          </w:tcPr>
          <w:p>
            <w:pPr>
              <w:pStyle w:val="0"/>
            </w:pPr>
            <w:r>
              <w:rPr>
                <w:sz w:val="24"/>
              </w:rPr>
              <w:t xml:space="preserve">mem-int:Uchet_Gruppa_4Member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6 - страхование прочей ответственности владельцев транспортных средств</w:t>
            </w:r>
          </w:p>
        </w:tc>
        <w:tc>
          <w:tcPr>
            <w:tcW w:w="2948" w:type="dxa"/>
          </w:tcPr>
          <w:p>
            <w:pPr>
              <w:pStyle w:val="0"/>
            </w:pPr>
            <w:r>
              <w:rPr>
                <w:sz w:val="24"/>
              </w:rPr>
              <w:t xml:space="preserve">mem-int:Uchet_Gruppa_6Member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7 - страхование средств наземного транспорта</w:t>
            </w:r>
          </w:p>
        </w:tc>
        <w:tc>
          <w:tcPr>
            <w:tcW w:w="2948" w:type="dxa"/>
          </w:tcPr>
          <w:p>
            <w:pPr>
              <w:pStyle w:val="0"/>
            </w:pPr>
            <w:r>
              <w:rPr>
                <w:sz w:val="24"/>
              </w:rPr>
              <w:t xml:space="preserve">mem-int:Uchet_Gruppa_7Member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8 - страхование воздушного, водного транспорта, включая страхование ответственности владельцев указанного транспорта, и страхование грузов</w:t>
            </w:r>
          </w:p>
        </w:tc>
        <w:tc>
          <w:tcPr>
            <w:tcW w:w="2948" w:type="dxa"/>
          </w:tcPr>
          <w:p>
            <w:pPr>
              <w:pStyle w:val="0"/>
            </w:pPr>
            <w:r>
              <w:rPr>
                <w:sz w:val="24"/>
              </w:rPr>
              <w:t xml:space="preserve">mem-int:Uchet_Gruppa_8Member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9 - сельскохозяйственное страхование, осуществляемое с государственной поддержкой</w:t>
            </w:r>
          </w:p>
        </w:tc>
        <w:tc>
          <w:tcPr>
            <w:tcW w:w="2948" w:type="dxa"/>
          </w:tcPr>
          <w:p>
            <w:pPr>
              <w:pStyle w:val="0"/>
            </w:pPr>
            <w:r>
              <w:rPr>
                <w:sz w:val="24"/>
              </w:rPr>
              <w:t xml:space="preserve">mem-int:Uchet_Gruppa_9Member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10 - страхование имущества</w:t>
            </w:r>
          </w:p>
        </w:tc>
        <w:tc>
          <w:tcPr>
            <w:tcW w:w="2948" w:type="dxa"/>
          </w:tcPr>
          <w:p>
            <w:pPr>
              <w:pStyle w:val="0"/>
            </w:pPr>
            <w:r>
              <w:rPr>
                <w:sz w:val="24"/>
              </w:rPr>
              <w:t xml:space="preserve">mem-int:Uchet_Gruppa_10Member</w:t>
            </w:r>
          </w:p>
        </w:tc>
      </w:tr>
      <w:tr>
        <w:tc>
          <w:tcPr>
            <w:tcW w:w="907" w:type="dxa"/>
          </w:tcPr>
          <w:p>
            <w:pPr>
              <w:pStyle w:val="0"/>
            </w:pPr>
            <w:r>
              <w:rPr>
                <w:sz w:val="24"/>
              </w:rPr>
              <w:t xml:space="preserve">1.9</w:t>
            </w:r>
          </w:p>
        </w:tc>
        <w:tc>
          <w:tcPr>
            <w:tcW w:w="2608" w:type="dxa"/>
          </w:tcPr>
          <w:p>
            <w:pPr>
              <w:pStyle w:val="0"/>
            </w:pPr>
            <w:r>
              <w:rPr>
                <w:sz w:val="24"/>
              </w:rPr>
            </w:r>
          </w:p>
        </w:tc>
        <w:tc>
          <w:tcPr>
            <w:tcW w:w="2608" w:type="dxa"/>
          </w:tcPr>
          <w:p>
            <w:pPr>
              <w:pStyle w:val="0"/>
            </w:pPr>
            <w:r>
              <w:rPr>
                <w:sz w:val="24"/>
              </w:rPr>
              <w:t xml:space="preserve">12 - страхование гражданской ответственности застройщика</w:t>
            </w:r>
          </w:p>
        </w:tc>
        <w:tc>
          <w:tcPr>
            <w:tcW w:w="2948" w:type="dxa"/>
          </w:tcPr>
          <w:p>
            <w:pPr>
              <w:pStyle w:val="0"/>
            </w:pPr>
            <w:r>
              <w:rPr>
                <w:sz w:val="24"/>
              </w:rPr>
              <w:t xml:space="preserve">mern-int:Uchet_Gruppa_12Member</w:t>
            </w:r>
          </w:p>
        </w:tc>
      </w:tr>
      <w:tr>
        <w:tc>
          <w:tcPr>
            <w:tcW w:w="907" w:type="dxa"/>
          </w:tcPr>
          <w:p>
            <w:pPr>
              <w:pStyle w:val="0"/>
            </w:pPr>
            <w:r>
              <w:rPr>
                <w:sz w:val="24"/>
              </w:rPr>
              <w:t xml:space="preserve">1.10</w:t>
            </w:r>
          </w:p>
        </w:tc>
        <w:tc>
          <w:tcPr>
            <w:tcW w:w="2608" w:type="dxa"/>
          </w:tcPr>
          <w:p>
            <w:pPr>
              <w:pStyle w:val="0"/>
            </w:pPr>
            <w:r>
              <w:rPr>
                <w:sz w:val="24"/>
              </w:rPr>
            </w:r>
          </w:p>
        </w:tc>
        <w:tc>
          <w:tcPr>
            <w:tcW w:w="2608" w:type="dxa"/>
          </w:tcPr>
          <w:p>
            <w:pPr>
              <w:pStyle w:val="0"/>
            </w:pPr>
            <w:r>
              <w:rPr>
                <w:sz w:val="24"/>
              </w:rPr>
              <w:t xml:space="preserve">13 - страхование ответственности туроператоров</w:t>
            </w:r>
          </w:p>
        </w:tc>
        <w:tc>
          <w:tcPr>
            <w:tcW w:w="2948" w:type="dxa"/>
          </w:tcPr>
          <w:p>
            <w:pPr>
              <w:pStyle w:val="0"/>
            </w:pPr>
            <w:r>
              <w:rPr>
                <w:sz w:val="24"/>
              </w:rPr>
              <w:t xml:space="preserve">mem-int:Uchet_Gruppa_13Member</w:t>
            </w:r>
          </w:p>
        </w:tc>
      </w:tr>
      <w:tr>
        <w:tc>
          <w:tcPr>
            <w:tcW w:w="907" w:type="dxa"/>
          </w:tcPr>
          <w:p>
            <w:pPr>
              <w:pStyle w:val="0"/>
            </w:pPr>
            <w:r>
              <w:rPr>
                <w:sz w:val="24"/>
              </w:rPr>
              <w:t xml:space="preserve">1.11</w:t>
            </w:r>
          </w:p>
        </w:tc>
        <w:tc>
          <w:tcPr>
            <w:tcW w:w="2608" w:type="dxa"/>
          </w:tcPr>
          <w:p>
            <w:pPr>
              <w:pStyle w:val="0"/>
            </w:pPr>
            <w:r>
              <w:rPr>
                <w:sz w:val="24"/>
              </w:rPr>
            </w:r>
          </w:p>
        </w:tc>
        <w:tc>
          <w:tcPr>
            <w:tcW w:w="2608" w:type="dxa"/>
          </w:tcPr>
          <w:p>
            <w:pPr>
              <w:pStyle w:val="0"/>
            </w:pPr>
            <w:r>
              <w:rPr>
                <w:sz w:val="24"/>
              </w:rPr>
              <w:t xml:space="preserve">14 - страхование прочей ответственности</w:t>
            </w:r>
          </w:p>
        </w:tc>
        <w:tc>
          <w:tcPr>
            <w:tcW w:w="2948" w:type="dxa"/>
          </w:tcPr>
          <w:p>
            <w:pPr>
              <w:pStyle w:val="0"/>
            </w:pPr>
            <w:r>
              <w:rPr>
                <w:sz w:val="24"/>
              </w:rPr>
              <w:t xml:space="preserve">mem-int:Uchet_Gruppa_14Member</w:t>
            </w:r>
          </w:p>
        </w:tc>
      </w:tr>
      <w:tr>
        <w:tc>
          <w:tcPr>
            <w:tcW w:w="907" w:type="dxa"/>
          </w:tcPr>
          <w:p>
            <w:pPr>
              <w:pStyle w:val="0"/>
            </w:pPr>
            <w:r>
              <w:rPr>
                <w:sz w:val="24"/>
              </w:rPr>
              <w:t xml:space="preserve">1.12</w:t>
            </w:r>
          </w:p>
        </w:tc>
        <w:tc>
          <w:tcPr>
            <w:tcW w:w="2608" w:type="dxa"/>
          </w:tcPr>
          <w:p>
            <w:pPr>
              <w:pStyle w:val="0"/>
            </w:pPr>
            <w:r>
              <w:rPr>
                <w:sz w:val="24"/>
              </w:rPr>
            </w:r>
          </w:p>
        </w:tc>
        <w:tc>
          <w:tcPr>
            <w:tcW w:w="2608" w:type="dxa"/>
          </w:tcPr>
          <w:p>
            <w:pPr>
              <w:pStyle w:val="0"/>
            </w:pPr>
            <w:r>
              <w:rPr>
                <w:sz w:val="24"/>
              </w:rPr>
              <w:t xml:space="preserve">15 - страхование финансовых и предпринимательских рисков</w:t>
            </w:r>
          </w:p>
        </w:tc>
        <w:tc>
          <w:tcPr>
            <w:tcW w:w="2948" w:type="dxa"/>
          </w:tcPr>
          <w:p>
            <w:pPr>
              <w:pStyle w:val="0"/>
            </w:pPr>
            <w:r>
              <w:rPr>
                <w:sz w:val="24"/>
              </w:rPr>
              <w:t xml:space="preserve">mem-int:Uchet_Gruppa_15Member</w:t>
            </w:r>
          </w:p>
        </w:tc>
      </w:tr>
      <w:tr>
        <w:tc>
          <w:tcPr>
            <w:tcW w:w="907" w:type="dxa"/>
          </w:tcPr>
          <w:p>
            <w:pPr>
              <w:pStyle w:val="0"/>
            </w:pPr>
            <w:r>
              <w:rPr>
                <w:sz w:val="24"/>
              </w:rPr>
              <w:t xml:space="preserve">1.13</w:t>
            </w:r>
          </w:p>
        </w:tc>
        <w:tc>
          <w:tcPr>
            <w:tcW w:w="2608" w:type="dxa"/>
          </w:tcPr>
          <w:p>
            <w:pPr>
              <w:pStyle w:val="0"/>
            </w:pPr>
            <w:r>
              <w:rPr>
                <w:sz w:val="24"/>
              </w:rPr>
            </w:r>
          </w:p>
        </w:tc>
        <w:tc>
          <w:tcPr>
            <w:tcW w:w="2608" w:type="dxa"/>
          </w:tcPr>
          <w:p>
            <w:pPr>
              <w:pStyle w:val="0"/>
            </w:pPr>
            <w:r>
              <w:rPr>
                <w:sz w:val="24"/>
              </w:rPr>
              <w:t xml:space="preserve">16 - страхование лиц, выезжающих за пределы постоянного места жительства</w:t>
            </w:r>
          </w:p>
        </w:tc>
        <w:tc>
          <w:tcPr>
            <w:tcW w:w="2948" w:type="dxa"/>
          </w:tcPr>
          <w:p>
            <w:pPr>
              <w:pStyle w:val="0"/>
            </w:pPr>
            <w:r>
              <w:rPr>
                <w:sz w:val="24"/>
              </w:rPr>
              <w:t xml:space="preserve">mem-int:Uchet_Gruppa_16Member</w:t>
            </w:r>
          </w:p>
        </w:tc>
      </w:tr>
      <w:tr>
        <w:tc>
          <w:tcPr>
            <w:tcW w:w="907" w:type="dxa"/>
          </w:tcPr>
          <w:p>
            <w:pPr>
              <w:pStyle w:val="0"/>
            </w:pPr>
            <w:r>
              <w:rPr>
                <w:sz w:val="24"/>
              </w:rPr>
              <w:t xml:space="preserve">1.14</w:t>
            </w:r>
          </w:p>
        </w:tc>
        <w:tc>
          <w:tcPr>
            <w:tcW w:w="2608" w:type="dxa"/>
          </w:tcPr>
          <w:p>
            <w:pPr>
              <w:pStyle w:val="0"/>
            </w:pPr>
            <w:r>
              <w:rPr>
                <w:sz w:val="24"/>
              </w:rPr>
            </w:r>
          </w:p>
        </w:tc>
        <w:tc>
          <w:tcPr>
            <w:tcW w:w="2608" w:type="dxa"/>
          </w:tcPr>
          <w:p>
            <w:pPr>
              <w:pStyle w:val="0"/>
            </w:pPr>
            <w:r>
              <w:rPr>
                <w:sz w:val="24"/>
              </w:rPr>
              <w:t xml:space="preserve">17 - входящее перестрахование, кроме договоров пропорционального перестрахования</w:t>
            </w:r>
          </w:p>
        </w:tc>
        <w:tc>
          <w:tcPr>
            <w:tcW w:w="2948" w:type="dxa"/>
          </w:tcPr>
          <w:p>
            <w:pPr>
              <w:pStyle w:val="0"/>
            </w:pPr>
            <w:r>
              <w:rPr>
                <w:sz w:val="24"/>
              </w:rPr>
              <w:t xml:space="preserve">mem-int:Uchet_Gruppa_17Member</w:t>
            </w:r>
          </w:p>
        </w:tc>
      </w:tr>
      <w:tr>
        <w:tc>
          <w:tcPr>
            <w:tcW w:w="907" w:type="dxa"/>
          </w:tcPr>
          <w:p>
            <w:pPr>
              <w:pStyle w:val="0"/>
            </w:pPr>
            <w:r>
              <w:rPr>
                <w:sz w:val="24"/>
              </w:rPr>
              <w:t xml:space="preserve">1.15</w:t>
            </w:r>
          </w:p>
        </w:tc>
        <w:tc>
          <w:tcPr>
            <w:tcW w:w="2608" w:type="dxa"/>
          </w:tcPr>
          <w:p>
            <w:pPr>
              <w:pStyle w:val="0"/>
            </w:pPr>
            <w:r>
              <w:rPr>
                <w:sz w:val="24"/>
              </w:rPr>
            </w:r>
          </w:p>
        </w:tc>
        <w:tc>
          <w:tcPr>
            <w:tcW w:w="2608" w:type="dxa"/>
          </w:tcPr>
          <w:p>
            <w:pPr>
              <w:pStyle w:val="0"/>
            </w:pPr>
            <w:r>
              <w:rPr>
                <w:sz w:val="24"/>
              </w:rPr>
              <w:t xml:space="preserve">18 - накопительное страхование жизни</w:t>
            </w:r>
          </w:p>
        </w:tc>
        <w:tc>
          <w:tcPr>
            <w:tcW w:w="2948" w:type="dxa"/>
          </w:tcPr>
          <w:p>
            <w:pPr>
              <w:pStyle w:val="0"/>
            </w:pPr>
            <w:r>
              <w:rPr>
                <w:sz w:val="24"/>
              </w:rPr>
              <w:t xml:space="preserve">mem-int:Uchet_Gruppa_18_Member</w:t>
            </w:r>
          </w:p>
        </w:tc>
      </w:tr>
      <w:tr>
        <w:tc>
          <w:tcPr>
            <w:tcW w:w="907" w:type="dxa"/>
          </w:tcPr>
          <w:p>
            <w:pPr>
              <w:pStyle w:val="0"/>
            </w:pPr>
            <w:r>
              <w:rPr>
                <w:sz w:val="24"/>
              </w:rPr>
              <w:t xml:space="preserve">1.16</w:t>
            </w:r>
          </w:p>
        </w:tc>
        <w:tc>
          <w:tcPr>
            <w:tcW w:w="2608" w:type="dxa"/>
          </w:tcPr>
          <w:p>
            <w:pPr>
              <w:pStyle w:val="0"/>
            </w:pPr>
            <w:r>
              <w:rPr>
                <w:sz w:val="24"/>
              </w:rPr>
            </w:r>
          </w:p>
        </w:tc>
        <w:tc>
          <w:tcPr>
            <w:tcW w:w="2608" w:type="dxa"/>
          </w:tcPr>
          <w:p>
            <w:pPr>
              <w:pStyle w:val="0"/>
            </w:pPr>
            <w:r>
              <w:rPr>
                <w:sz w:val="24"/>
              </w:rPr>
              <w:t xml:space="preserve">19 - инвестиционное страхование жизни</w:t>
            </w:r>
          </w:p>
        </w:tc>
        <w:tc>
          <w:tcPr>
            <w:tcW w:w="2948" w:type="dxa"/>
          </w:tcPr>
          <w:p>
            <w:pPr>
              <w:pStyle w:val="0"/>
            </w:pPr>
            <w:r>
              <w:rPr>
                <w:sz w:val="24"/>
              </w:rPr>
              <w:t xml:space="preserve">mem-int:Uchet_Gruppa_19_Member</w:t>
            </w:r>
          </w:p>
        </w:tc>
      </w:tr>
      <w:tr>
        <w:tc>
          <w:tcPr>
            <w:tcW w:w="907" w:type="dxa"/>
          </w:tcPr>
          <w:p>
            <w:pPr>
              <w:pStyle w:val="0"/>
            </w:pPr>
            <w:r>
              <w:rPr>
                <w:sz w:val="24"/>
              </w:rPr>
              <w:t xml:space="preserve">1.17</w:t>
            </w:r>
          </w:p>
        </w:tc>
        <w:tc>
          <w:tcPr>
            <w:tcW w:w="2608" w:type="dxa"/>
          </w:tcPr>
          <w:p>
            <w:pPr>
              <w:pStyle w:val="0"/>
            </w:pPr>
            <w:r>
              <w:rPr>
                <w:sz w:val="24"/>
              </w:rPr>
            </w:r>
          </w:p>
        </w:tc>
        <w:tc>
          <w:tcPr>
            <w:tcW w:w="2608" w:type="dxa"/>
          </w:tcPr>
          <w:p>
            <w:pPr>
              <w:pStyle w:val="0"/>
            </w:pPr>
            <w:r>
              <w:rPr>
                <w:sz w:val="24"/>
              </w:rPr>
              <w:t xml:space="preserve">20 - пенсионное страхование</w:t>
            </w:r>
          </w:p>
        </w:tc>
        <w:tc>
          <w:tcPr>
            <w:tcW w:w="2948" w:type="dxa"/>
          </w:tcPr>
          <w:p>
            <w:pPr>
              <w:pStyle w:val="0"/>
            </w:pPr>
            <w:r>
              <w:rPr>
                <w:sz w:val="24"/>
              </w:rPr>
              <w:t xml:space="preserve">mem-int:Uchet_Gruppa_20_Member</w:t>
            </w:r>
          </w:p>
        </w:tc>
      </w:tr>
      <w:tr>
        <w:tc>
          <w:tcPr>
            <w:tcW w:w="907" w:type="dxa"/>
          </w:tcPr>
          <w:p>
            <w:pPr>
              <w:pStyle w:val="0"/>
            </w:pPr>
            <w:r>
              <w:rPr>
                <w:sz w:val="24"/>
              </w:rPr>
              <w:t xml:space="preserve">1.18</w:t>
            </w:r>
          </w:p>
        </w:tc>
        <w:tc>
          <w:tcPr>
            <w:tcW w:w="2608" w:type="dxa"/>
          </w:tcPr>
          <w:p>
            <w:pPr>
              <w:pStyle w:val="0"/>
            </w:pPr>
            <w:r>
              <w:rPr>
                <w:sz w:val="24"/>
              </w:rPr>
            </w:r>
          </w:p>
        </w:tc>
        <w:tc>
          <w:tcPr>
            <w:tcW w:w="2608" w:type="dxa"/>
          </w:tcPr>
          <w:p>
            <w:pPr>
              <w:pStyle w:val="0"/>
            </w:pPr>
            <w:r>
              <w:rPr>
                <w:sz w:val="24"/>
              </w:rPr>
              <w:t xml:space="preserve">21 - прочее страхование жизни</w:t>
            </w:r>
          </w:p>
        </w:tc>
        <w:tc>
          <w:tcPr>
            <w:tcW w:w="2948" w:type="dxa"/>
          </w:tcPr>
          <w:p>
            <w:pPr>
              <w:pStyle w:val="0"/>
            </w:pPr>
            <w:r>
              <w:rPr>
                <w:sz w:val="24"/>
              </w:rPr>
              <w:t xml:space="preserve">mem-int:Uchet_Gruppa_21_Member</w:t>
            </w:r>
          </w:p>
        </w:tc>
      </w:tr>
    </w:tbl>
    <w:p>
      <w:pPr>
        <w:pStyle w:val="0"/>
        <w:ind w:firstLine="540"/>
        <w:jc w:val="both"/>
      </w:pPr>
      <w:r>
        <w:rPr>
          <w:sz w:val="24"/>
        </w:rPr>
      </w:r>
    </w:p>
    <w:p>
      <w:pPr>
        <w:pStyle w:val="0"/>
        <w:outlineLvl w:val="2"/>
        <w:jc w:val="both"/>
      </w:pPr>
      <w:r>
        <w:rPr>
          <w:sz w:val="24"/>
        </w:rPr>
        <w:t xml:space="preserve">Раздел 7. Отчетность по </w:t>
      </w:r>
      <w:hyperlink w:history="0" w:anchor="P35303" w:tooltip="Отчетность по форме 0420160">
        <w:r>
          <w:rPr>
            <w:sz w:val="24"/>
            <w:color w:val="0000ff"/>
          </w:rPr>
          <w:t xml:space="preserve">форме 0420160</w:t>
        </w:r>
      </w:hyperlink>
      <w:r>
        <w:rPr>
          <w:sz w:val="24"/>
        </w:rPr>
        <w:t xml:space="preserve"> "Сведения о привлеченных страховщиком средствах"</w:t>
      </w:r>
    </w:p>
    <w:p>
      <w:pPr>
        <w:pStyle w:val="0"/>
        <w:ind w:firstLine="540"/>
        <w:jc w:val="both"/>
      </w:pPr>
      <w:r>
        <w:rPr>
          <w:sz w:val="24"/>
        </w:rPr>
      </w:r>
    </w:p>
    <w:p>
      <w:pPr>
        <w:pStyle w:val="0"/>
        <w:outlineLvl w:val="3"/>
        <w:jc w:val="both"/>
      </w:pPr>
      <w:r>
        <w:rPr>
          <w:sz w:val="24"/>
        </w:rPr>
        <w:t xml:space="preserve">Подраздел 7.1. </w:t>
      </w:r>
      <w:hyperlink w:history="0" w:anchor="P35318" w:tooltip="Раздел 1.">
        <w:r>
          <w:rPr>
            <w:sz w:val="24"/>
            <w:color w:val="0000ff"/>
          </w:rPr>
          <w:t xml:space="preserve">Раздел 1</w:t>
        </w:r>
      </w:hyperlink>
      <w:r>
        <w:rPr>
          <w:sz w:val="24"/>
        </w:rPr>
        <w:t xml:space="preserve"> "Займы и кредиты (кроме субординированных займов, выданных векселей и выпущенных облигаций)"</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Периодичность погашения основного долга</w:t>
            </w:r>
          </w:p>
        </w:tc>
        <w:tc>
          <w:tcPr>
            <w:tcW w:w="2608" w:type="dxa"/>
          </w:tcPr>
          <w:p>
            <w:pPr>
              <w:pStyle w:val="0"/>
            </w:pPr>
            <w:r>
              <w:rPr>
                <w:sz w:val="24"/>
              </w:rPr>
            </w:r>
          </w:p>
        </w:tc>
        <w:tc>
          <w:tcPr>
            <w:tcW w:w="2948" w:type="dxa"/>
          </w:tcPr>
          <w:p>
            <w:pPr>
              <w:pStyle w:val="0"/>
            </w:pPr>
            <w:r>
              <w:rPr>
                <w:sz w:val="24"/>
              </w:rPr>
              <w:t xml:space="preserve">ins-dic:Period_Pogash_Osn_Dolga_Enumerator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ежемесячно</w:t>
            </w:r>
          </w:p>
        </w:tc>
        <w:tc>
          <w:tcPr>
            <w:tcW w:w="2948" w:type="dxa"/>
          </w:tcPr>
          <w:p>
            <w:pPr>
              <w:pStyle w:val="0"/>
            </w:pPr>
            <w:r>
              <w:rPr>
                <w:sz w:val="24"/>
              </w:rPr>
              <w:t xml:space="preserve">mem-int:P1EzhemesyachnoMember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2 - ежеквартально</w:t>
            </w:r>
          </w:p>
        </w:tc>
        <w:tc>
          <w:tcPr>
            <w:tcW w:w="2948" w:type="dxa"/>
          </w:tcPr>
          <w:p>
            <w:pPr>
              <w:pStyle w:val="0"/>
            </w:pPr>
            <w:r>
              <w:rPr>
                <w:sz w:val="24"/>
              </w:rPr>
              <w:t xml:space="preserve">mem-int:P2EzhekvartalnoMember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3 - в конце срока действия договора</w:t>
            </w:r>
          </w:p>
        </w:tc>
        <w:tc>
          <w:tcPr>
            <w:tcW w:w="2948" w:type="dxa"/>
          </w:tcPr>
          <w:p>
            <w:pPr>
              <w:pStyle w:val="0"/>
            </w:pPr>
            <w:r>
              <w:rPr>
                <w:sz w:val="24"/>
              </w:rPr>
              <w:t xml:space="preserve">mem-int:P3VKonczeSrokaDejstviyaDogovoraMember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4 - более одного раза в месяц</w:t>
            </w:r>
          </w:p>
        </w:tc>
        <w:tc>
          <w:tcPr>
            <w:tcW w:w="2948" w:type="dxa"/>
          </w:tcPr>
          <w:p>
            <w:pPr>
              <w:pStyle w:val="0"/>
            </w:pPr>
            <w:r>
              <w:rPr>
                <w:sz w:val="24"/>
              </w:rPr>
              <w:t xml:space="preserve">mem-int:P4BoleeOdnogoRazaVMesyaczMember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5 - иное</w:t>
            </w:r>
          </w:p>
        </w:tc>
        <w:tc>
          <w:tcPr>
            <w:tcW w:w="2948" w:type="dxa"/>
          </w:tcPr>
          <w:p>
            <w:pPr>
              <w:pStyle w:val="0"/>
            </w:pPr>
            <w:r>
              <w:rPr>
                <w:sz w:val="24"/>
              </w:rPr>
              <w:t xml:space="preserve">mem-int:P5InoeMember</w:t>
            </w:r>
          </w:p>
        </w:tc>
      </w:tr>
      <w:tr>
        <w:tc>
          <w:tcPr>
            <w:tcW w:w="907" w:type="dxa"/>
          </w:tcPr>
          <w:p>
            <w:pPr>
              <w:pStyle w:val="0"/>
            </w:pPr>
            <w:r>
              <w:rPr>
                <w:sz w:val="24"/>
              </w:rPr>
              <w:t xml:space="preserve">2</w:t>
            </w:r>
          </w:p>
        </w:tc>
        <w:tc>
          <w:tcPr>
            <w:tcW w:w="2608" w:type="dxa"/>
          </w:tcPr>
          <w:p>
            <w:pPr>
              <w:pStyle w:val="0"/>
            </w:pPr>
            <w:r>
              <w:rPr>
                <w:sz w:val="24"/>
              </w:rPr>
              <w:t xml:space="preserve">Периодичность уплаты процентов</w:t>
            </w:r>
          </w:p>
        </w:tc>
        <w:tc>
          <w:tcPr>
            <w:tcW w:w="2608" w:type="dxa"/>
          </w:tcPr>
          <w:p>
            <w:pPr>
              <w:pStyle w:val="0"/>
            </w:pPr>
            <w:r>
              <w:rPr>
                <w:sz w:val="24"/>
              </w:rPr>
            </w:r>
          </w:p>
        </w:tc>
        <w:tc>
          <w:tcPr>
            <w:tcW w:w="2948" w:type="dxa"/>
          </w:tcPr>
          <w:p>
            <w:pPr>
              <w:pStyle w:val="0"/>
            </w:pPr>
            <w:r>
              <w:rPr>
                <w:sz w:val="24"/>
              </w:rPr>
              <w:t xml:space="preserve">ins-dic:Period_Upl_Procz_Enumerator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1 - ежемесячно</w:t>
            </w:r>
          </w:p>
        </w:tc>
        <w:tc>
          <w:tcPr>
            <w:tcW w:w="2948" w:type="dxa"/>
          </w:tcPr>
          <w:p>
            <w:pPr>
              <w:pStyle w:val="0"/>
            </w:pPr>
            <w:r>
              <w:rPr>
                <w:sz w:val="24"/>
              </w:rPr>
              <w:t xml:space="preserve">mem-int:P1EzhemesyachnoMember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2 - ежеквартально</w:t>
            </w:r>
          </w:p>
        </w:tc>
        <w:tc>
          <w:tcPr>
            <w:tcW w:w="2948" w:type="dxa"/>
          </w:tcPr>
          <w:p>
            <w:pPr>
              <w:pStyle w:val="0"/>
            </w:pPr>
            <w:r>
              <w:rPr>
                <w:sz w:val="24"/>
              </w:rPr>
              <w:t xml:space="preserve">mem-int:P2EzhekvartalnoMember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3 - в конце срока действия договора</w:t>
            </w:r>
          </w:p>
        </w:tc>
        <w:tc>
          <w:tcPr>
            <w:tcW w:w="2948" w:type="dxa"/>
          </w:tcPr>
          <w:p>
            <w:pPr>
              <w:pStyle w:val="0"/>
            </w:pPr>
            <w:r>
              <w:rPr>
                <w:sz w:val="24"/>
              </w:rPr>
              <w:t xml:space="preserve">mem-int:P3VKonczeSrokaDejstviyaDogovoraMember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4 - более одного раза в месяц</w:t>
            </w:r>
          </w:p>
        </w:tc>
        <w:tc>
          <w:tcPr>
            <w:tcW w:w="2948" w:type="dxa"/>
          </w:tcPr>
          <w:p>
            <w:pPr>
              <w:pStyle w:val="0"/>
            </w:pPr>
            <w:r>
              <w:rPr>
                <w:sz w:val="24"/>
              </w:rPr>
              <w:t xml:space="preserve">mem-int:P4BoleeOdnogoRazaVMesyaczMember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5 - иное</w:t>
            </w:r>
          </w:p>
        </w:tc>
        <w:tc>
          <w:tcPr>
            <w:tcW w:w="2948" w:type="dxa"/>
          </w:tcPr>
          <w:p>
            <w:pPr>
              <w:pStyle w:val="0"/>
            </w:pPr>
            <w:r>
              <w:rPr>
                <w:sz w:val="24"/>
              </w:rPr>
              <w:t xml:space="preserve">mem-int:P5InoeMember</w:t>
            </w:r>
          </w:p>
        </w:tc>
      </w:tr>
    </w:tbl>
    <w:p>
      <w:pPr>
        <w:pStyle w:val="0"/>
        <w:ind w:firstLine="540"/>
        <w:jc w:val="both"/>
      </w:pPr>
      <w:r>
        <w:rPr>
          <w:sz w:val="24"/>
        </w:rPr>
      </w:r>
    </w:p>
    <w:p>
      <w:pPr>
        <w:pStyle w:val="0"/>
        <w:outlineLvl w:val="3"/>
        <w:jc w:val="both"/>
      </w:pPr>
      <w:r>
        <w:rPr>
          <w:sz w:val="24"/>
        </w:rPr>
        <w:t xml:space="preserve">Подраздел 7.2. </w:t>
      </w:r>
      <w:hyperlink w:history="0" w:anchor="P35922" w:tooltip="Раздел 3.">
        <w:r>
          <w:rPr>
            <w:sz w:val="24"/>
            <w:color w:val="0000ff"/>
          </w:rPr>
          <w:t xml:space="preserve">Раздел 3</w:t>
        </w:r>
      </w:hyperlink>
      <w:r>
        <w:rPr>
          <w:sz w:val="24"/>
        </w:rPr>
        <w:t xml:space="preserve"> "Выданные векселя"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Состояние векселя на отчетную дату</w:t>
            </w:r>
          </w:p>
        </w:tc>
        <w:tc>
          <w:tcPr>
            <w:tcW w:w="2608" w:type="dxa"/>
          </w:tcPr>
          <w:p>
            <w:pPr>
              <w:pStyle w:val="0"/>
            </w:pPr>
            <w:r>
              <w:rPr>
                <w:sz w:val="24"/>
              </w:rPr>
            </w:r>
          </w:p>
        </w:tc>
        <w:tc>
          <w:tcPr>
            <w:tcW w:w="2948" w:type="dxa"/>
          </w:tcPr>
          <w:p>
            <w:pPr>
              <w:pStyle w:val="0"/>
            </w:pPr>
            <w:r>
              <w:rPr>
                <w:sz w:val="24"/>
              </w:rPr>
              <w:t xml:space="preserve">ins-dic:Sost_Vekselya_Otch_Data_Enumerator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в обращении</w:t>
            </w:r>
          </w:p>
        </w:tc>
        <w:tc>
          <w:tcPr>
            <w:tcW w:w="2948" w:type="dxa"/>
          </w:tcPr>
          <w:p>
            <w:pPr>
              <w:pStyle w:val="0"/>
            </w:pPr>
            <w:r>
              <w:rPr>
                <w:sz w:val="24"/>
              </w:rPr>
              <w:t xml:space="preserve">mem-int:P1VObrashheniiMember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2 - выкуплен для дальнейшей перепродажи</w:t>
            </w:r>
          </w:p>
        </w:tc>
        <w:tc>
          <w:tcPr>
            <w:tcW w:w="2948" w:type="dxa"/>
          </w:tcPr>
          <w:p>
            <w:pPr>
              <w:pStyle w:val="0"/>
            </w:pPr>
            <w:r>
              <w:rPr>
                <w:sz w:val="24"/>
              </w:rPr>
              <w:t xml:space="preserve">mem-int:P2VykuplenDlyaDalnejshejPereprodazhiMember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3 - принят в залог</w:t>
            </w:r>
          </w:p>
        </w:tc>
        <w:tc>
          <w:tcPr>
            <w:tcW w:w="2948" w:type="dxa"/>
          </w:tcPr>
          <w:p>
            <w:pPr>
              <w:pStyle w:val="0"/>
            </w:pPr>
            <w:r>
              <w:rPr>
                <w:sz w:val="24"/>
              </w:rPr>
              <w:t xml:space="preserve">mem-int:P3PrinyatVZalogMember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4 - принят к погашению</w:t>
            </w:r>
          </w:p>
        </w:tc>
        <w:tc>
          <w:tcPr>
            <w:tcW w:w="2948" w:type="dxa"/>
          </w:tcPr>
          <w:p>
            <w:pPr>
              <w:pStyle w:val="0"/>
            </w:pPr>
            <w:r>
              <w:rPr>
                <w:sz w:val="24"/>
              </w:rPr>
              <w:t xml:space="preserve">mem-int:P4PrinyatKPogasheniyuMember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5 - принят на хранение</w:t>
            </w:r>
          </w:p>
        </w:tc>
        <w:tc>
          <w:tcPr>
            <w:tcW w:w="2948" w:type="dxa"/>
          </w:tcPr>
          <w:p>
            <w:pPr>
              <w:pStyle w:val="0"/>
            </w:pPr>
            <w:r>
              <w:rPr>
                <w:sz w:val="24"/>
              </w:rPr>
              <w:t xml:space="preserve">mem-int:P5PrinyatNaXranenieMember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6 - выбыл из обращения</w:t>
            </w:r>
          </w:p>
        </w:tc>
        <w:tc>
          <w:tcPr>
            <w:tcW w:w="2948" w:type="dxa"/>
          </w:tcPr>
          <w:p>
            <w:pPr>
              <w:pStyle w:val="0"/>
            </w:pPr>
            <w:r>
              <w:rPr>
                <w:sz w:val="24"/>
              </w:rPr>
              <w:t xml:space="preserve">mem-int:P6VybylIzObrashheniyaMember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7 - погашен</w:t>
            </w:r>
          </w:p>
        </w:tc>
        <w:tc>
          <w:tcPr>
            <w:tcW w:w="2948" w:type="dxa"/>
          </w:tcPr>
          <w:p>
            <w:pPr>
              <w:pStyle w:val="0"/>
            </w:pPr>
            <w:r>
              <w:rPr>
                <w:sz w:val="24"/>
              </w:rPr>
              <w:t xml:space="preserve">mem-int:P7PogashenMember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8 - иное</w:t>
            </w:r>
          </w:p>
        </w:tc>
        <w:tc>
          <w:tcPr>
            <w:tcW w:w="2948" w:type="dxa"/>
          </w:tcPr>
          <w:p>
            <w:pPr>
              <w:pStyle w:val="0"/>
            </w:pPr>
            <w:r>
              <w:rPr>
                <w:sz w:val="24"/>
              </w:rPr>
              <w:t xml:space="preserve">mem-int:P8InoeMember</w:t>
            </w:r>
          </w:p>
        </w:tc>
      </w:tr>
      <w:tr>
        <w:tc>
          <w:tcPr>
            <w:tcW w:w="907" w:type="dxa"/>
          </w:tcPr>
          <w:p>
            <w:pPr>
              <w:pStyle w:val="0"/>
            </w:pPr>
            <w:r>
              <w:rPr>
                <w:sz w:val="24"/>
              </w:rPr>
              <w:t xml:space="preserve">2</w:t>
            </w:r>
          </w:p>
        </w:tc>
        <w:tc>
          <w:tcPr>
            <w:tcW w:w="2608" w:type="dxa"/>
          </w:tcPr>
          <w:p>
            <w:pPr>
              <w:pStyle w:val="0"/>
            </w:pPr>
            <w:r>
              <w:rPr>
                <w:sz w:val="24"/>
              </w:rPr>
              <w:t xml:space="preserve">Условия погашения векселя</w:t>
            </w:r>
          </w:p>
        </w:tc>
        <w:tc>
          <w:tcPr>
            <w:tcW w:w="2608" w:type="dxa"/>
          </w:tcPr>
          <w:p>
            <w:pPr>
              <w:pStyle w:val="0"/>
            </w:pPr>
            <w:r>
              <w:rPr>
                <w:sz w:val="24"/>
              </w:rPr>
            </w:r>
          </w:p>
        </w:tc>
        <w:tc>
          <w:tcPr>
            <w:tcW w:w="2948" w:type="dxa"/>
          </w:tcPr>
          <w:p>
            <w:pPr>
              <w:pStyle w:val="0"/>
            </w:pPr>
            <w:r>
              <w:rPr>
                <w:sz w:val="24"/>
              </w:rPr>
              <w:t xml:space="preserve">ins-dic:Usl_Pogash_Vekselya_Enumerator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По предъявлении</w:t>
            </w:r>
          </w:p>
        </w:tc>
        <w:tc>
          <w:tcPr>
            <w:tcW w:w="2948" w:type="dxa"/>
          </w:tcPr>
          <w:p>
            <w:pPr>
              <w:pStyle w:val="0"/>
            </w:pPr>
            <w:r>
              <w:rPr>
                <w:sz w:val="24"/>
              </w:rPr>
              <w:t xml:space="preserve">mem-int:Po_Predyavlenii_Member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По предъявлении, но не ранее определенной даты</w:t>
            </w:r>
          </w:p>
        </w:tc>
        <w:tc>
          <w:tcPr>
            <w:tcW w:w="2948" w:type="dxa"/>
          </w:tcPr>
          <w:p>
            <w:pPr>
              <w:pStyle w:val="0"/>
            </w:pPr>
            <w:r>
              <w:rPr>
                <w:sz w:val="24"/>
              </w:rPr>
              <w:t xml:space="preserve">mem-int:Po_Predyavlenii_Ne_Ranee_Member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По предъявлении, но не позднее определенной даты</w:t>
            </w:r>
          </w:p>
        </w:tc>
        <w:tc>
          <w:tcPr>
            <w:tcW w:w="2948" w:type="dxa"/>
          </w:tcPr>
          <w:p>
            <w:pPr>
              <w:pStyle w:val="0"/>
            </w:pPr>
            <w:r>
              <w:rPr>
                <w:sz w:val="24"/>
              </w:rPr>
              <w:t xml:space="preserve">mem-int:Po_Predyavlenii_Ne_Pozd_Member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По предъявлении, но не ранее определенной даты и не позднее определенной даты</w:t>
            </w:r>
          </w:p>
        </w:tc>
        <w:tc>
          <w:tcPr>
            <w:tcW w:w="2948" w:type="dxa"/>
          </w:tcPr>
          <w:p>
            <w:pPr>
              <w:pStyle w:val="0"/>
            </w:pPr>
            <w:r>
              <w:rPr>
                <w:sz w:val="24"/>
              </w:rPr>
              <w:t xml:space="preserve">mem-int:Po_Predyavlenii_Ne_Ranee_Ne_Pozd_Member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Через определенное количество дней с даты составления</w:t>
            </w:r>
          </w:p>
        </w:tc>
        <w:tc>
          <w:tcPr>
            <w:tcW w:w="2948" w:type="dxa"/>
          </w:tcPr>
          <w:p>
            <w:pPr>
              <w:pStyle w:val="0"/>
            </w:pPr>
            <w:r>
              <w:rPr>
                <w:sz w:val="24"/>
              </w:rPr>
              <w:t xml:space="preserve">mem-int:Opr_Kolich_Dnej_Member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На определенную дату</w:t>
            </w:r>
          </w:p>
        </w:tc>
        <w:tc>
          <w:tcPr>
            <w:tcW w:w="2948" w:type="dxa"/>
          </w:tcPr>
          <w:p>
            <w:pPr>
              <w:pStyle w:val="0"/>
            </w:pPr>
            <w:r>
              <w:rPr>
                <w:sz w:val="24"/>
              </w:rPr>
              <w:t xml:space="preserve">mem-int:Opr_Data_Member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Иное</w:t>
            </w:r>
          </w:p>
        </w:tc>
        <w:tc>
          <w:tcPr>
            <w:tcW w:w="2948" w:type="dxa"/>
          </w:tcPr>
          <w:p>
            <w:pPr>
              <w:pStyle w:val="0"/>
            </w:pPr>
            <w:r>
              <w:rPr>
                <w:sz w:val="24"/>
              </w:rPr>
              <w:t xml:space="preserve">mem-int:Inoe_Member</w:t>
            </w:r>
          </w:p>
        </w:tc>
      </w:tr>
    </w:tbl>
    <w:p>
      <w:pPr>
        <w:pStyle w:val="0"/>
        <w:ind w:firstLine="540"/>
        <w:jc w:val="both"/>
      </w:pPr>
      <w:r>
        <w:rPr>
          <w:sz w:val="24"/>
        </w:rPr>
      </w:r>
    </w:p>
    <w:p>
      <w:pPr>
        <w:pStyle w:val="0"/>
        <w:outlineLvl w:val="2"/>
        <w:jc w:val="both"/>
      </w:pPr>
      <w:r>
        <w:rPr>
          <w:sz w:val="24"/>
        </w:rPr>
        <w:t xml:space="preserve">Раздел 8. Отчетность по </w:t>
      </w:r>
      <w:hyperlink w:history="0" w:anchor="P37546" w:tooltip="Отчетность по форме 0420166">
        <w:r>
          <w:rPr>
            <w:sz w:val="24"/>
            <w:color w:val="0000ff"/>
          </w:rPr>
          <w:t xml:space="preserve">форме 0420166</w:t>
        </w:r>
      </w:hyperlink>
      <w:r>
        <w:rPr>
          <w:sz w:val="24"/>
        </w:rPr>
        <w:t xml:space="preserve"> "Сведения об утверждении уполномоченным органом страховщика повестки дня, содержащей вопрос о назначении аудиторской организации"</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отчетности, подлежащей аудиторской проверке</w:t>
            </w:r>
          </w:p>
        </w:tc>
        <w:tc>
          <w:tcPr>
            <w:tcW w:w="2608" w:type="dxa"/>
          </w:tcPr>
          <w:p>
            <w:pPr>
              <w:pStyle w:val="0"/>
            </w:pPr>
            <w:r>
              <w:rPr>
                <w:sz w:val="24"/>
              </w:rPr>
            </w:r>
          </w:p>
        </w:tc>
        <w:tc>
          <w:tcPr>
            <w:tcW w:w="2948" w:type="dxa"/>
          </w:tcPr>
          <w:p>
            <w:pPr>
              <w:pStyle w:val="0"/>
            </w:pPr>
            <w:r>
              <w:rPr>
                <w:sz w:val="24"/>
              </w:rPr>
              <w:t xml:space="preserve">nfo-dic:Vidotchetnosti_audit_proverke_Enumerator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Годовая бухгалтерская (финансовая) отчетность</w:t>
            </w:r>
          </w:p>
        </w:tc>
        <w:tc>
          <w:tcPr>
            <w:tcW w:w="2948" w:type="dxa"/>
          </w:tcPr>
          <w:p>
            <w:pPr>
              <w:pStyle w:val="0"/>
            </w:pPr>
            <w:r>
              <w:rPr>
                <w:sz w:val="24"/>
              </w:rPr>
              <w:t xml:space="preserve">mem-int:GodovayaBuxgalterskayaFinansovayaOtchetnostMember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Промежуточная бухгалтерская (финансовая) отчетность</w:t>
            </w:r>
          </w:p>
        </w:tc>
        <w:tc>
          <w:tcPr>
            <w:tcW w:w="2948" w:type="dxa"/>
          </w:tcPr>
          <w:p>
            <w:pPr>
              <w:pStyle w:val="0"/>
            </w:pPr>
            <w:r>
              <w:rPr>
                <w:sz w:val="24"/>
              </w:rPr>
              <w:t xml:space="preserve">mem-int:PromezhutochnayaBuxgalterskayaFinansovayaOtchetnostMember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Годовая консолидированная финансовая отчетность</w:t>
            </w:r>
          </w:p>
        </w:tc>
        <w:tc>
          <w:tcPr>
            <w:tcW w:w="2948" w:type="dxa"/>
          </w:tcPr>
          <w:p>
            <w:pPr>
              <w:pStyle w:val="0"/>
            </w:pPr>
            <w:r>
              <w:rPr>
                <w:sz w:val="24"/>
              </w:rPr>
              <w:t xml:space="preserve">mem-int:GodovayaKonsolidirovannayaFinansovayaOtchetnostMember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Промежуточная консолидированная финансовая отчетность</w:t>
            </w:r>
          </w:p>
        </w:tc>
        <w:tc>
          <w:tcPr>
            <w:tcW w:w="2948" w:type="dxa"/>
          </w:tcPr>
          <w:p>
            <w:pPr>
              <w:pStyle w:val="0"/>
            </w:pPr>
            <w:r>
              <w:rPr>
                <w:sz w:val="24"/>
              </w:rPr>
              <w:t xml:space="preserve">mem-int:PromezhutKonsolFinOtchetnostMember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Годовая финансовая отчетность</w:t>
            </w:r>
          </w:p>
        </w:tc>
        <w:tc>
          <w:tcPr>
            <w:tcW w:w="2948" w:type="dxa"/>
          </w:tcPr>
          <w:p>
            <w:pPr>
              <w:pStyle w:val="0"/>
            </w:pPr>
            <w:r>
              <w:rPr>
                <w:sz w:val="24"/>
              </w:rPr>
              <w:t xml:space="preserve">mem-int:GodFinOtchetMember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Промежуточная финансовая отчетность</w:t>
            </w:r>
          </w:p>
        </w:tc>
        <w:tc>
          <w:tcPr>
            <w:tcW w:w="2948" w:type="dxa"/>
          </w:tcPr>
          <w:p>
            <w:pPr>
              <w:pStyle w:val="0"/>
            </w:pPr>
            <w:r>
              <w:rPr>
                <w:sz w:val="24"/>
              </w:rPr>
              <w:t xml:space="preserve">mem-int:PromFinOtchetMember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Проведение аудиторской организацией проверок, предусмотренных правилами доверительного управления паевым инвестиционным фондом</w:t>
            </w:r>
          </w:p>
        </w:tc>
        <w:tc>
          <w:tcPr>
            <w:tcW w:w="2948" w:type="dxa"/>
          </w:tcPr>
          <w:p>
            <w:pPr>
              <w:pStyle w:val="0"/>
            </w:pPr>
            <w:r>
              <w:rPr>
                <w:sz w:val="24"/>
              </w:rPr>
              <w:t xml:space="preserve">mem-int:AuditUchetaISostavlOtchetnImuschPIFMember</w:t>
            </w:r>
          </w:p>
        </w:tc>
      </w:tr>
    </w:tbl>
    <w:p>
      <w:pPr>
        <w:pStyle w:val="0"/>
        <w:ind w:firstLine="540"/>
        <w:jc w:val="both"/>
      </w:pPr>
      <w:r>
        <w:rPr>
          <w:sz w:val="24"/>
        </w:rPr>
      </w:r>
    </w:p>
    <w:p>
      <w:pPr>
        <w:pStyle w:val="0"/>
        <w:outlineLvl w:val="2"/>
        <w:jc w:val="both"/>
      </w:pPr>
      <w:r>
        <w:rPr>
          <w:sz w:val="24"/>
        </w:rPr>
        <w:t xml:space="preserve">Раздел 9. Отчетность по </w:t>
      </w:r>
      <w:hyperlink w:history="0" w:anchor="P37712" w:tooltip="Отчетность по форме 0420167">
        <w:r>
          <w:rPr>
            <w:sz w:val="24"/>
            <w:color w:val="0000ff"/>
          </w:rPr>
          <w:t xml:space="preserve">форме 0420167</w:t>
        </w:r>
      </w:hyperlink>
      <w:r>
        <w:rPr>
          <w:sz w:val="24"/>
        </w:rPr>
        <w:t xml:space="preserve"> "Сведения об аудиторской проверке отчетности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отчетности, подлежащей аудиторской проверке</w:t>
            </w:r>
          </w:p>
        </w:tc>
        <w:tc>
          <w:tcPr>
            <w:tcW w:w="2608" w:type="dxa"/>
          </w:tcPr>
          <w:p>
            <w:pPr>
              <w:pStyle w:val="0"/>
            </w:pPr>
            <w:r>
              <w:rPr>
                <w:sz w:val="24"/>
              </w:rPr>
            </w:r>
          </w:p>
        </w:tc>
        <w:tc>
          <w:tcPr>
            <w:tcW w:w="2948" w:type="dxa"/>
          </w:tcPr>
          <w:p>
            <w:pPr>
              <w:pStyle w:val="0"/>
            </w:pPr>
            <w:r>
              <w:rPr>
                <w:sz w:val="24"/>
              </w:rPr>
              <w:t xml:space="preserve">nfo-dic:Vidotchetnosti_audit_proverke_Enumerator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Годовая бухгалтерская (финансовая) отчетность</w:t>
            </w:r>
          </w:p>
        </w:tc>
        <w:tc>
          <w:tcPr>
            <w:tcW w:w="2948" w:type="dxa"/>
          </w:tcPr>
          <w:p>
            <w:pPr>
              <w:pStyle w:val="0"/>
            </w:pPr>
            <w:r>
              <w:rPr>
                <w:sz w:val="24"/>
              </w:rPr>
              <w:t xml:space="preserve">mem-int:GodovayaBuxgalterskayaFinansovayaOtchetnostMember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Промежуточная бухгалтерская (финансовая) отчетность</w:t>
            </w:r>
          </w:p>
        </w:tc>
        <w:tc>
          <w:tcPr>
            <w:tcW w:w="2948" w:type="dxa"/>
          </w:tcPr>
          <w:p>
            <w:pPr>
              <w:pStyle w:val="0"/>
            </w:pPr>
            <w:r>
              <w:rPr>
                <w:sz w:val="24"/>
              </w:rPr>
              <w:t xml:space="preserve">mem-int:PromezhutochnayaBuxgalterskayaFinansovayaOtchetnostMember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Годовая консолидированная финансовая отчетность</w:t>
            </w:r>
          </w:p>
        </w:tc>
        <w:tc>
          <w:tcPr>
            <w:tcW w:w="2948" w:type="dxa"/>
          </w:tcPr>
          <w:p>
            <w:pPr>
              <w:pStyle w:val="0"/>
            </w:pPr>
            <w:r>
              <w:rPr>
                <w:sz w:val="24"/>
              </w:rPr>
              <w:t xml:space="preserve">mem-int:GodovayaKonsolidirovannayaFinansovayaOtchetnostMember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Промежуточная консолидированная финансовая отчетность</w:t>
            </w:r>
          </w:p>
        </w:tc>
        <w:tc>
          <w:tcPr>
            <w:tcW w:w="2948" w:type="dxa"/>
          </w:tcPr>
          <w:p>
            <w:pPr>
              <w:pStyle w:val="0"/>
            </w:pPr>
            <w:r>
              <w:rPr>
                <w:sz w:val="24"/>
              </w:rPr>
              <w:t xml:space="preserve">mem-int:PromezhutKonsolFinOtchetnostMember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Годовая финансовая отчетность</w:t>
            </w:r>
          </w:p>
        </w:tc>
        <w:tc>
          <w:tcPr>
            <w:tcW w:w="2948" w:type="dxa"/>
          </w:tcPr>
          <w:p>
            <w:pPr>
              <w:pStyle w:val="0"/>
            </w:pPr>
            <w:r>
              <w:rPr>
                <w:sz w:val="24"/>
              </w:rPr>
              <w:t xml:space="preserve">mem-int:GodFinOtchetMember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Промежуточная финансовая отчетность</w:t>
            </w:r>
          </w:p>
        </w:tc>
        <w:tc>
          <w:tcPr>
            <w:tcW w:w="2948" w:type="dxa"/>
          </w:tcPr>
          <w:p>
            <w:pPr>
              <w:pStyle w:val="0"/>
            </w:pPr>
            <w:r>
              <w:rPr>
                <w:sz w:val="24"/>
              </w:rPr>
              <w:t xml:space="preserve">mem-int:PromFinOtchetMember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Проведение аудиторской организацией проверок, предусмотренных правилами доверительного управления паевым инвестиционным фондом</w:t>
            </w:r>
          </w:p>
        </w:tc>
        <w:tc>
          <w:tcPr>
            <w:tcW w:w="2948" w:type="dxa"/>
          </w:tcPr>
          <w:p>
            <w:pPr>
              <w:pStyle w:val="0"/>
            </w:pPr>
            <w:r>
              <w:rPr>
                <w:sz w:val="24"/>
              </w:rPr>
              <w:t xml:space="preserve">mem-int:AuditUchetaISostavlOtchetnImuschPIFMember</w:t>
            </w:r>
          </w:p>
        </w:tc>
      </w:tr>
      <w:tr>
        <w:tc>
          <w:tcPr>
            <w:tcW w:w="907" w:type="dxa"/>
          </w:tcPr>
          <w:p>
            <w:pPr>
              <w:pStyle w:val="0"/>
            </w:pPr>
            <w:r>
              <w:rPr>
                <w:sz w:val="24"/>
              </w:rPr>
              <w:t xml:space="preserve">2</w:t>
            </w:r>
          </w:p>
        </w:tc>
        <w:tc>
          <w:tcPr>
            <w:tcW w:w="2608" w:type="dxa"/>
          </w:tcPr>
          <w:p>
            <w:pPr>
              <w:pStyle w:val="0"/>
            </w:pPr>
            <w:r>
              <w:rPr>
                <w:sz w:val="24"/>
              </w:rPr>
              <w:t xml:space="preserve">Мнение, выраженное в аудиторском заключении</w:t>
            </w:r>
          </w:p>
        </w:tc>
        <w:tc>
          <w:tcPr>
            <w:tcW w:w="2608" w:type="dxa"/>
          </w:tcPr>
          <w:p>
            <w:pPr>
              <w:pStyle w:val="0"/>
            </w:pPr>
            <w:r>
              <w:rPr>
                <w:sz w:val="24"/>
              </w:rPr>
            </w:r>
          </w:p>
        </w:tc>
        <w:tc>
          <w:tcPr>
            <w:tcW w:w="2948" w:type="dxa"/>
          </w:tcPr>
          <w:p>
            <w:pPr>
              <w:pStyle w:val="0"/>
            </w:pPr>
            <w:r>
              <w:rPr>
                <w:sz w:val="24"/>
              </w:rPr>
              <w:t xml:space="preserve">nfo-dic:Mnenie_AudZaklEnumerator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Немодифицированное мнение</w:t>
            </w:r>
          </w:p>
        </w:tc>
        <w:tc>
          <w:tcPr>
            <w:tcW w:w="2948" w:type="dxa"/>
          </w:tcPr>
          <w:p>
            <w:pPr>
              <w:pStyle w:val="0"/>
            </w:pPr>
            <w:r>
              <w:rPr>
                <w:sz w:val="24"/>
              </w:rPr>
              <w:t xml:space="preserve">mem-int:Nemod_MnenieMember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Мнение с оговоркой</w:t>
            </w:r>
          </w:p>
        </w:tc>
        <w:tc>
          <w:tcPr>
            <w:tcW w:w="2948" w:type="dxa"/>
          </w:tcPr>
          <w:p>
            <w:pPr>
              <w:pStyle w:val="0"/>
            </w:pPr>
            <w:r>
              <w:rPr>
                <w:sz w:val="24"/>
              </w:rPr>
              <w:t xml:space="preserve">mem-int:Mnenie_S_OgovorkojMember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Отрицательное мнение</w:t>
            </w:r>
          </w:p>
        </w:tc>
        <w:tc>
          <w:tcPr>
            <w:tcW w:w="2948" w:type="dxa"/>
          </w:tcPr>
          <w:p>
            <w:pPr>
              <w:pStyle w:val="0"/>
            </w:pPr>
            <w:r>
              <w:rPr>
                <w:sz w:val="24"/>
              </w:rPr>
              <w:t xml:space="preserve">mem-int:Otricz_MnenieMember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Отказ от выражения мнения</w:t>
            </w:r>
          </w:p>
        </w:tc>
        <w:tc>
          <w:tcPr>
            <w:tcW w:w="2948" w:type="dxa"/>
          </w:tcPr>
          <w:p>
            <w:pPr>
              <w:pStyle w:val="0"/>
            </w:pPr>
            <w:r>
              <w:rPr>
                <w:sz w:val="24"/>
              </w:rPr>
              <w:t xml:space="preserve">mem-int:Otkaz_Ot_MneniyaMember</w:t>
            </w:r>
          </w:p>
        </w:tc>
      </w:tr>
      <w:tr>
        <w:tc>
          <w:tcPr>
            <w:tcW w:w="907" w:type="dxa"/>
          </w:tcPr>
          <w:p>
            <w:pPr>
              <w:pStyle w:val="0"/>
            </w:pPr>
            <w:r>
              <w:rPr>
                <w:sz w:val="24"/>
              </w:rPr>
              <w:t xml:space="preserve">3</w:t>
            </w:r>
          </w:p>
        </w:tc>
        <w:tc>
          <w:tcPr>
            <w:tcW w:w="2608" w:type="dxa"/>
          </w:tcPr>
          <w:p>
            <w:pPr>
              <w:pStyle w:val="0"/>
            </w:pPr>
            <w:r>
              <w:rPr>
                <w:sz w:val="24"/>
              </w:rPr>
              <w:t xml:space="preserve">Отчетный период, за который составлена отчетность, в отношении которой аудиторской организацией составлено аудиторское заключение</w:t>
            </w:r>
          </w:p>
        </w:tc>
        <w:tc>
          <w:tcPr>
            <w:tcW w:w="2608" w:type="dxa"/>
          </w:tcPr>
          <w:p>
            <w:pPr>
              <w:pStyle w:val="0"/>
            </w:pPr>
            <w:r>
              <w:rPr>
                <w:sz w:val="24"/>
              </w:rPr>
            </w:r>
          </w:p>
        </w:tc>
        <w:tc>
          <w:tcPr>
            <w:tcW w:w="2948" w:type="dxa"/>
          </w:tcPr>
          <w:p>
            <w:pPr>
              <w:pStyle w:val="0"/>
            </w:pPr>
            <w:r>
              <w:rPr>
                <w:sz w:val="24"/>
              </w:rPr>
              <w:t xml:space="preserve">nfo-dic:OtchetnyjPeriodVOtnKotAudVyskazalMnenieEnumerator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Первый квартал</w:t>
            </w:r>
          </w:p>
        </w:tc>
        <w:tc>
          <w:tcPr>
            <w:tcW w:w="2948" w:type="dxa"/>
          </w:tcPr>
          <w:p>
            <w:pPr>
              <w:pStyle w:val="0"/>
            </w:pPr>
            <w:r>
              <w:rPr>
                <w:sz w:val="24"/>
              </w:rPr>
              <w:t xml:space="preserve">mem-int:P1KvartalMember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Первое полугодие</w:t>
            </w:r>
          </w:p>
        </w:tc>
        <w:tc>
          <w:tcPr>
            <w:tcW w:w="2948" w:type="dxa"/>
          </w:tcPr>
          <w:p>
            <w:pPr>
              <w:pStyle w:val="0"/>
            </w:pPr>
            <w:r>
              <w:rPr>
                <w:sz w:val="24"/>
              </w:rPr>
              <w:t xml:space="preserve">mem-int:Pervoe_PolugodieMember</w:t>
            </w:r>
          </w:p>
        </w:tc>
      </w:tr>
      <w:tr>
        <w:tc>
          <w:tcPr>
            <w:tcW w:w="907" w:type="dxa"/>
          </w:tcPr>
          <w:p>
            <w:pPr>
              <w:pStyle w:val="0"/>
            </w:pPr>
            <w:r>
              <w:rPr>
                <w:sz w:val="24"/>
              </w:rPr>
              <w:t xml:space="preserve">3.3</w:t>
            </w:r>
          </w:p>
        </w:tc>
        <w:tc>
          <w:tcPr>
            <w:tcW w:w="2608" w:type="dxa"/>
          </w:tcPr>
          <w:p>
            <w:pPr>
              <w:pStyle w:val="0"/>
            </w:pPr>
            <w:r>
              <w:rPr>
                <w:sz w:val="24"/>
              </w:rPr>
            </w:r>
          </w:p>
        </w:tc>
        <w:tc>
          <w:tcPr>
            <w:tcW w:w="2608" w:type="dxa"/>
          </w:tcPr>
          <w:p>
            <w:pPr>
              <w:pStyle w:val="0"/>
            </w:pPr>
            <w:r>
              <w:rPr>
                <w:sz w:val="24"/>
              </w:rPr>
              <w:t xml:space="preserve">Девять месяцев</w:t>
            </w:r>
          </w:p>
        </w:tc>
        <w:tc>
          <w:tcPr>
            <w:tcW w:w="2948" w:type="dxa"/>
          </w:tcPr>
          <w:p>
            <w:pPr>
              <w:pStyle w:val="0"/>
            </w:pPr>
            <w:r>
              <w:rPr>
                <w:sz w:val="24"/>
              </w:rPr>
              <w:t xml:space="preserve">mem-int:P9MesyaczevMember</w:t>
            </w:r>
          </w:p>
        </w:tc>
      </w:tr>
      <w:tr>
        <w:tc>
          <w:tcPr>
            <w:tcW w:w="907" w:type="dxa"/>
          </w:tcPr>
          <w:p>
            <w:pPr>
              <w:pStyle w:val="0"/>
            </w:pPr>
            <w:r>
              <w:rPr>
                <w:sz w:val="24"/>
              </w:rPr>
              <w:t xml:space="preserve">3.4</w:t>
            </w:r>
          </w:p>
        </w:tc>
        <w:tc>
          <w:tcPr>
            <w:tcW w:w="2608" w:type="dxa"/>
          </w:tcPr>
          <w:p>
            <w:pPr>
              <w:pStyle w:val="0"/>
            </w:pPr>
            <w:r>
              <w:rPr>
                <w:sz w:val="24"/>
              </w:rPr>
            </w:r>
          </w:p>
        </w:tc>
        <w:tc>
          <w:tcPr>
            <w:tcW w:w="2608" w:type="dxa"/>
          </w:tcPr>
          <w:p>
            <w:pPr>
              <w:pStyle w:val="0"/>
            </w:pPr>
            <w:r>
              <w:rPr>
                <w:sz w:val="24"/>
              </w:rPr>
              <w:t xml:space="preserve">Год</w:t>
            </w:r>
          </w:p>
        </w:tc>
        <w:tc>
          <w:tcPr>
            <w:tcW w:w="2948" w:type="dxa"/>
          </w:tcPr>
          <w:p>
            <w:pPr>
              <w:pStyle w:val="0"/>
            </w:pPr>
            <w:r>
              <w:rPr>
                <w:sz w:val="24"/>
              </w:rPr>
              <w:t xml:space="preserve">mem-int:P1GodMember</w:t>
            </w:r>
          </w:p>
        </w:tc>
      </w:tr>
      <w:tr>
        <w:tc>
          <w:tcPr>
            <w:tcW w:w="907" w:type="dxa"/>
          </w:tcPr>
          <w:p>
            <w:pPr>
              <w:pStyle w:val="0"/>
            </w:pPr>
            <w:r>
              <w:rPr>
                <w:sz w:val="24"/>
              </w:rPr>
              <w:t xml:space="preserve">3.5</w:t>
            </w:r>
          </w:p>
        </w:tc>
        <w:tc>
          <w:tcPr>
            <w:tcW w:w="2608" w:type="dxa"/>
          </w:tcPr>
          <w:p>
            <w:pPr>
              <w:pStyle w:val="0"/>
            </w:pPr>
            <w:r>
              <w:rPr>
                <w:sz w:val="24"/>
              </w:rPr>
            </w:r>
          </w:p>
        </w:tc>
        <w:tc>
          <w:tcPr>
            <w:tcW w:w="2608" w:type="dxa"/>
          </w:tcPr>
          <w:p>
            <w:pPr>
              <w:pStyle w:val="0"/>
            </w:pPr>
            <w:r>
              <w:rPr>
                <w:sz w:val="24"/>
              </w:rPr>
              <w:t xml:space="preserve">Иной период</w:t>
            </w:r>
          </w:p>
        </w:tc>
        <w:tc>
          <w:tcPr>
            <w:tcW w:w="2948" w:type="dxa"/>
          </w:tcPr>
          <w:p>
            <w:pPr>
              <w:pStyle w:val="0"/>
            </w:pPr>
            <w:r>
              <w:rPr>
                <w:sz w:val="24"/>
              </w:rPr>
              <w:t xml:space="preserve">mem-int:InojPeriodMember</w:t>
            </w:r>
          </w:p>
        </w:tc>
      </w:tr>
    </w:tbl>
    <w:p>
      <w:pPr>
        <w:pStyle w:val="0"/>
        <w:ind w:firstLine="540"/>
        <w:jc w:val="both"/>
      </w:pPr>
      <w:r>
        <w:rPr>
          <w:sz w:val="24"/>
        </w:rPr>
      </w:r>
    </w:p>
    <w:p>
      <w:pPr>
        <w:pStyle w:val="0"/>
        <w:outlineLvl w:val="2"/>
        <w:jc w:val="both"/>
      </w:pPr>
      <w:r>
        <w:rPr>
          <w:sz w:val="24"/>
        </w:rPr>
        <w:t xml:space="preserve">Раздел 10. Отчетность по </w:t>
      </w:r>
      <w:hyperlink w:history="0" w:anchor="P38506" w:tooltip="Отчетность по форме 0420168">
        <w:r>
          <w:rPr>
            <w:sz w:val="24"/>
            <w:color w:val="0000ff"/>
          </w:rPr>
          <w:t xml:space="preserve">форме 0420168</w:t>
        </w:r>
      </w:hyperlink>
      <w:r>
        <w:rPr>
          <w:sz w:val="24"/>
        </w:rPr>
        <w:t xml:space="preserve"> "Сведения об ответственном актуарии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Вид договора о проведении обязательного актуарного оценивания деятельности страховщика</w:t>
            </w:r>
          </w:p>
        </w:tc>
        <w:tc>
          <w:tcPr>
            <w:tcW w:w="2608" w:type="dxa"/>
          </w:tcPr>
          <w:p>
            <w:pPr>
              <w:pStyle w:val="0"/>
            </w:pPr>
            <w:r>
              <w:rPr>
                <w:sz w:val="24"/>
              </w:rPr>
            </w:r>
          </w:p>
        </w:tc>
        <w:tc>
          <w:tcPr>
            <w:tcW w:w="2948" w:type="dxa"/>
          </w:tcPr>
          <w:p>
            <w:pPr>
              <w:pStyle w:val="0"/>
            </w:pPr>
            <w:r>
              <w:rPr>
                <w:sz w:val="24"/>
              </w:rPr>
              <w:t xml:space="preserve">ins-dic:VidDogNaProvedenieObyazAktuarnOczenDeyatStraxovshhikaEnumerator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Гражданско-правовой договор</w:t>
            </w:r>
          </w:p>
        </w:tc>
        <w:tc>
          <w:tcPr>
            <w:tcW w:w="2948" w:type="dxa"/>
          </w:tcPr>
          <w:p>
            <w:pPr>
              <w:pStyle w:val="0"/>
            </w:pPr>
            <w:r>
              <w:rPr>
                <w:sz w:val="24"/>
              </w:rPr>
              <w:t xml:space="preserve">mem-int:GrazhdanskoPravovojDogovorMember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Трудовой договор</w:t>
            </w:r>
          </w:p>
        </w:tc>
        <w:tc>
          <w:tcPr>
            <w:tcW w:w="2948" w:type="dxa"/>
          </w:tcPr>
          <w:p>
            <w:pPr>
              <w:pStyle w:val="0"/>
            </w:pPr>
            <w:r>
              <w:rPr>
                <w:sz w:val="24"/>
              </w:rPr>
              <w:t xml:space="preserve">mem-int:TrudovojDogovorMember</w:t>
            </w:r>
          </w:p>
        </w:tc>
      </w:tr>
    </w:tbl>
    <w:p>
      <w:pPr>
        <w:pStyle w:val="0"/>
        <w:ind w:firstLine="540"/>
        <w:jc w:val="both"/>
      </w:pPr>
      <w:r>
        <w:rPr>
          <w:sz w:val="24"/>
        </w:rPr>
      </w:r>
    </w:p>
    <w:p>
      <w:pPr>
        <w:pStyle w:val="0"/>
        <w:outlineLvl w:val="2"/>
        <w:jc w:val="both"/>
      </w:pPr>
      <w:r>
        <w:rPr>
          <w:sz w:val="24"/>
        </w:rPr>
        <w:t xml:space="preserve">Раздел 11. Отчетность по </w:t>
      </w:r>
      <w:hyperlink w:history="0" w:anchor="P38735" w:tooltip="Отчетность по форме 0420171">
        <w:r>
          <w:rPr>
            <w:sz w:val="24"/>
            <w:color w:val="0000ff"/>
          </w:rPr>
          <w:t xml:space="preserve">форме 0420171</w:t>
        </w:r>
      </w:hyperlink>
      <w:r>
        <w:rPr>
          <w:sz w:val="24"/>
        </w:rPr>
        <w:t xml:space="preserve"> "Информация о лицах, которым страховщиком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Код поручения</w:t>
            </w:r>
          </w:p>
        </w:tc>
        <w:tc>
          <w:tcPr>
            <w:tcW w:w="2608" w:type="dxa"/>
          </w:tcPr>
          <w:p>
            <w:pPr>
              <w:pStyle w:val="0"/>
            </w:pPr>
            <w:r>
              <w:rPr>
                <w:sz w:val="24"/>
              </w:rPr>
            </w:r>
          </w:p>
        </w:tc>
        <w:tc>
          <w:tcPr>
            <w:tcW w:w="2948" w:type="dxa"/>
          </w:tcPr>
          <w:p>
            <w:pPr>
              <w:pStyle w:val="0"/>
            </w:pPr>
            <w:r>
              <w:rPr>
                <w:sz w:val="24"/>
              </w:rPr>
              <w:t xml:space="preserve">nfo-dic:TipDogNaIdentifUproshhIdentifObnovlInformEnumerator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1 - поручено проведение идентификации или упрощенной идентификации</w:t>
            </w:r>
          </w:p>
        </w:tc>
        <w:tc>
          <w:tcPr>
            <w:tcW w:w="2948" w:type="dxa"/>
          </w:tcPr>
          <w:p>
            <w:pPr>
              <w:pStyle w:val="0"/>
            </w:pPr>
            <w:r>
              <w:rPr>
                <w:sz w:val="24"/>
              </w:rPr>
              <w:t xml:space="preserve">mem-int:DogNaProvedIdentifUproshhIdentifMember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2 - поручено обновление информации</w:t>
            </w:r>
          </w:p>
        </w:tc>
        <w:tc>
          <w:tcPr>
            <w:tcW w:w="2948" w:type="dxa"/>
          </w:tcPr>
          <w:p>
            <w:pPr>
              <w:pStyle w:val="0"/>
            </w:pPr>
            <w:r>
              <w:rPr>
                <w:sz w:val="24"/>
              </w:rPr>
              <w:t xml:space="preserve">mem-int:DogNaObnovlenieInformacziiMember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3 - одновременно поручено проведение идентификации или упрощенной идентификации, обновление информации</w:t>
            </w:r>
          </w:p>
        </w:tc>
        <w:tc>
          <w:tcPr>
            <w:tcW w:w="2948" w:type="dxa"/>
          </w:tcPr>
          <w:p>
            <w:pPr>
              <w:pStyle w:val="0"/>
            </w:pPr>
            <w:r>
              <w:rPr>
                <w:sz w:val="24"/>
              </w:rPr>
              <w:t xml:space="preserve">mem-int:DogNaProvedIdentifUproshhIdentifIObnovlenInformMember</w:t>
            </w:r>
          </w:p>
        </w:tc>
      </w:tr>
    </w:tbl>
    <w:p>
      <w:pPr>
        <w:pStyle w:val="0"/>
        <w:ind w:firstLine="540"/>
        <w:jc w:val="both"/>
      </w:pPr>
      <w:r>
        <w:rPr>
          <w:sz w:val="24"/>
        </w:rPr>
      </w:r>
    </w:p>
    <w:p>
      <w:pPr>
        <w:pStyle w:val="0"/>
        <w:outlineLvl w:val="2"/>
        <w:jc w:val="both"/>
      </w:pPr>
      <w:r>
        <w:rPr>
          <w:sz w:val="24"/>
        </w:rPr>
        <w:t xml:space="preserve">Раздел 12. Отчетность по </w:t>
      </w:r>
      <w:hyperlink w:history="0" w:anchor="P39603" w:tooltip="Отчетность по форме 0420173">
        <w:r>
          <w:rPr>
            <w:sz w:val="24"/>
            <w:color w:val="0000ff"/>
          </w:rPr>
          <w:t xml:space="preserve">форме 0420173</w:t>
        </w:r>
      </w:hyperlink>
      <w:r>
        <w:rPr>
          <w:sz w:val="24"/>
        </w:rPr>
        <w:t xml:space="preserve"> "Сведения о договоре об оказании услуг специализированного депозитария страховщика"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Категория связанной стороны</w:t>
            </w:r>
          </w:p>
        </w:tc>
        <w:tc>
          <w:tcPr>
            <w:tcW w:w="2608" w:type="dxa"/>
          </w:tcPr>
          <w:p>
            <w:pPr>
              <w:pStyle w:val="0"/>
            </w:pPr>
            <w:r>
              <w:rPr>
                <w:sz w:val="24"/>
              </w:rPr>
            </w:r>
          </w:p>
        </w:tc>
        <w:tc>
          <w:tcPr>
            <w:tcW w:w="2948" w:type="dxa"/>
          </w:tcPr>
          <w:p>
            <w:pPr>
              <w:pStyle w:val="0"/>
            </w:pPr>
            <w:r>
              <w:rPr>
                <w:sz w:val="24"/>
              </w:rPr>
              <w:t xml:space="preserve">nfo-dic:Kat_SvyazstoronyEnumerator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Материнское предприятие</w:t>
            </w:r>
          </w:p>
        </w:tc>
        <w:tc>
          <w:tcPr>
            <w:tcW w:w="2948" w:type="dxa"/>
          </w:tcPr>
          <w:p>
            <w:pPr>
              <w:pStyle w:val="0"/>
            </w:pPr>
            <w:r>
              <w:rPr>
                <w:sz w:val="24"/>
              </w:rPr>
              <w:t xml:space="preserve">mem-int:MaterinskoePredpriyatieMember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Дочернее предприятие</w:t>
            </w:r>
          </w:p>
        </w:tc>
        <w:tc>
          <w:tcPr>
            <w:tcW w:w="2948" w:type="dxa"/>
          </w:tcPr>
          <w:p>
            <w:pPr>
              <w:pStyle w:val="0"/>
            </w:pPr>
            <w:r>
              <w:rPr>
                <w:sz w:val="24"/>
              </w:rPr>
              <w:t xml:space="preserve">mem-int:DocherneePredpriyatieMember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Совместно контролируемое предприятие</w:t>
            </w:r>
          </w:p>
        </w:tc>
        <w:tc>
          <w:tcPr>
            <w:tcW w:w="2948" w:type="dxa"/>
          </w:tcPr>
          <w:p>
            <w:pPr>
              <w:pStyle w:val="0"/>
            </w:pPr>
            <w:r>
              <w:rPr>
                <w:sz w:val="24"/>
              </w:rPr>
              <w:t xml:space="preserve">mem-int:SovmestnoKontroliruemoePredpriyatieMember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Ассоциированное предприятие</w:t>
            </w:r>
          </w:p>
        </w:tc>
        <w:tc>
          <w:tcPr>
            <w:tcW w:w="2948" w:type="dxa"/>
          </w:tcPr>
          <w:p>
            <w:pPr>
              <w:pStyle w:val="0"/>
            </w:pPr>
            <w:r>
              <w:rPr>
                <w:sz w:val="24"/>
              </w:rPr>
              <w:t xml:space="preserve">mem-int:AssocziirovannoePredpriyatieMember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Ключевой управленческий персонал</w:t>
            </w:r>
          </w:p>
        </w:tc>
        <w:tc>
          <w:tcPr>
            <w:tcW w:w="2948" w:type="dxa"/>
          </w:tcPr>
          <w:p>
            <w:pPr>
              <w:pStyle w:val="0"/>
            </w:pPr>
            <w:r>
              <w:rPr>
                <w:sz w:val="24"/>
              </w:rPr>
              <w:t xml:space="preserve">mem-int:KlyuchevojUpravlencheskijPersonalMember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Компания под общим контролем</w:t>
            </w:r>
          </w:p>
        </w:tc>
        <w:tc>
          <w:tcPr>
            <w:tcW w:w="2948" w:type="dxa"/>
          </w:tcPr>
          <w:p>
            <w:pPr>
              <w:pStyle w:val="0"/>
            </w:pPr>
            <w:r>
              <w:rPr>
                <w:sz w:val="24"/>
              </w:rPr>
              <w:t xml:space="preserve">mem-int:KompaniyaPodObshhimKontrolemMember</w:t>
            </w:r>
          </w:p>
        </w:tc>
      </w:tr>
      <w:tr>
        <w:tc>
          <w:tcPr>
            <w:tcW w:w="907" w:type="dxa"/>
          </w:tcPr>
          <w:p>
            <w:pPr>
              <w:pStyle w:val="0"/>
            </w:pPr>
            <w:r>
              <w:rPr>
                <w:sz w:val="24"/>
              </w:rPr>
              <w:t xml:space="preserve">1.7</w:t>
            </w:r>
          </w:p>
        </w:tc>
        <w:tc>
          <w:tcPr>
            <w:tcW w:w="2608" w:type="dxa"/>
          </w:tcPr>
          <w:p>
            <w:pPr>
              <w:pStyle w:val="0"/>
            </w:pPr>
            <w:r>
              <w:rPr>
                <w:sz w:val="24"/>
              </w:rPr>
            </w:r>
          </w:p>
        </w:tc>
        <w:tc>
          <w:tcPr>
            <w:tcW w:w="2608" w:type="dxa"/>
          </w:tcPr>
          <w:p>
            <w:pPr>
              <w:pStyle w:val="0"/>
            </w:pPr>
            <w:r>
              <w:rPr>
                <w:sz w:val="24"/>
              </w:rPr>
              <w:t xml:space="preserve">Прочее</w:t>
            </w:r>
          </w:p>
        </w:tc>
        <w:tc>
          <w:tcPr>
            <w:tcW w:w="2948" w:type="dxa"/>
          </w:tcPr>
          <w:p>
            <w:pPr>
              <w:pStyle w:val="0"/>
            </w:pPr>
            <w:r>
              <w:rPr>
                <w:sz w:val="24"/>
              </w:rPr>
              <w:t xml:space="preserve">mem-int:ProcheeMember</w:t>
            </w:r>
          </w:p>
        </w:tc>
      </w:tr>
      <w:tr>
        <w:tc>
          <w:tcPr>
            <w:tcW w:w="907" w:type="dxa"/>
          </w:tcPr>
          <w:p>
            <w:pPr>
              <w:pStyle w:val="0"/>
            </w:pPr>
            <w:r>
              <w:rPr>
                <w:sz w:val="24"/>
              </w:rPr>
              <w:t xml:space="preserve">1.8</w:t>
            </w:r>
          </w:p>
        </w:tc>
        <w:tc>
          <w:tcPr>
            <w:tcW w:w="2608" w:type="dxa"/>
          </w:tcPr>
          <w:p>
            <w:pPr>
              <w:pStyle w:val="0"/>
            </w:pPr>
            <w:r>
              <w:rPr>
                <w:sz w:val="24"/>
              </w:rPr>
            </w:r>
          </w:p>
        </w:tc>
        <w:tc>
          <w:tcPr>
            <w:tcW w:w="2608" w:type="dxa"/>
          </w:tcPr>
          <w:p>
            <w:pPr>
              <w:pStyle w:val="0"/>
            </w:pPr>
            <w:r>
              <w:rPr>
                <w:sz w:val="24"/>
              </w:rPr>
              <w:t xml:space="preserve">Не является связанной стороной</w:t>
            </w:r>
          </w:p>
        </w:tc>
        <w:tc>
          <w:tcPr>
            <w:tcW w:w="2948" w:type="dxa"/>
          </w:tcPr>
          <w:p>
            <w:pPr>
              <w:pStyle w:val="0"/>
            </w:pPr>
            <w:r>
              <w:rPr>
                <w:sz w:val="24"/>
              </w:rPr>
              <w:t xml:space="preserve">mem-int:NeYavlSvyazStorMember</w:t>
            </w:r>
          </w:p>
        </w:tc>
      </w:tr>
    </w:tbl>
    <w:p>
      <w:pPr>
        <w:pStyle w:val="0"/>
        <w:ind w:firstLine="540"/>
        <w:jc w:val="both"/>
      </w:pPr>
      <w:r>
        <w:rPr>
          <w:sz w:val="24"/>
        </w:rPr>
      </w:r>
    </w:p>
    <w:p>
      <w:pPr>
        <w:pStyle w:val="0"/>
        <w:outlineLvl w:val="2"/>
        <w:jc w:val="both"/>
      </w:pPr>
      <w:r>
        <w:rPr>
          <w:sz w:val="24"/>
        </w:rPr>
        <w:t xml:space="preserve">Раздел 13. Отчетность по </w:t>
      </w:r>
      <w:hyperlink w:history="0" w:anchor="P39700" w:tooltip="Отчетность по форме 0420174">
        <w:r>
          <w:rPr>
            <w:sz w:val="24"/>
            <w:color w:val="0000ff"/>
          </w:rPr>
          <w:t xml:space="preserve">форме 0420174</w:t>
        </w:r>
      </w:hyperlink>
      <w:r>
        <w:rPr>
          <w:sz w:val="24"/>
        </w:rPr>
        <w:t xml:space="preserve"> "Сведения о показателях операционной надежности страховой организации и применяемых ею информационных технологиях"</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Код функциональности (возможностей), получаемой (получаемых) отчитывающейся организацией в рамках облачных решений, предоставляемых поставщиком услуг</w:t>
            </w:r>
          </w:p>
        </w:tc>
        <w:tc>
          <w:tcPr>
            <w:tcW w:w="2608" w:type="dxa"/>
          </w:tcPr>
          <w:p>
            <w:pPr>
              <w:pStyle w:val="0"/>
            </w:pPr>
            <w:r>
              <w:rPr>
                <w:sz w:val="24"/>
              </w:rPr>
            </w:r>
          </w:p>
        </w:tc>
        <w:tc>
          <w:tcPr>
            <w:tcW w:w="2948" w:type="dxa"/>
          </w:tcPr>
          <w:p>
            <w:pPr>
              <w:pStyle w:val="0"/>
            </w:pPr>
            <w:r>
              <w:rPr>
                <w:sz w:val="24"/>
              </w:rPr>
              <w:t xml:space="preserve">nfo-dic:KodFunkcznalPoluchVRamOblachReshPredostPostUslEnumerator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ФИИ</w:t>
            </w:r>
          </w:p>
        </w:tc>
        <w:tc>
          <w:tcPr>
            <w:tcW w:w="2948" w:type="dxa"/>
          </w:tcPr>
          <w:p>
            <w:pPr>
              <w:pStyle w:val="0"/>
            </w:pPr>
            <w:r>
              <w:rPr>
                <w:sz w:val="24"/>
              </w:rPr>
              <w:t xml:space="preserve">mem-int:FunkcInfInfrastr_VychislResursyXranenDanSetevyeMember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ФПл</w:t>
            </w:r>
          </w:p>
        </w:tc>
        <w:tc>
          <w:tcPr>
            <w:tcW w:w="2948" w:type="dxa"/>
          </w:tcPr>
          <w:p>
            <w:pPr>
              <w:pStyle w:val="0"/>
            </w:pPr>
            <w:r>
              <w:rPr>
                <w:sz w:val="24"/>
              </w:rPr>
              <w:t xml:space="preserve">mem-int:FunkcPlatformy_PrilozhSNeskYAzProgramISredVypolnMember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ФПр</w:t>
            </w:r>
          </w:p>
        </w:tc>
        <w:tc>
          <w:tcPr>
            <w:tcW w:w="2948" w:type="dxa"/>
          </w:tcPr>
          <w:p>
            <w:pPr>
              <w:pStyle w:val="0"/>
            </w:pPr>
            <w:r>
              <w:rPr>
                <w:sz w:val="24"/>
              </w:rPr>
              <w:t xml:space="preserve">mem-int:FunkcPrilozhenij_IspolzPrilPostavUslugOblachReshMember</w:t>
            </w:r>
          </w:p>
        </w:tc>
      </w:tr>
      <w:tr>
        <w:tc>
          <w:tcPr>
            <w:tcW w:w="907" w:type="dxa"/>
          </w:tcPr>
          <w:p>
            <w:pPr>
              <w:pStyle w:val="0"/>
            </w:pPr>
            <w:r>
              <w:rPr>
                <w:sz w:val="24"/>
              </w:rPr>
              <w:t xml:space="preserve">2</w:t>
            </w:r>
          </w:p>
        </w:tc>
        <w:tc>
          <w:tcPr>
            <w:tcW w:w="2608" w:type="dxa"/>
          </w:tcPr>
          <w:p>
            <w:pPr>
              <w:pStyle w:val="0"/>
            </w:pPr>
            <w:r>
              <w:rPr>
                <w:sz w:val="24"/>
              </w:rPr>
              <w:t xml:space="preserve">Код категории облачных решений, предоставляемых поставщиком услуг</w:t>
            </w:r>
          </w:p>
        </w:tc>
        <w:tc>
          <w:tcPr>
            <w:tcW w:w="2608" w:type="dxa"/>
          </w:tcPr>
          <w:p>
            <w:pPr>
              <w:pStyle w:val="0"/>
            </w:pPr>
            <w:r>
              <w:rPr>
                <w:sz w:val="24"/>
              </w:rPr>
            </w:r>
          </w:p>
        </w:tc>
        <w:tc>
          <w:tcPr>
            <w:tcW w:w="2948" w:type="dxa"/>
          </w:tcPr>
          <w:p>
            <w:pPr>
              <w:pStyle w:val="0"/>
            </w:pPr>
            <w:r>
              <w:rPr>
                <w:sz w:val="24"/>
              </w:rPr>
              <w:t xml:space="preserve">nfo-dic:KodKategoriiOblachReshenPredostPostavshhUsiugEnumerator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БД</w:t>
            </w:r>
          </w:p>
        </w:tc>
        <w:tc>
          <w:tcPr>
            <w:tcW w:w="2948" w:type="dxa"/>
          </w:tcPr>
          <w:p>
            <w:pPr>
              <w:pStyle w:val="0"/>
            </w:pPr>
            <w:r>
              <w:rPr>
                <w:sz w:val="24"/>
              </w:rPr>
              <w:t xml:space="preserve">mem-int:BazaDannyx_UstanIObsluzhPostavshhikomUslugOblReshMember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Вычисления</w:t>
            </w:r>
          </w:p>
        </w:tc>
        <w:tc>
          <w:tcPr>
            <w:tcW w:w="2948" w:type="dxa"/>
          </w:tcPr>
          <w:p>
            <w:pPr>
              <w:pStyle w:val="0"/>
            </w:pPr>
            <w:r>
              <w:rPr>
                <w:sz w:val="24"/>
              </w:rPr>
              <w:t xml:space="preserve">mem-int:Vychisleniya_VozmozhnPoluchIIspolzVychResursovMember</w:t>
            </w:r>
          </w:p>
        </w:tc>
      </w:tr>
      <w:tr>
        <w:tc>
          <w:tcPr>
            <w:tcW w:w="907" w:type="dxa"/>
          </w:tcPr>
          <w:p>
            <w:pPr>
              <w:pStyle w:val="0"/>
            </w:pPr>
            <w:r>
              <w:rPr>
                <w:sz w:val="24"/>
              </w:rPr>
              <w:t xml:space="preserve">2.3</w:t>
            </w:r>
          </w:p>
        </w:tc>
        <w:tc>
          <w:tcPr>
            <w:tcW w:w="2608" w:type="dxa"/>
          </w:tcPr>
          <w:p>
            <w:pPr>
              <w:pStyle w:val="0"/>
            </w:pPr>
            <w:r>
              <w:rPr>
                <w:sz w:val="24"/>
              </w:rPr>
            </w:r>
          </w:p>
        </w:tc>
        <w:tc>
          <w:tcPr>
            <w:tcW w:w="2608" w:type="dxa"/>
          </w:tcPr>
          <w:p>
            <w:pPr>
              <w:pStyle w:val="0"/>
            </w:pPr>
            <w:r>
              <w:rPr>
                <w:sz w:val="24"/>
              </w:rPr>
              <w:t xml:space="preserve">ИИ</w:t>
            </w:r>
          </w:p>
        </w:tc>
        <w:tc>
          <w:tcPr>
            <w:tcW w:w="2948" w:type="dxa"/>
          </w:tcPr>
          <w:p>
            <w:pPr>
              <w:pStyle w:val="0"/>
            </w:pPr>
            <w:r>
              <w:rPr>
                <w:sz w:val="24"/>
              </w:rPr>
              <w:t xml:space="preserve">mem-int:InformacInfrastrukturaMember</w:t>
            </w:r>
          </w:p>
        </w:tc>
      </w:tr>
      <w:tr>
        <w:tc>
          <w:tcPr>
            <w:tcW w:w="907" w:type="dxa"/>
          </w:tcPr>
          <w:p>
            <w:pPr>
              <w:pStyle w:val="0"/>
            </w:pPr>
            <w:r>
              <w:rPr>
                <w:sz w:val="24"/>
              </w:rPr>
              <w:t xml:space="preserve">2.4</w:t>
            </w:r>
          </w:p>
        </w:tc>
        <w:tc>
          <w:tcPr>
            <w:tcW w:w="2608" w:type="dxa"/>
          </w:tcPr>
          <w:p>
            <w:pPr>
              <w:pStyle w:val="0"/>
            </w:pPr>
            <w:r>
              <w:rPr>
                <w:sz w:val="24"/>
              </w:rPr>
            </w:r>
          </w:p>
        </w:tc>
        <w:tc>
          <w:tcPr>
            <w:tcW w:w="2608" w:type="dxa"/>
          </w:tcPr>
          <w:p>
            <w:pPr>
              <w:pStyle w:val="0"/>
            </w:pPr>
            <w:r>
              <w:rPr>
                <w:sz w:val="24"/>
              </w:rPr>
              <w:t xml:space="preserve">ОИ</w:t>
            </w:r>
          </w:p>
        </w:tc>
        <w:tc>
          <w:tcPr>
            <w:tcW w:w="2948" w:type="dxa"/>
          </w:tcPr>
          <w:p>
            <w:pPr>
              <w:pStyle w:val="0"/>
            </w:pPr>
            <w:r>
              <w:rPr>
                <w:sz w:val="24"/>
              </w:rPr>
              <w:t xml:space="preserve">mem-int:ObmenInformacziej_VzaimodVRealVremISovmestRabotMember</w:t>
            </w:r>
          </w:p>
        </w:tc>
      </w:tr>
      <w:tr>
        <w:tc>
          <w:tcPr>
            <w:tcW w:w="907" w:type="dxa"/>
          </w:tcPr>
          <w:p>
            <w:pPr>
              <w:pStyle w:val="0"/>
            </w:pPr>
            <w:r>
              <w:rPr>
                <w:sz w:val="24"/>
              </w:rPr>
              <w:t xml:space="preserve">2.5</w:t>
            </w:r>
          </w:p>
        </w:tc>
        <w:tc>
          <w:tcPr>
            <w:tcW w:w="2608" w:type="dxa"/>
          </w:tcPr>
          <w:p>
            <w:pPr>
              <w:pStyle w:val="0"/>
            </w:pPr>
            <w:r>
              <w:rPr>
                <w:sz w:val="24"/>
              </w:rPr>
            </w:r>
          </w:p>
        </w:tc>
        <w:tc>
          <w:tcPr>
            <w:tcW w:w="2608" w:type="dxa"/>
          </w:tcPr>
          <w:p>
            <w:pPr>
              <w:pStyle w:val="0"/>
            </w:pPr>
            <w:r>
              <w:rPr>
                <w:sz w:val="24"/>
              </w:rPr>
              <w:t xml:space="preserve">Платформа</w:t>
            </w:r>
          </w:p>
        </w:tc>
        <w:tc>
          <w:tcPr>
            <w:tcW w:w="2948" w:type="dxa"/>
          </w:tcPr>
          <w:p>
            <w:pPr>
              <w:pStyle w:val="0"/>
            </w:pPr>
            <w:r>
              <w:rPr>
                <w:sz w:val="24"/>
              </w:rPr>
              <w:t xml:space="preserve">mem-int:PlatformaMember</w:t>
            </w:r>
          </w:p>
        </w:tc>
      </w:tr>
      <w:tr>
        <w:tc>
          <w:tcPr>
            <w:tcW w:w="907" w:type="dxa"/>
          </w:tcPr>
          <w:p>
            <w:pPr>
              <w:pStyle w:val="0"/>
            </w:pPr>
            <w:r>
              <w:rPr>
                <w:sz w:val="24"/>
              </w:rPr>
              <w:t xml:space="preserve">2.6</w:t>
            </w:r>
          </w:p>
        </w:tc>
        <w:tc>
          <w:tcPr>
            <w:tcW w:w="2608" w:type="dxa"/>
          </w:tcPr>
          <w:p>
            <w:pPr>
              <w:pStyle w:val="0"/>
            </w:pPr>
            <w:r>
              <w:rPr>
                <w:sz w:val="24"/>
              </w:rPr>
            </w:r>
          </w:p>
        </w:tc>
        <w:tc>
          <w:tcPr>
            <w:tcW w:w="2608" w:type="dxa"/>
          </w:tcPr>
          <w:p>
            <w:pPr>
              <w:pStyle w:val="0"/>
            </w:pPr>
            <w:r>
              <w:rPr>
                <w:sz w:val="24"/>
              </w:rPr>
              <w:t xml:space="preserve">ППО</w:t>
            </w:r>
          </w:p>
        </w:tc>
        <w:tc>
          <w:tcPr>
            <w:tcW w:w="2948" w:type="dxa"/>
          </w:tcPr>
          <w:p>
            <w:pPr>
              <w:pStyle w:val="0"/>
            </w:pPr>
            <w:r>
              <w:rPr>
                <w:sz w:val="24"/>
              </w:rPr>
              <w:t xml:space="preserve">mem-int:PrikladProgramObespechenie_FunkczionalPrilozhenMember</w:t>
            </w:r>
          </w:p>
        </w:tc>
      </w:tr>
      <w:tr>
        <w:tc>
          <w:tcPr>
            <w:tcW w:w="907" w:type="dxa"/>
          </w:tcPr>
          <w:p>
            <w:pPr>
              <w:pStyle w:val="0"/>
            </w:pPr>
            <w:r>
              <w:rPr>
                <w:sz w:val="24"/>
              </w:rPr>
              <w:t xml:space="preserve">2.7</w:t>
            </w:r>
          </w:p>
        </w:tc>
        <w:tc>
          <w:tcPr>
            <w:tcW w:w="2608" w:type="dxa"/>
          </w:tcPr>
          <w:p>
            <w:pPr>
              <w:pStyle w:val="0"/>
            </w:pPr>
            <w:r>
              <w:rPr>
                <w:sz w:val="24"/>
              </w:rPr>
            </w:r>
          </w:p>
        </w:tc>
        <w:tc>
          <w:tcPr>
            <w:tcW w:w="2608" w:type="dxa"/>
          </w:tcPr>
          <w:p>
            <w:pPr>
              <w:pStyle w:val="0"/>
            </w:pPr>
            <w:r>
              <w:rPr>
                <w:sz w:val="24"/>
              </w:rPr>
              <w:t xml:space="preserve">Сеть</w:t>
            </w:r>
          </w:p>
        </w:tc>
        <w:tc>
          <w:tcPr>
            <w:tcW w:w="2948" w:type="dxa"/>
          </w:tcPr>
          <w:p>
            <w:pPr>
              <w:pStyle w:val="0"/>
            </w:pPr>
            <w:r>
              <w:rPr>
                <w:sz w:val="24"/>
              </w:rPr>
              <w:t xml:space="preserve">mem-int:Set_TransportSvyaznostSvyazSNejSetevVozmozhnostiMember</w:t>
            </w:r>
          </w:p>
        </w:tc>
      </w:tr>
      <w:tr>
        <w:tc>
          <w:tcPr>
            <w:tcW w:w="907" w:type="dxa"/>
          </w:tcPr>
          <w:p>
            <w:pPr>
              <w:pStyle w:val="0"/>
            </w:pPr>
            <w:r>
              <w:rPr>
                <w:sz w:val="24"/>
              </w:rPr>
              <w:t xml:space="preserve">2.8</w:t>
            </w:r>
          </w:p>
        </w:tc>
        <w:tc>
          <w:tcPr>
            <w:tcW w:w="2608" w:type="dxa"/>
          </w:tcPr>
          <w:p>
            <w:pPr>
              <w:pStyle w:val="0"/>
            </w:pPr>
            <w:r>
              <w:rPr>
                <w:sz w:val="24"/>
              </w:rPr>
            </w:r>
          </w:p>
        </w:tc>
        <w:tc>
          <w:tcPr>
            <w:tcW w:w="2608" w:type="dxa"/>
          </w:tcPr>
          <w:p>
            <w:pPr>
              <w:pStyle w:val="0"/>
            </w:pPr>
            <w:r>
              <w:rPr>
                <w:sz w:val="24"/>
              </w:rPr>
              <w:t xml:space="preserve">ХД</w:t>
            </w:r>
          </w:p>
        </w:tc>
        <w:tc>
          <w:tcPr>
            <w:tcW w:w="2948" w:type="dxa"/>
          </w:tcPr>
          <w:p>
            <w:pPr>
              <w:pStyle w:val="0"/>
            </w:pPr>
            <w:r>
              <w:rPr>
                <w:sz w:val="24"/>
              </w:rPr>
              <w:t xml:space="preserve">mem-int:XranenieDannyxMember</w:t>
            </w:r>
          </w:p>
        </w:tc>
      </w:tr>
      <w:tr>
        <w:tc>
          <w:tcPr>
            <w:tcW w:w="907" w:type="dxa"/>
          </w:tcPr>
          <w:p>
            <w:pPr>
              <w:pStyle w:val="0"/>
            </w:pPr>
            <w:r>
              <w:rPr>
                <w:sz w:val="24"/>
              </w:rPr>
              <w:t xml:space="preserve">2.9</w:t>
            </w:r>
          </w:p>
        </w:tc>
        <w:tc>
          <w:tcPr>
            <w:tcW w:w="2608" w:type="dxa"/>
          </w:tcPr>
          <w:p>
            <w:pPr>
              <w:pStyle w:val="0"/>
            </w:pPr>
            <w:r>
              <w:rPr>
                <w:sz w:val="24"/>
              </w:rPr>
            </w:r>
          </w:p>
        </w:tc>
        <w:tc>
          <w:tcPr>
            <w:tcW w:w="2608" w:type="dxa"/>
          </w:tcPr>
          <w:p>
            <w:pPr>
              <w:pStyle w:val="0"/>
            </w:pPr>
            <w:r>
              <w:rPr>
                <w:sz w:val="24"/>
              </w:rPr>
              <w:t xml:space="preserve">Иное</w:t>
            </w:r>
          </w:p>
        </w:tc>
        <w:tc>
          <w:tcPr>
            <w:tcW w:w="2948" w:type="dxa"/>
          </w:tcPr>
          <w:p>
            <w:pPr>
              <w:pStyle w:val="0"/>
            </w:pPr>
            <w:r>
              <w:rPr>
                <w:sz w:val="24"/>
              </w:rPr>
              <w:t xml:space="preserve">mem-int:Inoe_Member</w:t>
            </w:r>
          </w:p>
        </w:tc>
      </w:tr>
      <w:tr>
        <w:tc>
          <w:tcPr>
            <w:tcW w:w="907" w:type="dxa"/>
          </w:tcPr>
          <w:p>
            <w:pPr>
              <w:pStyle w:val="0"/>
            </w:pPr>
            <w:r>
              <w:rPr>
                <w:sz w:val="24"/>
              </w:rPr>
              <w:t xml:space="preserve">3</w:t>
            </w:r>
          </w:p>
        </w:tc>
        <w:tc>
          <w:tcPr>
            <w:tcW w:w="2608" w:type="dxa"/>
          </w:tcPr>
          <w:p>
            <w:pPr>
              <w:pStyle w:val="0"/>
            </w:pPr>
            <w:r>
              <w:rPr>
                <w:sz w:val="24"/>
              </w:rPr>
              <w:t xml:space="preserve">Информация о наличии соглашения, определяющего требования, предъявляемые к уровню качества предоставляемых сервисов, между отчитывающейся организацией и оператором центра обработки данных</w:t>
            </w:r>
          </w:p>
        </w:tc>
        <w:tc>
          <w:tcPr>
            <w:tcW w:w="2608" w:type="dxa"/>
          </w:tcPr>
          <w:p>
            <w:pPr>
              <w:pStyle w:val="0"/>
            </w:pPr>
            <w:r>
              <w:rPr>
                <w:sz w:val="24"/>
              </w:rPr>
            </w:r>
          </w:p>
        </w:tc>
        <w:tc>
          <w:tcPr>
            <w:tcW w:w="2948" w:type="dxa"/>
          </w:tcPr>
          <w:p>
            <w:pPr>
              <w:pStyle w:val="0"/>
            </w:pPr>
            <w:r>
              <w:rPr>
                <w:sz w:val="24"/>
              </w:rPr>
              <w:t xml:space="preserve">nfo-dic:dnformacziyaONalichiiSoglasheniyaSLAEnumerator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Да</w:t>
            </w:r>
          </w:p>
        </w:tc>
        <w:tc>
          <w:tcPr>
            <w:tcW w:w="2948" w:type="dxa"/>
          </w:tcPr>
          <w:p>
            <w:pPr>
              <w:pStyle w:val="0"/>
            </w:pPr>
            <w:r>
              <w:rPr>
                <w:sz w:val="24"/>
              </w:rPr>
              <w:t xml:space="preserve">mem-int:DaMember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Нет</w:t>
            </w:r>
          </w:p>
        </w:tc>
        <w:tc>
          <w:tcPr>
            <w:tcW w:w="2948" w:type="dxa"/>
          </w:tcPr>
          <w:p>
            <w:pPr>
              <w:pStyle w:val="0"/>
            </w:pPr>
            <w:r>
              <w:rPr>
                <w:sz w:val="24"/>
              </w:rPr>
              <w:t xml:space="preserve">mem-int:NetMember</w:t>
            </w:r>
          </w:p>
        </w:tc>
      </w:tr>
    </w:tbl>
    <w:p>
      <w:pPr>
        <w:pStyle w:val="0"/>
        <w:ind w:firstLine="540"/>
        <w:jc w:val="both"/>
      </w:pPr>
      <w:r>
        <w:rPr>
          <w:sz w:val="24"/>
        </w:rPr>
      </w:r>
    </w:p>
    <w:p>
      <w:pPr>
        <w:pStyle w:val="0"/>
        <w:outlineLvl w:val="2"/>
        <w:jc w:val="both"/>
      </w:pPr>
      <w:r>
        <w:rPr>
          <w:sz w:val="24"/>
        </w:rPr>
        <w:t xml:space="preserve">Раздел 14. Отчетность по </w:t>
      </w:r>
      <w:hyperlink w:history="0" w:anchor="P40184" w:tooltip="Отчетность по форме 0420175">
        <w:r>
          <w:rPr>
            <w:sz w:val="24"/>
            <w:color w:val="0000ff"/>
          </w:rPr>
          <w:t xml:space="preserve">форме 0420175</w:t>
        </w:r>
      </w:hyperlink>
      <w:r>
        <w:rPr>
          <w:sz w:val="24"/>
        </w:rPr>
        <w:t xml:space="preserve"> "Сведения об оценке выполнения требований к обеспечению защиты информации страховой организацией"</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608"/>
        <w:gridCol w:w="2608"/>
        <w:gridCol w:w="2948"/>
      </w:tblGrid>
      <w:tr>
        <w:tc>
          <w:tcPr>
            <w:tcW w:w="907" w:type="dxa"/>
          </w:tcPr>
          <w:p>
            <w:pPr>
              <w:pStyle w:val="0"/>
              <w:jc w:val="center"/>
            </w:pPr>
            <w:r>
              <w:rPr>
                <w:sz w:val="24"/>
              </w:rPr>
              <w:t xml:space="preserve">Номер строки</w:t>
            </w:r>
          </w:p>
        </w:tc>
        <w:tc>
          <w:tcPr>
            <w:tcW w:w="2608" w:type="dxa"/>
          </w:tcPr>
          <w:p>
            <w:pPr>
              <w:pStyle w:val="0"/>
              <w:jc w:val="center"/>
            </w:pPr>
            <w:r>
              <w:rPr>
                <w:sz w:val="24"/>
              </w:rPr>
              <w:t xml:space="preserve">Наименование показателя</w:t>
            </w:r>
          </w:p>
        </w:tc>
        <w:tc>
          <w:tcPr>
            <w:tcW w:w="2608" w:type="dxa"/>
          </w:tcPr>
          <w:p>
            <w:pPr>
              <w:pStyle w:val="0"/>
              <w:jc w:val="center"/>
            </w:pPr>
            <w:r>
              <w:rPr>
                <w:sz w:val="24"/>
              </w:rPr>
              <w:t xml:space="preserve">Значение показателя</w:t>
            </w:r>
          </w:p>
        </w:tc>
        <w:tc>
          <w:tcPr>
            <w:tcW w:w="2948" w:type="dxa"/>
          </w:tcPr>
          <w:p>
            <w:pPr>
              <w:pStyle w:val="0"/>
              <w:jc w:val="center"/>
            </w:pPr>
            <w:r>
              <w:rPr>
                <w:sz w:val="24"/>
              </w:rPr>
              <w:t xml:space="preserve">Код показателя, значения показателя</w:t>
            </w:r>
          </w:p>
        </w:tc>
      </w:tr>
      <w:tr>
        <w:tc>
          <w:tcPr>
            <w:tcW w:w="907" w:type="dxa"/>
          </w:tcPr>
          <w:p>
            <w:pPr>
              <w:pStyle w:val="0"/>
              <w:jc w:val="center"/>
            </w:pPr>
            <w:r>
              <w:rPr>
                <w:sz w:val="24"/>
              </w:rPr>
              <w:t xml:space="preserve">1</w:t>
            </w:r>
          </w:p>
        </w:tc>
        <w:tc>
          <w:tcPr>
            <w:tcW w:w="2608" w:type="dxa"/>
          </w:tcPr>
          <w:p>
            <w:pPr>
              <w:pStyle w:val="0"/>
              <w:jc w:val="center"/>
            </w:pPr>
            <w:r>
              <w:rPr>
                <w:sz w:val="24"/>
              </w:rPr>
              <w:t xml:space="preserve">2</w:t>
            </w:r>
          </w:p>
        </w:tc>
        <w:tc>
          <w:tcPr>
            <w:tcW w:w="2608" w:type="dxa"/>
          </w:tcPr>
          <w:p>
            <w:pPr>
              <w:pStyle w:val="0"/>
              <w:jc w:val="center"/>
            </w:pPr>
            <w:r>
              <w:rPr>
                <w:sz w:val="24"/>
              </w:rPr>
              <w:t xml:space="preserve">3</w:t>
            </w:r>
          </w:p>
        </w:tc>
        <w:tc>
          <w:tcPr>
            <w:tcW w:w="2948" w:type="dxa"/>
          </w:tcPr>
          <w:p>
            <w:pPr>
              <w:pStyle w:val="0"/>
              <w:jc w:val="center"/>
            </w:pPr>
            <w:r>
              <w:rPr>
                <w:sz w:val="24"/>
              </w:rPr>
              <w:t xml:space="preserve">4</w:t>
            </w:r>
          </w:p>
        </w:tc>
      </w:tr>
      <w:tr>
        <w:tc>
          <w:tcPr>
            <w:tcW w:w="907" w:type="dxa"/>
          </w:tcPr>
          <w:p>
            <w:pPr>
              <w:pStyle w:val="0"/>
            </w:pPr>
            <w:r>
              <w:rPr>
                <w:sz w:val="24"/>
              </w:rPr>
              <w:t xml:space="preserve">1</w:t>
            </w:r>
          </w:p>
        </w:tc>
        <w:tc>
          <w:tcPr>
            <w:tcW w:w="2608" w:type="dxa"/>
          </w:tcPr>
          <w:p>
            <w:pPr>
              <w:pStyle w:val="0"/>
            </w:pPr>
            <w:r>
              <w:rPr>
                <w:sz w:val="24"/>
              </w:rPr>
              <w:t xml:space="preserve">Качественная оценка уровня соответствия процесса системы защиты информации</w:t>
            </w:r>
          </w:p>
        </w:tc>
        <w:tc>
          <w:tcPr>
            <w:tcW w:w="2608" w:type="dxa"/>
          </w:tcPr>
          <w:p>
            <w:pPr>
              <w:pStyle w:val="0"/>
            </w:pPr>
            <w:r>
              <w:rPr>
                <w:sz w:val="24"/>
              </w:rPr>
            </w:r>
          </w:p>
        </w:tc>
        <w:tc>
          <w:tcPr>
            <w:tcW w:w="2948" w:type="dxa"/>
          </w:tcPr>
          <w:p>
            <w:pPr>
              <w:pStyle w:val="0"/>
            </w:pPr>
            <w:r>
              <w:rPr>
                <w:sz w:val="24"/>
              </w:rPr>
              <w:t xml:space="preserve">nfo-dic:KachOczenkaUrovnyaSootvetProczessaSistemyZIEnumerator</w:t>
            </w:r>
          </w:p>
        </w:tc>
      </w:tr>
      <w:tr>
        <w:tc>
          <w:tcPr>
            <w:tcW w:w="907" w:type="dxa"/>
          </w:tcPr>
          <w:p>
            <w:pPr>
              <w:pStyle w:val="0"/>
            </w:pPr>
            <w:r>
              <w:rPr>
                <w:sz w:val="24"/>
              </w:rPr>
              <w:t xml:space="preserve">1.1</w:t>
            </w:r>
          </w:p>
        </w:tc>
        <w:tc>
          <w:tcPr>
            <w:tcW w:w="2608" w:type="dxa"/>
          </w:tcPr>
          <w:p>
            <w:pPr>
              <w:pStyle w:val="0"/>
            </w:pPr>
            <w:r>
              <w:rPr>
                <w:sz w:val="24"/>
              </w:rPr>
            </w:r>
          </w:p>
        </w:tc>
        <w:tc>
          <w:tcPr>
            <w:tcW w:w="2608" w:type="dxa"/>
          </w:tcPr>
          <w:p>
            <w:pPr>
              <w:pStyle w:val="0"/>
            </w:pPr>
            <w:r>
              <w:rPr>
                <w:sz w:val="24"/>
              </w:rPr>
              <w:t xml:space="preserve">Нулевой</w:t>
            </w:r>
          </w:p>
        </w:tc>
        <w:tc>
          <w:tcPr>
            <w:tcW w:w="2948" w:type="dxa"/>
          </w:tcPr>
          <w:p>
            <w:pPr>
              <w:pStyle w:val="0"/>
            </w:pPr>
            <w:r>
              <w:rPr>
                <w:sz w:val="24"/>
              </w:rPr>
              <w:t xml:space="preserve">mem-int :NulevojMember</w:t>
            </w:r>
          </w:p>
        </w:tc>
      </w:tr>
      <w:tr>
        <w:tc>
          <w:tcPr>
            <w:tcW w:w="907" w:type="dxa"/>
          </w:tcPr>
          <w:p>
            <w:pPr>
              <w:pStyle w:val="0"/>
            </w:pPr>
            <w:r>
              <w:rPr>
                <w:sz w:val="24"/>
              </w:rPr>
              <w:t xml:space="preserve">1.2</w:t>
            </w:r>
          </w:p>
        </w:tc>
        <w:tc>
          <w:tcPr>
            <w:tcW w:w="2608" w:type="dxa"/>
          </w:tcPr>
          <w:p>
            <w:pPr>
              <w:pStyle w:val="0"/>
            </w:pPr>
            <w:r>
              <w:rPr>
                <w:sz w:val="24"/>
              </w:rPr>
            </w:r>
          </w:p>
        </w:tc>
        <w:tc>
          <w:tcPr>
            <w:tcW w:w="2608" w:type="dxa"/>
          </w:tcPr>
          <w:p>
            <w:pPr>
              <w:pStyle w:val="0"/>
            </w:pPr>
            <w:r>
              <w:rPr>
                <w:sz w:val="24"/>
              </w:rPr>
              <w:t xml:space="preserve">Первый</w:t>
            </w:r>
          </w:p>
        </w:tc>
        <w:tc>
          <w:tcPr>
            <w:tcW w:w="2948" w:type="dxa"/>
          </w:tcPr>
          <w:p>
            <w:pPr>
              <w:pStyle w:val="0"/>
            </w:pPr>
            <w:r>
              <w:rPr>
                <w:sz w:val="24"/>
              </w:rPr>
              <w:t xml:space="preserve">mem-int:PervyjMember</w:t>
            </w:r>
          </w:p>
        </w:tc>
      </w:tr>
      <w:tr>
        <w:tc>
          <w:tcPr>
            <w:tcW w:w="907" w:type="dxa"/>
          </w:tcPr>
          <w:p>
            <w:pPr>
              <w:pStyle w:val="0"/>
            </w:pPr>
            <w:r>
              <w:rPr>
                <w:sz w:val="24"/>
              </w:rPr>
              <w:t xml:space="preserve">1.3</w:t>
            </w:r>
          </w:p>
        </w:tc>
        <w:tc>
          <w:tcPr>
            <w:tcW w:w="2608" w:type="dxa"/>
          </w:tcPr>
          <w:p>
            <w:pPr>
              <w:pStyle w:val="0"/>
            </w:pPr>
            <w:r>
              <w:rPr>
                <w:sz w:val="24"/>
              </w:rPr>
            </w:r>
          </w:p>
        </w:tc>
        <w:tc>
          <w:tcPr>
            <w:tcW w:w="2608" w:type="dxa"/>
          </w:tcPr>
          <w:p>
            <w:pPr>
              <w:pStyle w:val="0"/>
            </w:pPr>
            <w:r>
              <w:rPr>
                <w:sz w:val="24"/>
              </w:rPr>
              <w:t xml:space="preserve">Второй</w:t>
            </w:r>
          </w:p>
        </w:tc>
        <w:tc>
          <w:tcPr>
            <w:tcW w:w="2948" w:type="dxa"/>
          </w:tcPr>
          <w:p>
            <w:pPr>
              <w:pStyle w:val="0"/>
            </w:pPr>
            <w:r>
              <w:rPr>
                <w:sz w:val="24"/>
              </w:rPr>
              <w:t xml:space="preserve">mem-int:VtorojMember</w:t>
            </w:r>
          </w:p>
        </w:tc>
      </w:tr>
      <w:tr>
        <w:tc>
          <w:tcPr>
            <w:tcW w:w="907" w:type="dxa"/>
          </w:tcPr>
          <w:p>
            <w:pPr>
              <w:pStyle w:val="0"/>
            </w:pPr>
            <w:r>
              <w:rPr>
                <w:sz w:val="24"/>
              </w:rPr>
              <w:t xml:space="preserve">1.4</w:t>
            </w:r>
          </w:p>
        </w:tc>
        <w:tc>
          <w:tcPr>
            <w:tcW w:w="2608" w:type="dxa"/>
          </w:tcPr>
          <w:p>
            <w:pPr>
              <w:pStyle w:val="0"/>
            </w:pPr>
            <w:r>
              <w:rPr>
                <w:sz w:val="24"/>
              </w:rPr>
            </w:r>
          </w:p>
        </w:tc>
        <w:tc>
          <w:tcPr>
            <w:tcW w:w="2608" w:type="dxa"/>
          </w:tcPr>
          <w:p>
            <w:pPr>
              <w:pStyle w:val="0"/>
            </w:pPr>
            <w:r>
              <w:rPr>
                <w:sz w:val="24"/>
              </w:rPr>
              <w:t xml:space="preserve">Третий</w:t>
            </w:r>
          </w:p>
        </w:tc>
        <w:tc>
          <w:tcPr>
            <w:tcW w:w="2948" w:type="dxa"/>
          </w:tcPr>
          <w:p>
            <w:pPr>
              <w:pStyle w:val="0"/>
            </w:pPr>
            <w:r>
              <w:rPr>
                <w:sz w:val="24"/>
              </w:rPr>
              <w:t xml:space="preserve">mem-int:TretijMember</w:t>
            </w:r>
          </w:p>
        </w:tc>
      </w:tr>
      <w:tr>
        <w:tc>
          <w:tcPr>
            <w:tcW w:w="907" w:type="dxa"/>
          </w:tcPr>
          <w:p>
            <w:pPr>
              <w:pStyle w:val="0"/>
            </w:pPr>
            <w:r>
              <w:rPr>
                <w:sz w:val="24"/>
              </w:rPr>
              <w:t xml:space="preserve">1.5</w:t>
            </w:r>
          </w:p>
        </w:tc>
        <w:tc>
          <w:tcPr>
            <w:tcW w:w="2608" w:type="dxa"/>
          </w:tcPr>
          <w:p>
            <w:pPr>
              <w:pStyle w:val="0"/>
            </w:pPr>
            <w:r>
              <w:rPr>
                <w:sz w:val="24"/>
              </w:rPr>
            </w:r>
          </w:p>
        </w:tc>
        <w:tc>
          <w:tcPr>
            <w:tcW w:w="2608" w:type="dxa"/>
          </w:tcPr>
          <w:p>
            <w:pPr>
              <w:pStyle w:val="0"/>
            </w:pPr>
            <w:r>
              <w:rPr>
                <w:sz w:val="24"/>
              </w:rPr>
              <w:t xml:space="preserve">Четвертый</w:t>
            </w:r>
          </w:p>
        </w:tc>
        <w:tc>
          <w:tcPr>
            <w:tcW w:w="2948" w:type="dxa"/>
          </w:tcPr>
          <w:p>
            <w:pPr>
              <w:pStyle w:val="0"/>
            </w:pPr>
            <w:r>
              <w:rPr>
                <w:sz w:val="24"/>
              </w:rPr>
              <w:t xml:space="preserve">mem-int:CHetvertyjMember</w:t>
            </w:r>
          </w:p>
        </w:tc>
      </w:tr>
      <w:tr>
        <w:tc>
          <w:tcPr>
            <w:tcW w:w="907" w:type="dxa"/>
          </w:tcPr>
          <w:p>
            <w:pPr>
              <w:pStyle w:val="0"/>
            </w:pPr>
            <w:r>
              <w:rPr>
                <w:sz w:val="24"/>
              </w:rPr>
              <w:t xml:space="preserve">1.6</w:t>
            </w:r>
          </w:p>
        </w:tc>
        <w:tc>
          <w:tcPr>
            <w:tcW w:w="2608" w:type="dxa"/>
          </w:tcPr>
          <w:p>
            <w:pPr>
              <w:pStyle w:val="0"/>
            </w:pPr>
            <w:r>
              <w:rPr>
                <w:sz w:val="24"/>
              </w:rPr>
            </w:r>
          </w:p>
        </w:tc>
        <w:tc>
          <w:tcPr>
            <w:tcW w:w="2608" w:type="dxa"/>
          </w:tcPr>
          <w:p>
            <w:pPr>
              <w:pStyle w:val="0"/>
            </w:pPr>
            <w:r>
              <w:rPr>
                <w:sz w:val="24"/>
              </w:rPr>
              <w:t xml:space="preserve">Пятый</w:t>
            </w:r>
          </w:p>
        </w:tc>
        <w:tc>
          <w:tcPr>
            <w:tcW w:w="2948" w:type="dxa"/>
          </w:tcPr>
          <w:p>
            <w:pPr>
              <w:pStyle w:val="0"/>
            </w:pPr>
            <w:r>
              <w:rPr>
                <w:sz w:val="24"/>
              </w:rPr>
              <w:t xml:space="preserve">mem-int: PyatyjMember</w:t>
            </w:r>
          </w:p>
        </w:tc>
      </w:tr>
      <w:tr>
        <w:tc>
          <w:tcPr>
            <w:tcW w:w="907" w:type="dxa"/>
          </w:tcPr>
          <w:p>
            <w:pPr>
              <w:pStyle w:val="0"/>
            </w:pPr>
            <w:r>
              <w:rPr>
                <w:sz w:val="24"/>
              </w:rPr>
              <w:t xml:space="preserve">2</w:t>
            </w:r>
          </w:p>
        </w:tc>
        <w:tc>
          <w:tcPr>
            <w:tcW w:w="2608" w:type="dxa"/>
          </w:tcPr>
          <w:p>
            <w:pPr>
              <w:pStyle w:val="0"/>
            </w:pPr>
            <w:r>
              <w:rPr>
                <w:sz w:val="24"/>
              </w:rPr>
              <w:t xml:space="preserve">Признак, характеризующий использование прикладного программного обеспечения автоматизированных систем и приложений, которые сертифицированы в системе сертификации ФСТЭК России или в отношении которых проведена оценка соответствия требованиям к ОУД</w:t>
            </w:r>
          </w:p>
        </w:tc>
        <w:tc>
          <w:tcPr>
            <w:tcW w:w="2608" w:type="dxa"/>
          </w:tcPr>
          <w:p>
            <w:pPr>
              <w:pStyle w:val="0"/>
            </w:pPr>
            <w:r>
              <w:rPr>
                <w:sz w:val="24"/>
              </w:rPr>
            </w:r>
          </w:p>
        </w:tc>
        <w:tc>
          <w:tcPr>
            <w:tcW w:w="2948" w:type="dxa"/>
          </w:tcPr>
          <w:p>
            <w:pPr>
              <w:pStyle w:val="0"/>
            </w:pPr>
            <w:r>
              <w:rPr>
                <w:sz w:val="24"/>
              </w:rPr>
              <w:t xml:space="preserve">nfo-dic:PrznkXarIspolzPriklPOASPrilSertifFstekIliOudEnumerator</w:t>
            </w:r>
          </w:p>
        </w:tc>
      </w:tr>
      <w:tr>
        <w:tc>
          <w:tcPr>
            <w:tcW w:w="907" w:type="dxa"/>
          </w:tcPr>
          <w:p>
            <w:pPr>
              <w:pStyle w:val="0"/>
            </w:pPr>
            <w:r>
              <w:rPr>
                <w:sz w:val="24"/>
              </w:rPr>
              <w:t xml:space="preserve">2.1</w:t>
            </w:r>
          </w:p>
        </w:tc>
        <w:tc>
          <w:tcPr>
            <w:tcW w:w="2608" w:type="dxa"/>
          </w:tcPr>
          <w:p>
            <w:pPr>
              <w:pStyle w:val="0"/>
            </w:pPr>
            <w:r>
              <w:rPr>
                <w:sz w:val="24"/>
              </w:rPr>
            </w:r>
          </w:p>
        </w:tc>
        <w:tc>
          <w:tcPr>
            <w:tcW w:w="2608" w:type="dxa"/>
          </w:tcPr>
          <w:p>
            <w:pPr>
              <w:pStyle w:val="0"/>
            </w:pPr>
            <w:r>
              <w:rPr>
                <w:sz w:val="24"/>
              </w:rPr>
              <w:t xml:space="preserve">Сертификация ФСТЭК России</w:t>
            </w:r>
          </w:p>
        </w:tc>
        <w:tc>
          <w:tcPr>
            <w:tcW w:w="2948" w:type="dxa"/>
          </w:tcPr>
          <w:p>
            <w:pPr>
              <w:pStyle w:val="0"/>
            </w:pPr>
            <w:r>
              <w:rPr>
                <w:sz w:val="24"/>
              </w:rPr>
              <w:t xml:space="preserve">mem-int:SertifikacziyaFstekRossiiMember</w:t>
            </w:r>
          </w:p>
        </w:tc>
      </w:tr>
      <w:tr>
        <w:tc>
          <w:tcPr>
            <w:tcW w:w="907" w:type="dxa"/>
          </w:tcPr>
          <w:p>
            <w:pPr>
              <w:pStyle w:val="0"/>
            </w:pPr>
            <w:r>
              <w:rPr>
                <w:sz w:val="24"/>
              </w:rPr>
              <w:t xml:space="preserve">2.2</w:t>
            </w:r>
          </w:p>
        </w:tc>
        <w:tc>
          <w:tcPr>
            <w:tcW w:w="2608" w:type="dxa"/>
          </w:tcPr>
          <w:p>
            <w:pPr>
              <w:pStyle w:val="0"/>
            </w:pPr>
            <w:r>
              <w:rPr>
                <w:sz w:val="24"/>
              </w:rPr>
            </w:r>
          </w:p>
        </w:tc>
        <w:tc>
          <w:tcPr>
            <w:tcW w:w="2608" w:type="dxa"/>
          </w:tcPr>
          <w:p>
            <w:pPr>
              <w:pStyle w:val="0"/>
            </w:pPr>
            <w:r>
              <w:rPr>
                <w:sz w:val="24"/>
              </w:rPr>
              <w:t xml:space="preserve">Оценка соответствия ОУД</w:t>
            </w:r>
          </w:p>
        </w:tc>
        <w:tc>
          <w:tcPr>
            <w:tcW w:w="2948" w:type="dxa"/>
          </w:tcPr>
          <w:p>
            <w:pPr>
              <w:pStyle w:val="0"/>
            </w:pPr>
            <w:r>
              <w:rPr>
                <w:sz w:val="24"/>
              </w:rPr>
              <w:t xml:space="preserve">mem-int:OczenkaSootvetstviyaOudMember</w:t>
            </w:r>
          </w:p>
        </w:tc>
      </w:tr>
      <w:tr>
        <w:tc>
          <w:tcPr>
            <w:tcW w:w="907" w:type="dxa"/>
          </w:tcPr>
          <w:p>
            <w:pPr>
              <w:pStyle w:val="0"/>
            </w:pPr>
            <w:r>
              <w:rPr>
                <w:sz w:val="24"/>
              </w:rPr>
              <w:t xml:space="preserve">3</w:t>
            </w:r>
          </w:p>
        </w:tc>
        <w:tc>
          <w:tcPr>
            <w:tcW w:w="2608" w:type="dxa"/>
          </w:tcPr>
          <w:p>
            <w:pPr>
              <w:pStyle w:val="0"/>
            </w:pPr>
            <w:r>
              <w:rPr>
                <w:sz w:val="24"/>
              </w:rPr>
              <w:t xml:space="preserve">Признак, характеризующий проведение оценки соответствия требованиям к ОУД прикладного программного обеспечения автоматизированных систем и приложений самостоятельно или с привлечением проверяющей организации</w:t>
            </w:r>
          </w:p>
        </w:tc>
        <w:tc>
          <w:tcPr>
            <w:tcW w:w="2608" w:type="dxa"/>
          </w:tcPr>
          <w:p>
            <w:pPr>
              <w:pStyle w:val="0"/>
            </w:pPr>
            <w:r>
              <w:rPr>
                <w:sz w:val="24"/>
              </w:rPr>
            </w:r>
          </w:p>
        </w:tc>
        <w:tc>
          <w:tcPr>
            <w:tcW w:w="2948" w:type="dxa"/>
          </w:tcPr>
          <w:p>
            <w:pPr>
              <w:pStyle w:val="0"/>
            </w:pPr>
            <w:r>
              <w:rPr>
                <w:sz w:val="24"/>
              </w:rPr>
              <w:t xml:space="preserve">nfo-dic:PrznkXarProvSertFstekIliOudPrPOASPrilEnumerator</w:t>
            </w:r>
          </w:p>
        </w:tc>
      </w:tr>
      <w:tr>
        <w:tc>
          <w:tcPr>
            <w:tcW w:w="907" w:type="dxa"/>
          </w:tcPr>
          <w:p>
            <w:pPr>
              <w:pStyle w:val="0"/>
            </w:pPr>
            <w:r>
              <w:rPr>
                <w:sz w:val="24"/>
              </w:rPr>
              <w:t xml:space="preserve">3.1</w:t>
            </w:r>
          </w:p>
        </w:tc>
        <w:tc>
          <w:tcPr>
            <w:tcW w:w="2608" w:type="dxa"/>
          </w:tcPr>
          <w:p>
            <w:pPr>
              <w:pStyle w:val="0"/>
            </w:pPr>
            <w:r>
              <w:rPr>
                <w:sz w:val="24"/>
              </w:rPr>
            </w:r>
          </w:p>
        </w:tc>
        <w:tc>
          <w:tcPr>
            <w:tcW w:w="2608" w:type="dxa"/>
          </w:tcPr>
          <w:p>
            <w:pPr>
              <w:pStyle w:val="0"/>
            </w:pPr>
            <w:r>
              <w:rPr>
                <w:sz w:val="24"/>
              </w:rPr>
              <w:t xml:space="preserve">Самостоятельно</w:t>
            </w:r>
          </w:p>
        </w:tc>
        <w:tc>
          <w:tcPr>
            <w:tcW w:w="2948" w:type="dxa"/>
          </w:tcPr>
          <w:p>
            <w:pPr>
              <w:pStyle w:val="0"/>
            </w:pPr>
            <w:r>
              <w:rPr>
                <w:sz w:val="24"/>
              </w:rPr>
              <w:t xml:space="preserve">mem-int:SamostoyatelnoMember</w:t>
            </w:r>
          </w:p>
        </w:tc>
      </w:tr>
      <w:tr>
        <w:tc>
          <w:tcPr>
            <w:tcW w:w="907" w:type="dxa"/>
          </w:tcPr>
          <w:p>
            <w:pPr>
              <w:pStyle w:val="0"/>
            </w:pPr>
            <w:r>
              <w:rPr>
                <w:sz w:val="24"/>
              </w:rPr>
              <w:t xml:space="preserve">3.2</w:t>
            </w:r>
          </w:p>
        </w:tc>
        <w:tc>
          <w:tcPr>
            <w:tcW w:w="2608" w:type="dxa"/>
          </w:tcPr>
          <w:p>
            <w:pPr>
              <w:pStyle w:val="0"/>
            </w:pPr>
            <w:r>
              <w:rPr>
                <w:sz w:val="24"/>
              </w:rPr>
            </w:r>
          </w:p>
        </w:tc>
        <w:tc>
          <w:tcPr>
            <w:tcW w:w="2608" w:type="dxa"/>
          </w:tcPr>
          <w:p>
            <w:pPr>
              <w:pStyle w:val="0"/>
            </w:pPr>
            <w:r>
              <w:rPr>
                <w:sz w:val="24"/>
              </w:rPr>
              <w:t xml:space="preserve">Проверяющая организация</w:t>
            </w:r>
          </w:p>
        </w:tc>
        <w:tc>
          <w:tcPr>
            <w:tcW w:w="2948" w:type="dxa"/>
          </w:tcPr>
          <w:p>
            <w:pPr>
              <w:pStyle w:val="0"/>
            </w:pPr>
            <w:r>
              <w:rPr>
                <w:sz w:val="24"/>
              </w:rPr>
              <w:t xml:space="preserve">mem-int:ProveryayushhayaOrganizacziyaMember</w:t>
            </w:r>
          </w:p>
        </w:tc>
      </w:tr>
    </w:tbl>
    <w:p>
      <w:pPr>
        <w:pStyle w:val="0"/>
        <w:ind w:firstLine="540"/>
        <w:jc w:val="both"/>
      </w:pPr>
      <w:r>
        <w:rPr>
          <w:sz w:val="24"/>
        </w:rPr>
      </w:r>
    </w:p>
    <w:p>
      <w:pPr>
        <w:pStyle w:val="0"/>
        <w:outlineLvl w:val="1"/>
        <w:ind w:firstLine="540"/>
        <w:jc w:val="both"/>
      </w:pPr>
      <w:r>
        <w:rPr>
          <w:sz w:val="24"/>
        </w:rPr>
        <w:t xml:space="preserve">Часть IV. Порядок составления отчетности в порядке надзора страховщика</w:t>
      </w:r>
    </w:p>
    <w:p>
      <w:pPr>
        <w:pStyle w:val="0"/>
        <w:ind w:firstLine="540"/>
        <w:jc w:val="both"/>
      </w:pPr>
      <w:r>
        <w:rPr>
          <w:sz w:val="24"/>
        </w:rPr>
      </w:r>
    </w:p>
    <w:bookmarkStart w:id="54266" w:name="P54266"/>
    <w:bookmarkEnd w:id="54266"/>
    <w:p>
      <w:pPr>
        <w:pStyle w:val="0"/>
        <w:ind w:firstLine="540"/>
        <w:jc w:val="both"/>
      </w:pPr>
      <w:r>
        <w:rPr>
          <w:sz w:val="24"/>
        </w:rPr>
        <w:t xml:space="preserve">1. Отчетность в порядке надзора страховщика (далее - отчетность) составляется страховщиком в виде предусмотренных в ней показателей в разрезе групп аналитических признаков (</w:t>
      </w:r>
      <w:hyperlink w:history="0" w:anchor="P88" w:tooltip="3">
        <w:r>
          <w:rPr>
            <w:sz w:val="24"/>
            <w:color w:val="0000ff"/>
          </w:rPr>
          <w:t xml:space="preserve">графа 3 части I</w:t>
        </w:r>
      </w:hyperlink>
      <w:r>
        <w:rPr>
          <w:sz w:val="24"/>
        </w:rPr>
        <w:t xml:space="preserve"> настоящего приложения), объединяющих аналитические признаки, содержащие детализированную информацию по показателю.</w:t>
      </w:r>
    </w:p>
    <w:p>
      <w:pPr>
        <w:pStyle w:val="0"/>
        <w:spacing w:before="240" w:lineRule="auto"/>
        <w:ind w:firstLine="540"/>
        <w:jc w:val="both"/>
      </w:pPr>
      <w:r>
        <w:rPr>
          <w:sz w:val="24"/>
        </w:rPr>
        <w:t xml:space="preserve">При составлении отчетности страховщик должен использовать аналитические признаки, объединенные в группы аналитических признаков, приведенные в </w:t>
      </w:r>
      <w:hyperlink w:history="0" w:anchor="P40434" w:tooltip="Часть II. Группы аналитических признаков и аналитические признаки для формирования показателей форм отчетности в порядке надзора страховщика">
        <w:r>
          <w:rPr>
            <w:sz w:val="24"/>
            <w:color w:val="0000ff"/>
          </w:rPr>
          <w:t xml:space="preserve">части II</w:t>
        </w:r>
      </w:hyperlink>
      <w:r>
        <w:rPr>
          <w:sz w:val="24"/>
        </w:rPr>
        <w:t xml:space="preserve"> настоящего приложения, и значения показателей для формирования показателей форм отчетности, приведенные в </w:t>
      </w:r>
      <w:hyperlink w:history="0" w:anchor="P51789" w:tooltip="Часть III. Значения показателей для формирования показателей форм отчетности в порядке надзора страховщика">
        <w:r>
          <w:rPr>
            <w:sz w:val="24"/>
            <w:color w:val="0000ff"/>
          </w:rPr>
          <w:t xml:space="preserve">части III</w:t>
        </w:r>
      </w:hyperlink>
      <w:r>
        <w:rPr>
          <w:sz w:val="24"/>
        </w:rPr>
        <w:t xml:space="preserve"> настоящего приложения.</w:t>
      </w:r>
    </w:p>
    <w:p>
      <w:pPr>
        <w:pStyle w:val="0"/>
        <w:spacing w:before="240" w:lineRule="auto"/>
        <w:ind w:firstLine="540"/>
        <w:jc w:val="both"/>
      </w:pPr>
      <w:r>
        <w:rPr>
          <w:sz w:val="24"/>
        </w:rPr>
        <w:t xml:space="preserve">При составлении отчетности страховщик должен для каждого показателя, каждой группы аналитических признаков и каждого аналитического признака указывать отдельный код (</w:t>
      </w:r>
      <w:hyperlink w:history="0" w:anchor="P89" w:tooltip="4">
        <w:r>
          <w:rPr>
            <w:sz w:val="24"/>
            <w:color w:val="0000ff"/>
          </w:rPr>
          <w:t xml:space="preserve">графа 4 частей I</w:t>
        </w:r>
      </w:hyperlink>
      <w:r>
        <w:rPr>
          <w:sz w:val="24"/>
        </w:rPr>
        <w:t xml:space="preserve"> - </w:t>
      </w:r>
      <w:hyperlink w:history="0" w:anchor="P51802" w:tooltip="4">
        <w:r>
          <w:rPr>
            <w:sz w:val="24"/>
            <w:color w:val="0000ff"/>
          </w:rPr>
          <w:t xml:space="preserve">III</w:t>
        </w:r>
      </w:hyperlink>
      <w:r>
        <w:rPr>
          <w:sz w:val="24"/>
        </w:rPr>
        <w:t xml:space="preserve"> настоящего приложения), позволяющий выделить один показатель, одну группу аналитических признаков, один аналитический признак из других показателей, групп аналитических признаков, аналитических признаков соответственно.</w:t>
      </w:r>
    </w:p>
    <w:p>
      <w:pPr>
        <w:pStyle w:val="0"/>
        <w:spacing w:before="240" w:lineRule="auto"/>
        <w:ind w:firstLine="540"/>
        <w:jc w:val="both"/>
      </w:pPr>
      <w:r>
        <w:rPr>
          <w:sz w:val="24"/>
        </w:rPr>
        <w:t xml:space="preserve">При составлении отчетности страховщик должен в формах отчетности отражать все предусмотренные в них показатели, за исключением случаев отсутствия значений показателей.</w:t>
      </w:r>
    </w:p>
    <w:bookmarkStart w:id="54270" w:name="P54270"/>
    <w:bookmarkEnd w:id="54270"/>
    <w:p>
      <w:pPr>
        <w:pStyle w:val="0"/>
        <w:spacing w:before="240" w:lineRule="auto"/>
        <w:ind w:firstLine="540"/>
        <w:jc w:val="both"/>
      </w:pPr>
      <w:r>
        <w:rPr>
          <w:sz w:val="24"/>
        </w:rPr>
        <w:t xml:space="preserve">2. Значения показателей отчетности указываются следующим образом:</w:t>
      </w:r>
    </w:p>
    <w:p>
      <w:pPr>
        <w:pStyle w:val="0"/>
        <w:spacing w:before="240" w:lineRule="auto"/>
        <w:ind w:firstLine="540"/>
        <w:jc w:val="both"/>
      </w:pPr>
      <w:r>
        <w:rPr>
          <w:sz w:val="24"/>
        </w:rPr>
        <w:t xml:space="preserve">сумма (кроме суммы в единицах валюты) - в рублях с точностью до двух знаков после запятой;</w:t>
      </w:r>
    </w:p>
    <w:p>
      <w:pPr>
        <w:pStyle w:val="0"/>
        <w:spacing w:before="240" w:lineRule="auto"/>
        <w:ind w:firstLine="540"/>
        <w:jc w:val="both"/>
      </w:pPr>
      <w:r>
        <w:rPr>
          <w:sz w:val="24"/>
        </w:rPr>
        <w:t xml:space="preserve">сумма в единицах валюты - с точностью до двух знаков после запятой (сумма платежа по потокам по облигации и номинальная стоимость ценной бумаги в единицах валюты номинала в случае, если номинальная стоимость ценной бумаги имеет большее количество знаков после запятой, указываются с точностью до двадцати знаков после запятой);</w:t>
      </w:r>
    </w:p>
    <w:p>
      <w:pPr>
        <w:pStyle w:val="0"/>
        <w:spacing w:before="240" w:lineRule="auto"/>
        <w:ind w:firstLine="540"/>
        <w:jc w:val="both"/>
      </w:pPr>
      <w:r>
        <w:rPr>
          <w:sz w:val="24"/>
        </w:rPr>
        <w:t xml:space="preserve">относительные величины (проценты, доли, за исключением принадлежащих аффилированному лицу страховой организации ее акций (долей), принадлежащих страховой организации акций (долей) ее аффилированного лица, величины кредитного спреда инструмента m, поправочного коэффициента, доли рынка, коэффициента дополнительных требований в зависимости от доли рынка (X</w:t>
      </w:r>
      <w:r>
        <w:rPr>
          <w:sz w:val="24"/>
          <w:vertAlign w:val="subscript"/>
        </w:rPr>
        <w:t xml:space="preserve">3</w:t>
      </w:r>
      <w:r>
        <w:rPr>
          <w:sz w:val="24"/>
        </w:rPr>
        <w:t xml:space="preserve">), допустимой доли деградации технологического процесса) - с точностью до двух знаков после запятой;</w:t>
      </w:r>
    </w:p>
    <w:p>
      <w:pPr>
        <w:pStyle w:val="0"/>
        <w:spacing w:before="240" w:lineRule="auto"/>
        <w:ind w:firstLine="540"/>
        <w:jc w:val="both"/>
      </w:pPr>
      <w:r>
        <w:rPr>
          <w:sz w:val="24"/>
        </w:rPr>
        <w:t xml:space="preserve">принадлежащие аффилированному лицу страховой организации ее акции (доли), принадлежащие страховой организации акции (доли) ее аффилированного лица - с точностью до четырех знаков после запятой;</w:t>
      </w:r>
    </w:p>
    <w:p>
      <w:pPr>
        <w:pStyle w:val="0"/>
        <w:spacing w:before="240" w:lineRule="auto"/>
        <w:ind w:firstLine="540"/>
        <w:jc w:val="both"/>
      </w:pPr>
      <w:r>
        <w:rPr>
          <w:sz w:val="24"/>
        </w:rPr>
        <w:t xml:space="preserve">величина кредитного спреда инструмента m, поправочный коэффициент - с точностью до десяти знаков после запятой;</w:t>
      </w:r>
    </w:p>
    <w:p>
      <w:pPr>
        <w:pStyle w:val="0"/>
        <w:spacing w:before="240" w:lineRule="auto"/>
        <w:ind w:firstLine="540"/>
        <w:jc w:val="both"/>
      </w:pPr>
      <w:r>
        <w:rPr>
          <w:sz w:val="24"/>
        </w:rPr>
        <w:t xml:space="preserve">доля рынка, коэффициент дополнительных требований в зависимости от доли рынка (X</w:t>
      </w:r>
      <w:r>
        <w:rPr>
          <w:sz w:val="24"/>
          <w:vertAlign w:val="subscript"/>
        </w:rPr>
        <w:t xml:space="preserve">3</w:t>
      </w:r>
      <w:r>
        <w:rPr>
          <w:sz w:val="24"/>
        </w:rPr>
        <w:t xml:space="preserve">) - с точностью до восьми знаков после запятой;</w:t>
      </w:r>
    </w:p>
    <w:p>
      <w:pPr>
        <w:pStyle w:val="0"/>
        <w:spacing w:before="240" w:lineRule="auto"/>
        <w:ind w:firstLine="540"/>
        <w:jc w:val="both"/>
      </w:pPr>
      <w:r>
        <w:rPr>
          <w:sz w:val="24"/>
        </w:rPr>
        <w:t xml:space="preserve">пороговые значения К1 и К2 по концентрации на обязанное лицо, значение </w:t>
      </w:r>
      <w:r>
        <w:rPr>
          <w:position w:val="-1"/>
        </w:rPr>
        <w:drawing>
          <wp:inline distT="0" distB="0" distL="0" distR="0">
            <wp:extent cx="137160" cy="171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r>
        <w:rPr>
          <w:sz w:val="24"/>
        </w:rPr>
        <w:t xml:space="preserve"> (эпсилон) для оценки риска 2 - с точностью от двух до двадцати знаков после запятой;</w:t>
      </w:r>
    </w:p>
    <w:p>
      <w:pPr>
        <w:pStyle w:val="0"/>
        <w:spacing w:before="240" w:lineRule="auto"/>
        <w:ind w:firstLine="540"/>
        <w:jc w:val="both"/>
      </w:pPr>
      <w:r>
        <w:rPr>
          <w:sz w:val="24"/>
        </w:rPr>
        <w:t xml:space="preserve">допустимая доля деградации технологического процесса - с точностью до шести знаков после запятой;</w:t>
      </w:r>
    </w:p>
    <w:p>
      <w:pPr>
        <w:pStyle w:val="0"/>
        <w:spacing w:before="240" w:lineRule="auto"/>
        <w:ind w:firstLine="540"/>
        <w:jc w:val="both"/>
      </w:pPr>
      <w:r>
        <w:rPr>
          <w:sz w:val="24"/>
        </w:rPr>
        <w:t xml:space="preserve">продолжительность времени работы (функционирования) технологического процесса, допустимое время простоя и (или) деградации технологического процесса, допустимое суммарное время простоя и (или) деградации технологического процесса, суммарное время простоя и (или) деградации технологического процесса - в минутах (в форме целого числа с округлением секунд до целой минуты (до 29 секунд включительно округление осуществляется в меньшую сторону, начиная с 30 секунд - в большую сторону);</w:t>
      </w:r>
    </w:p>
    <w:p>
      <w:pPr>
        <w:pStyle w:val="0"/>
        <w:spacing w:before="240" w:lineRule="auto"/>
        <w:ind w:firstLine="540"/>
        <w:jc w:val="both"/>
      </w:pPr>
      <w:r>
        <w:rPr>
          <w:sz w:val="24"/>
        </w:rPr>
        <w:t xml:space="preserve">количество - в штуках, единицах (в случае если количество ценных бумаг является дробным, оно указывается с точностью до двадцати знаков после запятой);</w:t>
      </w:r>
    </w:p>
    <w:p>
      <w:pPr>
        <w:pStyle w:val="0"/>
        <w:spacing w:before="240" w:lineRule="auto"/>
        <w:ind w:firstLine="540"/>
        <w:jc w:val="both"/>
      </w:pPr>
      <w:r>
        <w:rPr>
          <w:sz w:val="24"/>
        </w:rPr>
        <w:t xml:space="preserve">численность - в количестве человек.</w:t>
      </w:r>
    </w:p>
    <w:p>
      <w:pPr>
        <w:pStyle w:val="0"/>
        <w:spacing w:before="240" w:lineRule="auto"/>
        <w:ind w:firstLine="540"/>
        <w:jc w:val="both"/>
      </w:pPr>
      <w:r>
        <w:rPr>
          <w:sz w:val="24"/>
        </w:rPr>
        <w:t xml:space="preserve">Округление осуществляется по правилам математического округления.</w:t>
      </w:r>
    </w:p>
    <w:p>
      <w:pPr>
        <w:pStyle w:val="0"/>
        <w:spacing w:before="240" w:lineRule="auto"/>
        <w:ind w:firstLine="540"/>
        <w:jc w:val="both"/>
      </w:pPr>
      <w:r>
        <w:rPr>
          <w:sz w:val="24"/>
        </w:rPr>
        <w:t xml:space="preserve">В случае если показатель принимает отрицательное значение, он указывается со знаком "-"(минус).</w:t>
      </w:r>
    </w:p>
    <w:p>
      <w:pPr>
        <w:pStyle w:val="0"/>
        <w:spacing w:before="240" w:lineRule="auto"/>
        <w:ind w:firstLine="540"/>
        <w:jc w:val="both"/>
      </w:pPr>
      <w:r>
        <w:rPr>
          <w:sz w:val="24"/>
        </w:rPr>
        <w:t xml:space="preserve">Даты указываются в виде "гггг-мм-дд", где "гггг" - год, "мм" - месяц, "дд" - день.</w:t>
      </w:r>
    </w:p>
    <w:bookmarkStart w:id="54285" w:name="P54285"/>
    <w:bookmarkEnd w:id="54285"/>
    <w:p>
      <w:pPr>
        <w:pStyle w:val="0"/>
        <w:spacing w:before="240" w:lineRule="auto"/>
        <w:ind w:firstLine="540"/>
        <w:jc w:val="both"/>
      </w:pPr>
      <w:r>
        <w:rPr>
          <w:sz w:val="24"/>
        </w:rPr>
        <w:t xml:space="preserve">3. Понятия "резидент" и "нерезидент" используются в значениях, установленных </w:t>
      </w:r>
      <w:hyperlink w:history="0" r:id="rId721" w:tooltip="Федеральный закон от 10.12.2003 N 173-ФЗ (ред. от 28.12.2024) &quot;О валютном регулировании и валютном контроле&quot; {КонсультантПлюс}">
        <w:r>
          <w:rPr>
            <w:sz w:val="24"/>
            <w:color w:val="0000ff"/>
          </w:rPr>
          <w:t xml:space="preserve">пунктами 6</w:t>
        </w:r>
      </w:hyperlink>
      <w:r>
        <w:rPr>
          <w:sz w:val="24"/>
        </w:rPr>
        <w:t xml:space="preserve"> и </w:t>
      </w:r>
      <w:hyperlink w:history="0" r:id="rId722" w:tooltip="Федеральный закон от 10.12.2003 N 173-ФЗ (ред. от 28.12.2024) &quot;О валютном регулировании и валютном контроле&quot; {КонсультантПлюс}">
        <w:r>
          <w:rPr>
            <w:sz w:val="24"/>
            <w:color w:val="0000ff"/>
          </w:rPr>
          <w:t xml:space="preserve">7 части 1 статьи 1</w:t>
        </w:r>
      </w:hyperlink>
      <w:r>
        <w:rPr>
          <w:sz w:val="24"/>
        </w:rPr>
        <w:t xml:space="preserve"> Федерального закона от 10 декабря 2003 года N 173-ФЗ "О валютном регулировании и валютном контроле".</w:t>
      </w:r>
    </w:p>
    <w:bookmarkStart w:id="54286" w:name="P54286"/>
    <w:bookmarkEnd w:id="54286"/>
    <w:p>
      <w:pPr>
        <w:pStyle w:val="0"/>
        <w:spacing w:before="240" w:lineRule="auto"/>
        <w:ind w:firstLine="540"/>
        <w:jc w:val="both"/>
      </w:pPr>
      <w:r>
        <w:rPr>
          <w:sz w:val="24"/>
        </w:rPr>
        <w:t xml:space="preserve">4. Полные наименования юридических лиц - резидентов должны соответствовать данным, указанным в едином государственном реестре юридических лиц (далее - ЕГРЮЛ).</w:t>
      </w:r>
    </w:p>
    <w:p>
      <w:pPr>
        <w:pStyle w:val="0"/>
        <w:spacing w:before="240" w:lineRule="auto"/>
        <w:ind w:firstLine="540"/>
        <w:jc w:val="both"/>
      </w:pPr>
      <w:r>
        <w:rPr>
          <w:sz w:val="24"/>
        </w:rPr>
        <w:t xml:space="preserve">Фамилия, имя и отчество (при наличии) индивидуальных предпринимателей - резидентов должны соответствовать данным, указанным в едином государственном реестре индивидуальных предпринимателей (далее - ЕГРИП).</w:t>
      </w:r>
    </w:p>
    <w:p>
      <w:pPr>
        <w:pStyle w:val="0"/>
        <w:spacing w:before="240" w:lineRule="auto"/>
        <w:ind w:firstLine="540"/>
        <w:jc w:val="both"/>
      </w:pPr>
      <w:r>
        <w:rPr>
          <w:sz w:val="24"/>
        </w:rPr>
        <w:t xml:space="preserve">Полное наименование юридического лица - нерезидента, фамилия, имя и отчество (при наличии) физического лица - нерезидента (в том числе зарегистрированного в качестве индивидуального предпринимателя в соответствии с законодательством иностранного государства) указываются на русском языке или в латинской транслитерации.</w:t>
      </w:r>
    </w:p>
    <w:p>
      <w:pPr>
        <w:pStyle w:val="0"/>
        <w:spacing w:before="240" w:lineRule="auto"/>
        <w:ind w:firstLine="540"/>
        <w:jc w:val="both"/>
      </w:pPr>
      <w:r>
        <w:rPr>
          <w:sz w:val="24"/>
        </w:rPr>
        <w:t xml:space="preserve">Полное наименование юридического лица - нерезидента указывается в соответствии с его учредительными документами.</w:t>
      </w:r>
    </w:p>
    <w:p>
      <w:pPr>
        <w:pStyle w:val="0"/>
        <w:spacing w:before="240" w:lineRule="auto"/>
        <w:ind w:firstLine="540"/>
        <w:jc w:val="both"/>
      </w:pPr>
      <w:r>
        <w:rPr>
          <w:sz w:val="24"/>
        </w:rPr>
        <w:t xml:space="preserve">Фамилия, имя и отчество (при наличии) физического лица (за исключением индивидуального предпринимателя - резидента) указываются в соответствии с документом, удостоверяющим личность.</w:t>
      </w:r>
    </w:p>
    <w:bookmarkStart w:id="54291" w:name="P54291"/>
    <w:bookmarkEnd w:id="54291"/>
    <w:p>
      <w:pPr>
        <w:pStyle w:val="0"/>
        <w:spacing w:before="240" w:lineRule="auto"/>
        <w:ind w:firstLine="540"/>
        <w:jc w:val="both"/>
      </w:pPr>
      <w:r>
        <w:rPr>
          <w:sz w:val="24"/>
        </w:rPr>
        <w:t xml:space="preserve">5. Для резидентов указывается идентификационный номер налогоплательщика (далее - ИНН): десятизначный для юридических лиц и двенадцатизначный для физических лиц (в том числе индивидуальных предпринимателей).</w:t>
      </w:r>
    </w:p>
    <w:p>
      <w:pPr>
        <w:pStyle w:val="0"/>
        <w:spacing w:before="240" w:lineRule="auto"/>
        <w:ind w:firstLine="540"/>
        <w:jc w:val="both"/>
      </w:pPr>
      <w:r>
        <w:rPr>
          <w:sz w:val="24"/>
        </w:rPr>
        <w:t xml:space="preserve">При отсутствии ИНН у физического лица - резидента, не являющегося индивидуальным предпринимателем, указываются двенадцать нулей.</w:t>
      </w:r>
    </w:p>
    <w:p>
      <w:pPr>
        <w:pStyle w:val="0"/>
        <w:spacing w:before="240" w:lineRule="auto"/>
        <w:ind w:firstLine="540"/>
        <w:jc w:val="both"/>
      </w:pPr>
      <w:r>
        <w:rPr>
          <w:sz w:val="24"/>
        </w:rPr>
        <w:t xml:space="preserve">ИНН юридических лиц - резидентов должен соответствовать данным, указанным в ЕГРЮЛ. ИНН индивидуальных предпринимателей - резидентов должен соответствовать данным, указанным в ЕГРИП.</w:t>
      </w:r>
    </w:p>
    <w:bookmarkStart w:id="54294" w:name="P54294"/>
    <w:bookmarkEnd w:id="54294"/>
    <w:p>
      <w:pPr>
        <w:pStyle w:val="0"/>
        <w:spacing w:before="240" w:lineRule="auto"/>
        <w:ind w:firstLine="540"/>
        <w:jc w:val="both"/>
      </w:pPr>
      <w:r>
        <w:rPr>
          <w:sz w:val="24"/>
        </w:rPr>
        <w:t xml:space="preserve">6. Для резидентов указывается тринадцатизначный основной государственный регистрационный номер (далее - ОГРН) или пятнадцатизначный основной государственный регистрационный номер индивидуального предпринимателя (далее - ОГРНИП). Для физических лиц - резидентов, не являющихся индивидуальными предпринимателями, в качестве ОГРНИП указываются пятнадцать нулей.</w:t>
      </w:r>
    </w:p>
    <w:p>
      <w:pPr>
        <w:pStyle w:val="0"/>
        <w:spacing w:before="240" w:lineRule="auto"/>
        <w:ind w:firstLine="540"/>
        <w:jc w:val="both"/>
      </w:pPr>
      <w:r>
        <w:rPr>
          <w:sz w:val="24"/>
        </w:rPr>
        <w:t xml:space="preserve">ОГРН должен соответствовать данным, указанным в ЕГРЮЛ. ОГРНИП должен соответствовать данным, указанным в ЕГРИП.</w:t>
      </w:r>
    </w:p>
    <w:bookmarkStart w:id="54296" w:name="P54296"/>
    <w:bookmarkEnd w:id="54296"/>
    <w:p>
      <w:pPr>
        <w:pStyle w:val="0"/>
        <w:spacing w:before="240" w:lineRule="auto"/>
        <w:ind w:firstLine="540"/>
        <w:jc w:val="both"/>
      </w:pPr>
      <w:r>
        <w:rPr>
          <w:sz w:val="24"/>
        </w:rPr>
        <w:t xml:space="preserve">7. Код страны указывается в соответствии с Общероссийским </w:t>
      </w:r>
      <w:hyperlink w:history="0" r:id="rId72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классификатором</w:t>
        </w:r>
      </w:hyperlink>
      <w:r>
        <w:rPr>
          <w:sz w:val="24"/>
        </w:rPr>
        <w:t xml:space="preserve"> стран мира (далее - ОКСМ):</w:t>
      </w:r>
    </w:p>
    <w:p>
      <w:pPr>
        <w:pStyle w:val="0"/>
        <w:spacing w:before="240" w:lineRule="auto"/>
        <w:ind w:firstLine="540"/>
        <w:jc w:val="both"/>
      </w:pPr>
      <w:r>
        <w:rPr>
          <w:sz w:val="24"/>
        </w:rPr>
        <w:t xml:space="preserve">для физического лица - трехзначный цифровой код страны по </w:t>
      </w:r>
      <w:hyperlink w:history="0" r:id="rId724"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гражданином (подданным) которой является физическое лицо. В случае наличия двойного гражданства указывается код страны, резидентом которой является физическое лицо, при отсутствии гражданства указывается значение "Лицо без гражданства";</w:t>
      </w:r>
    </w:p>
    <w:p>
      <w:pPr>
        <w:pStyle w:val="0"/>
        <w:spacing w:before="240" w:lineRule="auto"/>
        <w:ind w:firstLine="540"/>
        <w:jc w:val="both"/>
      </w:pPr>
      <w:r>
        <w:rPr>
          <w:sz w:val="24"/>
        </w:rPr>
        <w:t xml:space="preserve">для юридического лица - трехзначный цифровой код страны по </w:t>
      </w:r>
      <w:hyperlink w:history="0" r:id="rId72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в соответствии с законодательством которой создано юридическое лицо.</w:t>
      </w:r>
    </w:p>
    <w:p>
      <w:pPr>
        <w:pStyle w:val="0"/>
        <w:spacing w:before="240" w:lineRule="auto"/>
        <w:ind w:firstLine="540"/>
        <w:jc w:val="both"/>
      </w:pPr>
      <w:r>
        <w:rPr>
          <w:sz w:val="24"/>
        </w:rPr>
        <w:t xml:space="preserve">Для хозяйственных обществ со статусом международной компании, зарегистрированных в ЕГРЮЛ в порядке инкорпорации в соответствии со </w:t>
      </w:r>
      <w:hyperlink w:history="0" r:id="rId726"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от 3 августа 2018 года N 290-ФЗ "О международных компаниях и международных фондах" (далее - Федеральный закон N 290-ФЗ), и фондов, имеющих статус международного фонда, зарегистрированных в ЕГРЮЛ в порядке инкорпорации в соответствии со </w:t>
      </w:r>
      <w:hyperlink w:history="0" r:id="rId727"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указывается код 995.</w:t>
      </w:r>
    </w:p>
    <w:p>
      <w:pPr>
        <w:pStyle w:val="0"/>
        <w:spacing w:before="240" w:lineRule="auto"/>
        <w:ind w:firstLine="540"/>
        <w:jc w:val="both"/>
      </w:pPr>
      <w:r>
        <w:rPr>
          <w:sz w:val="24"/>
        </w:rPr>
        <w:t xml:space="preserve">Для хозяйственных обществ со статусом международной компании, зарегистрированных в ЕГРЮЛ в связи с изменением иностранным юридическим лицом личного закона в порядке редомициляции в соответствии со </w:t>
      </w:r>
      <w:hyperlink w:history="0" r:id="rId728"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и фондов, имеющих статус международного фонда, зарегистрированных в ЕГРЮЛ в связи с изменением иностранным юридическим лицом личного закона в порядке редомициляции в соответствии со </w:t>
      </w:r>
      <w:hyperlink w:history="0" r:id="rId729"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статьей 1</w:t>
        </w:r>
      </w:hyperlink>
      <w:r>
        <w:rPr>
          <w:sz w:val="24"/>
        </w:rPr>
        <w:t xml:space="preserve"> Федерального закона N 290-ФЗ, указывается код 996.</w:t>
      </w:r>
    </w:p>
    <w:p>
      <w:pPr>
        <w:pStyle w:val="0"/>
        <w:spacing w:before="240" w:lineRule="auto"/>
        <w:ind w:firstLine="540"/>
        <w:jc w:val="both"/>
      </w:pPr>
      <w:r>
        <w:rPr>
          <w:sz w:val="24"/>
        </w:rPr>
        <w:t xml:space="preserve">В случае если юридическое лицо является международной организацией (в том числе международной финансовой организацией, осуществляющей деятельность в сфере перестрахования), указывается код 998, но не код страны мира, где расположена данная организация.</w:t>
      </w:r>
    </w:p>
    <w:bookmarkStart w:id="54302" w:name="P54302"/>
    <w:bookmarkEnd w:id="54302"/>
    <w:p>
      <w:pPr>
        <w:pStyle w:val="0"/>
        <w:spacing w:before="240" w:lineRule="auto"/>
        <w:ind w:firstLine="540"/>
        <w:jc w:val="both"/>
      </w:pPr>
      <w:r>
        <w:rPr>
          <w:sz w:val="24"/>
        </w:rPr>
        <w:t xml:space="preserve">8. При указании адресов юридических лиц и физических лиц на территории Российской Федерации используется определенная последовательность написания адреса, соответствующая последовательности адресообразующих элементов в структуре адреса, предусмотренной </w:t>
      </w:r>
      <w:hyperlink w:history="0" r:id="rId730" w:tooltip="Постановление Правительства РФ от 19.11.2014 N 1221 (ред. от 07.04.2025) &quot;Об утверждении Правил присвоения, изменения и аннулирования адресов&quot; {КонсультантПлюс}">
        <w:r>
          <w:rPr>
            <w:sz w:val="24"/>
            <w:color w:val="0000ff"/>
          </w:rPr>
          <w:t xml:space="preserve">пунктом 44</w:t>
        </w:r>
      </w:hyperlink>
      <w:r>
        <w:rPr>
          <w:sz w:val="24"/>
        </w:rPr>
        <w:t xml:space="preserve"> Правил присвоения, изменения и аннулирования адресов, утвержденных постановлением Правительства Российской Федерации от 19 ноября 2014 года N 1221. Адресообразующие элементы указываются через символ "," (запятая) с отступом (пробелом).</w:t>
      </w:r>
    </w:p>
    <w:bookmarkStart w:id="54303" w:name="P54303"/>
    <w:bookmarkEnd w:id="54303"/>
    <w:p>
      <w:pPr>
        <w:pStyle w:val="0"/>
        <w:spacing w:before="240" w:lineRule="auto"/>
        <w:ind w:firstLine="540"/>
        <w:jc w:val="both"/>
      </w:pPr>
      <w:r>
        <w:rPr>
          <w:sz w:val="24"/>
        </w:rPr>
        <w:t xml:space="preserve">9. Код валюты и основная валюта указываются в соответствии с Общероссийским </w:t>
      </w:r>
      <w:hyperlink w:history="0" r:id="rId731" w:tooltip="&quot;ОК (МК (ИСО 4217) 003-97) 014-2000. Общероссийский классификатор валют&quot; (утв. Постановлением Госстандарта России от 25.12.2000 N 405-ст) (ред. от 14.07.2025) {КонсультантПлюс}">
        <w:r>
          <w:rPr>
            <w:sz w:val="24"/>
            <w:color w:val="0000ff"/>
          </w:rPr>
          <w:t xml:space="preserve">классификатором</w:t>
        </w:r>
      </w:hyperlink>
      <w:r>
        <w:rPr>
          <w:sz w:val="24"/>
        </w:rPr>
        <w:t xml:space="preserve"> валют - трехзначный цифровой код и трехбуквенный код (с использованием разделителя "-" (тире).</w:t>
      </w:r>
    </w:p>
    <w:bookmarkStart w:id="54304" w:name="P54304"/>
    <w:bookmarkEnd w:id="54304"/>
    <w:p>
      <w:pPr>
        <w:pStyle w:val="0"/>
        <w:spacing w:before="240" w:lineRule="auto"/>
        <w:ind w:firstLine="540"/>
        <w:jc w:val="both"/>
      </w:pPr>
      <w:r>
        <w:rPr>
          <w:sz w:val="24"/>
        </w:rPr>
        <w:t xml:space="preserve">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"Интернет" на основании </w:t>
      </w:r>
      <w:hyperlink w:history="0" r:id="rId73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абзаца четвертого пункта 4 статьи 28</w:t>
        </w:r>
      </w:hyperlink>
      <w:r>
        <w:rPr>
          <w:sz w:val="24"/>
        </w:rPr>
        <w:t xml:space="preserve"> Закона Российской Федерации от 27 ноября 1992 года N 4015-I "Об организации страхового дела в Российской Федерации" (далее - контрольные соотношения), до отправления отчетности в Банк России.</w:t>
      </w:r>
    </w:p>
    <w:p>
      <w:pPr>
        <w:pStyle w:val="0"/>
        <w:spacing w:before="240" w:lineRule="auto"/>
        <w:ind w:firstLine="540"/>
        <w:jc w:val="both"/>
      </w:pPr>
      <w:r>
        <w:rPr>
          <w:sz w:val="24"/>
        </w:rPr>
        <w:t xml:space="preserve">В случае если по результатам проверки страховщиком контрольных соотношений показателей отчетности выявлены расхождения, страховщик должен составить пояснения о причинах расхождений между показателями отчетности (далее - пояснения) в соответствии со следующей таблицей:</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551"/>
        <w:gridCol w:w="2324"/>
        <w:gridCol w:w="1361"/>
      </w:tblGrid>
      <w:tr>
        <w:tc>
          <w:tcPr>
            <w:tcW w:w="2835" w:type="dxa"/>
          </w:tcPr>
          <w:p>
            <w:pPr>
              <w:pStyle w:val="0"/>
              <w:jc w:val="center"/>
            </w:pPr>
            <w:r>
              <w:rPr>
                <w:sz w:val="24"/>
              </w:rPr>
              <w:t xml:space="preserve">Код формы отчетности по Общероссийскому </w:t>
            </w:r>
            <w:hyperlink w:history="0" r:id="rId733"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классификатору</w:t>
              </w:r>
            </w:hyperlink>
            <w:r>
              <w:rPr>
                <w:sz w:val="24"/>
              </w:rPr>
              <w:t xml:space="preserve"> управленческой документации, по которой выявлено расхождение</w:t>
            </w:r>
          </w:p>
        </w:tc>
        <w:tc>
          <w:tcPr>
            <w:tcW w:w="2551" w:type="dxa"/>
          </w:tcPr>
          <w:p>
            <w:pPr>
              <w:pStyle w:val="0"/>
              <w:jc w:val="center"/>
            </w:pPr>
            <w:r>
              <w:rPr>
                <w:sz w:val="24"/>
              </w:rPr>
              <w:t xml:space="preserve">Идентификатор контрольного соотношения, по результатам проверки которого выявлено расхождение</w:t>
            </w:r>
          </w:p>
        </w:tc>
        <w:tc>
          <w:tcPr>
            <w:tcW w:w="2324" w:type="dxa"/>
          </w:tcPr>
          <w:p>
            <w:pPr>
              <w:pStyle w:val="0"/>
              <w:jc w:val="center"/>
            </w:pPr>
            <w:r>
              <w:rPr>
                <w:sz w:val="24"/>
              </w:rPr>
              <w:t xml:space="preserve">Текст (сообщение) контрольного соотношения, по результатам проверки которого выявлено расхождение</w:t>
            </w:r>
          </w:p>
        </w:tc>
        <w:tc>
          <w:tcPr>
            <w:tcW w:w="1361" w:type="dxa"/>
          </w:tcPr>
          <w:p>
            <w:pPr>
              <w:pStyle w:val="0"/>
              <w:jc w:val="center"/>
            </w:pPr>
            <w:r>
              <w:rPr>
                <w:sz w:val="24"/>
              </w:rPr>
              <w:t xml:space="preserve">Пояснение</w:t>
            </w:r>
          </w:p>
        </w:tc>
      </w:tr>
      <w:tr>
        <w:tc>
          <w:tcPr>
            <w:tcW w:w="2835" w:type="dxa"/>
          </w:tcPr>
          <w:p>
            <w:pPr>
              <w:pStyle w:val="0"/>
              <w:jc w:val="center"/>
            </w:pPr>
            <w:r>
              <w:rPr>
                <w:sz w:val="24"/>
              </w:rPr>
              <w:t xml:space="preserve">1</w:t>
            </w:r>
          </w:p>
        </w:tc>
        <w:tc>
          <w:tcPr>
            <w:tcW w:w="2551" w:type="dxa"/>
          </w:tcPr>
          <w:p>
            <w:pPr>
              <w:pStyle w:val="0"/>
              <w:jc w:val="center"/>
            </w:pPr>
            <w:r>
              <w:rPr>
                <w:sz w:val="24"/>
              </w:rPr>
              <w:t xml:space="preserve">2</w:t>
            </w:r>
          </w:p>
        </w:tc>
        <w:tc>
          <w:tcPr>
            <w:tcW w:w="2324" w:type="dxa"/>
          </w:tcPr>
          <w:p>
            <w:pPr>
              <w:pStyle w:val="0"/>
              <w:jc w:val="center"/>
            </w:pPr>
            <w:r>
              <w:rPr>
                <w:sz w:val="24"/>
              </w:rPr>
              <w:t xml:space="preserve">3</w:t>
            </w:r>
          </w:p>
        </w:tc>
        <w:tc>
          <w:tcPr>
            <w:tcW w:w="1361" w:type="dxa"/>
          </w:tcPr>
          <w:p>
            <w:pPr>
              <w:pStyle w:val="0"/>
              <w:jc w:val="center"/>
            </w:pPr>
            <w:r>
              <w:rPr>
                <w:sz w:val="24"/>
              </w:rPr>
              <w:t xml:space="preserve">4</w:t>
            </w:r>
          </w:p>
        </w:tc>
      </w:tr>
      <w:tr>
        <w:tc>
          <w:tcPr>
            <w:tcW w:w="2835" w:type="dxa"/>
          </w:tcPr>
          <w:p>
            <w:pPr>
              <w:pStyle w:val="0"/>
            </w:pPr>
            <w:r>
              <w:rPr>
                <w:sz w:val="24"/>
              </w:rPr>
            </w:r>
          </w:p>
        </w:tc>
        <w:tc>
          <w:tcPr>
            <w:tcW w:w="2551" w:type="dxa"/>
          </w:tcPr>
          <w:p>
            <w:pPr>
              <w:pStyle w:val="0"/>
            </w:pPr>
            <w:r>
              <w:rPr>
                <w:sz w:val="24"/>
              </w:rPr>
            </w:r>
          </w:p>
        </w:tc>
        <w:tc>
          <w:tcPr>
            <w:tcW w:w="2324" w:type="dxa"/>
          </w:tcPr>
          <w:p>
            <w:pPr>
              <w:pStyle w:val="0"/>
            </w:pPr>
            <w:r>
              <w:rPr>
                <w:sz w:val="24"/>
              </w:rPr>
            </w:r>
          </w:p>
        </w:tc>
        <w:tc>
          <w:tcPr>
            <w:tcW w:w="1361" w:type="dxa"/>
          </w:tcPr>
          <w:p>
            <w:pPr>
              <w:pStyle w:val="0"/>
            </w:pPr>
            <w:r>
              <w:rPr>
                <w:sz w:val="24"/>
              </w:rPr>
            </w:r>
          </w:p>
        </w:tc>
      </w:tr>
    </w:tbl>
    <w:p>
      <w:pPr>
        <w:pStyle w:val="0"/>
        <w:ind w:firstLine="540"/>
        <w:jc w:val="both"/>
      </w:pPr>
      <w:r>
        <w:rPr>
          <w:sz w:val="24"/>
        </w:rPr>
      </w:r>
    </w:p>
    <w:p>
      <w:pPr>
        <w:pStyle w:val="0"/>
        <w:ind w:firstLine="540"/>
        <w:jc w:val="both"/>
      </w:pPr>
      <w:r>
        <w:rPr>
          <w:sz w:val="24"/>
        </w:rPr>
        <w:t xml:space="preserve">Пояснения должны содержать информацию, относящуюся к показателям отчетности, по которым имеются расхождения (в том числе выдержки из правил страхования, договоров, учетной политики и других внутренних документов страховщика, реквизиты документов Банка России).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2</w:t>
      </w:r>
    </w:p>
    <w:p>
      <w:pPr>
        <w:pStyle w:val="0"/>
        <w:jc w:val="right"/>
      </w:pPr>
      <w:r>
        <w:rPr>
          <w:sz w:val="24"/>
        </w:rPr>
        <w:t xml:space="preserve">к Указанию Банка России</w:t>
      </w:r>
    </w:p>
    <w:p>
      <w:pPr>
        <w:pStyle w:val="0"/>
        <w:jc w:val="right"/>
      </w:pPr>
      <w:r>
        <w:rPr>
          <w:sz w:val="24"/>
        </w:rPr>
        <w:t xml:space="preserve">от 30 июня 2025 года N 7124-У</w:t>
      </w:r>
    </w:p>
    <w:p>
      <w:pPr>
        <w:pStyle w:val="0"/>
        <w:jc w:val="right"/>
      </w:pPr>
      <w:r>
        <w:rPr>
          <w:sz w:val="24"/>
        </w:rPr>
        <w:t xml:space="preserve">"О формах, сроках и порядке составления</w:t>
      </w:r>
    </w:p>
    <w:p>
      <w:pPr>
        <w:pStyle w:val="0"/>
        <w:jc w:val="right"/>
      </w:pPr>
      <w:r>
        <w:rPr>
          <w:sz w:val="24"/>
        </w:rPr>
        <w:t xml:space="preserve">и представления в Банк России</w:t>
      </w:r>
    </w:p>
    <w:p>
      <w:pPr>
        <w:pStyle w:val="0"/>
        <w:jc w:val="right"/>
      </w:pPr>
      <w:r>
        <w:rPr>
          <w:sz w:val="24"/>
        </w:rPr>
        <w:t xml:space="preserve">отчетности страховщиков, о порядке</w:t>
      </w:r>
    </w:p>
    <w:p>
      <w:pPr>
        <w:pStyle w:val="0"/>
        <w:jc w:val="right"/>
      </w:pPr>
      <w:r>
        <w:rPr>
          <w:sz w:val="24"/>
        </w:rPr>
        <w:t xml:space="preserve">сообщения страховщиками Банку России</w:t>
      </w:r>
    </w:p>
    <w:p>
      <w:pPr>
        <w:pStyle w:val="0"/>
        <w:jc w:val="right"/>
      </w:pPr>
      <w:r>
        <w:rPr>
          <w:sz w:val="24"/>
        </w:rPr>
        <w:t xml:space="preserve">информации о лицах, которым поручено</w:t>
      </w:r>
    </w:p>
    <w:p>
      <w:pPr>
        <w:pStyle w:val="0"/>
        <w:jc w:val="right"/>
      </w:pPr>
      <w:r>
        <w:rPr>
          <w:sz w:val="24"/>
        </w:rPr>
        <w:t xml:space="preserve">проведение идентификации, упрощенной</w:t>
      </w:r>
    </w:p>
    <w:p>
      <w:pPr>
        <w:pStyle w:val="0"/>
        <w:jc w:val="right"/>
      </w:pPr>
      <w:r>
        <w:rPr>
          <w:sz w:val="24"/>
        </w:rPr>
        <w:t xml:space="preserve">идентификации, обновление информации</w:t>
      </w:r>
    </w:p>
    <w:p>
      <w:pPr>
        <w:pStyle w:val="0"/>
        <w:jc w:val="right"/>
      </w:pPr>
      <w:r>
        <w:rPr>
          <w:sz w:val="24"/>
        </w:rPr>
        <w:t xml:space="preserve">о клиентах, представителях клиентов,</w:t>
      </w:r>
    </w:p>
    <w:p>
      <w:pPr>
        <w:pStyle w:val="0"/>
        <w:jc w:val="right"/>
      </w:pPr>
      <w:r>
        <w:rPr>
          <w:sz w:val="24"/>
        </w:rPr>
        <w:t xml:space="preserve">выгодоприобретателях и бенефициарных</w:t>
      </w:r>
    </w:p>
    <w:p>
      <w:pPr>
        <w:pStyle w:val="0"/>
        <w:jc w:val="right"/>
      </w:pPr>
      <w:r>
        <w:rPr>
          <w:sz w:val="24"/>
        </w:rPr>
        <w:t xml:space="preserve">владельцах, о порядке сообщения</w:t>
      </w:r>
    </w:p>
    <w:p>
      <w:pPr>
        <w:pStyle w:val="0"/>
        <w:jc w:val="right"/>
      </w:pPr>
      <w:r>
        <w:rPr>
          <w:sz w:val="24"/>
        </w:rPr>
        <w:t xml:space="preserve">страховщиками в Банк России сведений</w:t>
      </w:r>
    </w:p>
    <w:p>
      <w:pPr>
        <w:pStyle w:val="0"/>
        <w:jc w:val="right"/>
      </w:pPr>
      <w:r>
        <w:rPr>
          <w:sz w:val="24"/>
        </w:rPr>
        <w:t xml:space="preserve">об опубликовании годовой бухгалтерской</w:t>
      </w:r>
    </w:p>
    <w:p>
      <w:pPr>
        <w:pStyle w:val="0"/>
        <w:jc w:val="right"/>
      </w:pPr>
      <w:r>
        <w:rPr>
          <w:sz w:val="24"/>
        </w:rPr>
        <w:t xml:space="preserve">(финансовой) отчетности страховщика,</w:t>
      </w:r>
    </w:p>
    <w:p>
      <w:pPr>
        <w:pStyle w:val="0"/>
        <w:jc w:val="right"/>
      </w:pPr>
      <w:r>
        <w:rPr>
          <w:sz w:val="24"/>
        </w:rPr>
        <w:t xml:space="preserve">а также о порядке и сроках представления</w:t>
      </w:r>
    </w:p>
    <w:p>
      <w:pPr>
        <w:pStyle w:val="0"/>
        <w:jc w:val="right"/>
      </w:pPr>
      <w:r>
        <w:rPr>
          <w:sz w:val="24"/>
        </w:rPr>
        <w:t xml:space="preserve">страховщиками в Банк России сведений</w:t>
      </w:r>
    </w:p>
    <w:p>
      <w:pPr>
        <w:pStyle w:val="0"/>
        <w:jc w:val="right"/>
      </w:pPr>
      <w:r>
        <w:rPr>
          <w:sz w:val="24"/>
        </w:rPr>
        <w:t xml:space="preserve">и документов в отношении их филиалов,</w:t>
      </w:r>
    </w:p>
    <w:p>
      <w:pPr>
        <w:pStyle w:val="0"/>
        <w:jc w:val="right"/>
      </w:pPr>
      <w:r>
        <w:rPr>
          <w:sz w:val="24"/>
        </w:rPr>
        <w:t xml:space="preserve">представительств и иных</w:t>
      </w:r>
    </w:p>
    <w:p>
      <w:pPr>
        <w:pStyle w:val="0"/>
        <w:jc w:val="right"/>
      </w:pPr>
      <w:r>
        <w:rPr>
          <w:sz w:val="24"/>
        </w:rPr>
        <w:t xml:space="preserve">обособленных подразделений"</w:t>
      </w:r>
    </w:p>
    <w:p>
      <w:pPr>
        <w:pStyle w:val="0"/>
        <w:jc w:val="both"/>
      </w:pPr>
      <w:r>
        <w:rPr>
          <w:sz w:val="24"/>
        </w:rPr>
      </w:r>
    </w:p>
    <w:bookmarkStart w:id="54348" w:name="P54348"/>
    <w:bookmarkEnd w:id="54348"/>
    <w:p>
      <w:pPr>
        <w:pStyle w:val="0"/>
        <w:jc w:val="center"/>
      </w:pPr>
      <w:r>
        <w:rPr>
          <w:sz w:val="24"/>
        </w:rPr>
        <w:t xml:space="preserve">ФОРМА СТАТИСТИЧЕСКОЙ ОТЧЕТНОСТИ</w:t>
      </w:r>
    </w:p>
    <w:p>
      <w:pPr>
        <w:pStyle w:val="0"/>
        <w:jc w:val="center"/>
      </w:pPr>
      <w:r>
        <w:rPr>
          <w:sz w:val="24"/>
        </w:rPr>
        <w:t xml:space="preserve">СТРАХОВЩИКА, ПОРЯДОК И СРОКИ ЕЕ СОСТАВЛЕНИЯ</w:t>
      </w:r>
    </w:p>
    <w:p>
      <w:pPr>
        <w:pStyle w:val="0"/>
        <w:jc w:val="both"/>
      </w:pPr>
      <w:r>
        <w:rPr>
          <w:sz w:val="24"/>
        </w:rPr>
      </w:r>
    </w:p>
    <w:bookmarkStart w:id="54351" w:name="P54351"/>
    <w:bookmarkEnd w:id="54351"/>
    <w:p>
      <w:pPr>
        <w:pStyle w:val="0"/>
        <w:outlineLvl w:val="1"/>
        <w:jc w:val="center"/>
      </w:pPr>
      <w:r>
        <w:rPr>
          <w:sz w:val="24"/>
        </w:rPr>
        <w:t xml:space="preserve">Часть I. Показатели формы статистической отчетности</w:t>
      </w:r>
    </w:p>
    <w:p>
      <w:pPr>
        <w:pStyle w:val="0"/>
        <w:jc w:val="center"/>
      </w:pPr>
      <w:r>
        <w:rPr>
          <w:sz w:val="24"/>
        </w:rPr>
        <w:t xml:space="preserve">страховщика, порядок и сроки ее составления</w:t>
      </w:r>
    </w:p>
    <w:p>
      <w:pPr>
        <w:pStyle w:val="0"/>
        <w:jc w:val="both"/>
      </w:pPr>
      <w:r>
        <w:rPr>
          <w:sz w:val="24"/>
        </w:rPr>
      </w:r>
    </w:p>
    <w:p>
      <w:pPr>
        <w:pStyle w:val="0"/>
        <w:outlineLvl w:val="2"/>
        <w:jc w:val="right"/>
      </w:pPr>
      <w:r>
        <w:rPr>
          <w:sz w:val="24"/>
        </w:rPr>
        <w:t xml:space="preserve">Форма</w:t>
      </w:r>
    </w:p>
    <w:p>
      <w:pPr>
        <w:pStyle w:val="0"/>
        <w:jc w:val="both"/>
      </w:pPr>
      <w:r>
        <w:rPr>
          <w:sz w:val="24"/>
        </w:rPr>
      </w:r>
    </w:p>
    <w:tbl>
      <w:tblPr>
        <w:tblInd w:w="0" w:type="dxa"/>
        <w:tblLayout w:type="fixed"/>
        <w:tblCellMar>
          <w:top w:w="102" w:type="dxa"/>
          <w:left w:w="62" w:type="dxa"/>
          <w:bottom w:w="102" w:type="dxa"/>
          <w:right w:w="62" w:type="dxa"/>
        </w:tblCellMar>
      </w:tblPr>
      <w:tblGrid>
        <w:gridCol w:w="9067"/>
      </w:tblGrid>
      <w:tr>
        <w:tc>
          <w:tcPr>
            <w:tcW w:w="9067" w:type="dxa"/>
            <w:tcBorders>
              <w:top w:val="nil"/>
              <w:left w:val="nil"/>
              <w:bottom w:val="nil"/>
              <w:right w:val="nil"/>
            </w:tcBorders>
          </w:tcPr>
          <w:bookmarkStart w:id="54356" w:name="P54356"/>
          <w:bookmarkEnd w:id="54356"/>
          <w:p>
            <w:pPr>
              <w:pStyle w:val="0"/>
              <w:jc w:val="center"/>
            </w:pPr>
            <w:r>
              <w:rPr>
                <w:sz w:val="24"/>
              </w:rPr>
              <w:t xml:space="preserve">Отчетность по форме 0420162</w:t>
            </w:r>
          </w:p>
          <w:p>
            <w:pPr>
              <w:pStyle w:val="0"/>
              <w:jc w:val="center"/>
            </w:pPr>
            <w:r>
              <w:rPr>
                <w:sz w:val="24"/>
              </w:rPr>
              <w:t xml:space="preserve">"Сведения о деятельности страховщика"</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67"/>
      </w:tblGrid>
      <w:tr>
        <w:tc>
          <w:tcPr>
            <w:tcW w:w="9067" w:type="dxa"/>
            <w:tcBorders>
              <w:top w:val="nil"/>
              <w:left w:val="nil"/>
              <w:bottom w:val="nil"/>
              <w:right w:val="nil"/>
            </w:tcBorders>
          </w:tcPr>
          <w:p>
            <w:pPr>
              <w:pStyle w:val="0"/>
              <w:jc w:val="right"/>
            </w:pPr>
            <w:r>
              <w:rPr>
                <w:sz w:val="24"/>
              </w:rPr>
              <w:t xml:space="preserve">Код формы по </w:t>
            </w:r>
            <w:hyperlink w:history="0" r:id="rId734"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54381" w:tooltip="&lt;1&gt; Общероссийский классификатор управленческой документации.">
              <w:r>
                <w:rPr>
                  <w:sz w:val="24"/>
                  <w:color w:val="0000ff"/>
                </w:rPr>
                <w:t xml:space="preserve">&lt;1&gt;</w:t>
              </w:r>
            </w:hyperlink>
            <w:r>
              <w:rPr>
                <w:sz w:val="24"/>
              </w:rPr>
              <w:t xml:space="preserve"> 0420162</w:t>
            </w:r>
          </w:p>
          <w:p>
            <w:pPr>
              <w:pStyle w:val="0"/>
              <w:jc w:val="right"/>
            </w:pPr>
            <w:r>
              <w:rPr>
                <w:sz w:val="24"/>
              </w:rPr>
              <w:t xml:space="preserve">Квартальная</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показателя</w:t>
            </w:r>
          </w:p>
        </w:tc>
        <w:tc>
          <w:tcPr>
            <w:tcW w:w="1814" w:type="dxa"/>
          </w:tcPr>
          <w:p>
            <w:pPr>
              <w:pStyle w:val="0"/>
              <w:jc w:val="center"/>
            </w:pPr>
            <w:r>
              <w:rPr>
                <w:sz w:val="24"/>
              </w:rPr>
              <w:t xml:space="preserve">Наименование группы аналитических признаков</w:t>
            </w:r>
          </w:p>
        </w:tc>
        <w:tc>
          <w:tcPr>
            <w:tcW w:w="3402" w:type="dxa"/>
          </w:tcPr>
          <w:p>
            <w:pPr>
              <w:pStyle w:val="0"/>
              <w:jc w:val="center"/>
            </w:pPr>
            <w:r>
              <w:rPr>
                <w:sz w:val="24"/>
              </w:rPr>
              <w:t xml:space="preserve">Код показателя, группы аналитических признаков</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bookmarkStart w:id="54368" w:name="P54368"/>
          <w:bookmarkEnd w:id="54368"/>
          <w:p>
            <w:pPr>
              <w:pStyle w:val="0"/>
              <w:jc w:val="center"/>
            </w:pPr>
            <w:r>
              <w:rPr>
                <w:sz w:val="24"/>
              </w:rPr>
              <w:t xml:space="preserve">3</w:t>
            </w:r>
          </w:p>
        </w:tc>
        <w:tc>
          <w:tcPr>
            <w:tcW w:w="3402" w:type="dxa"/>
          </w:tcPr>
          <w:p>
            <w:pPr>
              <w:pStyle w:val="0"/>
              <w:jc w:val="center"/>
            </w:pPr>
            <w:r>
              <w:rPr>
                <w:sz w:val="24"/>
              </w:rPr>
              <w:t xml:space="preserve">4</w:t>
            </w:r>
          </w:p>
        </w:tc>
      </w:tr>
      <w:tr>
        <w:tc>
          <w:tcPr>
            <w:gridSpan w:val="4"/>
            <w:tcW w:w="9071" w:type="dxa"/>
          </w:tcPr>
          <w:bookmarkStart w:id="54370" w:name="P54370"/>
          <w:bookmarkEnd w:id="54370"/>
          <w:p>
            <w:pPr>
              <w:pStyle w:val="0"/>
              <w:outlineLvl w:val="3"/>
            </w:pPr>
            <w:r>
              <w:rPr>
                <w:sz w:val="24"/>
              </w:rPr>
              <w:t xml:space="preserve">Раздел 1. Страхование</w:t>
            </w:r>
          </w:p>
        </w:tc>
      </w:tr>
      <w:tr>
        <w:tc>
          <w:tcPr>
            <w:tcW w:w="964" w:type="dxa"/>
          </w:tcPr>
          <w:bookmarkStart w:id="54371" w:name="P54371"/>
          <w:bookmarkEnd w:id="54371"/>
          <w:p>
            <w:pPr>
              <w:pStyle w:val="0"/>
            </w:pPr>
            <w:r>
              <w:rPr>
                <w:sz w:val="24"/>
              </w:rPr>
              <w:t xml:space="preserve">1</w:t>
            </w:r>
          </w:p>
        </w:tc>
        <w:tc>
          <w:tcPr>
            <w:tcW w:w="2891" w:type="dxa"/>
          </w:tcPr>
          <w:p>
            <w:pPr>
              <w:pStyle w:val="0"/>
            </w:pPr>
            <w:r>
              <w:rPr>
                <w:sz w:val="24"/>
              </w:rPr>
              <w:t xml:space="preserve">Страховые премии (взносы) по договорам страхования</w:t>
            </w:r>
          </w:p>
        </w:tc>
        <w:tc>
          <w:tcPr>
            <w:tcW w:w="1814" w:type="dxa"/>
          </w:tcPr>
          <w:p>
            <w:pPr>
              <w:pStyle w:val="0"/>
            </w:pPr>
            <w:r>
              <w:rPr>
                <w:sz w:val="24"/>
              </w:rPr>
            </w:r>
          </w:p>
        </w:tc>
        <w:tc>
          <w:tcPr>
            <w:tcW w:w="3402" w:type="dxa"/>
          </w:tcPr>
          <w:p>
            <w:pPr>
              <w:pStyle w:val="0"/>
            </w:pPr>
            <w:r>
              <w:rPr>
                <w:sz w:val="24"/>
              </w:rPr>
              <w:t xml:space="preserve">ins-dic:StrPremiIVznosyPoDogStrakh</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bl>
    <w:p>
      <w:pPr>
        <w:pStyle w:val="0"/>
        <w:jc w:val="both"/>
      </w:pPr>
      <w:r>
        <w:rPr>
          <w:sz w:val="24"/>
        </w:rPr>
      </w:r>
    </w:p>
    <w:p>
      <w:pPr>
        <w:pStyle w:val="0"/>
        <w:ind w:firstLine="540"/>
        <w:jc w:val="both"/>
      </w:pPr>
      <w:r>
        <w:rPr>
          <w:sz w:val="24"/>
        </w:rPr>
        <w:t xml:space="preserve">--------------------------------</w:t>
      </w:r>
    </w:p>
    <w:bookmarkStart w:id="54381" w:name="P54381"/>
    <w:bookmarkEnd w:id="54381"/>
    <w:p>
      <w:pPr>
        <w:pStyle w:val="0"/>
        <w:spacing w:before="240" w:lineRule="auto"/>
        <w:ind w:firstLine="540"/>
        <w:jc w:val="both"/>
      </w:pPr>
      <w:r>
        <w:rPr>
          <w:sz w:val="24"/>
        </w:rPr>
        <w:t xml:space="preserve">&lt;1&gt; Общероссийский </w:t>
      </w:r>
      <w:hyperlink w:history="0" r:id="rId73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345"/>
        <w:gridCol w:w="148"/>
        <w:gridCol w:w="408"/>
        <w:gridCol w:w="1990"/>
        <w:gridCol w:w="1814"/>
        <w:gridCol w:w="3402"/>
      </w:tblGrid>
      <w:tr>
        <w:tc>
          <w:tcPr>
            <w:tcW w:w="964" w:type="dxa"/>
          </w:tcPr>
          <w:p>
            <w:pPr>
              <w:pStyle w:val="0"/>
              <w:jc w:val="center"/>
            </w:pPr>
            <w:r>
              <w:rPr>
                <w:sz w:val="24"/>
              </w:rPr>
              <w:t xml:space="preserve">1</w:t>
            </w:r>
          </w:p>
        </w:tc>
        <w:tc>
          <w:tcPr>
            <w:gridSpan w:val="4"/>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419" w:name="P54419"/>
          <w:bookmarkEnd w:id="54419"/>
          <w:p>
            <w:pPr>
              <w:pStyle w:val="0"/>
            </w:pPr>
            <w:r>
              <w:rPr>
                <w:sz w:val="24"/>
              </w:rPr>
              <w:t xml:space="preserve">2</w:t>
            </w:r>
          </w:p>
        </w:tc>
        <w:tc>
          <w:tcPr>
            <w:gridSpan w:val="4"/>
            <w:tcW w:w="2891" w:type="dxa"/>
          </w:tcPr>
          <w:p>
            <w:pPr>
              <w:pStyle w:val="0"/>
            </w:pPr>
            <w:r>
              <w:rPr>
                <w:sz w:val="24"/>
              </w:rPr>
              <w:t xml:space="preserve">Страховые премии (взносы) по договорам страхования, заключенным в отчетном периоде (с учетом изменений)</w:t>
            </w:r>
          </w:p>
        </w:tc>
        <w:tc>
          <w:tcPr>
            <w:tcW w:w="1814" w:type="dxa"/>
          </w:tcPr>
          <w:p>
            <w:pPr>
              <w:pStyle w:val="0"/>
            </w:pPr>
            <w:r>
              <w:rPr>
                <w:sz w:val="24"/>
              </w:rPr>
            </w:r>
          </w:p>
        </w:tc>
        <w:tc>
          <w:tcPr>
            <w:tcW w:w="3402" w:type="dxa"/>
          </w:tcPr>
          <w:p>
            <w:pPr>
              <w:pStyle w:val="0"/>
            </w:pPr>
            <w:r>
              <w:rPr>
                <w:sz w:val="24"/>
              </w:rPr>
              <w:t xml:space="preserve">ins-dic:Strax_Prem_Dog_Strax_Zakl_Otch_Period</w:t>
            </w:r>
          </w:p>
        </w:tc>
      </w:tr>
      <w:tr>
        <w:tc>
          <w:tcPr>
            <w:tcW w:w="964" w:type="dxa"/>
          </w:tcPr>
          <w:p>
            <w:pPr>
              <w:pStyle w:val="0"/>
            </w:pPr>
            <w:r>
              <w:rPr>
                <w:sz w:val="24"/>
              </w:rPr>
              <w:t xml:space="preserve">2.1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4455" w:name="P54455"/>
          <w:bookmarkEnd w:id="54455"/>
          <w:p>
            <w:pPr>
              <w:pStyle w:val="0"/>
            </w:pPr>
            <w:r>
              <w:rPr>
                <w:sz w:val="24"/>
              </w:rPr>
              <w:t xml:space="preserve">3</w:t>
            </w:r>
          </w:p>
        </w:tc>
        <w:tc>
          <w:tcPr>
            <w:gridSpan w:val="4"/>
            <w:tcW w:w="2891" w:type="dxa"/>
          </w:tcPr>
          <w:p>
            <w:pPr>
              <w:pStyle w:val="0"/>
            </w:pPr>
            <w:r>
              <w:rPr>
                <w:sz w:val="24"/>
              </w:rPr>
              <w:t xml:space="preserve">Количество договоров страхования, заключенных в отчетном периоде</w:t>
            </w:r>
          </w:p>
        </w:tc>
        <w:tc>
          <w:tcPr>
            <w:tcW w:w="1814" w:type="dxa"/>
          </w:tcPr>
          <w:p>
            <w:pPr>
              <w:pStyle w:val="0"/>
            </w:pPr>
            <w:r>
              <w:rPr>
                <w:sz w:val="24"/>
              </w:rPr>
            </w:r>
          </w:p>
        </w:tc>
        <w:tc>
          <w:tcPr>
            <w:tcW w:w="3402" w:type="dxa"/>
          </w:tcPr>
          <w:p>
            <w:pPr>
              <w:pStyle w:val="0"/>
            </w:pPr>
            <w:r>
              <w:rPr>
                <w:sz w:val="24"/>
              </w:rPr>
              <w:t xml:space="preserve">ins-dic:Kolich_Dog_Strax_Zakl_Otch_Period</w:t>
            </w:r>
          </w:p>
        </w:tc>
      </w:tr>
      <w:tr>
        <w:tc>
          <w:tcPr>
            <w:tcW w:w="964" w:type="dxa"/>
          </w:tcPr>
          <w:p>
            <w:pPr>
              <w:pStyle w:val="0"/>
            </w:pPr>
            <w:r>
              <w:rPr>
                <w:sz w:val="24"/>
              </w:rPr>
              <w:t xml:space="preserve">3.1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3.6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3.8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3.9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495" w:name="P54495"/>
          <w:bookmarkEnd w:id="54495"/>
          <w:p>
            <w:pPr>
              <w:pStyle w:val="0"/>
            </w:pPr>
            <w:r>
              <w:rPr>
                <w:sz w:val="24"/>
              </w:rPr>
              <w:t xml:space="preserve">4</w:t>
            </w:r>
          </w:p>
        </w:tc>
        <w:tc>
          <w:tcPr>
            <w:gridSpan w:val="4"/>
            <w:tcW w:w="2891" w:type="dxa"/>
          </w:tcPr>
          <w:p>
            <w:pPr>
              <w:pStyle w:val="0"/>
            </w:pPr>
            <w:r>
              <w:rPr>
                <w:sz w:val="24"/>
              </w:rPr>
              <w:t xml:space="preserve">Страховая сумма по договорам страхования, заключенным в отчетном периоде (с учетом изменений)</w:t>
            </w:r>
          </w:p>
        </w:tc>
        <w:tc>
          <w:tcPr>
            <w:tcW w:w="1814" w:type="dxa"/>
          </w:tcPr>
          <w:p>
            <w:pPr>
              <w:pStyle w:val="0"/>
            </w:pPr>
            <w:r>
              <w:rPr>
                <w:sz w:val="24"/>
              </w:rPr>
            </w:r>
          </w:p>
        </w:tc>
        <w:tc>
          <w:tcPr>
            <w:tcW w:w="3402" w:type="dxa"/>
          </w:tcPr>
          <w:p>
            <w:pPr>
              <w:pStyle w:val="0"/>
            </w:pPr>
            <w:r>
              <w:rPr>
                <w:sz w:val="24"/>
              </w:rPr>
              <w:t xml:space="preserve">ins-dic:Strax_Summa_Dog_Strax_Zakl_Otch_Period</w:t>
            </w:r>
          </w:p>
        </w:tc>
      </w:tr>
      <w:tr>
        <w:tc>
          <w:tcPr>
            <w:tcW w:w="964" w:type="dxa"/>
          </w:tcPr>
          <w:p>
            <w:pPr>
              <w:pStyle w:val="0"/>
            </w:pPr>
            <w:r>
              <w:rPr>
                <w:sz w:val="24"/>
              </w:rPr>
              <w:t xml:space="preserve">4.1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4.2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4.3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4.4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4.5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4.6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4.7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4.8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4.9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535" w:name="P54535"/>
          <w:bookmarkEnd w:id="54535"/>
          <w:p>
            <w:pPr>
              <w:pStyle w:val="0"/>
            </w:pPr>
            <w:r>
              <w:rPr>
                <w:sz w:val="24"/>
              </w:rPr>
              <w:t xml:space="preserve">5</w:t>
            </w:r>
          </w:p>
        </w:tc>
        <w:tc>
          <w:tcPr>
            <w:gridSpan w:val="4"/>
            <w:tcW w:w="2891" w:type="dxa"/>
          </w:tcPr>
          <w:p>
            <w:pPr>
              <w:pStyle w:val="0"/>
            </w:pPr>
            <w:r>
              <w:rPr>
                <w:sz w:val="24"/>
              </w:rPr>
              <w:t xml:space="preserve">Число застрахованных по договорам страхования, заключенным в отчетном периоде (с учетом изменений)</w:t>
            </w:r>
          </w:p>
        </w:tc>
        <w:tc>
          <w:tcPr>
            <w:tcW w:w="1814" w:type="dxa"/>
          </w:tcPr>
          <w:p>
            <w:pPr>
              <w:pStyle w:val="0"/>
            </w:pPr>
            <w:r>
              <w:rPr>
                <w:sz w:val="24"/>
              </w:rPr>
            </w:r>
          </w:p>
        </w:tc>
        <w:tc>
          <w:tcPr>
            <w:tcW w:w="3402" w:type="dxa"/>
          </w:tcPr>
          <w:p>
            <w:pPr>
              <w:pStyle w:val="0"/>
            </w:pPr>
            <w:r>
              <w:rPr>
                <w:sz w:val="24"/>
              </w:rPr>
              <w:t xml:space="preserve">ins-dic:Chislozastrakhovannykhpodogstrakhzaklyuchennymvotchp</w:t>
            </w:r>
          </w:p>
        </w:tc>
      </w:tr>
      <w:tr>
        <w:tc>
          <w:tcPr>
            <w:tcW w:w="964" w:type="dxa"/>
          </w:tcPr>
          <w:p>
            <w:pPr>
              <w:pStyle w:val="0"/>
            </w:pPr>
            <w:r>
              <w:rPr>
                <w:sz w:val="24"/>
              </w:rPr>
              <w:t xml:space="preserve">5.1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5.2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5.3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5.4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5.5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5.6</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bookmarkStart w:id="54563" w:name="P54563"/>
          <w:bookmarkEnd w:id="54563"/>
          <w:p>
            <w:pPr>
              <w:pStyle w:val="0"/>
            </w:pPr>
            <w:r>
              <w:rPr>
                <w:sz w:val="24"/>
              </w:rPr>
              <w:t xml:space="preserve">6</w:t>
            </w:r>
          </w:p>
        </w:tc>
        <w:tc>
          <w:tcPr>
            <w:gridSpan w:val="4"/>
            <w:tcW w:w="2891" w:type="dxa"/>
          </w:tcPr>
          <w:p>
            <w:pPr>
              <w:pStyle w:val="0"/>
            </w:pPr>
            <w:r>
              <w:rPr>
                <w:sz w:val="24"/>
              </w:rPr>
              <w:t xml:space="preserve">Сумма возврата страховых премий (взносов)</w:t>
            </w:r>
          </w:p>
        </w:tc>
        <w:tc>
          <w:tcPr>
            <w:tcW w:w="1814" w:type="dxa"/>
          </w:tcPr>
          <w:p>
            <w:pPr>
              <w:pStyle w:val="0"/>
            </w:pPr>
            <w:r>
              <w:rPr>
                <w:sz w:val="24"/>
              </w:rPr>
            </w:r>
          </w:p>
        </w:tc>
        <w:tc>
          <w:tcPr>
            <w:tcW w:w="3402" w:type="dxa"/>
          </w:tcPr>
          <w:p>
            <w:pPr>
              <w:pStyle w:val="0"/>
            </w:pPr>
            <w:r>
              <w:rPr>
                <w:sz w:val="24"/>
              </w:rPr>
              <w:t xml:space="preserve">ins-dic:Summa_Vozvrata_Strakhovykh_Premij</w:t>
            </w:r>
          </w:p>
        </w:tc>
      </w:tr>
      <w:tr>
        <w:tc>
          <w:tcPr>
            <w:tcW w:w="964" w:type="dxa"/>
          </w:tcPr>
          <w:p>
            <w:pPr>
              <w:pStyle w:val="0"/>
            </w:pPr>
            <w:r>
              <w:rPr>
                <w:sz w:val="24"/>
              </w:rPr>
              <w:t xml:space="preserve">6.1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6.2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6.3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6.4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6.5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6.6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6.7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6.8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4599" w:name="P54599"/>
          <w:bookmarkEnd w:id="54599"/>
          <w:p>
            <w:pPr>
              <w:pStyle w:val="0"/>
            </w:pPr>
            <w:r>
              <w:rPr>
                <w:sz w:val="24"/>
              </w:rPr>
              <w:t xml:space="preserve">7</w:t>
            </w:r>
          </w:p>
        </w:tc>
        <w:tc>
          <w:tcPr>
            <w:gridSpan w:val="4"/>
            <w:tcW w:w="2891" w:type="dxa"/>
          </w:tcPr>
          <w:p>
            <w:pPr>
              <w:pStyle w:val="0"/>
            </w:pPr>
            <w:r>
              <w:rPr>
                <w:sz w:val="24"/>
              </w:rPr>
              <w:t xml:space="preserve">Количество договоров страхования, по которым в отчетном периоде осуществлен возврат страховых премий (взносов)</w:t>
            </w:r>
          </w:p>
        </w:tc>
        <w:tc>
          <w:tcPr>
            <w:tcW w:w="1814" w:type="dxa"/>
          </w:tcPr>
          <w:p>
            <w:pPr>
              <w:pStyle w:val="0"/>
            </w:pPr>
            <w:r>
              <w:rPr>
                <w:sz w:val="24"/>
              </w:rPr>
            </w:r>
          </w:p>
        </w:tc>
        <w:tc>
          <w:tcPr>
            <w:tcW w:w="3402" w:type="dxa"/>
          </w:tcPr>
          <w:p>
            <w:pPr>
              <w:pStyle w:val="0"/>
            </w:pPr>
            <w:r>
              <w:rPr>
                <w:sz w:val="24"/>
              </w:rPr>
              <w:t xml:space="preserve">ins-dic:Kolich_Dog_Vozvr_Strax_Prem</w:t>
            </w:r>
          </w:p>
        </w:tc>
      </w:tr>
      <w:tr>
        <w:tc>
          <w:tcPr>
            <w:tcW w:w="964" w:type="dxa"/>
          </w:tcPr>
          <w:p>
            <w:pPr>
              <w:pStyle w:val="0"/>
            </w:pPr>
            <w:r>
              <w:rPr>
                <w:sz w:val="24"/>
              </w:rPr>
              <w:t xml:space="preserve">7.1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7.2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7.3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7.4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7.5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7.6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7.7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7.8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4635" w:name="P54635"/>
          <w:bookmarkEnd w:id="54635"/>
          <w:p>
            <w:pPr>
              <w:pStyle w:val="0"/>
            </w:pPr>
            <w:r>
              <w:rPr>
                <w:sz w:val="24"/>
              </w:rPr>
              <w:t xml:space="preserve">8</w:t>
            </w:r>
          </w:p>
        </w:tc>
        <w:tc>
          <w:tcPr>
            <w:gridSpan w:val="4"/>
            <w:tcW w:w="2891" w:type="dxa"/>
          </w:tcPr>
          <w:p>
            <w:pPr>
              <w:pStyle w:val="0"/>
            </w:pPr>
            <w:r>
              <w:rPr>
                <w:sz w:val="24"/>
              </w:rPr>
              <w:t xml:space="preserve">Сумма возврата страховых премий (взносов) в случае отказа страхователя от договора в "период охлаждения"</w:t>
            </w:r>
          </w:p>
        </w:tc>
        <w:tc>
          <w:tcPr>
            <w:tcW w:w="1814" w:type="dxa"/>
          </w:tcPr>
          <w:p>
            <w:pPr>
              <w:pStyle w:val="0"/>
            </w:pPr>
            <w:r>
              <w:rPr>
                <w:sz w:val="24"/>
              </w:rPr>
            </w:r>
          </w:p>
        </w:tc>
        <w:tc>
          <w:tcPr>
            <w:tcW w:w="3402" w:type="dxa"/>
          </w:tcPr>
          <w:p>
            <w:pPr>
              <w:pStyle w:val="0"/>
            </w:pPr>
            <w:r>
              <w:rPr>
                <w:sz w:val="24"/>
              </w:rPr>
              <w:t xml:space="preserve">ins-dic:SumVozvStrPrVSluchOtkazStraxovOtDogVPerOxlazhdeniya</w:t>
            </w:r>
          </w:p>
        </w:tc>
      </w:tr>
      <w:tr>
        <w:tc>
          <w:tcPr>
            <w:tcW w:w="964" w:type="dxa"/>
          </w:tcPr>
          <w:p>
            <w:pPr>
              <w:pStyle w:val="0"/>
            </w:pPr>
            <w:r>
              <w:rPr>
                <w:sz w:val="24"/>
              </w:rPr>
              <w:t xml:space="preserve">8.1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8.2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8.3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8.4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8.5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8.6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bookmarkStart w:id="54663" w:name="P54663"/>
          <w:bookmarkEnd w:id="54663"/>
          <w:p>
            <w:pPr>
              <w:pStyle w:val="0"/>
            </w:pPr>
            <w:r>
              <w:rPr>
                <w:sz w:val="24"/>
              </w:rPr>
              <w:t xml:space="preserve">9</w:t>
            </w:r>
          </w:p>
        </w:tc>
        <w:tc>
          <w:tcPr>
            <w:gridSpan w:val="4"/>
            <w:tcW w:w="2891" w:type="dxa"/>
          </w:tcPr>
          <w:p>
            <w:pPr>
              <w:pStyle w:val="0"/>
            </w:pPr>
            <w:r>
              <w:rPr>
                <w:sz w:val="24"/>
              </w:rPr>
              <w:t xml:space="preserve">Количество договоров страхования, по которым в отчетном периоде осуществлен возврат страховых премий (взносов) в случае отказа страхователя от договора в "период охлаждения"</w:t>
            </w:r>
          </w:p>
        </w:tc>
        <w:tc>
          <w:tcPr>
            <w:tcW w:w="1814" w:type="dxa"/>
          </w:tcPr>
          <w:p>
            <w:pPr>
              <w:pStyle w:val="0"/>
            </w:pPr>
            <w:r>
              <w:rPr>
                <w:sz w:val="24"/>
              </w:rPr>
            </w:r>
          </w:p>
        </w:tc>
        <w:tc>
          <w:tcPr>
            <w:tcW w:w="3402" w:type="dxa"/>
          </w:tcPr>
          <w:p>
            <w:pPr>
              <w:pStyle w:val="0"/>
            </w:pPr>
            <w:r>
              <w:rPr>
                <w:sz w:val="24"/>
              </w:rPr>
              <w:t xml:space="preserve">ins-dic:KolDogStrVOtPerOsushhVozvStrPrVSluchOtkStrOtDogVPerOxl</w:t>
            </w:r>
          </w:p>
        </w:tc>
      </w:tr>
      <w:tr>
        <w:tc>
          <w:tcPr>
            <w:tcW w:w="964" w:type="dxa"/>
          </w:tcPr>
          <w:p>
            <w:pPr>
              <w:pStyle w:val="0"/>
            </w:pPr>
            <w:r>
              <w:rPr>
                <w:sz w:val="24"/>
              </w:rPr>
              <w:t xml:space="preserve">9.1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9.2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9.3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9.4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9.5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9.6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bookmarkStart w:id="54691" w:name="P54691"/>
          <w:bookmarkEnd w:id="54691"/>
          <w:p>
            <w:pPr>
              <w:pStyle w:val="0"/>
            </w:pPr>
            <w:r>
              <w:rPr>
                <w:sz w:val="24"/>
              </w:rPr>
              <w:t xml:space="preserve">10</w:t>
            </w:r>
          </w:p>
        </w:tc>
        <w:tc>
          <w:tcPr>
            <w:gridSpan w:val="4"/>
            <w:tcW w:w="2891" w:type="dxa"/>
          </w:tcPr>
          <w:p>
            <w:pPr>
              <w:pStyle w:val="0"/>
            </w:pPr>
            <w:r>
              <w:rPr>
                <w:sz w:val="24"/>
              </w:rPr>
              <w:t xml:space="preserve">Количество договоров страхования, действовавших на конец отчетного периода</w:t>
            </w:r>
          </w:p>
        </w:tc>
        <w:tc>
          <w:tcPr>
            <w:tcW w:w="1814" w:type="dxa"/>
          </w:tcPr>
          <w:p>
            <w:pPr>
              <w:pStyle w:val="0"/>
            </w:pPr>
            <w:r>
              <w:rPr>
                <w:sz w:val="24"/>
              </w:rPr>
            </w:r>
          </w:p>
        </w:tc>
        <w:tc>
          <w:tcPr>
            <w:tcW w:w="3402" w:type="dxa"/>
          </w:tcPr>
          <w:p>
            <w:pPr>
              <w:pStyle w:val="0"/>
            </w:pPr>
            <w:r>
              <w:rPr>
                <w:sz w:val="24"/>
              </w:rPr>
              <w:t xml:space="preserve">ins-dic:Kolich_Dog_Strax_Dejstv_Kon_Otch_Period</w:t>
            </w:r>
          </w:p>
        </w:tc>
      </w:tr>
      <w:tr>
        <w:tc>
          <w:tcPr>
            <w:tcW w:w="964" w:type="dxa"/>
          </w:tcPr>
          <w:p>
            <w:pPr>
              <w:pStyle w:val="0"/>
            </w:pPr>
            <w:r>
              <w:rPr>
                <w:sz w:val="24"/>
              </w:rPr>
              <w:t xml:space="preserve">10.1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10.2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10.6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10.8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10.9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731" w:name="P54731"/>
          <w:bookmarkEnd w:id="54731"/>
          <w:p>
            <w:pPr>
              <w:pStyle w:val="0"/>
            </w:pPr>
            <w:r>
              <w:rPr>
                <w:sz w:val="24"/>
              </w:rPr>
              <w:t xml:space="preserve">11</w:t>
            </w:r>
          </w:p>
        </w:tc>
        <w:tc>
          <w:tcPr>
            <w:gridSpan w:val="4"/>
            <w:tcW w:w="2891" w:type="dxa"/>
          </w:tcPr>
          <w:p>
            <w:pPr>
              <w:pStyle w:val="0"/>
            </w:pPr>
            <w:r>
              <w:rPr>
                <w:sz w:val="24"/>
              </w:rPr>
              <w:t xml:space="preserve">Страховая сумма по договорам страхования, действовавшим на конец отчетного периода</w:t>
            </w:r>
          </w:p>
        </w:tc>
        <w:tc>
          <w:tcPr>
            <w:tcW w:w="1814" w:type="dxa"/>
          </w:tcPr>
          <w:p>
            <w:pPr>
              <w:pStyle w:val="0"/>
            </w:pPr>
            <w:r>
              <w:rPr>
                <w:sz w:val="24"/>
              </w:rPr>
            </w:r>
          </w:p>
        </w:tc>
        <w:tc>
          <w:tcPr>
            <w:tcW w:w="3402" w:type="dxa"/>
          </w:tcPr>
          <w:p>
            <w:pPr>
              <w:pStyle w:val="0"/>
            </w:pPr>
            <w:r>
              <w:rPr>
                <w:sz w:val="24"/>
              </w:rPr>
              <w:t xml:space="preserve">ins-dic:Strax_Summa_Dog_Strax_Dejstv_Kon_Otch_Period</w:t>
            </w:r>
          </w:p>
        </w:tc>
      </w:tr>
      <w:tr>
        <w:tc>
          <w:tcPr>
            <w:tcW w:w="964" w:type="dxa"/>
          </w:tcPr>
          <w:p>
            <w:pPr>
              <w:pStyle w:val="0"/>
            </w:pPr>
            <w:r>
              <w:rPr>
                <w:sz w:val="24"/>
              </w:rPr>
              <w:t xml:space="preserve">11.1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11.2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11.6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11.9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771" w:name="P54771"/>
          <w:bookmarkEnd w:id="54771"/>
          <w:p>
            <w:pPr>
              <w:pStyle w:val="0"/>
            </w:pPr>
            <w:r>
              <w:rPr>
                <w:sz w:val="24"/>
              </w:rPr>
              <w:t xml:space="preserve">12</w:t>
            </w:r>
          </w:p>
        </w:tc>
        <w:tc>
          <w:tcPr>
            <w:gridSpan w:val="4"/>
            <w:tcW w:w="2891" w:type="dxa"/>
          </w:tcPr>
          <w:p>
            <w:pPr>
              <w:pStyle w:val="0"/>
            </w:pPr>
            <w:r>
              <w:rPr>
                <w:sz w:val="24"/>
              </w:rPr>
              <w:t xml:space="preserve">Число застрахованных по договорам страхования, действовавшим на конец отчетного периода</w:t>
            </w:r>
          </w:p>
        </w:tc>
        <w:tc>
          <w:tcPr>
            <w:tcW w:w="1814" w:type="dxa"/>
          </w:tcPr>
          <w:p>
            <w:pPr>
              <w:pStyle w:val="0"/>
            </w:pPr>
            <w:r>
              <w:rPr>
                <w:sz w:val="24"/>
              </w:rPr>
            </w:r>
          </w:p>
        </w:tc>
        <w:tc>
          <w:tcPr>
            <w:tcW w:w="3402" w:type="dxa"/>
          </w:tcPr>
          <w:p>
            <w:pPr>
              <w:pStyle w:val="0"/>
            </w:pPr>
            <w:r>
              <w:rPr>
                <w:sz w:val="24"/>
              </w:rPr>
              <w:t xml:space="preserve">ins-dic:Chislo_Zastrakhovannykh_Po_Dog_Strakh_Dejstvovavshimnakonotchp</w:t>
            </w:r>
          </w:p>
        </w:tc>
      </w:tr>
      <w:tr>
        <w:tc>
          <w:tcPr>
            <w:tcW w:w="964" w:type="dxa"/>
          </w:tcPr>
          <w:p>
            <w:pPr>
              <w:pStyle w:val="0"/>
            </w:pPr>
            <w:r>
              <w:rPr>
                <w:sz w:val="24"/>
              </w:rPr>
              <w:t xml:space="preserve">12.1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12.2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12.3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12.4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12.5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12.6</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bookmarkStart w:id="54799" w:name="P54799"/>
          <w:bookmarkEnd w:id="54799"/>
          <w:p>
            <w:pPr>
              <w:pStyle w:val="0"/>
            </w:pPr>
            <w:r>
              <w:rPr>
                <w:sz w:val="24"/>
              </w:rPr>
              <w:t xml:space="preserve">13</w:t>
            </w:r>
          </w:p>
        </w:tc>
        <w:tc>
          <w:tcPr>
            <w:gridSpan w:val="4"/>
            <w:tcW w:w="2891" w:type="dxa"/>
          </w:tcPr>
          <w:p>
            <w:pPr>
              <w:pStyle w:val="0"/>
            </w:pPr>
            <w:r>
              <w:rPr>
                <w:sz w:val="24"/>
              </w:rPr>
              <w:t xml:space="preserve">Количество заявленных страховых случаев</w:t>
            </w:r>
          </w:p>
        </w:tc>
        <w:tc>
          <w:tcPr>
            <w:tcW w:w="1814" w:type="dxa"/>
          </w:tcPr>
          <w:p>
            <w:pPr>
              <w:pStyle w:val="0"/>
            </w:pPr>
            <w:r>
              <w:rPr>
                <w:sz w:val="24"/>
              </w:rPr>
            </w:r>
          </w:p>
        </w:tc>
        <w:tc>
          <w:tcPr>
            <w:tcW w:w="3402" w:type="dxa"/>
          </w:tcPr>
          <w:p>
            <w:pPr>
              <w:pStyle w:val="0"/>
            </w:pPr>
            <w:r>
              <w:rPr>
                <w:sz w:val="24"/>
              </w:rPr>
              <w:t xml:space="preserve">ins-dic:KolZayavStrSluch</w:t>
            </w:r>
          </w:p>
        </w:tc>
      </w:tr>
      <w:tr>
        <w:tc>
          <w:tcPr>
            <w:tcW w:w="964" w:type="dxa"/>
          </w:tcPr>
          <w:p>
            <w:pPr>
              <w:pStyle w:val="0"/>
            </w:pPr>
            <w:r>
              <w:rPr>
                <w:sz w:val="24"/>
              </w:rPr>
              <w:t xml:space="preserve">13.1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13.2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13.3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13.4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13.5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13.6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13.7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13.8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13.9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839" w:name="P54839"/>
          <w:bookmarkEnd w:id="54839"/>
          <w:p>
            <w:pPr>
              <w:pStyle w:val="0"/>
            </w:pPr>
            <w:r>
              <w:rPr>
                <w:sz w:val="24"/>
              </w:rPr>
              <w:t xml:space="preserve">14</w:t>
            </w:r>
          </w:p>
        </w:tc>
        <w:tc>
          <w:tcPr>
            <w:gridSpan w:val="4"/>
            <w:tcW w:w="2891" w:type="dxa"/>
          </w:tcPr>
          <w:p>
            <w:pPr>
              <w:pStyle w:val="0"/>
            </w:pPr>
            <w:r>
              <w:rPr>
                <w:sz w:val="24"/>
              </w:rPr>
              <w:t xml:space="preserve">Количество урегулированных страховых случаев: осуществлены окончательные страховые выплаты</w:t>
            </w:r>
          </w:p>
        </w:tc>
        <w:tc>
          <w:tcPr>
            <w:tcW w:w="1814" w:type="dxa"/>
          </w:tcPr>
          <w:p>
            <w:pPr>
              <w:pStyle w:val="0"/>
            </w:pPr>
            <w:r>
              <w:rPr>
                <w:sz w:val="24"/>
              </w:rPr>
            </w:r>
          </w:p>
        </w:tc>
        <w:tc>
          <w:tcPr>
            <w:tcW w:w="3402" w:type="dxa"/>
          </w:tcPr>
          <w:p>
            <w:pPr>
              <w:pStyle w:val="0"/>
            </w:pPr>
            <w:r>
              <w:rPr>
                <w:sz w:val="24"/>
              </w:rPr>
              <w:t xml:space="preserve">ins-dic:KolUregStrSluch</w:t>
            </w:r>
          </w:p>
        </w:tc>
      </w:tr>
      <w:tr>
        <w:tc>
          <w:tcPr>
            <w:tcW w:w="964" w:type="dxa"/>
          </w:tcPr>
          <w:p>
            <w:pPr>
              <w:pStyle w:val="0"/>
            </w:pPr>
            <w:r>
              <w:rPr>
                <w:sz w:val="24"/>
              </w:rPr>
              <w:t xml:space="preserve">14.1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14.2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14.3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14.4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14.5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14.6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14.7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14.8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14.9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879" w:name="P54879"/>
          <w:bookmarkEnd w:id="54879"/>
          <w:p>
            <w:pPr>
              <w:pStyle w:val="0"/>
            </w:pPr>
            <w:r>
              <w:rPr>
                <w:sz w:val="24"/>
              </w:rPr>
              <w:t xml:space="preserve">15</w:t>
            </w:r>
          </w:p>
        </w:tc>
        <w:tc>
          <w:tcPr>
            <w:gridSpan w:val="4"/>
            <w:tcW w:w="2891" w:type="dxa"/>
          </w:tcPr>
          <w:p>
            <w:pPr>
              <w:pStyle w:val="0"/>
            </w:pPr>
            <w:r>
              <w:rPr>
                <w:sz w:val="24"/>
              </w:rPr>
              <w:t xml:space="preserve">Количество урегулированных страховых случаев: даны отказы в страховых выплатах</w:t>
            </w:r>
          </w:p>
        </w:tc>
        <w:tc>
          <w:tcPr>
            <w:tcW w:w="1814" w:type="dxa"/>
          </w:tcPr>
          <w:p>
            <w:pPr>
              <w:pStyle w:val="0"/>
            </w:pPr>
            <w:r>
              <w:rPr>
                <w:sz w:val="24"/>
              </w:rPr>
            </w:r>
          </w:p>
        </w:tc>
        <w:tc>
          <w:tcPr>
            <w:tcW w:w="3402" w:type="dxa"/>
          </w:tcPr>
          <w:p>
            <w:pPr>
              <w:pStyle w:val="0"/>
            </w:pPr>
            <w:r>
              <w:rPr>
                <w:sz w:val="24"/>
              </w:rPr>
              <w:t xml:space="preserve">ins-dic:KolUregStrSluchOtkaz</w:t>
            </w:r>
          </w:p>
        </w:tc>
      </w:tr>
      <w:tr>
        <w:tc>
          <w:tcPr>
            <w:tcW w:w="964" w:type="dxa"/>
          </w:tcPr>
          <w:p>
            <w:pPr>
              <w:pStyle w:val="0"/>
            </w:pPr>
            <w:r>
              <w:rPr>
                <w:sz w:val="24"/>
              </w:rPr>
              <w:t xml:space="preserve">15.1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15.2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15.3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15.4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15.5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15.6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15.7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15.8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15.9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919" w:name="P54919"/>
          <w:bookmarkEnd w:id="54919"/>
          <w:p>
            <w:pPr>
              <w:pStyle w:val="0"/>
            </w:pPr>
            <w:r>
              <w:rPr>
                <w:sz w:val="24"/>
              </w:rPr>
              <w:t xml:space="preserve">16</w:t>
            </w:r>
          </w:p>
        </w:tc>
        <w:tc>
          <w:tcPr>
            <w:gridSpan w:val="4"/>
            <w:tcW w:w="2891" w:type="dxa"/>
          </w:tcPr>
          <w:p>
            <w:pPr>
              <w:pStyle w:val="0"/>
            </w:pPr>
            <w:r>
              <w:rPr>
                <w:sz w:val="24"/>
              </w:rPr>
              <w:t xml:space="preserve">Количество заявленных страховых случаев (взаимодействие в электронной форме)</w:t>
            </w:r>
          </w:p>
        </w:tc>
        <w:tc>
          <w:tcPr>
            <w:tcW w:w="1814" w:type="dxa"/>
          </w:tcPr>
          <w:p>
            <w:pPr>
              <w:pStyle w:val="0"/>
            </w:pPr>
            <w:r>
              <w:rPr>
                <w:sz w:val="24"/>
              </w:rPr>
            </w:r>
          </w:p>
        </w:tc>
        <w:tc>
          <w:tcPr>
            <w:tcW w:w="3402" w:type="dxa"/>
          </w:tcPr>
          <w:p>
            <w:pPr>
              <w:pStyle w:val="0"/>
            </w:pPr>
            <w:r>
              <w:rPr>
                <w:sz w:val="24"/>
              </w:rPr>
              <w:t xml:space="preserve">ins-dic:KolZayavStrSluch_Vz_v_El_Forme</w:t>
            </w:r>
          </w:p>
        </w:tc>
      </w:tr>
      <w:tr>
        <w:tc>
          <w:tcPr>
            <w:tcW w:w="964" w:type="dxa"/>
          </w:tcPr>
          <w:p>
            <w:pPr>
              <w:pStyle w:val="0"/>
            </w:pPr>
            <w:r>
              <w:rPr>
                <w:sz w:val="24"/>
              </w:rPr>
              <w:t xml:space="preserve">16.1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16.2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16.3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16.4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16.5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16.6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16.7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16.8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16.9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959" w:name="P54959"/>
          <w:bookmarkEnd w:id="54959"/>
          <w:p>
            <w:pPr>
              <w:pStyle w:val="0"/>
            </w:pPr>
            <w:r>
              <w:rPr>
                <w:sz w:val="24"/>
              </w:rPr>
              <w:t xml:space="preserve">17</w:t>
            </w:r>
          </w:p>
        </w:tc>
        <w:tc>
          <w:tcPr>
            <w:gridSpan w:val="4"/>
            <w:tcW w:w="2891" w:type="dxa"/>
          </w:tcPr>
          <w:p>
            <w:pPr>
              <w:pStyle w:val="0"/>
            </w:pPr>
            <w:r>
              <w:rPr>
                <w:sz w:val="24"/>
              </w:rPr>
              <w:t xml:space="preserve">Количество урегулированных страховых случаев: осуществлены окончательные страховые выплаты (взаимодействие в электронной форме)</w:t>
            </w:r>
          </w:p>
        </w:tc>
        <w:tc>
          <w:tcPr>
            <w:tcW w:w="1814" w:type="dxa"/>
          </w:tcPr>
          <w:p>
            <w:pPr>
              <w:pStyle w:val="0"/>
            </w:pPr>
            <w:r>
              <w:rPr>
                <w:sz w:val="24"/>
              </w:rPr>
            </w:r>
          </w:p>
        </w:tc>
        <w:tc>
          <w:tcPr>
            <w:tcW w:w="3402" w:type="dxa"/>
          </w:tcPr>
          <w:p>
            <w:pPr>
              <w:pStyle w:val="0"/>
            </w:pPr>
            <w:r>
              <w:rPr>
                <w:sz w:val="24"/>
              </w:rPr>
              <w:t xml:space="preserve">ins-dic:KolUregStrSluch_Vz_v_El_Forme</w:t>
            </w:r>
          </w:p>
        </w:tc>
      </w:tr>
      <w:tr>
        <w:tc>
          <w:tcPr>
            <w:tcW w:w="964" w:type="dxa"/>
          </w:tcPr>
          <w:p>
            <w:pPr>
              <w:pStyle w:val="0"/>
            </w:pPr>
            <w:r>
              <w:rPr>
                <w:sz w:val="24"/>
              </w:rPr>
              <w:t xml:space="preserve">17.1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17.2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17.3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17.4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17.5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17.6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17.7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17.8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17.9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4999" w:name="P54999"/>
          <w:bookmarkEnd w:id="54999"/>
          <w:p>
            <w:pPr>
              <w:pStyle w:val="0"/>
            </w:pPr>
            <w:r>
              <w:rPr>
                <w:sz w:val="24"/>
              </w:rPr>
              <w:t xml:space="preserve">18</w:t>
            </w:r>
          </w:p>
        </w:tc>
        <w:tc>
          <w:tcPr>
            <w:gridSpan w:val="4"/>
            <w:tcW w:w="2891" w:type="dxa"/>
          </w:tcPr>
          <w:p>
            <w:pPr>
              <w:pStyle w:val="0"/>
            </w:pPr>
            <w:r>
              <w:rPr>
                <w:sz w:val="24"/>
              </w:rPr>
              <w:t xml:space="preserve">Количество урегулированных страховых случаев: даны отказы в страховых выплатах (взаимодействие в электронной форме)</w:t>
            </w:r>
          </w:p>
        </w:tc>
        <w:tc>
          <w:tcPr>
            <w:tcW w:w="1814" w:type="dxa"/>
          </w:tcPr>
          <w:p>
            <w:pPr>
              <w:pStyle w:val="0"/>
            </w:pPr>
            <w:r>
              <w:rPr>
                <w:sz w:val="24"/>
              </w:rPr>
            </w:r>
          </w:p>
        </w:tc>
        <w:tc>
          <w:tcPr>
            <w:tcW w:w="3402" w:type="dxa"/>
          </w:tcPr>
          <w:p>
            <w:pPr>
              <w:pStyle w:val="0"/>
            </w:pPr>
            <w:r>
              <w:rPr>
                <w:sz w:val="24"/>
              </w:rPr>
              <w:t xml:space="preserve">ins-dic:KolUregStrSluchOtkaz_Vz_v_El_Forme</w:t>
            </w:r>
          </w:p>
        </w:tc>
      </w:tr>
      <w:tr>
        <w:tc>
          <w:tcPr>
            <w:tcW w:w="964" w:type="dxa"/>
          </w:tcPr>
          <w:p>
            <w:pPr>
              <w:pStyle w:val="0"/>
            </w:pPr>
            <w:r>
              <w:rPr>
                <w:sz w:val="24"/>
              </w:rPr>
              <w:t xml:space="preserve">18.1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18.2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18.3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18.4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18.5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18.6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18.7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18.8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18.9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5039" w:name="P55039"/>
          <w:bookmarkEnd w:id="55039"/>
          <w:p>
            <w:pPr>
              <w:pStyle w:val="0"/>
            </w:pPr>
            <w:r>
              <w:rPr>
                <w:sz w:val="24"/>
              </w:rPr>
              <w:t xml:space="preserve">19</w:t>
            </w:r>
          </w:p>
        </w:tc>
        <w:tc>
          <w:tcPr>
            <w:gridSpan w:val="4"/>
            <w:tcW w:w="2891" w:type="dxa"/>
          </w:tcPr>
          <w:p>
            <w:pPr>
              <w:pStyle w:val="0"/>
            </w:pPr>
            <w:r>
              <w:rPr>
                <w:sz w:val="24"/>
              </w:rPr>
              <w:t xml:space="preserve">Заявленная сумма по отказам в страховой выплате</w:t>
            </w:r>
          </w:p>
        </w:tc>
        <w:tc>
          <w:tcPr>
            <w:tcW w:w="1814" w:type="dxa"/>
          </w:tcPr>
          <w:p>
            <w:pPr>
              <w:pStyle w:val="0"/>
            </w:pPr>
            <w:r>
              <w:rPr>
                <w:sz w:val="24"/>
              </w:rPr>
            </w:r>
          </w:p>
        </w:tc>
        <w:tc>
          <w:tcPr>
            <w:tcW w:w="3402" w:type="dxa"/>
          </w:tcPr>
          <w:p>
            <w:pPr>
              <w:pStyle w:val="0"/>
            </w:pPr>
            <w:r>
              <w:rPr>
                <w:sz w:val="24"/>
              </w:rPr>
              <w:t xml:space="preserve">ins-dic:ZayavlSumOtkStrVypl</w:t>
            </w:r>
          </w:p>
        </w:tc>
      </w:tr>
      <w:tr>
        <w:tc>
          <w:tcPr>
            <w:tcW w:w="964" w:type="dxa"/>
          </w:tcPr>
          <w:p>
            <w:pPr>
              <w:pStyle w:val="0"/>
            </w:pPr>
            <w:r>
              <w:rPr>
                <w:sz w:val="24"/>
              </w:rPr>
              <w:t xml:space="preserve">19.1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19.2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051" w:name="P55051"/>
          <w:bookmarkEnd w:id="55051"/>
          <w:p>
            <w:pPr>
              <w:pStyle w:val="0"/>
            </w:pPr>
            <w:r>
              <w:rPr>
                <w:sz w:val="24"/>
              </w:rPr>
              <w:t xml:space="preserve">20</w:t>
            </w:r>
          </w:p>
        </w:tc>
        <w:tc>
          <w:tcPr>
            <w:gridSpan w:val="4"/>
            <w:tcW w:w="2891" w:type="dxa"/>
          </w:tcPr>
          <w:p>
            <w:pPr>
              <w:pStyle w:val="0"/>
            </w:pPr>
            <w:r>
              <w:rPr>
                <w:sz w:val="24"/>
              </w:rPr>
              <w:t xml:space="preserve">Сумма по неурегулированным страховым случаям на конец отчетного периода</w:t>
            </w:r>
          </w:p>
        </w:tc>
        <w:tc>
          <w:tcPr>
            <w:tcW w:w="1814" w:type="dxa"/>
          </w:tcPr>
          <w:p>
            <w:pPr>
              <w:pStyle w:val="0"/>
            </w:pPr>
            <w:r>
              <w:rPr>
                <w:sz w:val="24"/>
              </w:rPr>
            </w:r>
          </w:p>
        </w:tc>
        <w:tc>
          <w:tcPr>
            <w:tcW w:w="3402" w:type="dxa"/>
          </w:tcPr>
          <w:p>
            <w:pPr>
              <w:pStyle w:val="0"/>
            </w:pPr>
            <w:r>
              <w:rPr>
                <w:sz w:val="24"/>
              </w:rPr>
              <w:t xml:space="preserve">ins-dic:Summa_Po_Neuregulirovannym_Strakh_Sluch_Na_Konets_Otch_Perioda</w:t>
            </w:r>
          </w:p>
        </w:tc>
      </w:tr>
      <w:tr>
        <w:tc>
          <w:tcPr>
            <w:tcW w:w="964" w:type="dxa"/>
          </w:tcPr>
          <w:p>
            <w:pPr>
              <w:pStyle w:val="0"/>
            </w:pPr>
            <w:r>
              <w:rPr>
                <w:sz w:val="24"/>
              </w:rPr>
              <w:t xml:space="preserve">20.1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20.2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20.3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20.4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20.5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20.6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20.7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20.8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087" w:name="P55087"/>
          <w:bookmarkEnd w:id="55087"/>
          <w:p>
            <w:pPr>
              <w:pStyle w:val="0"/>
            </w:pPr>
            <w:r>
              <w:rPr>
                <w:sz w:val="24"/>
              </w:rPr>
              <w:t xml:space="preserve">21</w:t>
            </w:r>
          </w:p>
        </w:tc>
        <w:tc>
          <w:tcPr>
            <w:gridSpan w:val="4"/>
            <w:tcW w:w="2891" w:type="dxa"/>
          </w:tcPr>
          <w:p>
            <w:pPr>
              <w:pStyle w:val="0"/>
            </w:pPr>
            <w:r>
              <w:rPr>
                <w:sz w:val="24"/>
              </w:rPr>
              <w:t xml:space="preserve">Количество неурегулированных страховых случаев на конец отчетного периода</w:t>
            </w:r>
          </w:p>
        </w:tc>
        <w:tc>
          <w:tcPr>
            <w:tcW w:w="1814" w:type="dxa"/>
          </w:tcPr>
          <w:p>
            <w:pPr>
              <w:pStyle w:val="0"/>
            </w:pPr>
            <w:r>
              <w:rPr>
                <w:sz w:val="24"/>
              </w:rPr>
            </w:r>
          </w:p>
        </w:tc>
        <w:tc>
          <w:tcPr>
            <w:tcW w:w="3402" w:type="dxa"/>
          </w:tcPr>
          <w:p>
            <w:pPr>
              <w:pStyle w:val="0"/>
            </w:pPr>
            <w:r>
              <w:rPr>
                <w:sz w:val="24"/>
              </w:rPr>
              <w:t xml:space="preserve">ins-dic:Kolichestvo_Neuregulirovainnykh_Strakhovykh_Sluchaevnakonotchp</w:t>
            </w:r>
          </w:p>
        </w:tc>
      </w:tr>
      <w:tr>
        <w:tc>
          <w:tcPr>
            <w:tcW w:w="964" w:type="dxa"/>
          </w:tcPr>
          <w:p>
            <w:pPr>
              <w:pStyle w:val="0"/>
            </w:pPr>
            <w:r>
              <w:rPr>
                <w:sz w:val="24"/>
              </w:rPr>
              <w:t xml:space="preserve">21.1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21.2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21.3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21.4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21.5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21.6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21.7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21.8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123" w:name="P55123"/>
          <w:bookmarkEnd w:id="55123"/>
          <w:p>
            <w:pPr>
              <w:pStyle w:val="0"/>
            </w:pPr>
            <w:r>
              <w:rPr>
                <w:sz w:val="24"/>
              </w:rPr>
              <w:t xml:space="preserve">22</w:t>
            </w:r>
          </w:p>
        </w:tc>
        <w:tc>
          <w:tcPr>
            <w:gridSpan w:val="4"/>
            <w:tcW w:w="2891" w:type="dxa"/>
          </w:tcPr>
          <w:p>
            <w:pPr>
              <w:pStyle w:val="0"/>
            </w:pPr>
            <w:r>
              <w:rPr>
                <w:sz w:val="24"/>
              </w:rPr>
              <w:t xml:space="preserve">Сумма страховых выплат</w:t>
            </w:r>
          </w:p>
        </w:tc>
        <w:tc>
          <w:tcPr>
            <w:tcW w:w="1814" w:type="dxa"/>
          </w:tcPr>
          <w:p>
            <w:pPr>
              <w:pStyle w:val="0"/>
            </w:pPr>
            <w:r>
              <w:rPr>
                <w:sz w:val="24"/>
              </w:rPr>
            </w:r>
          </w:p>
        </w:tc>
        <w:tc>
          <w:tcPr>
            <w:tcW w:w="3402" w:type="dxa"/>
          </w:tcPr>
          <w:p>
            <w:pPr>
              <w:pStyle w:val="0"/>
            </w:pPr>
            <w:r>
              <w:rPr>
                <w:sz w:val="24"/>
              </w:rPr>
              <w:t xml:space="preserve">ins-dic:Summa_Po_Strakhovym_Vyplatam_Vsego</w:t>
            </w:r>
          </w:p>
        </w:tc>
      </w:tr>
      <w:tr>
        <w:tc>
          <w:tcPr>
            <w:tcW w:w="964" w:type="dxa"/>
          </w:tcPr>
          <w:p>
            <w:pPr>
              <w:pStyle w:val="0"/>
            </w:pPr>
            <w:r>
              <w:rPr>
                <w:sz w:val="24"/>
              </w:rPr>
              <w:t xml:space="preserve">22.1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22.2</w:t>
            </w:r>
          </w:p>
        </w:tc>
        <w:tc>
          <w:tcPr>
            <w:gridSpan w:val="4"/>
            <w:tcW w:w="2891" w:type="dxa"/>
          </w:tcPr>
          <w:p>
            <w:pPr>
              <w:pStyle w:val="0"/>
            </w:pPr>
            <w:r>
              <w:rPr>
                <w:sz w:val="24"/>
              </w:rPr>
            </w:r>
          </w:p>
        </w:tc>
        <w:tc>
          <w:tcPr>
            <w:tcW w:w="1814" w:type="dxa"/>
          </w:tcPr>
          <w:p>
            <w:pPr>
              <w:pStyle w:val="0"/>
            </w:pPr>
            <w:r>
              <w:rPr>
                <w:sz w:val="24"/>
              </w:rPr>
              <w:t xml:space="preserve">Виды страховых случаев</w:t>
            </w:r>
          </w:p>
        </w:tc>
        <w:tc>
          <w:tcPr>
            <w:tcW w:w="3402" w:type="dxa"/>
          </w:tcPr>
          <w:p>
            <w:pPr>
              <w:pStyle w:val="0"/>
            </w:pPr>
            <w:r>
              <w:rPr>
                <w:sz w:val="24"/>
              </w:rPr>
              <w:t xml:space="preserve">dim-int:Vidy_Strax_Sluch_Axis</w:t>
            </w:r>
          </w:p>
        </w:tc>
      </w:tr>
      <w:tr>
        <w:tc>
          <w:tcPr>
            <w:tcW w:w="964" w:type="dxa"/>
          </w:tcPr>
          <w:p>
            <w:pPr>
              <w:pStyle w:val="0"/>
            </w:pPr>
            <w:r>
              <w:rPr>
                <w:sz w:val="24"/>
              </w:rPr>
              <w:t xml:space="preserve">22.3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22.4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22.5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22.6</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22.7</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22.8</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22.9</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22.10</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p>
            <w:pPr>
              <w:pStyle w:val="0"/>
            </w:pPr>
            <w:r>
              <w:rPr>
                <w:sz w:val="24"/>
              </w:rPr>
              <w:t xml:space="preserve">22.11</w:t>
            </w:r>
          </w:p>
        </w:tc>
        <w:tc>
          <w:tcPr>
            <w:gridSpan w:val="4"/>
            <w:tcW w:w="2891" w:type="dxa"/>
          </w:tcPr>
          <w:p>
            <w:pPr>
              <w:pStyle w:val="0"/>
            </w:pPr>
            <w:r>
              <w:rPr>
                <w:sz w:val="24"/>
              </w:rPr>
            </w:r>
          </w:p>
        </w:tc>
        <w:tc>
          <w:tcPr>
            <w:tcW w:w="1814" w:type="dxa"/>
          </w:tcPr>
          <w:p>
            <w:pPr>
              <w:pStyle w:val="0"/>
            </w:pPr>
            <w:r>
              <w:rPr>
                <w:sz w:val="24"/>
              </w:rPr>
              <w:t xml:space="preserve">Тип взаимодействия</w:t>
            </w:r>
          </w:p>
        </w:tc>
        <w:tc>
          <w:tcPr>
            <w:tcW w:w="3402" w:type="dxa"/>
          </w:tcPr>
          <w:p>
            <w:pPr>
              <w:pStyle w:val="0"/>
            </w:pPr>
            <w:r>
              <w:rPr>
                <w:sz w:val="24"/>
              </w:rPr>
              <w:t xml:space="preserve">dim-int:TipVzaimodejstviyaAxis</w:t>
            </w:r>
          </w:p>
        </w:tc>
      </w:tr>
      <w:tr>
        <w:tc>
          <w:tcPr>
            <w:tcW w:w="964" w:type="dxa"/>
          </w:tcPr>
          <w:p>
            <w:pPr>
              <w:pStyle w:val="0"/>
            </w:pPr>
            <w:r>
              <w:rPr>
                <w:sz w:val="24"/>
              </w:rPr>
              <w:t xml:space="preserve">22.12</w:t>
            </w:r>
          </w:p>
        </w:tc>
        <w:tc>
          <w:tcPr>
            <w:gridSpan w:val="4"/>
            <w:tcW w:w="2891" w:type="dxa"/>
          </w:tcPr>
          <w:p>
            <w:pPr>
              <w:pStyle w:val="0"/>
            </w:pPr>
            <w:r>
              <w:rPr>
                <w:sz w:val="24"/>
              </w:rPr>
            </w:r>
          </w:p>
        </w:tc>
        <w:tc>
          <w:tcPr>
            <w:tcW w:w="1814" w:type="dxa"/>
          </w:tcPr>
          <w:p>
            <w:pPr>
              <w:pStyle w:val="0"/>
            </w:pPr>
            <w:r>
              <w:rPr>
                <w:sz w:val="24"/>
              </w:rPr>
              <w:t xml:space="preserve">Тип возмещения</w:t>
            </w:r>
          </w:p>
        </w:tc>
        <w:tc>
          <w:tcPr>
            <w:tcW w:w="3402" w:type="dxa"/>
          </w:tcPr>
          <w:p>
            <w:pPr>
              <w:pStyle w:val="0"/>
            </w:pPr>
            <w:r>
              <w:rPr>
                <w:sz w:val="24"/>
              </w:rPr>
              <w:t xml:space="preserve">dim-int:TipVozmeshheniyaAxis</w:t>
            </w:r>
          </w:p>
        </w:tc>
      </w:tr>
      <w:tr>
        <w:tc>
          <w:tcPr>
            <w:tcW w:w="964" w:type="dxa"/>
          </w:tcPr>
          <w:bookmarkStart w:id="55175" w:name="P55175"/>
          <w:bookmarkEnd w:id="55175"/>
          <w:p>
            <w:pPr>
              <w:pStyle w:val="0"/>
            </w:pPr>
            <w:r>
              <w:rPr>
                <w:sz w:val="24"/>
              </w:rPr>
              <w:t xml:space="preserve">23</w:t>
            </w:r>
          </w:p>
        </w:tc>
        <w:tc>
          <w:tcPr>
            <w:gridSpan w:val="4"/>
            <w:tcW w:w="2891" w:type="dxa"/>
          </w:tcPr>
          <w:p>
            <w:pPr>
              <w:pStyle w:val="0"/>
            </w:pPr>
            <w:r>
              <w:rPr>
                <w:sz w:val="24"/>
              </w:rPr>
              <w:t xml:space="preserve">Количество страховых выплат</w:t>
            </w:r>
          </w:p>
        </w:tc>
        <w:tc>
          <w:tcPr>
            <w:tcW w:w="1814" w:type="dxa"/>
          </w:tcPr>
          <w:p>
            <w:pPr>
              <w:pStyle w:val="0"/>
            </w:pPr>
            <w:r>
              <w:rPr>
                <w:sz w:val="24"/>
              </w:rPr>
            </w:r>
          </w:p>
        </w:tc>
        <w:tc>
          <w:tcPr>
            <w:tcW w:w="3402" w:type="dxa"/>
          </w:tcPr>
          <w:p>
            <w:pPr>
              <w:pStyle w:val="0"/>
            </w:pPr>
            <w:r>
              <w:rPr>
                <w:sz w:val="24"/>
              </w:rPr>
              <w:t xml:space="preserve">ins-dic:Kolich_Strax_Vypl</w:t>
            </w:r>
          </w:p>
        </w:tc>
      </w:tr>
      <w:tr>
        <w:tc>
          <w:tcPr>
            <w:tcW w:w="964" w:type="dxa"/>
          </w:tcPr>
          <w:p>
            <w:pPr>
              <w:pStyle w:val="0"/>
            </w:pPr>
            <w:r>
              <w:rPr>
                <w:sz w:val="24"/>
              </w:rPr>
              <w:t xml:space="preserve">23.1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23.2</w:t>
            </w:r>
          </w:p>
        </w:tc>
        <w:tc>
          <w:tcPr>
            <w:gridSpan w:val="4"/>
            <w:tcW w:w="2891" w:type="dxa"/>
          </w:tcPr>
          <w:p>
            <w:pPr>
              <w:pStyle w:val="0"/>
            </w:pPr>
            <w:r>
              <w:rPr>
                <w:sz w:val="24"/>
              </w:rPr>
            </w:r>
          </w:p>
        </w:tc>
        <w:tc>
          <w:tcPr>
            <w:tcW w:w="1814" w:type="dxa"/>
          </w:tcPr>
          <w:p>
            <w:pPr>
              <w:pStyle w:val="0"/>
            </w:pPr>
            <w:r>
              <w:rPr>
                <w:sz w:val="24"/>
              </w:rPr>
              <w:t xml:space="preserve">Виды страховых случаев</w:t>
            </w:r>
          </w:p>
        </w:tc>
        <w:tc>
          <w:tcPr>
            <w:tcW w:w="3402" w:type="dxa"/>
          </w:tcPr>
          <w:p>
            <w:pPr>
              <w:pStyle w:val="0"/>
            </w:pPr>
            <w:r>
              <w:rPr>
                <w:sz w:val="24"/>
              </w:rPr>
              <w:t xml:space="preserve">dim-int:Vidy_Strax_Sluch_Axis</w:t>
            </w:r>
          </w:p>
        </w:tc>
      </w:tr>
      <w:tr>
        <w:tc>
          <w:tcPr>
            <w:tcW w:w="964" w:type="dxa"/>
          </w:tcPr>
          <w:p>
            <w:pPr>
              <w:pStyle w:val="0"/>
            </w:pPr>
            <w:r>
              <w:rPr>
                <w:sz w:val="24"/>
              </w:rPr>
              <w:t xml:space="preserve">23.3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23.4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23.5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23.6</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23.7</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23.8</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23.9</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23.10</w:t>
            </w:r>
          </w:p>
        </w:tc>
        <w:tc>
          <w:tcPr>
            <w:gridSpan w:val="4"/>
            <w:tcW w:w="2891" w:type="dxa"/>
          </w:tcPr>
          <w:p>
            <w:pPr>
              <w:pStyle w:val="0"/>
            </w:pPr>
            <w:r>
              <w:rPr>
                <w:sz w:val="24"/>
              </w:rPr>
            </w:r>
          </w:p>
        </w:tc>
        <w:tc>
          <w:tcPr>
            <w:tcW w:w="1814" w:type="dxa"/>
          </w:tcPr>
          <w:p>
            <w:pPr>
              <w:pStyle w:val="0"/>
            </w:pPr>
            <w:r>
              <w:rPr>
                <w:sz w:val="24"/>
              </w:rPr>
              <w:t xml:space="preserve">Тип взаимодействия</w:t>
            </w:r>
          </w:p>
        </w:tc>
        <w:tc>
          <w:tcPr>
            <w:tcW w:w="3402" w:type="dxa"/>
          </w:tcPr>
          <w:p>
            <w:pPr>
              <w:pStyle w:val="0"/>
            </w:pPr>
            <w:r>
              <w:rPr>
                <w:sz w:val="24"/>
              </w:rPr>
              <w:t xml:space="preserve">dim-int:TipVzaimodejstviyaAxis</w:t>
            </w:r>
          </w:p>
        </w:tc>
      </w:tr>
      <w:tr>
        <w:tc>
          <w:tcPr>
            <w:tcW w:w="964" w:type="dxa"/>
          </w:tcPr>
          <w:p>
            <w:pPr>
              <w:pStyle w:val="0"/>
            </w:pPr>
            <w:r>
              <w:rPr>
                <w:sz w:val="24"/>
              </w:rPr>
              <w:t xml:space="preserve">23.11</w:t>
            </w:r>
          </w:p>
        </w:tc>
        <w:tc>
          <w:tcPr>
            <w:gridSpan w:val="4"/>
            <w:tcW w:w="2891" w:type="dxa"/>
          </w:tcPr>
          <w:p>
            <w:pPr>
              <w:pStyle w:val="0"/>
            </w:pPr>
            <w:r>
              <w:rPr>
                <w:sz w:val="24"/>
              </w:rPr>
            </w:r>
          </w:p>
        </w:tc>
        <w:tc>
          <w:tcPr>
            <w:tcW w:w="1814" w:type="dxa"/>
          </w:tcPr>
          <w:p>
            <w:pPr>
              <w:pStyle w:val="0"/>
            </w:pPr>
            <w:r>
              <w:rPr>
                <w:sz w:val="24"/>
              </w:rPr>
              <w:t xml:space="preserve">Тип возмещения</w:t>
            </w:r>
          </w:p>
        </w:tc>
        <w:tc>
          <w:tcPr>
            <w:tcW w:w="3402" w:type="dxa"/>
          </w:tcPr>
          <w:p>
            <w:pPr>
              <w:pStyle w:val="0"/>
            </w:pPr>
            <w:r>
              <w:rPr>
                <w:sz w:val="24"/>
              </w:rPr>
              <w:t xml:space="preserve">dim-int:TipVozmeshheniyaAxis</w:t>
            </w:r>
          </w:p>
        </w:tc>
      </w:tr>
      <w:tr>
        <w:tc>
          <w:tcPr>
            <w:tcW w:w="964" w:type="dxa"/>
          </w:tcPr>
          <w:bookmarkStart w:id="55223" w:name="P55223"/>
          <w:bookmarkEnd w:id="55223"/>
          <w:p>
            <w:pPr>
              <w:pStyle w:val="0"/>
            </w:pPr>
            <w:r>
              <w:rPr>
                <w:sz w:val="24"/>
              </w:rPr>
              <w:t xml:space="preserve">24</w:t>
            </w:r>
          </w:p>
        </w:tc>
        <w:tc>
          <w:tcPr>
            <w:gridSpan w:val="4"/>
            <w:tcW w:w="2891" w:type="dxa"/>
          </w:tcPr>
          <w:p>
            <w:pPr>
              <w:pStyle w:val="0"/>
            </w:pPr>
            <w:r>
              <w:rPr>
                <w:sz w:val="24"/>
              </w:rPr>
              <w:t xml:space="preserve">Страховые выплаты на основании решения суда</w:t>
            </w:r>
          </w:p>
        </w:tc>
        <w:tc>
          <w:tcPr>
            <w:tcW w:w="1814" w:type="dxa"/>
          </w:tcPr>
          <w:p>
            <w:pPr>
              <w:pStyle w:val="0"/>
            </w:pPr>
            <w:r>
              <w:rPr>
                <w:sz w:val="24"/>
              </w:rPr>
            </w:r>
          </w:p>
        </w:tc>
        <w:tc>
          <w:tcPr>
            <w:tcW w:w="3402" w:type="dxa"/>
          </w:tcPr>
          <w:p>
            <w:pPr>
              <w:pStyle w:val="0"/>
            </w:pPr>
            <w:r>
              <w:rPr>
                <w:sz w:val="24"/>
              </w:rPr>
              <w:t xml:space="preserve">ins-dic:StrVyplNaOsnReshSud</w:t>
            </w:r>
          </w:p>
        </w:tc>
      </w:tr>
      <w:tr>
        <w:tc>
          <w:tcPr>
            <w:tcW w:w="964" w:type="dxa"/>
          </w:tcPr>
          <w:p>
            <w:pPr>
              <w:pStyle w:val="0"/>
            </w:pPr>
            <w:r>
              <w:rPr>
                <w:sz w:val="24"/>
              </w:rPr>
              <w:t xml:space="preserve">24.1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24.2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24.3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24.4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24.5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24.6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24.7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24.8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24.9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5263" w:name="P55263"/>
          <w:bookmarkEnd w:id="55263"/>
          <w:p>
            <w:pPr>
              <w:pStyle w:val="0"/>
            </w:pPr>
            <w:r>
              <w:rPr>
                <w:sz w:val="24"/>
              </w:rPr>
              <w:t xml:space="preserve">25</w:t>
            </w:r>
          </w:p>
        </w:tc>
        <w:tc>
          <w:tcPr>
            <w:gridSpan w:val="4"/>
            <w:tcW w:w="2891" w:type="dxa"/>
          </w:tcPr>
          <w:p>
            <w:pPr>
              <w:pStyle w:val="0"/>
            </w:pPr>
            <w:r>
              <w:rPr>
                <w:sz w:val="24"/>
              </w:rPr>
              <w:t xml:space="preserve">Сумма страховых выплат (взаимодействие в электронной форме)</w:t>
            </w:r>
          </w:p>
        </w:tc>
        <w:tc>
          <w:tcPr>
            <w:tcW w:w="1814" w:type="dxa"/>
          </w:tcPr>
          <w:p>
            <w:pPr>
              <w:pStyle w:val="0"/>
            </w:pPr>
            <w:r>
              <w:rPr>
                <w:sz w:val="24"/>
              </w:rPr>
            </w:r>
          </w:p>
        </w:tc>
        <w:tc>
          <w:tcPr>
            <w:tcW w:w="3402" w:type="dxa"/>
          </w:tcPr>
          <w:p>
            <w:pPr>
              <w:pStyle w:val="0"/>
            </w:pPr>
            <w:r>
              <w:rPr>
                <w:sz w:val="24"/>
              </w:rPr>
              <w:t xml:space="preserve">ins-dic:Summa_Po_Strakhovym_Vyplatam_Vz_v_El_Forme</w:t>
            </w:r>
          </w:p>
        </w:tc>
      </w:tr>
      <w:tr>
        <w:tc>
          <w:tcPr>
            <w:tcW w:w="964" w:type="dxa"/>
          </w:tcPr>
          <w:p>
            <w:pPr>
              <w:pStyle w:val="0"/>
            </w:pPr>
            <w:r>
              <w:rPr>
                <w:sz w:val="24"/>
              </w:rPr>
              <w:t xml:space="preserve">25.1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25.2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25.3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25.4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25.5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25.6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25.7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25.8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25.9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p>
            <w:pPr>
              <w:pStyle w:val="0"/>
            </w:pPr>
            <w:r>
              <w:rPr>
                <w:sz w:val="24"/>
              </w:rPr>
              <w:t xml:space="preserve">25.10</w:t>
            </w:r>
          </w:p>
        </w:tc>
        <w:tc>
          <w:tcPr>
            <w:gridSpan w:val="4"/>
            <w:tcW w:w="2891" w:type="dxa"/>
          </w:tcPr>
          <w:p>
            <w:pPr>
              <w:pStyle w:val="0"/>
            </w:pPr>
            <w:r>
              <w:rPr>
                <w:sz w:val="24"/>
              </w:rPr>
            </w:r>
          </w:p>
        </w:tc>
        <w:tc>
          <w:tcPr>
            <w:tcW w:w="1814" w:type="dxa"/>
          </w:tcPr>
          <w:p>
            <w:pPr>
              <w:pStyle w:val="0"/>
            </w:pPr>
            <w:r>
              <w:rPr>
                <w:sz w:val="24"/>
              </w:rPr>
              <w:t xml:space="preserve">Тип возмещения</w:t>
            </w:r>
          </w:p>
        </w:tc>
        <w:tc>
          <w:tcPr>
            <w:tcW w:w="3402" w:type="dxa"/>
          </w:tcPr>
          <w:p>
            <w:pPr>
              <w:pStyle w:val="0"/>
            </w:pPr>
            <w:r>
              <w:rPr>
                <w:sz w:val="24"/>
              </w:rPr>
              <w:t xml:space="preserve">dim-int:TipVozmeshheniyaAxis</w:t>
            </w:r>
          </w:p>
        </w:tc>
      </w:tr>
      <w:tr>
        <w:tc>
          <w:tcPr>
            <w:tcW w:w="964" w:type="dxa"/>
          </w:tcPr>
          <w:bookmarkStart w:id="55307" w:name="P55307"/>
          <w:bookmarkEnd w:id="55307"/>
          <w:p>
            <w:pPr>
              <w:pStyle w:val="0"/>
            </w:pPr>
            <w:r>
              <w:rPr>
                <w:sz w:val="24"/>
              </w:rPr>
              <w:t xml:space="preserve">26</w:t>
            </w:r>
          </w:p>
        </w:tc>
        <w:tc>
          <w:tcPr>
            <w:gridSpan w:val="4"/>
            <w:tcW w:w="2891" w:type="dxa"/>
          </w:tcPr>
          <w:p>
            <w:pPr>
              <w:pStyle w:val="0"/>
            </w:pPr>
            <w:r>
              <w:rPr>
                <w:sz w:val="24"/>
              </w:rPr>
              <w:t xml:space="preserve">Количество страховых выплат (взаимодействие в электронной форме)</w:t>
            </w:r>
          </w:p>
        </w:tc>
        <w:tc>
          <w:tcPr>
            <w:tcW w:w="1814" w:type="dxa"/>
          </w:tcPr>
          <w:p>
            <w:pPr>
              <w:pStyle w:val="0"/>
            </w:pPr>
            <w:r>
              <w:rPr>
                <w:sz w:val="24"/>
              </w:rPr>
            </w:r>
          </w:p>
        </w:tc>
        <w:tc>
          <w:tcPr>
            <w:tcW w:w="3402" w:type="dxa"/>
          </w:tcPr>
          <w:p>
            <w:pPr>
              <w:pStyle w:val="0"/>
            </w:pPr>
            <w:r>
              <w:rPr>
                <w:sz w:val="24"/>
              </w:rPr>
              <w:t xml:space="preserve">ins-dic:Kolich_Strax_Vypl_Vz_v_El_Forme</w:t>
            </w:r>
          </w:p>
        </w:tc>
      </w:tr>
      <w:tr>
        <w:tc>
          <w:tcPr>
            <w:tcW w:w="964" w:type="dxa"/>
          </w:tcPr>
          <w:p>
            <w:pPr>
              <w:pStyle w:val="0"/>
            </w:pPr>
            <w:r>
              <w:rPr>
                <w:sz w:val="24"/>
              </w:rPr>
              <w:t xml:space="preserve">26.1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26.2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26.3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26.4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26.5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26.6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26.7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26.8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26.9</w:t>
            </w:r>
          </w:p>
        </w:tc>
        <w:tc>
          <w:tcPr>
            <w:gridSpan w:val="4"/>
            <w:tcW w:w="2891" w:type="dxa"/>
          </w:tcPr>
          <w:p>
            <w:pPr>
              <w:pStyle w:val="0"/>
            </w:pPr>
            <w:r>
              <w:rPr>
                <w:sz w:val="24"/>
              </w:rPr>
            </w:r>
          </w:p>
        </w:tc>
        <w:tc>
          <w:tcPr>
            <w:tcW w:w="1814" w:type="dxa"/>
          </w:tcPr>
          <w:p>
            <w:pPr>
              <w:pStyle w:val="0"/>
            </w:pPr>
            <w:r>
              <w:rPr>
                <w:sz w:val="24"/>
              </w:rPr>
              <w:t xml:space="preserve">Тип возмещения</w:t>
            </w:r>
          </w:p>
        </w:tc>
        <w:tc>
          <w:tcPr>
            <w:tcW w:w="3402" w:type="dxa"/>
          </w:tcPr>
          <w:p>
            <w:pPr>
              <w:pStyle w:val="0"/>
            </w:pPr>
            <w:r>
              <w:rPr>
                <w:sz w:val="24"/>
              </w:rPr>
              <w:t xml:space="preserve">dim-int:TipVozmeshheniyaAxis</w:t>
            </w:r>
          </w:p>
        </w:tc>
      </w:tr>
      <w:tr>
        <w:tc>
          <w:tcPr>
            <w:tcW w:w="964" w:type="dxa"/>
          </w:tcPr>
          <w:bookmarkStart w:id="55347" w:name="P55347"/>
          <w:bookmarkEnd w:id="55347"/>
          <w:p>
            <w:pPr>
              <w:pStyle w:val="0"/>
            </w:pPr>
            <w:r>
              <w:rPr>
                <w:sz w:val="24"/>
              </w:rPr>
              <w:t xml:space="preserve">27</w:t>
            </w:r>
          </w:p>
        </w:tc>
        <w:tc>
          <w:tcPr>
            <w:gridSpan w:val="4"/>
            <w:tcW w:w="2891" w:type="dxa"/>
          </w:tcPr>
          <w:p>
            <w:pPr>
              <w:pStyle w:val="0"/>
            </w:pPr>
            <w:r>
              <w:rPr>
                <w:sz w:val="24"/>
              </w:rPr>
              <w:t xml:space="preserve">Выкупные суммы</w:t>
            </w:r>
          </w:p>
        </w:tc>
        <w:tc>
          <w:tcPr>
            <w:tcW w:w="1814" w:type="dxa"/>
          </w:tcPr>
          <w:p>
            <w:pPr>
              <w:pStyle w:val="0"/>
            </w:pPr>
            <w:r>
              <w:rPr>
                <w:sz w:val="24"/>
              </w:rPr>
            </w:r>
          </w:p>
        </w:tc>
        <w:tc>
          <w:tcPr>
            <w:tcW w:w="3402" w:type="dxa"/>
          </w:tcPr>
          <w:p>
            <w:pPr>
              <w:pStyle w:val="0"/>
            </w:pPr>
            <w:r>
              <w:rPr>
                <w:sz w:val="24"/>
              </w:rPr>
              <w:t xml:space="preserve">ins-dic:Vykupnye_Summy_Po_Dogovoram_Strakhovaniya_Zhizni</w:t>
            </w:r>
          </w:p>
        </w:tc>
      </w:tr>
      <w:tr>
        <w:tc>
          <w:tcPr>
            <w:tcW w:w="964" w:type="dxa"/>
          </w:tcPr>
          <w:p>
            <w:pPr>
              <w:pStyle w:val="0"/>
            </w:pPr>
            <w:r>
              <w:rPr>
                <w:sz w:val="24"/>
              </w:rPr>
              <w:t xml:space="preserve">27.1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27.2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27.3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27.4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27.5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27.6</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5375" w:name="P55375"/>
          <w:bookmarkEnd w:id="55375"/>
          <w:p>
            <w:pPr>
              <w:pStyle w:val="0"/>
            </w:pPr>
            <w:r>
              <w:rPr>
                <w:sz w:val="24"/>
              </w:rPr>
              <w:t xml:space="preserve">28</w:t>
            </w:r>
          </w:p>
        </w:tc>
        <w:tc>
          <w:tcPr>
            <w:gridSpan w:val="4"/>
            <w:tcW w:w="2891" w:type="dxa"/>
          </w:tcPr>
          <w:p>
            <w:pPr>
              <w:pStyle w:val="0"/>
            </w:pPr>
            <w:r>
              <w:rPr>
                <w:sz w:val="24"/>
              </w:rPr>
              <w:t xml:space="preserve">Количество договоров, по которым в отчетном периоде осуществлены выплаты выкупных сумм</w:t>
            </w:r>
          </w:p>
        </w:tc>
        <w:tc>
          <w:tcPr>
            <w:tcW w:w="1814" w:type="dxa"/>
          </w:tcPr>
          <w:p>
            <w:pPr>
              <w:pStyle w:val="0"/>
            </w:pPr>
            <w:r>
              <w:rPr>
                <w:sz w:val="24"/>
              </w:rPr>
            </w:r>
          </w:p>
        </w:tc>
        <w:tc>
          <w:tcPr>
            <w:tcW w:w="3402" w:type="dxa"/>
          </w:tcPr>
          <w:p>
            <w:pPr>
              <w:pStyle w:val="0"/>
            </w:pPr>
            <w:r>
              <w:rPr>
                <w:sz w:val="24"/>
              </w:rPr>
              <w:t xml:space="preserve">ins-dic:Kolich_Dog_Szh</w:t>
            </w:r>
          </w:p>
        </w:tc>
      </w:tr>
      <w:tr>
        <w:tc>
          <w:tcPr>
            <w:tcW w:w="964" w:type="dxa"/>
          </w:tcPr>
          <w:p>
            <w:pPr>
              <w:pStyle w:val="0"/>
            </w:pPr>
            <w:r>
              <w:rPr>
                <w:sz w:val="24"/>
              </w:rPr>
              <w:t xml:space="preserve">28.1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28.2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28.3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28.4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28.5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bookmarkStart w:id="55399" w:name="P55399"/>
          <w:bookmarkEnd w:id="55399"/>
          <w:p>
            <w:pPr>
              <w:pStyle w:val="0"/>
            </w:pPr>
            <w:r>
              <w:rPr>
                <w:sz w:val="24"/>
              </w:rPr>
              <w:t xml:space="preserve">29</w:t>
            </w:r>
          </w:p>
        </w:tc>
        <w:tc>
          <w:tcPr>
            <w:gridSpan w:val="4"/>
            <w:tcW w:w="2891" w:type="dxa"/>
          </w:tcPr>
          <w:p>
            <w:pPr>
              <w:pStyle w:val="0"/>
            </w:pPr>
            <w:r>
              <w:rPr>
                <w:sz w:val="24"/>
              </w:rPr>
              <w:t xml:space="preserve">Сумма негарантированных выплат</w:t>
            </w:r>
          </w:p>
        </w:tc>
        <w:tc>
          <w:tcPr>
            <w:tcW w:w="1814" w:type="dxa"/>
          </w:tcPr>
          <w:p>
            <w:pPr>
              <w:pStyle w:val="0"/>
            </w:pPr>
            <w:r>
              <w:rPr>
                <w:sz w:val="24"/>
              </w:rPr>
            </w:r>
          </w:p>
        </w:tc>
        <w:tc>
          <w:tcPr>
            <w:tcW w:w="3402" w:type="dxa"/>
          </w:tcPr>
          <w:p>
            <w:pPr>
              <w:pStyle w:val="0"/>
            </w:pPr>
            <w:r>
              <w:rPr>
                <w:sz w:val="24"/>
              </w:rPr>
              <w:t xml:space="preserve">ins-dic:SummaNegarantVyplat</w:t>
            </w:r>
          </w:p>
        </w:tc>
      </w:tr>
      <w:tr>
        <w:tc>
          <w:tcPr>
            <w:tcW w:w="964" w:type="dxa"/>
          </w:tcPr>
          <w:p>
            <w:pPr>
              <w:pStyle w:val="0"/>
            </w:pPr>
            <w:r>
              <w:rPr>
                <w:sz w:val="24"/>
              </w:rPr>
              <w:t xml:space="preserve">29.1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29.2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29.3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29.4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29.5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29.6</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5427" w:name="P55427"/>
          <w:bookmarkEnd w:id="55427"/>
          <w:p>
            <w:pPr>
              <w:pStyle w:val="0"/>
            </w:pPr>
            <w:r>
              <w:rPr>
                <w:sz w:val="24"/>
              </w:rPr>
              <w:t xml:space="preserve">30</w:t>
            </w:r>
          </w:p>
        </w:tc>
        <w:tc>
          <w:tcPr>
            <w:gridSpan w:val="4"/>
            <w:tcW w:w="2891" w:type="dxa"/>
          </w:tcPr>
          <w:p>
            <w:pPr>
              <w:pStyle w:val="0"/>
            </w:pPr>
            <w:r>
              <w:rPr>
                <w:sz w:val="24"/>
              </w:rPr>
              <w:t xml:space="preserve">Количество негарантированных выплат</w:t>
            </w:r>
          </w:p>
        </w:tc>
        <w:tc>
          <w:tcPr>
            <w:tcW w:w="1814" w:type="dxa"/>
          </w:tcPr>
          <w:p>
            <w:pPr>
              <w:pStyle w:val="0"/>
            </w:pPr>
            <w:r>
              <w:rPr>
                <w:sz w:val="24"/>
              </w:rPr>
            </w:r>
          </w:p>
        </w:tc>
        <w:tc>
          <w:tcPr>
            <w:tcW w:w="3402" w:type="dxa"/>
          </w:tcPr>
          <w:p>
            <w:pPr>
              <w:pStyle w:val="0"/>
            </w:pPr>
            <w:r>
              <w:rPr>
                <w:sz w:val="24"/>
              </w:rPr>
              <w:t xml:space="preserve">ins-dic:KolichestvoNegarantVyplat</w:t>
            </w:r>
          </w:p>
        </w:tc>
      </w:tr>
      <w:tr>
        <w:tc>
          <w:tcPr>
            <w:tcW w:w="964" w:type="dxa"/>
          </w:tcPr>
          <w:p>
            <w:pPr>
              <w:pStyle w:val="0"/>
            </w:pPr>
            <w:r>
              <w:rPr>
                <w:sz w:val="24"/>
              </w:rPr>
              <w:t xml:space="preserve">30.1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30.2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30.3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30.4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30.5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bookmarkStart w:id="55451" w:name="P55451"/>
          <w:bookmarkEnd w:id="55451"/>
          <w:p>
            <w:pPr>
              <w:pStyle w:val="0"/>
            </w:pPr>
            <w:r>
              <w:rPr>
                <w:sz w:val="24"/>
              </w:rPr>
              <w:t xml:space="preserve">31</w:t>
            </w:r>
          </w:p>
        </w:tc>
        <w:tc>
          <w:tcPr>
            <w:gridSpan w:val="4"/>
            <w:tcW w:w="2891" w:type="dxa"/>
          </w:tcPr>
          <w:p>
            <w:pPr>
              <w:pStyle w:val="0"/>
            </w:pPr>
            <w:r>
              <w:rPr>
                <w:sz w:val="24"/>
              </w:rPr>
              <w:t xml:space="preserve">Сумма дополнительных выплат</w:t>
            </w:r>
          </w:p>
        </w:tc>
        <w:tc>
          <w:tcPr>
            <w:tcW w:w="1814" w:type="dxa"/>
          </w:tcPr>
          <w:p>
            <w:pPr>
              <w:pStyle w:val="0"/>
            </w:pPr>
            <w:r>
              <w:rPr>
                <w:sz w:val="24"/>
              </w:rPr>
            </w:r>
          </w:p>
        </w:tc>
        <w:tc>
          <w:tcPr>
            <w:tcW w:w="3402" w:type="dxa"/>
          </w:tcPr>
          <w:p>
            <w:pPr>
              <w:pStyle w:val="0"/>
            </w:pPr>
            <w:r>
              <w:rPr>
                <w:sz w:val="24"/>
              </w:rPr>
              <w:t xml:space="preserve">ins-dic:Summa_Po_DopolnitelNym_Vyplatam_Strakhovym_Bonusam</w:t>
            </w:r>
          </w:p>
        </w:tc>
      </w:tr>
      <w:tr>
        <w:tc>
          <w:tcPr>
            <w:tcW w:w="964" w:type="dxa"/>
          </w:tcPr>
          <w:p>
            <w:pPr>
              <w:pStyle w:val="0"/>
            </w:pPr>
            <w:r>
              <w:rPr>
                <w:sz w:val="24"/>
              </w:rPr>
              <w:t xml:space="preserve">31.1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31.2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31.3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31.4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31.5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31.6</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5479" w:name="P55479"/>
          <w:bookmarkEnd w:id="55479"/>
          <w:p>
            <w:pPr>
              <w:pStyle w:val="0"/>
            </w:pPr>
            <w:r>
              <w:rPr>
                <w:sz w:val="24"/>
              </w:rPr>
              <w:t xml:space="preserve">32</w:t>
            </w:r>
          </w:p>
        </w:tc>
        <w:tc>
          <w:tcPr>
            <w:gridSpan w:val="4"/>
            <w:tcW w:w="2891" w:type="dxa"/>
          </w:tcPr>
          <w:p>
            <w:pPr>
              <w:pStyle w:val="0"/>
            </w:pPr>
            <w:r>
              <w:rPr>
                <w:sz w:val="24"/>
              </w:rPr>
              <w:t xml:space="preserve">Количество дополнительных выплат</w:t>
            </w:r>
          </w:p>
        </w:tc>
        <w:tc>
          <w:tcPr>
            <w:tcW w:w="1814" w:type="dxa"/>
          </w:tcPr>
          <w:p>
            <w:pPr>
              <w:pStyle w:val="0"/>
            </w:pPr>
            <w:r>
              <w:rPr>
                <w:sz w:val="24"/>
              </w:rPr>
            </w:r>
          </w:p>
        </w:tc>
        <w:tc>
          <w:tcPr>
            <w:tcW w:w="3402" w:type="dxa"/>
          </w:tcPr>
          <w:p>
            <w:pPr>
              <w:pStyle w:val="0"/>
            </w:pPr>
            <w:r>
              <w:rPr>
                <w:sz w:val="24"/>
              </w:rPr>
              <w:t xml:space="preserve">ins-dic:Kolich_Dop_Vypl</w:t>
            </w:r>
          </w:p>
        </w:tc>
      </w:tr>
      <w:tr>
        <w:tc>
          <w:tcPr>
            <w:tcW w:w="964" w:type="dxa"/>
          </w:tcPr>
          <w:p>
            <w:pPr>
              <w:pStyle w:val="0"/>
            </w:pPr>
            <w:r>
              <w:rPr>
                <w:sz w:val="24"/>
              </w:rPr>
              <w:t xml:space="preserve">32.1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32.2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32.3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32.4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32.5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bookmarkStart w:id="55503" w:name="P55503"/>
          <w:bookmarkEnd w:id="55503"/>
          <w:p>
            <w:pPr>
              <w:pStyle w:val="0"/>
            </w:pPr>
            <w:r>
              <w:rPr>
                <w:sz w:val="24"/>
              </w:rPr>
              <w:t xml:space="preserve">33</w:t>
            </w:r>
          </w:p>
        </w:tc>
        <w:tc>
          <w:tcPr>
            <w:gridSpan w:val="4"/>
            <w:tcW w:w="2891" w:type="dxa"/>
          </w:tcPr>
          <w:p>
            <w:pPr>
              <w:pStyle w:val="0"/>
            </w:pPr>
            <w:r>
              <w:rPr>
                <w:sz w:val="24"/>
              </w:rPr>
              <w:t xml:space="preserve">Сумма выплат по возмещению расходов страхователей в целях уменьшения убытков</w:t>
            </w:r>
          </w:p>
        </w:tc>
        <w:tc>
          <w:tcPr>
            <w:tcW w:w="1814" w:type="dxa"/>
          </w:tcPr>
          <w:p>
            <w:pPr>
              <w:pStyle w:val="0"/>
            </w:pPr>
            <w:r>
              <w:rPr>
                <w:sz w:val="24"/>
              </w:rPr>
            </w:r>
          </w:p>
        </w:tc>
        <w:tc>
          <w:tcPr>
            <w:tcW w:w="3402" w:type="dxa"/>
          </w:tcPr>
          <w:p>
            <w:pPr>
              <w:pStyle w:val="0"/>
            </w:pPr>
            <w:r>
              <w:rPr>
                <w:sz w:val="24"/>
              </w:rPr>
              <w:t xml:space="preserve">ins-dic:Summavyplatpovozmeschraskhodovstrakhovatvcelyakhumenub</w:t>
            </w:r>
          </w:p>
        </w:tc>
      </w:tr>
      <w:tr>
        <w:tc>
          <w:tcPr>
            <w:tcW w:w="964" w:type="dxa"/>
          </w:tcPr>
          <w:p>
            <w:pPr>
              <w:pStyle w:val="0"/>
            </w:pPr>
            <w:r>
              <w:rPr>
                <w:sz w:val="24"/>
              </w:rPr>
              <w:t xml:space="preserve">33.1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33.2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33.3</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33.4</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dim-int:lnyeVidyObyazStrTaxis</w:t>
            </w:r>
          </w:p>
        </w:tc>
      </w:tr>
      <w:tr>
        <w:tc>
          <w:tcPr>
            <w:tcW w:w="964" w:type="dxa"/>
          </w:tcPr>
          <w:p>
            <w:pPr>
              <w:pStyle w:val="0"/>
            </w:pPr>
            <w:r>
              <w:rPr>
                <w:sz w:val="24"/>
              </w:rPr>
              <w:t xml:space="preserve">33.5</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527" w:name="P55527"/>
          <w:bookmarkEnd w:id="55527"/>
          <w:p>
            <w:pPr>
              <w:pStyle w:val="0"/>
            </w:pPr>
            <w:r>
              <w:rPr>
                <w:sz w:val="24"/>
              </w:rPr>
              <w:t xml:space="preserve">34</w:t>
            </w:r>
          </w:p>
        </w:tc>
        <w:tc>
          <w:tcPr>
            <w:gridSpan w:val="4"/>
            <w:tcW w:w="2891" w:type="dxa"/>
          </w:tcPr>
          <w:p>
            <w:pPr>
              <w:pStyle w:val="0"/>
            </w:pPr>
            <w:r>
              <w:rPr>
                <w:sz w:val="24"/>
              </w:rPr>
              <w:t xml:space="preserve">Количество выплат по возмещению расходов страхователей в целях уменьшения убытков</w:t>
            </w:r>
          </w:p>
        </w:tc>
        <w:tc>
          <w:tcPr>
            <w:tcW w:w="1814" w:type="dxa"/>
          </w:tcPr>
          <w:p>
            <w:pPr>
              <w:pStyle w:val="0"/>
            </w:pPr>
            <w:r>
              <w:rPr>
                <w:sz w:val="24"/>
              </w:rPr>
            </w:r>
          </w:p>
        </w:tc>
        <w:tc>
          <w:tcPr>
            <w:tcW w:w="3402" w:type="dxa"/>
          </w:tcPr>
          <w:p>
            <w:pPr>
              <w:pStyle w:val="0"/>
            </w:pPr>
            <w:r>
              <w:rPr>
                <w:sz w:val="24"/>
              </w:rPr>
              <w:t xml:space="preserve">ins-dic:Kolichstrakhvyplatpovozmeschraskhstrakhovatelejvcelyakhumenub</w:t>
            </w:r>
          </w:p>
        </w:tc>
      </w:tr>
      <w:tr>
        <w:tc>
          <w:tcPr>
            <w:tcW w:w="964" w:type="dxa"/>
          </w:tcPr>
          <w:p>
            <w:pPr>
              <w:pStyle w:val="0"/>
            </w:pPr>
            <w:r>
              <w:rPr>
                <w:sz w:val="24"/>
              </w:rPr>
              <w:t xml:space="preserve">34.1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34.2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34.3</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34.4</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34.5</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551" w:name="P55551"/>
          <w:bookmarkEnd w:id="55551"/>
          <w:p>
            <w:pPr>
              <w:pStyle w:val="0"/>
            </w:pPr>
            <w:r>
              <w:rPr>
                <w:sz w:val="24"/>
              </w:rPr>
              <w:t xml:space="preserve">35</w:t>
            </w:r>
          </w:p>
        </w:tc>
        <w:tc>
          <w:tcPr>
            <w:gridSpan w:val="4"/>
            <w:tcW w:w="2891" w:type="dxa"/>
          </w:tcPr>
          <w:p>
            <w:pPr>
              <w:pStyle w:val="0"/>
            </w:pPr>
            <w:r>
              <w:rPr>
                <w:sz w:val="24"/>
              </w:rPr>
              <w:t xml:space="preserve">Сумма выплат по неустойкам за несоблюдение сроков осуществления страховой выплаты</w:t>
            </w:r>
          </w:p>
        </w:tc>
        <w:tc>
          <w:tcPr>
            <w:tcW w:w="1814" w:type="dxa"/>
          </w:tcPr>
          <w:p>
            <w:pPr>
              <w:pStyle w:val="0"/>
            </w:pPr>
            <w:r>
              <w:rPr>
                <w:sz w:val="24"/>
              </w:rPr>
            </w:r>
          </w:p>
        </w:tc>
        <w:tc>
          <w:tcPr>
            <w:tcW w:w="3402" w:type="dxa"/>
          </w:tcPr>
          <w:p>
            <w:pPr>
              <w:pStyle w:val="0"/>
            </w:pPr>
            <w:r>
              <w:rPr>
                <w:sz w:val="24"/>
              </w:rPr>
              <w:t xml:space="preserve">ins-dic:Neustojka_V_Svyazi_S_Zaderzhkoj_Strakhovoj_Vyplaty</w:t>
            </w:r>
          </w:p>
        </w:tc>
      </w:tr>
      <w:tr>
        <w:tc>
          <w:tcPr>
            <w:tcW w:w="964" w:type="dxa"/>
          </w:tcPr>
          <w:p>
            <w:pPr>
              <w:pStyle w:val="0"/>
            </w:pPr>
            <w:r>
              <w:rPr>
                <w:sz w:val="24"/>
              </w:rPr>
              <w:t xml:space="preserve">35.1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35.2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35.3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35.4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35.5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35.6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35.7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35.8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587" w:name="P55587"/>
          <w:bookmarkEnd w:id="55587"/>
          <w:p>
            <w:pPr>
              <w:pStyle w:val="0"/>
            </w:pPr>
            <w:r>
              <w:rPr>
                <w:sz w:val="24"/>
              </w:rPr>
              <w:t xml:space="preserve">36</w:t>
            </w:r>
          </w:p>
        </w:tc>
        <w:tc>
          <w:tcPr>
            <w:gridSpan w:val="4"/>
            <w:tcW w:w="2891" w:type="dxa"/>
          </w:tcPr>
          <w:p>
            <w:pPr>
              <w:pStyle w:val="0"/>
            </w:pPr>
            <w:r>
              <w:rPr>
                <w:sz w:val="24"/>
              </w:rPr>
              <w:t xml:space="preserve">Количество выплат по неустойкам за несоблюдение сроков осуществления страховой выплаты</w:t>
            </w:r>
          </w:p>
        </w:tc>
        <w:tc>
          <w:tcPr>
            <w:tcW w:w="1814" w:type="dxa"/>
          </w:tcPr>
          <w:p>
            <w:pPr>
              <w:pStyle w:val="0"/>
            </w:pPr>
            <w:r>
              <w:rPr>
                <w:sz w:val="24"/>
              </w:rPr>
            </w:r>
          </w:p>
        </w:tc>
        <w:tc>
          <w:tcPr>
            <w:tcW w:w="3402" w:type="dxa"/>
          </w:tcPr>
          <w:p>
            <w:pPr>
              <w:pStyle w:val="0"/>
            </w:pPr>
            <w:r>
              <w:rPr>
                <w:sz w:val="24"/>
              </w:rPr>
              <w:t xml:space="preserve">ins-dic:Kolich_Zaderzh_Strax_Vypl</w:t>
            </w:r>
          </w:p>
        </w:tc>
      </w:tr>
      <w:tr>
        <w:tc>
          <w:tcPr>
            <w:tcW w:w="964" w:type="dxa"/>
          </w:tcPr>
          <w:p>
            <w:pPr>
              <w:pStyle w:val="0"/>
            </w:pPr>
            <w:r>
              <w:rPr>
                <w:sz w:val="24"/>
              </w:rPr>
              <w:t xml:space="preserve">36.1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36.2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36.3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36.4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36.5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36.6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36.7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36.8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623" w:name="P55623"/>
          <w:bookmarkEnd w:id="55623"/>
          <w:p>
            <w:pPr>
              <w:pStyle w:val="0"/>
            </w:pPr>
            <w:r>
              <w:rPr>
                <w:sz w:val="24"/>
              </w:rPr>
              <w:t xml:space="preserve">37</w:t>
            </w:r>
          </w:p>
        </w:tc>
        <w:tc>
          <w:tcPr>
            <w:gridSpan w:val="4"/>
            <w:tcW w:w="2891" w:type="dxa"/>
          </w:tcPr>
          <w:p>
            <w:pPr>
              <w:pStyle w:val="0"/>
            </w:pPr>
            <w:r>
              <w:rPr>
                <w:sz w:val="24"/>
              </w:rPr>
              <w:t xml:space="preserve">Справочно: страховые премии (доходы) по договорам, не признанным договорами страхования</w:t>
            </w:r>
          </w:p>
        </w:tc>
        <w:tc>
          <w:tcPr>
            <w:tcW w:w="1814" w:type="dxa"/>
          </w:tcPr>
          <w:p>
            <w:pPr>
              <w:pStyle w:val="0"/>
            </w:pPr>
            <w:r>
              <w:rPr>
                <w:sz w:val="24"/>
              </w:rPr>
            </w:r>
          </w:p>
        </w:tc>
        <w:tc>
          <w:tcPr>
            <w:tcW w:w="3402" w:type="dxa"/>
          </w:tcPr>
          <w:p>
            <w:pPr>
              <w:pStyle w:val="0"/>
            </w:pPr>
            <w:r>
              <w:rPr>
                <w:sz w:val="24"/>
              </w:rPr>
              <w:t xml:space="preserve">ins-dic:Spravstrpremdokhodypodognepriznsootsotrstandbuhuchdogistrakh</w:t>
            </w:r>
          </w:p>
        </w:tc>
      </w:tr>
      <w:tr>
        <w:tc>
          <w:tcPr>
            <w:tcW w:w="964" w:type="dxa"/>
          </w:tcPr>
          <w:p>
            <w:pPr>
              <w:pStyle w:val="0"/>
            </w:pPr>
            <w:r>
              <w:rPr>
                <w:sz w:val="24"/>
              </w:rPr>
              <w:t xml:space="preserve">37.1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37.2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37.3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37.4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37.5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37.6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37.7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37.8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37.9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c>
          <w:tcPr>
            <w:tcW w:w="964" w:type="dxa"/>
          </w:tcPr>
          <w:bookmarkStart w:id="55663" w:name="P55663"/>
          <w:bookmarkEnd w:id="55663"/>
          <w:p>
            <w:pPr>
              <w:pStyle w:val="0"/>
            </w:pPr>
            <w:r>
              <w:rPr>
                <w:sz w:val="24"/>
              </w:rPr>
              <w:t xml:space="preserve">38</w:t>
            </w:r>
          </w:p>
        </w:tc>
        <w:tc>
          <w:tcPr>
            <w:gridSpan w:val="4"/>
            <w:tcW w:w="2891" w:type="dxa"/>
          </w:tcPr>
          <w:p>
            <w:pPr>
              <w:pStyle w:val="0"/>
            </w:pPr>
            <w:r>
              <w:rPr>
                <w:sz w:val="24"/>
              </w:rPr>
              <w:t xml:space="preserve">Справочно: страховые выплаты (расходы) по договорам, не признанным договорами страхования</w:t>
            </w:r>
          </w:p>
        </w:tc>
        <w:tc>
          <w:tcPr>
            <w:tcW w:w="1814" w:type="dxa"/>
          </w:tcPr>
          <w:p>
            <w:pPr>
              <w:pStyle w:val="0"/>
            </w:pPr>
            <w:r>
              <w:rPr>
                <w:sz w:val="24"/>
              </w:rPr>
            </w:r>
          </w:p>
        </w:tc>
        <w:tc>
          <w:tcPr>
            <w:tcW w:w="3402" w:type="dxa"/>
          </w:tcPr>
          <w:p>
            <w:pPr>
              <w:pStyle w:val="0"/>
            </w:pPr>
            <w:r>
              <w:rPr>
                <w:sz w:val="24"/>
              </w:rPr>
              <w:t xml:space="preserve">ins-dic:Spravstrvyplraskhodypodognepriznvsootsotrstandbuhuchdogistrakh</w:t>
            </w:r>
          </w:p>
        </w:tc>
      </w:tr>
      <w:tr>
        <w:tc>
          <w:tcPr>
            <w:tcW w:w="964" w:type="dxa"/>
          </w:tcPr>
          <w:p>
            <w:pPr>
              <w:pStyle w:val="0"/>
            </w:pPr>
            <w:r>
              <w:rPr>
                <w:sz w:val="24"/>
              </w:rPr>
              <w:t xml:space="preserve">38.1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38.2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38.3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38.4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38.5</w:t>
            </w:r>
          </w:p>
        </w:tc>
        <w:tc>
          <w:tcPr>
            <w:gridSpan w:val="4"/>
            <w:tcW w:w="2891" w:type="dxa"/>
          </w:tcPr>
          <w:p>
            <w:pPr>
              <w:pStyle w:val="0"/>
            </w:pPr>
            <w:r>
              <w:rPr>
                <w:sz w:val="24"/>
              </w:rPr>
            </w:r>
          </w:p>
        </w:tc>
        <w:tc>
          <w:tcPr>
            <w:tcW w:w="1814" w:type="dxa"/>
          </w:tcPr>
          <w:p>
            <w:pPr>
              <w:pStyle w:val="0"/>
            </w:pPr>
            <w:r>
              <w:rPr>
                <w:sz w:val="24"/>
              </w:rPr>
              <w:t xml:space="preserve">Срок страхования</w:t>
            </w:r>
          </w:p>
        </w:tc>
        <w:tc>
          <w:tcPr>
            <w:tcW w:w="3402" w:type="dxa"/>
          </w:tcPr>
          <w:p>
            <w:pPr>
              <w:pStyle w:val="0"/>
            </w:pPr>
            <w:r>
              <w:rPr>
                <w:sz w:val="24"/>
              </w:rPr>
              <w:t xml:space="preserve">dim-int:Srok_StraxAxis</w:t>
            </w:r>
          </w:p>
        </w:tc>
      </w:tr>
      <w:tr>
        <w:tc>
          <w:tcPr>
            <w:tcW w:w="964" w:type="dxa"/>
          </w:tcPr>
          <w:p>
            <w:pPr>
              <w:pStyle w:val="0"/>
            </w:pPr>
            <w:r>
              <w:rPr>
                <w:sz w:val="24"/>
              </w:rPr>
              <w:t xml:space="preserve">38.6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38.7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38.8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38.9</w:t>
            </w:r>
          </w:p>
        </w:tc>
        <w:tc>
          <w:tcPr>
            <w:gridSpan w:val="4"/>
            <w:tcW w:w="2891" w:type="dxa"/>
          </w:tcPr>
          <w:p>
            <w:pPr>
              <w:pStyle w:val="0"/>
            </w:pPr>
            <w:r>
              <w:rPr>
                <w:sz w:val="24"/>
              </w:rPr>
            </w:r>
          </w:p>
        </w:tc>
        <w:tc>
          <w:tcPr>
            <w:tcW w:w="1814" w:type="dxa"/>
          </w:tcPr>
          <w:p>
            <w:pPr>
              <w:pStyle w:val="0"/>
            </w:pPr>
            <w:r>
              <w:rPr>
                <w:sz w:val="24"/>
              </w:rPr>
              <w:t xml:space="preserve">Резидентство</w:t>
            </w:r>
          </w:p>
        </w:tc>
        <w:tc>
          <w:tcPr>
            <w:tcW w:w="3402" w:type="dxa"/>
          </w:tcPr>
          <w:p>
            <w:pPr>
              <w:pStyle w:val="0"/>
            </w:pPr>
            <w:r>
              <w:rPr>
                <w:sz w:val="24"/>
              </w:rPr>
              <w:t xml:space="preserve">dim-int:Rezident_nerezidentAxis</w:t>
            </w:r>
          </w:p>
        </w:tc>
      </w:tr>
      <w:tr>
        <w:tblPrEx>
          <w:tblBorders>
            <w:insideV w:val="nil"/>
          </w:tblBorders>
        </w:tblPrEx>
        <w:tc>
          <w:tcPr>
            <w:gridSpan w:val="2"/>
            <w:tcW w:w="1309" w:type="dxa"/>
            <w:tcBorders>
              <w:left w:val="single" w:sz="4"/>
            </w:tcBorders>
          </w:tcPr>
          <w:bookmarkStart w:id="55703" w:name="P55703"/>
          <w:bookmarkEnd w:id="55703"/>
          <w:p>
            <w:pPr>
              <w:pStyle w:val="0"/>
              <w:outlineLvl w:val="3"/>
            </w:pPr>
            <w:r>
              <w:rPr>
                <w:sz w:val="24"/>
              </w:rPr>
              <w:t xml:space="preserve">Раздел 2.</w:t>
            </w:r>
          </w:p>
        </w:tc>
        <w:tc>
          <w:tcPr>
            <w:gridSpan w:val="5"/>
            <w:tcW w:w="7762" w:type="dxa"/>
            <w:tcBorders>
              <w:right w:val="single" w:sz="4"/>
            </w:tcBorders>
          </w:tcPr>
          <w:p>
            <w:pPr>
              <w:pStyle w:val="0"/>
              <w:jc w:val="both"/>
            </w:pPr>
            <w:r>
              <w:rPr>
                <w:sz w:val="24"/>
              </w:rPr>
              <w:t xml:space="preserve">Страхование на территории Российской Федерации и за ее пределами</w:t>
            </w:r>
          </w:p>
        </w:tc>
      </w:tr>
      <w:tr>
        <w:tc>
          <w:tcPr>
            <w:tcW w:w="964" w:type="dxa"/>
          </w:tcPr>
          <w:bookmarkStart w:id="55705" w:name="P55705"/>
          <w:bookmarkEnd w:id="55705"/>
          <w:p>
            <w:pPr>
              <w:pStyle w:val="0"/>
            </w:pPr>
            <w:r>
              <w:rPr>
                <w:sz w:val="24"/>
              </w:rPr>
              <w:t xml:space="preserve">39</w:t>
            </w:r>
          </w:p>
        </w:tc>
        <w:tc>
          <w:tcPr>
            <w:gridSpan w:val="4"/>
            <w:tcW w:w="2891" w:type="dxa"/>
          </w:tcPr>
          <w:p>
            <w:pPr>
              <w:pStyle w:val="0"/>
            </w:pPr>
            <w:r>
              <w:rPr>
                <w:sz w:val="24"/>
              </w:rPr>
              <w:t xml:space="preserve">Страховые премии (взносы) по договорам страхования</w:t>
            </w:r>
          </w:p>
        </w:tc>
        <w:tc>
          <w:tcPr>
            <w:tcW w:w="1814" w:type="dxa"/>
          </w:tcPr>
          <w:p>
            <w:pPr>
              <w:pStyle w:val="0"/>
            </w:pPr>
            <w:r>
              <w:rPr>
                <w:sz w:val="24"/>
              </w:rPr>
            </w:r>
          </w:p>
        </w:tc>
        <w:tc>
          <w:tcPr>
            <w:tcW w:w="3402" w:type="dxa"/>
          </w:tcPr>
          <w:p>
            <w:pPr>
              <w:pStyle w:val="0"/>
            </w:pPr>
            <w:r>
              <w:rPr>
                <w:sz w:val="24"/>
              </w:rPr>
              <w:t xml:space="preserve">ins-dic:StrPremiIVznosyPoDogStrakh</w:t>
            </w:r>
          </w:p>
        </w:tc>
      </w:tr>
      <w:tr>
        <w:tc>
          <w:tcPr>
            <w:tcW w:w="964" w:type="dxa"/>
          </w:tcPr>
          <w:p>
            <w:pPr>
              <w:pStyle w:val="0"/>
            </w:pPr>
            <w:r>
              <w:rPr>
                <w:sz w:val="24"/>
              </w:rPr>
              <w:t xml:space="preserve">39.1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3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39.2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3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39.3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39.4</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39.5</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dim-int:lnyeVidyObyazStrTaxis</w:t>
            </w:r>
          </w:p>
        </w:tc>
      </w:tr>
      <w:tr>
        <w:tc>
          <w:tcPr>
            <w:tcW w:w="964" w:type="dxa"/>
          </w:tcPr>
          <w:p>
            <w:pPr>
              <w:pStyle w:val="0"/>
            </w:pPr>
            <w:r>
              <w:rPr>
                <w:sz w:val="24"/>
              </w:rPr>
              <w:t xml:space="preserve">39.6</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5733" w:name="P55733"/>
          <w:bookmarkEnd w:id="55733"/>
          <w:p>
            <w:pPr>
              <w:pStyle w:val="0"/>
            </w:pPr>
            <w:r>
              <w:rPr>
                <w:sz w:val="24"/>
              </w:rPr>
              <w:t xml:space="preserve">40</w:t>
            </w:r>
          </w:p>
        </w:tc>
        <w:tc>
          <w:tcPr>
            <w:gridSpan w:val="4"/>
            <w:tcW w:w="2891" w:type="dxa"/>
          </w:tcPr>
          <w:p>
            <w:pPr>
              <w:pStyle w:val="0"/>
            </w:pPr>
            <w:r>
              <w:rPr>
                <w:sz w:val="24"/>
              </w:rPr>
              <w:t xml:space="preserve">Количество договоров страхования, заключенных в отчетном периоде</w:t>
            </w:r>
          </w:p>
        </w:tc>
        <w:tc>
          <w:tcPr>
            <w:tcW w:w="1814" w:type="dxa"/>
          </w:tcPr>
          <w:p>
            <w:pPr>
              <w:pStyle w:val="0"/>
            </w:pPr>
            <w:r>
              <w:rPr>
                <w:sz w:val="24"/>
              </w:rPr>
            </w:r>
          </w:p>
        </w:tc>
        <w:tc>
          <w:tcPr>
            <w:tcW w:w="3402" w:type="dxa"/>
          </w:tcPr>
          <w:p>
            <w:pPr>
              <w:pStyle w:val="0"/>
            </w:pPr>
            <w:r>
              <w:rPr>
                <w:sz w:val="24"/>
              </w:rPr>
              <w:t xml:space="preserve">ins-dic:Kolich_Dog_Strax_Zakl_Otch_Period</w:t>
            </w:r>
          </w:p>
        </w:tc>
      </w:tr>
      <w:tr>
        <w:tc>
          <w:tcPr>
            <w:tcW w:w="964" w:type="dxa"/>
          </w:tcPr>
          <w:p>
            <w:pPr>
              <w:pStyle w:val="0"/>
            </w:pPr>
            <w:r>
              <w:rPr>
                <w:sz w:val="24"/>
              </w:rPr>
              <w:t xml:space="preserve">40.1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3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40.2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3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40.3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40.4</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40.5</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40.6</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5761" w:name="P55761"/>
          <w:bookmarkEnd w:id="55761"/>
          <w:p>
            <w:pPr>
              <w:pStyle w:val="0"/>
            </w:pPr>
            <w:r>
              <w:rPr>
                <w:sz w:val="24"/>
              </w:rPr>
              <w:t xml:space="preserve">41</w:t>
            </w:r>
          </w:p>
        </w:tc>
        <w:tc>
          <w:tcPr>
            <w:gridSpan w:val="4"/>
            <w:tcW w:w="2891" w:type="dxa"/>
          </w:tcPr>
          <w:p>
            <w:pPr>
              <w:pStyle w:val="0"/>
            </w:pPr>
            <w:r>
              <w:rPr>
                <w:sz w:val="24"/>
              </w:rPr>
              <w:t xml:space="preserve">Страховая сумма по договорам страхования, заключенным в отчетном периоде (с учетом изменений)</w:t>
            </w:r>
          </w:p>
        </w:tc>
        <w:tc>
          <w:tcPr>
            <w:tcW w:w="1814" w:type="dxa"/>
          </w:tcPr>
          <w:p>
            <w:pPr>
              <w:pStyle w:val="0"/>
            </w:pPr>
            <w:r>
              <w:rPr>
                <w:sz w:val="24"/>
              </w:rPr>
            </w:r>
          </w:p>
        </w:tc>
        <w:tc>
          <w:tcPr>
            <w:tcW w:w="3402" w:type="dxa"/>
          </w:tcPr>
          <w:p>
            <w:pPr>
              <w:pStyle w:val="0"/>
            </w:pPr>
            <w:r>
              <w:rPr>
                <w:sz w:val="24"/>
              </w:rPr>
              <w:t xml:space="preserve">ins-dic:Strax_Summa_Dog_Strax_Zakl_Otch_Period</w:t>
            </w:r>
          </w:p>
        </w:tc>
      </w:tr>
      <w:tr>
        <w:tc>
          <w:tcPr>
            <w:tcW w:w="964" w:type="dxa"/>
          </w:tcPr>
          <w:p>
            <w:pPr>
              <w:pStyle w:val="0"/>
            </w:pPr>
            <w:r>
              <w:rPr>
                <w:sz w:val="24"/>
              </w:rPr>
              <w:t xml:space="preserve">41.1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41.2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41.3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41.4</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41.5</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41.6</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42</w:t>
            </w:r>
          </w:p>
        </w:tc>
        <w:tc>
          <w:tcPr>
            <w:gridSpan w:val="4"/>
            <w:tcW w:w="2891" w:type="dxa"/>
          </w:tcPr>
          <w:p>
            <w:pPr>
              <w:pStyle w:val="0"/>
            </w:pPr>
            <w:r>
              <w:rPr>
                <w:sz w:val="24"/>
              </w:rPr>
              <w:t xml:space="preserve">Выплаты по договорам страхования</w:t>
            </w:r>
          </w:p>
        </w:tc>
        <w:tc>
          <w:tcPr>
            <w:tcW w:w="1814" w:type="dxa"/>
          </w:tcPr>
          <w:p>
            <w:pPr>
              <w:pStyle w:val="0"/>
            </w:pPr>
            <w:r>
              <w:rPr>
                <w:sz w:val="24"/>
              </w:rPr>
            </w:r>
          </w:p>
        </w:tc>
        <w:tc>
          <w:tcPr>
            <w:tcW w:w="3402" w:type="dxa"/>
          </w:tcPr>
          <w:p>
            <w:pPr>
              <w:pStyle w:val="0"/>
            </w:pPr>
            <w:r>
              <w:rPr>
                <w:sz w:val="24"/>
              </w:rPr>
              <w:t xml:space="preserve">ins-dic:Vyplaty_Po_Dogovoram_Strakhovaniya</w:t>
            </w:r>
          </w:p>
        </w:tc>
      </w:tr>
      <w:tr>
        <w:tc>
          <w:tcPr>
            <w:tcW w:w="964" w:type="dxa"/>
          </w:tcPr>
          <w:p>
            <w:pPr>
              <w:pStyle w:val="0"/>
            </w:pPr>
            <w:r>
              <w:rPr>
                <w:sz w:val="24"/>
              </w:rPr>
              <w:t xml:space="preserve">42.1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42.2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42.3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42.4</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dim-lnt:Gospodderzhka_Axis</w:t>
            </w:r>
          </w:p>
        </w:tc>
      </w:tr>
      <w:tr>
        <w:tc>
          <w:tcPr>
            <w:tcW w:w="964" w:type="dxa"/>
          </w:tcPr>
          <w:p>
            <w:pPr>
              <w:pStyle w:val="0"/>
            </w:pPr>
            <w:r>
              <w:rPr>
                <w:sz w:val="24"/>
              </w:rPr>
              <w:t xml:space="preserve">42.5</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42.6</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5817" w:name="P55817"/>
          <w:bookmarkEnd w:id="55817"/>
          <w:p>
            <w:pPr>
              <w:pStyle w:val="0"/>
            </w:pPr>
            <w:r>
              <w:rPr>
                <w:sz w:val="24"/>
              </w:rPr>
              <w:t xml:space="preserve">43</w:t>
            </w:r>
          </w:p>
        </w:tc>
        <w:tc>
          <w:tcPr>
            <w:gridSpan w:val="4"/>
            <w:tcW w:w="2891" w:type="dxa"/>
          </w:tcPr>
          <w:p>
            <w:pPr>
              <w:pStyle w:val="0"/>
            </w:pPr>
            <w:r>
              <w:rPr>
                <w:sz w:val="24"/>
              </w:rPr>
              <w:t xml:space="preserve">Количество урегулированных страховых случаев: осуществлены окончательные страховые выплаты</w:t>
            </w:r>
          </w:p>
        </w:tc>
        <w:tc>
          <w:tcPr>
            <w:tcW w:w="1814" w:type="dxa"/>
          </w:tcPr>
          <w:p>
            <w:pPr>
              <w:pStyle w:val="0"/>
            </w:pPr>
            <w:r>
              <w:rPr>
                <w:sz w:val="24"/>
              </w:rPr>
            </w:r>
          </w:p>
        </w:tc>
        <w:tc>
          <w:tcPr>
            <w:tcW w:w="3402" w:type="dxa"/>
          </w:tcPr>
          <w:p>
            <w:pPr>
              <w:pStyle w:val="0"/>
            </w:pPr>
            <w:r>
              <w:rPr>
                <w:sz w:val="24"/>
              </w:rPr>
              <w:t xml:space="preserve">ins-dic:KolUregStrSluch</w:t>
            </w:r>
          </w:p>
        </w:tc>
      </w:tr>
      <w:tr>
        <w:tc>
          <w:tcPr>
            <w:tcW w:w="964" w:type="dxa"/>
          </w:tcPr>
          <w:p>
            <w:pPr>
              <w:pStyle w:val="0"/>
            </w:pPr>
            <w:r>
              <w:rPr>
                <w:sz w:val="24"/>
              </w:rPr>
              <w:t xml:space="preserve">43.1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43.2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43.3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43.4</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43.5</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43.6</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blPrEx>
          <w:tblBorders>
            <w:insideV w:val="nil"/>
          </w:tblBorders>
        </w:tblPrEx>
        <w:tc>
          <w:tcPr>
            <w:gridSpan w:val="2"/>
            <w:tcW w:w="1309" w:type="dxa"/>
            <w:tcBorders>
              <w:left w:val="single" w:sz="4"/>
            </w:tcBorders>
          </w:tcPr>
          <w:bookmarkStart w:id="55845" w:name="P55845"/>
          <w:bookmarkEnd w:id="55845"/>
          <w:p>
            <w:pPr>
              <w:pStyle w:val="0"/>
              <w:outlineLvl w:val="3"/>
            </w:pPr>
            <w:r>
              <w:rPr>
                <w:sz w:val="24"/>
              </w:rPr>
              <w:t xml:space="preserve">Раздел 3.</w:t>
            </w:r>
          </w:p>
        </w:tc>
        <w:tc>
          <w:tcPr>
            <w:gridSpan w:val="5"/>
            <w:tcW w:w="7762" w:type="dxa"/>
            <w:tcBorders>
              <w:right w:val="single" w:sz="4"/>
            </w:tcBorders>
          </w:tcPr>
          <w:p>
            <w:pPr>
              <w:pStyle w:val="0"/>
              <w:jc w:val="both"/>
            </w:pPr>
            <w:r>
              <w:rPr>
                <w:sz w:val="24"/>
              </w:rPr>
              <w:t xml:space="preserve">Добровольное сельскохозяйственное страхование, осуществляемое с государственной поддержкой</w:t>
            </w:r>
          </w:p>
        </w:tc>
      </w:tr>
      <w:tr>
        <w:tc>
          <w:tcPr>
            <w:tcW w:w="964" w:type="dxa"/>
          </w:tcPr>
          <w:p>
            <w:pPr>
              <w:pStyle w:val="0"/>
            </w:pPr>
            <w:r>
              <w:rPr>
                <w:sz w:val="24"/>
              </w:rPr>
              <w:t xml:space="preserve">44</w:t>
            </w:r>
          </w:p>
        </w:tc>
        <w:tc>
          <w:tcPr>
            <w:gridSpan w:val="4"/>
            <w:tcW w:w="2891" w:type="dxa"/>
          </w:tcPr>
          <w:p>
            <w:pPr>
              <w:pStyle w:val="0"/>
            </w:pPr>
            <w:r>
              <w:rPr>
                <w:sz w:val="24"/>
              </w:rPr>
              <w:t xml:space="preserve">Полученные страховые премии (взносы) по договорам страхования</w:t>
            </w:r>
          </w:p>
        </w:tc>
        <w:tc>
          <w:tcPr>
            <w:tcW w:w="1814" w:type="dxa"/>
          </w:tcPr>
          <w:p>
            <w:pPr>
              <w:pStyle w:val="0"/>
            </w:pPr>
            <w:r>
              <w:rPr>
                <w:sz w:val="24"/>
              </w:rPr>
            </w:r>
          </w:p>
        </w:tc>
        <w:tc>
          <w:tcPr>
            <w:tcW w:w="3402" w:type="dxa"/>
          </w:tcPr>
          <w:p>
            <w:pPr>
              <w:pStyle w:val="0"/>
            </w:pPr>
            <w:r>
              <w:rPr>
                <w:sz w:val="24"/>
              </w:rPr>
              <w:t xml:space="preserve">ins-dic:Poluchennye_Strakhovye_Premii_Vznosy_Po_Dogovoram_Strakhovaniya</w:t>
            </w:r>
          </w:p>
        </w:tc>
      </w:tr>
      <w:tr>
        <w:tc>
          <w:tcPr>
            <w:tcW w:w="964" w:type="dxa"/>
          </w:tcPr>
          <w:p>
            <w:pPr>
              <w:pStyle w:val="0"/>
            </w:pPr>
            <w:r>
              <w:rPr>
                <w:sz w:val="24"/>
              </w:rPr>
              <w:t xml:space="preserve">44.1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44.2</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44.3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44.4</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45</w:t>
            </w:r>
          </w:p>
        </w:tc>
        <w:tc>
          <w:tcPr>
            <w:gridSpan w:val="4"/>
            <w:tcW w:w="2891" w:type="dxa"/>
          </w:tcPr>
          <w:p>
            <w:pPr>
              <w:pStyle w:val="0"/>
            </w:pPr>
            <w:r>
              <w:rPr>
                <w:sz w:val="24"/>
              </w:rPr>
              <w:t xml:space="preserve">Полученные субсидии на возмещение части затрат сельскохозяйственных товаропроизводителей на уплату страховых премий по договорам страхования</w:t>
            </w:r>
          </w:p>
        </w:tc>
        <w:tc>
          <w:tcPr>
            <w:tcW w:w="1814" w:type="dxa"/>
          </w:tcPr>
          <w:p>
            <w:pPr>
              <w:pStyle w:val="0"/>
            </w:pPr>
            <w:r>
              <w:rPr>
                <w:sz w:val="24"/>
              </w:rPr>
            </w:r>
          </w:p>
        </w:tc>
        <w:tc>
          <w:tcPr>
            <w:tcW w:w="3402" w:type="dxa"/>
          </w:tcPr>
          <w:p>
            <w:pPr>
              <w:pStyle w:val="0"/>
            </w:pPr>
            <w:r>
              <w:rPr>
                <w:sz w:val="24"/>
              </w:rPr>
              <w:t xml:space="preserve">ins-dic:Poluchsubsidiinavozmchastizatratshtovarnauplstrpremijpodogstrakh</w:t>
            </w:r>
          </w:p>
        </w:tc>
      </w:tr>
      <w:tr>
        <w:tc>
          <w:tcPr>
            <w:tcW w:w="964" w:type="dxa"/>
          </w:tcPr>
          <w:p>
            <w:pPr>
              <w:pStyle w:val="0"/>
            </w:pPr>
            <w:r>
              <w:rPr>
                <w:sz w:val="24"/>
              </w:rPr>
              <w:t xml:space="preserve">45.1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7"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45.2</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45.3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45.4</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blPrEx>
          <w:tblBorders>
            <w:insideV w:val="nil"/>
          </w:tblBorders>
        </w:tblPrEx>
        <w:tc>
          <w:tcPr>
            <w:gridSpan w:val="3"/>
            <w:tcW w:w="1457" w:type="dxa"/>
            <w:tcBorders>
              <w:left w:val="single" w:sz="4"/>
            </w:tcBorders>
          </w:tcPr>
          <w:bookmarkStart w:id="55887" w:name="P55887"/>
          <w:bookmarkEnd w:id="55887"/>
          <w:p>
            <w:pPr>
              <w:pStyle w:val="0"/>
              <w:outlineLvl w:val="3"/>
            </w:pPr>
            <w:r>
              <w:rPr>
                <w:sz w:val="24"/>
              </w:rPr>
              <w:t xml:space="preserve">Раздел 4.</w:t>
            </w:r>
          </w:p>
        </w:tc>
        <w:tc>
          <w:tcPr>
            <w:gridSpan w:val="4"/>
            <w:tcW w:w="7614" w:type="dxa"/>
            <w:tcBorders>
              <w:right w:val="single" w:sz="4"/>
            </w:tcBorders>
          </w:tcPr>
          <w:p>
            <w:pPr>
              <w:pStyle w:val="0"/>
              <w:jc w:val="both"/>
            </w:pPr>
            <w:r>
              <w:rPr>
                <w:sz w:val="24"/>
              </w:rPr>
              <w:t xml:space="preserve">Добровольное страхование жилых помещений граждан в рамках программы</w:t>
            </w:r>
          </w:p>
        </w:tc>
      </w:tr>
      <w:tr>
        <w:tc>
          <w:tcPr>
            <w:tcW w:w="964" w:type="dxa"/>
          </w:tcPr>
          <w:bookmarkStart w:id="55889" w:name="P55889"/>
          <w:bookmarkEnd w:id="55889"/>
          <w:p>
            <w:pPr>
              <w:pStyle w:val="0"/>
            </w:pPr>
            <w:r>
              <w:rPr>
                <w:sz w:val="24"/>
              </w:rPr>
              <w:t xml:space="preserve">46</w:t>
            </w:r>
          </w:p>
        </w:tc>
        <w:tc>
          <w:tcPr>
            <w:gridSpan w:val="4"/>
            <w:tcW w:w="2891" w:type="dxa"/>
          </w:tcPr>
          <w:p>
            <w:pPr>
              <w:pStyle w:val="0"/>
            </w:pPr>
            <w:r>
              <w:rPr>
                <w:sz w:val="24"/>
              </w:rPr>
              <w:t xml:space="preserve">Страховые премии (взносы) по договорам страхования</w:t>
            </w:r>
          </w:p>
        </w:tc>
        <w:tc>
          <w:tcPr>
            <w:tcW w:w="1814" w:type="dxa"/>
          </w:tcPr>
          <w:p>
            <w:pPr>
              <w:pStyle w:val="0"/>
            </w:pPr>
            <w:r>
              <w:rPr>
                <w:sz w:val="24"/>
              </w:rPr>
            </w:r>
          </w:p>
        </w:tc>
        <w:tc>
          <w:tcPr>
            <w:tcW w:w="3402" w:type="dxa"/>
          </w:tcPr>
          <w:p>
            <w:pPr>
              <w:pStyle w:val="0"/>
            </w:pPr>
            <w:r>
              <w:rPr>
                <w:sz w:val="24"/>
              </w:rPr>
              <w:t xml:space="preserve">ins-dic:StrPremiIVznosyPoDogStrakh</w:t>
            </w:r>
          </w:p>
        </w:tc>
      </w:tr>
      <w:tr>
        <w:tc>
          <w:tcPr>
            <w:tcW w:w="964" w:type="dxa"/>
          </w:tcPr>
          <w:p>
            <w:pPr>
              <w:pStyle w:val="0"/>
            </w:pPr>
            <w:r>
              <w:rPr>
                <w:sz w:val="24"/>
              </w:rPr>
              <w:t xml:space="preserve">46.1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46.2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901" w:name="P55901"/>
          <w:bookmarkEnd w:id="55901"/>
          <w:p>
            <w:pPr>
              <w:pStyle w:val="0"/>
            </w:pPr>
            <w:r>
              <w:rPr>
                <w:sz w:val="24"/>
              </w:rPr>
              <w:t xml:space="preserve">47</w:t>
            </w:r>
          </w:p>
        </w:tc>
        <w:tc>
          <w:tcPr>
            <w:gridSpan w:val="4"/>
            <w:tcW w:w="2891" w:type="dxa"/>
          </w:tcPr>
          <w:p>
            <w:pPr>
              <w:pStyle w:val="0"/>
            </w:pPr>
            <w:r>
              <w:rPr>
                <w:sz w:val="24"/>
              </w:rPr>
              <w:t xml:space="preserve">Количество договоров страхования, заключенных в отчетном периоде</w:t>
            </w:r>
          </w:p>
        </w:tc>
        <w:tc>
          <w:tcPr>
            <w:tcW w:w="1814" w:type="dxa"/>
          </w:tcPr>
          <w:p>
            <w:pPr>
              <w:pStyle w:val="0"/>
            </w:pPr>
            <w:r>
              <w:rPr>
                <w:sz w:val="24"/>
              </w:rPr>
            </w:r>
          </w:p>
        </w:tc>
        <w:tc>
          <w:tcPr>
            <w:tcW w:w="3402" w:type="dxa"/>
          </w:tcPr>
          <w:p>
            <w:pPr>
              <w:pStyle w:val="0"/>
            </w:pPr>
            <w:r>
              <w:rPr>
                <w:sz w:val="24"/>
              </w:rPr>
              <w:t xml:space="preserve">ins-dic:Kolich_Dog_Strax_Zakl_Otch_Period</w:t>
            </w:r>
          </w:p>
        </w:tc>
      </w:tr>
      <w:tr>
        <w:tc>
          <w:tcPr>
            <w:tcW w:w="964" w:type="dxa"/>
          </w:tcPr>
          <w:p>
            <w:pPr>
              <w:pStyle w:val="0"/>
            </w:pPr>
            <w:r>
              <w:rPr>
                <w:sz w:val="24"/>
              </w:rPr>
              <w:t xml:space="preserve">47.1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49"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47.2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913" w:name="P55913"/>
          <w:bookmarkEnd w:id="55913"/>
          <w:p>
            <w:pPr>
              <w:pStyle w:val="0"/>
            </w:pPr>
            <w:r>
              <w:rPr>
                <w:sz w:val="24"/>
              </w:rPr>
              <w:t xml:space="preserve">48</w:t>
            </w:r>
          </w:p>
        </w:tc>
        <w:tc>
          <w:tcPr>
            <w:gridSpan w:val="4"/>
            <w:tcW w:w="2891" w:type="dxa"/>
          </w:tcPr>
          <w:p>
            <w:pPr>
              <w:pStyle w:val="0"/>
            </w:pPr>
            <w:r>
              <w:rPr>
                <w:sz w:val="24"/>
              </w:rPr>
              <w:t xml:space="preserve">Страховая сумма по договорам страхования, заключенным в отчетном периоде (с учетом изменений)</w:t>
            </w:r>
          </w:p>
        </w:tc>
        <w:tc>
          <w:tcPr>
            <w:tcW w:w="1814" w:type="dxa"/>
          </w:tcPr>
          <w:p>
            <w:pPr>
              <w:pStyle w:val="0"/>
            </w:pPr>
            <w:r>
              <w:rPr>
                <w:sz w:val="24"/>
              </w:rPr>
            </w:r>
          </w:p>
        </w:tc>
        <w:tc>
          <w:tcPr>
            <w:tcW w:w="3402" w:type="dxa"/>
          </w:tcPr>
          <w:p>
            <w:pPr>
              <w:pStyle w:val="0"/>
            </w:pPr>
            <w:r>
              <w:rPr>
                <w:sz w:val="24"/>
              </w:rPr>
              <w:t xml:space="preserve">ins-dic:Strax_Summa_Dog_Strax_Zakl_Otch_Period</w:t>
            </w:r>
          </w:p>
        </w:tc>
      </w:tr>
      <w:tr>
        <w:tc>
          <w:tcPr>
            <w:tcW w:w="964" w:type="dxa"/>
          </w:tcPr>
          <w:p>
            <w:pPr>
              <w:pStyle w:val="0"/>
            </w:pPr>
            <w:r>
              <w:rPr>
                <w:sz w:val="24"/>
              </w:rPr>
              <w:t xml:space="preserve">48.1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48.2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925" w:name="P55925"/>
          <w:bookmarkEnd w:id="55925"/>
          <w:p>
            <w:pPr>
              <w:pStyle w:val="0"/>
            </w:pPr>
            <w:r>
              <w:rPr>
                <w:sz w:val="24"/>
              </w:rPr>
              <w:t xml:space="preserve">49</w:t>
            </w:r>
          </w:p>
        </w:tc>
        <w:tc>
          <w:tcPr>
            <w:gridSpan w:val="4"/>
            <w:tcW w:w="2891" w:type="dxa"/>
          </w:tcPr>
          <w:p>
            <w:pPr>
              <w:pStyle w:val="0"/>
            </w:pPr>
            <w:r>
              <w:rPr>
                <w:sz w:val="24"/>
              </w:rPr>
              <w:t xml:space="preserve">Количество заявленных страховых случаев</w:t>
            </w:r>
          </w:p>
        </w:tc>
        <w:tc>
          <w:tcPr>
            <w:tcW w:w="1814" w:type="dxa"/>
          </w:tcPr>
          <w:p>
            <w:pPr>
              <w:pStyle w:val="0"/>
            </w:pPr>
            <w:r>
              <w:rPr>
                <w:sz w:val="24"/>
              </w:rPr>
            </w:r>
          </w:p>
        </w:tc>
        <w:tc>
          <w:tcPr>
            <w:tcW w:w="3402" w:type="dxa"/>
          </w:tcPr>
          <w:p>
            <w:pPr>
              <w:pStyle w:val="0"/>
            </w:pPr>
            <w:r>
              <w:rPr>
                <w:sz w:val="24"/>
              </w:rPr>
              <w:t xml:space="preserve">ins-dic:KolZayavStrSluch</w:t>
            </w:r>
          </w:p>
        </w:tc>
      </w:tr>
      <w:tr>
        <w:tc>
          <w:tcPr>
            <w:tcW w:w="964" w:type="dxa"/>
          </w:tcPr>
          <w:p>
            <w:pPr>
              <w:pStyle w:val="0"/>
            </w:pPr>
            <w:r>
              <w:rPr>
                <w:sz w:val="24"/>
              </w:rPr>
              <w:t xml:space="preserve">49.1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1"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49.2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937" w:name="P55937"/>
          <w:bookmarkEnd w:id="55937"/>
          <w:p>
            <w:pPr>
              <w:pStyle w:val="0"/>
            </w:pPr>
            <w:r>
              <w:rPr>
                <w:sz w:val="24"/>
              </w:rPr>
              <w:t xml:space="preserve">50</w:t>
            </w:r>
          </w:p>
        </w:tc>
        <w:tc>
          <w:tcPr>
            <w:gridSpan w:val="4"/>
            <w:tcW w:w="2891" w:type="dxa"/>
          </w:tcPr>
          <w:p>
            <w:pPr>
              <w:pStyle w:val="0"/>
            </w:pPr>
            <w:r>
              <w:rPr>
                <w:sz w:val="24"/>
              </w:rPr>
              <w:t xml:space="preserve">Количество урегулированных страховых случаев: осуществлены окончательные страховые выплаты</w:t>
            </w:r>
          </w:p>
        </w:tc>
        <w:tc>
          <w:tcPr>
            <w:tcW w:w="1814" w:type="dxa"/>
          </w:tcPr>
          <w:p>
            <w:pPr>
              <w:pStyle w:val="0"/>
            </w:pPr>
            <w:r>
              <w:rPr>
                <w:sz w:val="24"/>
              </w:rPr>
            </w:r>
          </w:p>
        </w:tc>
        <w:tc>
          <w:tcPr>
            <w:tcW w:w="3402" w:type="dxa"/>
          </w:tcPr>
          <w:p>
            <w:pPr>
              <w:pStyle w:val="0"/>
            </w:pPr>
            <w:r>
              <w:rPr>
                <w:sz w:val="24"/>
              </w:rPr>
              <w:t xml:space="preserve">ins-dic:KolUregStrSluch</w:t>
            </w:r>
          </w:p>
        </w:tc>
      </w:tr>
      <w:tr>
        <w:tc>
          <w:tcPr>
            <w:tcW w:w="964" w:type="dxa"/>
          </w:tcPr>
          <w:p>
            <w:pPr>
              <w:pStyle w:val="0"/>
            </w:pPr>
            <w:r>
              <w:rPr>
                <w:sz w:val="24"/>
              </w:rPr>
              <w:t xml:space="preserve">50.1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50.2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949" w:name="P55949"/>
          <w:bookmarkEnd w:id="55949"/>
          <w:p>
            <w:pPr>
              <w:pStyle w:val="0"/>
            </w:pPr>
            <w:r>
              <w:rPr>
                <w:sz w:val="24"/>
              </w:rPr>
              <w:t xml:space="preserve">51</w:t>
            </w:r>
          </w:p>
        </w:tc>
        <w:tc>
          <w:tcPr>
            <w:gridSpan w:val="4"/>
            <w:tcW w:w="2891" w:type="dxa"/>
          </w:tcPr>
          <w:p>
            <w:pPr>
              <w:pStyle w:val="0"/>
            </w:pPr>
            <w:r>
              <w:rPr>
                <w:sz w:val="24"/>
              </w:rPr>
              <w:t xml:space="preserve">Количество урегулированных страховых случаев: даны отказы в страховых выплатах</w:t>
            </w:r>
          </w:p>
        </w:tc>
        <w:tc>
          <w:tcPr>
            <w:tcW w:w="1814" w:type="dxa"/>
          </w:tcPr>
          <w:p>
            <w:pPr>
              <w:pStyle w:val="0"/>
            </w:pPr>
            <w:r>
              <w:rPr>
                <w:sz w:val="24"/>
              </w:rPr>
            </w:r>
          </w:p>
        </w:tc>
        <w:tc>
          <w:tcPr>
            <w:tcW w:w="3402" w:type="dxa"/>
          </w:tcPr>
          <w:p>
            <w:pPr>
              <w:pStyle w:val="0"/>
            </w:pPr>
            <w:r>
              <w:rPr>
                <w:sz w:val="24"/>
              </w:rPr>
              <w:t xml:space="preserve">ins-dic:KolUregStrSluchOtkaz</w:t>
            </w:r>
          </w:p>
        </w:tc>
      </w:tr>
      <w:tr>
        <w:tc>
          <w:tcPr>
            <w:tcW w:w="964" w:type="dxa"/>
          </w:tcPr>
          <w:p>
            <w:pPr>
              <w:pStyle w:val="0"/>
            </w:pPr>
            <w:r>
              <w:rPr>
                <w:sz w:val="24"/>
              </w:rPr>
              <w:t xml:space="preserve">51.1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3"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51.2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961" w:name="P55961"/>
          <w:bookmarkEnd w:id="55961"/>
          <w:p>
            <w:pPr>
              <w:pStyle w:val="0"/>
            </w:pPr>
            <w:r>
              <w:rPr>
                <w:sz w:val="24"/>
              </w:rPr>
              <w:t xml:space="preserve">52</w:t>
            </w:r>
          </w:p>
        </w:tc>
        <w:tc>
          <w:tcPr>
            <w:gridSpan w:val="4"/>
            <w:tcW w:w="2891" w:type="dxa"/>
          </w:tcPr>
          <w:p>
            <w:pPr>
              <w:pStyle w:val="0"/>
            </w:pPr>
            <w:r>
              <w:rPr>
                <w:sz w:val="24"/>
              </w:rPr>
              <w:t xml:space="preserve">Сумма страховых выплат</w:t>
            </w:r>
          </w:p>
        </w:tc>
        <w:tc>
          <w:tcPr>
            <w:tcW w:w="1814" w:type="dxa"/>
          </w:tcPr>
          <w:p>
            <w:pPr>
              <w:pStyle w:val="0"/>
            </w:pPr>
            <w:r>
              <w:rPr>
                <w:sz w:val="24"/>
              </w:rPr>
            </w:r>
          </w:p>
        </w:tc>
        <w:tc>
          <w:tcPr>
            <w:tcW w:w="3402" w:type="dxa"/>
          </w:tcPr>
          <w:p>
            <w:pPr>
              <w:pStyle w:val="0"/>
            </w:pPr>
            <w:r>
              <w:rPr>
                <w:sz w:val="24"/>
              </w:rPr>
              <w:t xml:space="preserve">ins-dic:Summa_Po_Strakhovym_Vyplatam_-_Vsego</w:t>
            </w:r>
          </w:p>
        </w:tc>
      </w:tr>
      <w:tr>
        <w:tc>
          <w:tcPr>
            <w:tcW w:w="964" w:type="dxa"/>
          </w:tcPr>
          <w:p>
            <w:pPr>
              <w:pStyle w:val="0"/>
            </w:pPr>
            <w:r>
              <w:rPr>
                <w:sz w:val="24"/>
              </w:rPr>
              <w:t xml:space="preserve">52.1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52.2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5973" w:name="P55973"/>
          <w:bookmarkEnd w:id="55973"/>
          <w:p>
            <w:pPr>
              <w:pStyle w:val="0"/>
            </w:pPr>
            <w:r>
              <w:rPr>
                <w:sz w:val="24"/>
              </w:rPr>
              <w:t xml:space="preserve">53</w:t>
            </w:r>
          </w:p>
        </w:tc>
        <w:tc>
          <w:tcPr>
            <w:gridSpan w:val="4"/>
            <w:tcW w:w="2891" w:type="dxa"/>
          </w:tcPr>
          <w:p>
            <w:pPr>
              <w:pStyle w:val="0"/>
            </w:pPr>
            <w:r>
              <w:rPr>
                <w:sz w:val="24"/>
              </w:rPr>
              <w:t xml:space="preserve">Количество страховых выплат</w:t>
            </w:r>
          </w:p>
        </w:tc>
        <w:tc>
          <w:tcPr>
            <w:tcW w:w="1814" w:type="dxa"/>
          </w:tcPr>
          <w:p>
            <w:pPr>
              <w:pStyle w:val="0"/>
            </w:pPr>
            <w:r>
              <w:rPr>
                <w:sz w:val="24"/>
              </w:rPr>
            </w:r>
          </w:p>
        </w:tc>
        <w:tc>
          <w:tcPr>
            <w:tcW w:w="3402" w:type="dxa"/>
          </w:tcPr>
          <w:p>
            <w:pPr>
              <w:pStyle w:val="0"/>
            </w:pPr>
            <w:r>
              <w:rPr>
                <w:sz w:val="24"/>
              </w:rPr>
              <w:t xml:space="preserve">ins-dic:Kolich_Strax_Vypl</w:t>
            </w:r>
          </w:p>
        </w:tc>
      </w:tr>
      <w:tr>
        <w:tc>
          <w:tcPr>
            <w:tcW w:w="964" w:type="dxa"/>
          </w:tcPr>
          <w:p>
            <w:pPr>
              <w:pStyle w:val="0"/>
            </w:pPr>
            <w:r>
              <w:rPr>
                <w:sz w:val="24"/>
              </w:rPr>
              <w:t xml:space="preserve">53.1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5"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53.2</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blPrEx>
          <w:tblBorders>
            <w:insideV w:val="nil"/>
          </w:tblBorders>
        </w:tblPrEx>
        <w:tc>
          <w:tcPr>
            <w:gridSpan w:val="2"/>
            <w:tcW w:w="1309" w:type="dxa"/>
            <w:tcBorders>
              <w:left w:val="single" w:sz="4"/>
            </w:tcBorders>
          </w:tcPr>
          <w:bookmarkStart w:id="55985" w:name="P55985"/>
          <w:bookmarkEnd w:id="55985"/>
          <w:p>
            <w:pPr>
              <w:pStyle w:val="0"/>
              <w:outlineLvl w:val="3"/>
            </w:pPr>
            <w:r>
              <w:rPr>
                <w:sz w:val="24"/>
              </w:rPr>
              <w:t xml:space="preserve">Раздел 5.</w:t>
            </w:r>
          </w:p>
        </w:tc>
        <w:tc>
          <w:tcPr>
            <w:gridSpan w:val="5"/>
            <w:tcW w:w="7762" w:type="dxa"/>
            <w:tcBorders>
              <w:right w:val="single" w:sz="4"/>
            </w:tcBorders>
          </w:tcPr>
          <w:p>
            <w:pPr>
              <w:pStyle w:val="0"/>
              <w:jc w:val="both"/>
            </w:pPr>
            <w:r>
              <w:rPr>
                <w:sz w:val="24"/>
              </w:rPr>
              <w:t xml:space="preserve">Обязательное страхование гражданской ответственности владельцев транспортных средств</w:t>
            </w:r>
          </w:p>
        </w:tc>
      </w:tr>
      <w:tr>
        <w:tc>
          <w:tcPr>
            <w:tcW w:w="964" w:type="dxa"/>
          </w:tcPr>
          <w:bookmarkStart w:id="55987" w:name="P55987"/>
          <w:bookmarkEnd w:id="55987"/>
          <w:p>
            <w:pPr>
              <w:pStyle w:val="0"/>
            </w:pPr>
            <w:r>
              <w:rPr>
                <w:sz w:val="24"/>
              </w:rPr>
              <w:t xml:space="preserve">54</w:t>
            </w:r>
          </w:p>
        </w:tc>
        <w:tc>
          <w:tcPr>
            <w:gridSpan w:val="4"/>
            <w:tcW w:w="2891" w:type="dxa"/>
          </w:tcPr>
          <w:p>
            <w:pPr>
              <w:pStyle w:val="0"/>
            </w:pPr>
            <w:r>
              <w:rPr>
                <w:sz w:val="24"/>
              </w:rPr>
              <w:t xml:space="preserve">Страховые премии (взносы) по договорам страхования</w:t>
            </w:r>
          </w:p>
        </w:tc>
        <w:tc>
          <w:tcPr>
            <w:tcW w:w="1814" w:type="dxa"/>
          </w:tcPr>
          <w:p>
            <w:pPr>
              <w:pStyle w:val="0"/>
            </w:pPr>
            <w:r>
              <w:rPr>
                <w:sz w:val="24"/>
              </w:rPr>
            </w:r>
          </w:p>
        </w:tc>
        <w:tc>
          <w:tcPr>
            <w:tcW w:w="3402" w:type="dxa"/>
          </w:tcPr>
          <w:p>
            <w:pPr>
              <w:pStyle w:val="0"/>
            </w:pPr>
            <w:r>
              <w:rPr>
                <w:sz w:val="24"/>
              </w:rPr>
              <w:t xml:space="preserve">ins-dic:StrPremiIVznosyPoDogStrakh</w:t>
            </w:r>
          </w:p>
        </w:tc>
      </w:tr>
      <w:tr>
        <w:tc>
          <w:tcPr>
            <w:tcW w:w="964" w:type="dxa"/>
          </w:tcPr>
          <w:p>
            <w:pPr>
              <w:pStyle w:val="0"/>
            </w:pPr>
            <w:r>
              <w:rPr>
                <w:sz w:val="24"/>
              </w:rPr>
              <w:t xml:space="preserve">54.1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54.2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54.3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54.4</w:t>
            </w:r>
          </w:p>
        </w:tc>
        <w:tc>
          <w:tcPr>
            <w:gridSpan w:val="4"/>
            <w:tcW w:w="2891" w:type="dxa"/>
          </w:tcPr>
          <w:p>
            <w:pPr>
              <w:pStyle w:val="0"/>
            </w:pPr>
            <w:r>
              <w:rPr>
                <w:sz w:val="24"/>
              </w:rPr>
            </w:r>
          </w:p>
        </w:tc>
        <w:tc>
          <w:tcPr>
            <w:tcW w:w="1814" w:type="dxa"/>
          </w:tcPr>
          <w:p>
            <w:pPr>
              <w:pStyle w:val="0"/>
            </w:pPr>
            <w:r>
              <w:rPr>
                <w:sz w:val="24"/>
              </w:rPr>
              <w:t xml:space="preserve">Способы заключения договора</w:t>
            </w:r>
          </w:p>
        </w:tc>
        <w:tc>
          <w:tcPr>
            <w:tcW w:w="3402" w:type="dxa"/>
          </w:tcPr>
          <w:p>
            <w:pPr>
              <w:pStyle w:val="0"/>
            </w:pPr>
            <w:r>
              <w:rPr>
                <w:sz w:val="24"/>
              </w:rPr>
              <w:t xml:space="preserve">dim-int:SposobyZaklDogAxis</w:t>
            </w:r>
          </w:p>
        </w:tc>
      </w:tr>
      <w:tr>
        <w:tc>
          <w:tcPr>
            <w:tcW w:w="964" w:type="dxa"/>
          </w:tcPr>
          <w:bookmarkStart w:id="56007" w:name="P56007"/>
          <w:bookmarkEnd w:id="56007"/>
          <w:p>
            <w:pPr>
              <w:pStyle w:val="0"/>
            </w:pPr>
            <w:r>
              <w:rPr>
                <w:sz w:val="24"/>
              </w:rPr>
              <w:t xml:space="preserve">55</w:t>
            </w:r>
          </w:p>
        </w:tc>
        <w:tc>
          <w:tcPr>
            <w:gridSpan w:val="4"/>
            <w:tcW w:w="2891" w:type="dxa"/>
          </w:tcPr>
          <w:p>
            <w:pPr>
              <w:pStyle w:val="0"/>
            </w:pPr>
            <w:r>
              <w:rPr>
                <w:sz w:val="24"/>
              </w:rPr>
              <w:t xml:space="preserve">Страховые премии (взносы) по договорам страхования, заключенным в отчетном периоде (с учетом изменений)</w:t>
            </w:r>
          </w:p>
        </w:tc>
        <w:tc>
          <w:tcPr>
            <w:tcW w:w="1814" w:type="dxa"/>
          </w:tcPr>
          <w:p>
            <w:pPr>
              <w:pStyle w:val="0"/>
            </w:pPr>
            <w:r>
              <w:rPr>
                <w:sz w:val="24"/>
              </w:rPr>
            </w:r>
          </w:p>
        </w:tc>
        <w:tc>
          <w:tcPr>
            <w:tcW w:w="3402" w:type="dxa"/>
          </w:tcPr>
          <w:p>
            <w:pPr>
              <w:pStyle w:val="0"/>
            </w:pPr>
            <w:r>
              <w:rPr>
                <w:sz w:val="24"/>
              </w:rPr>
              <w:t xml:space="preserve">ins-dic:Strax_Prem_Dog_Strax_Zakl_Otch_Period</w:t>
            </w:r>
          </w:p>
        </w:tc>
      </w:tr>
      <w:tr>
        <w:tc>
          <w:tcPr>
            <w:tcW w:w="964" w:type="dxa"/>
          </w:tcPr>
          <w:p>
            <w:pPr>
              <w:pStyle w:val="0"/>
            </w:pPr>
            <w:r>
              <w:rPr>
                <w:sz w:val="24"/>
              </w:rPr>
              <w:t xml:space="preserve">55.1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55.2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5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55.3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55.4</w:t>
            </w:r>
          </w:p>
        </w:tc>
        <w:tc>
          <w:tcPr>
            <w:gridSpan w:val="4"/>
            <w:tcW w:w="2891" w:type="dxa"/>
          </w:tcPr>
          <w:p>
            <w:pPr>
              <w:pStyle w:val="0"/>
            </w:pPr>
            <w:r>
              <w:rPr>
                <w:sz w:val="24"/>
              </w:rPr>
            </w:r>
          </w:p>
        </w:tc>
        <w:tc>
          <w:tcPr>
            <w:tcW w:w="1814" w:type="dxa"/>
          </w:tcPr>
          <w:p>
            <w:pPr>
              <w:pStyle w:val="0"/>
            </w:pPr>
            <w:r>
              <w:rPr>
                <w:sz w:val="24"/>
              </w:rPr>
              <w:t xml:space="preserve">Способы заключения договора</w:t>
            </w:r>
          </w:p>
        </w:tc>
        <w:tc>
          <w:tcPr>
            <w:tcW w:w="3402" w:type="dxa"/>
          </w:tcPr>
          <w:p>
            <w:pPr>
              <w:pStyle w:val="0"/>
            </w:pPr>
            <w:r>
              <w:rPr>
                <w:sz w:val="24"/>
              </w:rPr>
              <w:t xml:space="preserve">dim-int:SposobyZaklDogAxis</w:t>
            </w:r>
          </w:p>
        </w:tc>
      </w:tr>
      <w:tr>
        <w:tc>
          <w:tcPr>
            <w:tcW w:w="964" w:type="dxa"/>
          </w:tcPr>
          <w:bookmarkStart w:id="56027" w:name="P56027"/>
          <w:bookmarkEnd w:id="56027"/>
          <w:p>
            <w:pPr>
              <w:pStyle w:val="0"/>
            </w:pPr>
            <w:r>
              <w:rPr>
                <w:sz w:val="24"/>
              </w:rPr>
              <w:t xml:space="preserve">56</w:t>
            </w:r>
          </w:p>
        </w:tc>
        <w:tc>
          <w:tcPr>
            <w:gridSpan w:val="4"/>
            <w:tcW w:w="2891" w:type="dxa"/>
          </w:tcPr>
          <w:p>
            <w:pPr>
              <w:pStyle w:val="0"/>
            </w:pPr>
            <w:r>
              <w:rPr>
                <w:sz w:val="24"/>
              </w:rPr>
              <w:t xml:space="preserve">Количество договоров страхования, заключенных в отчетном периоде</w:t>
            </w:r>
          </w:p>
        </w:tc>
        <w:tc>
          <w:tcPr>
            <w:tcW w:w="1814" w:type="dxa"/>
          </w:tcPr>
          <w:p>
            <w:pPr>
              <w:pStyle w:val="0"/>
            </w:pPr>
            <w:r>
              <w:rPr>
                <w:sz w:val="24"/>
              </w:rPr>
            </w:r>
          </w:p>
        </w:tc>
        <w:tc>
          <w:tcPr>
            <w:tcW w:w="3402" w:type="dxa"/>
          </w:tcPr>
          <w:p>
            <w:pPr>
              <w:pStyle w:val="0"/>
            </w:pPr>
            <w:r>
              <w:rPr>
                <w:sz w:val="24"/>
              </w:rPr>
              <w:t xml:space="preserve">ins-dic:Kolich_Dog_Strax_Zakl_Otch_Period</w:t>
            </w:r>
          </w:p>
        </w:tc>
      </w:tr>
      <w:tr>
        <w:tc>
          <w:tcPr>
            <w:tcW w:w="964" w:type="dxa"/>
          </w:tcPr>
          <w:p>
            <w:pPr>
              <w:pStyle w:val="0"/>
            </w:pPr>
            <w:r>
              <w:rPr>
                <w:sz w:val="24"/>
              </w:rPr>
              <w:t xml:space="preserve">56.1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56.2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56.3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56.4</w:t>
            </w:r>
          </w:p>
        </w:tc>
        <w:tc>
          <w:tcPr>
            <w:gridSpan w:val="4"/>
            <w:tcW w:w="2891" w:type="dxa"/>
          </w:tcPr>
          <w:p>
            <w:pPr>
              <w:pStyle w:val="0"/>
            </w:pPr>
            <w:r>
              <w:rPr>
                <w:sz w:val="24"/>
              </w:rPr>
            </w:r>
          </w:p>
        </w:tc>
        <w:tc>
          <w:tcPr>
            <w:tcW w:w="1814" w:type="dxa"/>
          </w:tcPr>
          <w:p>
            <w:pPr>
              <w:pStyle w:val="0"/>
            </w:pPr>
            <w:r>
              <w:rPr>
                <w:sz w:val="24"/>
              </w:rPr>
              <w:t xml:space="preserve">Способы заключения договора</w:t>
            </w:r>
          </w:p>
        </w:tc>
        <w:tc>
          <w:tcPr>
            <w:tcW w:w="3402" w:type="dxa"/>
          </w:tcPr>
          <w:p>
            <w:pPr>
              <w:pStyle w:val="0"/>
            </w:pPr>
            <w:r>
              <w:rPr>
                <w:sz w:val="24"/>
              </w:rPr>
              <w:t xml:space="preserve">dim-int:SposobyZaklDogAxis</w:t>
            </w:r>
          </w:p>
        </w:tc>
      </w:tr>
      <w:tr>
        <w:tc>
          <w:tcPr>
            <w:tcW w:w="964" w:type="dxa"/>
          </w:tcPr>
          <w:bookmarkStart w:id="56047" w:name="P56047"/>
          <w:bookmarkEnd w:id="56047"/>
          <w:p>
            <w:pPr>
              <w:pStyle w:val="0"/>
            </w:pPr>
            <w:r>
              <w:rPr>
                <w:sz w:val="24"/>
              </w:rPr>
              <w:t xml:space="preserve">57</w:t>
            </w:r>
          </w:p>
        </w:tc>
        <w:tc>
          <w:tcPr>
            <w:gridSpan w:val="4"/>
            <w:tcW w:w="2891" w:type="dxa"/>
          </w:tcPr>
          <w:p>
            <w:pPr>
              <w:pStyle w:val="0"/>
            </w:pPr>
            <w:r>
              <w:rPr>
                <w:sz w:val="24"/>
              </w:rPr>
              <w:t xml:space="preserve">Экспозиция риска, количество полисолет</w:t>
            </w:r>
          </w:p>
        </w:tc>
        <w:tc>
          <w:tcPr>
            <w:tcW w:w="1814" w:type="dxa"/>
          </w:tcPr>
          <w:p>
            <w:pPr>
              <w:pStyle w:val="0"/>
            </w:pPr>
            <w:r>
              <w:rPr>
                <w:sz w:val="24"/>
              </w:rPr>
            </w:r>
          </w:p>
        </w:tc>
        <w:tc>
          <w:tcPr>
            <w:tcW w:w="3402" w:type="dxa"/>
          </w:tcPr>
          <w:p>
            <w:pPr>
              <w:pStyle w:val="0"/>
            </w:pPr>
            <w:r>
              <w:rPr>
                <w:sz w:val="24"/>
              </w:rPr>
              <w:t xml:space="preserve">ins-dic:EkspozicziyaRiska</w:t>
            </w:r>
          </w:p>
        </w:tc>
      </w:tr>
      <w:tr>
        <w:tc>
          <w:tcPr>
            <w:tcW w:w="964" w:type="dxa"/>
          </w:tcPr>
          <w:p>
            <w:pPr>
              <w:pStyle w:val="0"/>
            </w:pPr>
            <w:r>
              <w:rPr>
                <w:sz w:val="24"/>
              </w:rPr>
              <w:t xml:space="preserve">57.1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57.2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57.3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063" w:name="P56063"/>
          <w:bookmarkEnd w:id="56063"/>
          <w:p>
            <w:pPr>
              <w:pStyle w:val="0"/>
            </w:pPr>
            <w:r>
              <w:rPr>
                <w:sz w:val="24"/>
              </w:rPr>
              <w:t xml:space="preserve">58</w:t>
            </w:r>
          </w:p>
        </w:tc>
        <w:tc>
          <w:tcPr>
            <w:gridSpan w:val="4"/>
            <w:tcW w:w="2891" w:type="dxa"/>
          </w:tcPr>
          <w:p>
            <w:pPr>
              <w:pStyle w:val="0"/>
            </w:pPr>
            <w:r>
              <w:rPr>
                <w:sz w:val="24"/>
              </w:rPr>
              <w:t xml:space="preserve">Сумма возврата страховых премий (взносов)</w:t>
            </w:r>
          </w:p>
        </w:tc>
        <w:tc>
          <w:tcPr>
            <w:tcW w:w="1814" w:type="dxa"/>
          </w:tcPr>
          <w:p>
            <w:pPr>
              <w:pStyle w:val="0"/>
            </w:pPr>
            <w:r>
              <w:rPr>
                <w:sz w:val="24"/>
              </w:rPr>
            </w:r>
          </w:p>
        </w:tc>
        <w:tc>
          <w:tcPr>
            <w:tcW w:w="3402" w:type="dxa"/>
          </w:tcPr>
          <w:p>
            <w:pPr>
              <w:pStyle w:val="0"/>
            </w:pPr>
            <w:r>
              <w:rPr>
                <w:sz w:val="24"/>
              </w:rPr>
              <w:t xml:space="preserve">ins-dic:Summa_Vozvrata_Strakhovykh_Premij</w:t>
            </w:r>
          </w:p>
        </w:tc>
      </w:tr>
      <w:tr>
        <w:tc>
          <w:tcPr>
            <w:tcW w:w="964" w:type="dxa"/>
          </w:tcPr>
          <w:p>
            <w:pPr>
              <w:pStyle w:val="0"/>
            </w:pPr>
            <w:r>
              <w:rPr>
                <w:sz w:val="24"/>
              </w:rPr>
              <w:t xml:space="preserve">58.1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58.2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58.3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079" w:name="P56079"/>
          <w:bookmarkEnd w:id="56079"/>
          <w:p>
            <w:pPr>
              <w:pStyle w:val="0"/>
            </w:pPr>
            <w:r>
              <w:rPr>
                <w:sz w:val="24"/>
              </w:rPr>
              <w:t xml:space="preserve">59</w:t>
            </w:r>
          </w:p>
        </w:tc>
        <w:tc>
          <w:tcPr>
            <w:gridSpan w:val="4"/>
            <w:tcW w:w="2891" w:type="dxa"/>
          </w:tcPr>
          <w:p>
            <w:pPr>
              <w:pStyle w:val="0"/>
            </w:pPr>
            <w:r>
              <w:rPr>
                <w:sz w:val="24"/>
              </w:rPr>
              <w:t xml:space="preserve">Количество договоров страхования, по которым в отчетном периоде осуществлен возврат страховых премий (взносов)</w:t>
            </w:r>
          </w:p>
        </w:tc>
        <w:tc>
          <w:tcPr>
            <w:tcW w:w="1814" w:type="dxa"/>
          </w:tcPr>
          <w:p>
            <w:pPr>
              <w:pStyle w:val="0"/>
            </w:pPr>
            <w:r>
              <w:rPr>
                <w:sz w:val="24"/>
              </w:rPr>
            </w:r>
          </w:p>
        </w:tc>
        <w:tc>
          <w:tcPr>
            <w:tcW w:w="3402" w:type="dxa"/>
          </w:tcPr>
          <w:p>
            <w:pPr>
              <w:pStyle w:val="0"/>
            </w:pPr>
            <w:r>
              <w:rPr>
                <w:sz w:val="24"/>
              </w:rPr>
              <w:t xml:space="preserve">ins-dic:KoIich_Dog_Vozvr_Strax_Prem</w:t>
            </w:r>
          </w:p>
        </w:tc>
      </w:tr>
      <w:tr>
        <w:tc>
          <w:tcPr>
            <w:tcW w:w="964" w:type="dxa"/>
          </w:tcPr>
          <w:p>
            <w:pPr>
              <w:pStyle w:val="0"/>
            </w:pPr>
            <w:r>
              <w:rPr>
                <w:sz w:val="24"/>
              </w:rPr>
              <w:t xml:space="preserve">59.1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59.2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59.3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095" w:name="P56095"/>
          <w:bookmarkEnd w:id="56095"/>
          <w:p>
            <w:pPr>
              <w:pStyle w:val="0"/>
            </w:pPr>
            <w:r>
              <w:rPr>
                <w:sz w:val="24"/>
              </w:rPr>
              <w:t xml:space="preserve">60</w:t>
            </w:r>
          </w:p>
        </w:tc>
        <w:tc>
          <w:tcPr>
            <w:gridSpan w:val="4"/>
            <w:tcW w:w="2891" w:type="dxa"/>
          </w:tcPr>
          <w:p>
            <w:pPr>
              <w:pStyle w:val="0"/>
            </w:pPr>
            <w:r>
              <w:rPr>
                <w:sz w:val="24"/>
              </w:rPr>
              <w:t xml:space="preserve">Количество договоров страхования, действовавших на конец отчетного периода</w:t>
            </w:r>
          </w:p>
        </w:tc>
        <w:tc>
          <w:tcPr>
            <w:tcW w:w="1814" w:type="dxa"/>
          </w:tcPr>
          <w:p>
            <w:pPr>
              <w:pStyle w:val="0"/>
            </w:pPr>
            <w:r>
              <w:rPr>
                <w:sz w:val="24"/>
              </w:rPr>
            </w:r>
          </w:p>
        </w:tc>
        <w:tc>
          <w:tcPr>
            <w:tcW w:w="3402" w:type="dxa"/>
          </w:tcPr>
          <w:p>
            <w:pPr>
              <w:pStyle w:val="0"/>
            </w:pPr>
            <w:r>
              <w:rPr>
                <w:sz w:val="24"/>
              </w:rPr>
              <w:t xml:space="preserve">ins-dic:Kolich_Dog_Strax_Dejstv_Kon_Otch_Period</w:t>
            </w:r>
          </w:p>
        </w:tc>
      </w:tr>
      <w:tr>
        <w:tc>
          <w:tcPr>
            <w:tcW w:w="964" w:type="dxa"/>
          </w:tcPr>
          <w:p>
            <w:pPr>
              <w:pStyle w:val="0"/>
            </w:pPr>
            <w:r>
              <w:rPr>
                <w:sz w:val="24"/>
              </w:rPr>
              <w:t xml:space="preserve">60.1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60.2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6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60.3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60.4</w:t>
            </w:r>
          </w:p>
        </w:tc>
        <w:tc>
          <w:tcPr>
            <w:gridSpan w:val="4"/>
            <w:tcW w:w="2891" w:type="dxa"/>
          </w:tcPr>
          <w:p>
            <w:pPr>
              <w:pStyle w:val="0"/>
            </w:pPr>
            <w:r>
              <w:rPr>
                <w:sz w:val="24"/>
              </w:rPr>
            </w:r>
          </w:p>
        </w:tc>
        <w:tc>
          <w:tcPr>
            <w:tcW w:w="1814" w:type="dxa"/>
          </w:tcPr>
          <w:p>
            <w:pPr>
              <w:pStyle w:val="0"/>
            </w:pPr>
            <w:r>
              <w:rPr>
                <w:sz w:val="24"/>
              </w:rPr>
              <w:t xml:space="preserve">Способы заключения договора</w:t>
            </w:r>
          </w:p>
        </w:tc>
        <w:tc>
          <w:tcPr>
            <w:tcW w:w="3402" w:type="dxa"/>
          </w:tcPr>
          <w:p>
            <w:pPr>
              <w:pStyle w:val="0"/>
            </w:pPr>
            <w:r>
              <w:rPr>
                <w:sz w:val="24"/>
              </w:rPr>
              <w:t xml:space="preserve">dim-int:SposobyZaklDogAxis</w:t>
            </w:r>
          </w:p>
        </w:tc>
      </w:tr>
      <w:tr>
        <w:tc>
          <w:tcPr>
            <w:tcW w:w="964" w:type="dxa"/>
          </w:tcPr>
          <w:bookmarkStart w:id="56115" w:name="P56115"/>
          <w:bookmarkEnd w:id="56115"/>
          <w:p>
            <w:pPr>
              <w:pStyle w:val="0"/>
            </w:pPr>
            <w:r>
              <w:rPr>
                <w:sz w:val="24"/>
              </w:rPr>
              <w:t xml:space="preserve">61</w:t>
            </w:r>
          </w:p>
        </w:tc>
        <w:tc>
          <w:tcPr>
            <w:gridSpan w:val="4"/>
            <w:tcW w:w="2891" w:type="dxa"/>
          </w:tcPr>
          <w:p>
            <w:pPr>
              <w:pStyle w:val="0"/>
            </w:pPr>
            <w:r>
              <w:rPr>
                <w:sz w:val="24"/>
              </w:rPr>
              <w:t xml:space="preserve">Количество заявленных страховых случаев</w:t>
            </w:r>
          </w:p>
        </w:tc>
        <w:tc>
          <w:tcPr>
            <w:tcW w:w="1814" w:type="dxa"/>
          </w:tcPr>
          <w:p>
            <w:pPr>
              <w:pStyle w:val="0"/>
            </w:pPr>
            <w:r>
              <w:rPr>
                <w:sz w:val="24"/>
              </w:rPr>
            </w:r>
          </w:p>
        </w:tc>
        <w:tc>
          <w:tcPr>
            <w:tcW w:w="3402" w:type="dxa"/>
          </w:tcPr>
          <w:p>
            <w:pPr>
              <w:pStyle w:val="0"/>
            </w:pPr>
            <w:r>
              <w:rPr>
                <w:sz w:val="24"/>
              </w:rPr>
              <w:t xml:space="preserve">ins-dic:KolZayavStrSluch</w:t>
            </w:r>
          </w:p>
        </w:tc>
      </w:tr>
      <w:tr>
        <w:tc>
          <w:tcPr>
            <w:tcW w:w="964" w:type="dxa"/>
          </w:tcPr>
          <w:p>
            <w:pPr>
              <w:pStyle w:val="0"/>
            </w:pPr>
            <w:r>
              <w:rPr>
                <w:sz w:val="24"/>
              </w:rPr>
              <w:t xml:space="preserve">61.1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61.2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61.3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131" w:name="P56131"/>
          <w:bookmarkEnd w:id="56131"/>
          <w:p>
            <w:pPr>
              <w:pStyle w:val="0"/>
            </w:pPr>
            <w:r>
              <w:rPr>
                <w:sz w:val="24"/>
              </w:rPr>
              <w:t xml:space="preserve">62</w:t>
            </w:r>
          </w:p>
        </w:tc>
        <w:tc>
          <w:tcPr>
            <w:gridSpan w:val="4"/>
            <w:tcW w:w="2891" w:type="dxa"/>
          </w:tcPr>
          <w:p>
            <w:pPr>
              <w:pStyle w:val="0"/>
            </w:pPr>
            <w:r>
              <w:rPr>
                <w:sz w:val="24"/>
              </w:rPr>
              <w:t xml:space="preserve">Количество урегулированных страховых случаев: осуществлены окончательные страховые выплаты</w:t>
            </w:r>
          </w:p>
        </w:tc>
        <w:tc>
          <w:tcPr>
            <w:tcW w:w="1814" w:type="dxa"/>
          </w:tcPr>
          <w:p>
            <w:pPr>
              <w:pStyle w:val="0"/>
            </w:pPr>
            <w:r>
              <w:rPr>
                <w:sz w:val="24"/>
              </w:rPr>
            </w:r>
          </w:p>
        </w:tc>
        <w:tc>
          <w:tcPr>
            <w:tcW w:w="3402" w:type="dxa"/>
          </w:tcPr>
          <w:p>
            <w:pPr>
              <w:pStyle w:val="0"/>
            </w:pPr>
            <w:r>
              <w:rPr>
                <w:sz w:val="24"/>
              </w:rPr>
              <w:t xml:space="preserve">ins-dic:KolUregStrSluch</w:t>
            </w:r>
          </w:p>
        </w:tc>
      </w:tr>
      <w:tr>
        <w:tc>
          <w:tcPr>
            <w:tcW w:w="964" w:type="dxa"/>
          </w:tcPr>
          <w:p>
            <w:pPr>
              <w:pStyle w:val="0"/>
            </w:pPr>
            <w:r>
              <w:rPr>
                <w:sz w:val="24"/>
              </w:rPr>
              <w:t xml:space="preserve">62.1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62.2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62.3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62.4</w:t>
            </w:r>
          </w:p>
        </w:tc>
        <w:tc>
          <w:tcPr>
            <w:gridSpan w:val="4"/>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w:t>
            </w:r>
          </w:p>
        </w:tc>
        <w:tc>
          <w:tcPr>
            <w:tcW w:w="3402" w:type="dxa"/>
          </w:tcPr>
          <w:p>
            <w:pPr>
              <w:pStyle w:val="0"/>
            </w:pPr>
            <w:r>
              <w:rPr>
                <w:sz w:val="24"/>
              </w:rPr>
              <w:t xml:space="preserve">dim-int:Obs_GoAxis</w:t>
            </w:r>
          </w:p>
        </w:tc>
      </w:tr>
      <w:tr>
        <w:tc>
          <w:tcPr>
            <w:tcW w:w="964" w:type="dxa"/>
          </w:tcPr>
          <w:bookmarkStart w:id="56151" w:name="P56151"/>
          <w:bookmarkEnd w:id="56151"/>
          <w:p>
            <w:pPr>
              <w:pStyle w:val="0"/>
            </w:pPr>
            <w:r>
              <w:rPr>
                <w:sz w:val="24"/>
              </w:rPr>
              <w:t xml:space="preserve">63</w:t>
            </w:r>
          </w:p>
        </w:tc>
        <w:tc>
          <w:tcPr>
            <w:gridSpan w:val="4"/>
            <w:tcW w:w="2891" w:type="dxa"/>
          </w:tcPr>
          <w:p>
            <w:pPr>
              <w:pStyle w:val="0"/>
            </w:pPr>
            <w:r>
              <w:rPr>
                <w:sz w:val="24"/>
              </w:rPr>
              <w:t xml:space="preserve">Количество урегулированных страховых случаев: даны отказы в страховых выплатах</w:t>
            </w:r>
          </w:p>
        </w:tc>
        <w:tc>
          <w:tcPr>
            <w:tcW w:w="1814" w:type="dxa"/>
          </w:tcPr>
          <w:p>
            <w:pPr>
              <w:pStyle w:val="0"/>
            </w:pPr>
            <w:r>
              <w:rPr>
                <w:sz w:val="24"/>
              </w:rPr>
            </w:r>
          </w:p>
        </w:tc>
        <w:tc>
          <w:tcPr>
            <w:tcW w:w="3402" w:type="dxa"/>
          </w:tcPr>
          <w:p>
            <w:pPr>
              <w:pStyle w:val="0"/>
            </w:pPr>
            <w:r>
              <w:rPr>
                <w:sz w:val="24"/>
              </w:rPr>
              <w:t xml:space="preserve">ins-dic:KolUregStrSluchOtkaz</w:t>
            </w:r>
          </w:p>
        </w:tc>
      </w:tr>
      <w:tr>
        <w:tc>
          <w:tcPr>
            <w:tcW w:w="964" w:type="dxa"/>
          </w:tcPr>
          <w:p>
            <w:pPr>
              <w:pStyle w:val="0"/>
            </w:pPr>
            <w:r>
              <w:rPr>
                <w:sz w:val="24"/>
              </w:rPr>
              <w:t xml:space="preserve">63.1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63.2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63.3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64</w:t>
            </w:r>
          </w:p>
        </w:tc>
        <w:tc>
          <w:tcPr>
            <w:gridSpan w:val="4"/>
            <w:tcW w:w="2891" w:type="dxa"/>
          </w:tcPr>
          <w:p>
            <w:pPr>
              <w:pStyle w:val="0"/>
            </w:pPr>
            <w:r>
              <w:rPr>
                <w:sz w:val="24"/>
              </w:rPr>
              <w:t xml:space="preserve">Сумма по неурегулированным страховым случаям на конец отчетного периода</w:t>
            </w:r>
          </w:p>
        </w:tc>
        <w:tc>
          <w:tcPr>
            <w:tcW w:w="1814" w:type="dxa"/>
          </w:tcPr>
          <w:p>
            <w:pPr>
              <w:pStyle w:val="0"/>
            </w:pPr>
            <w:r>
              <w:rPr>
                <w:sz w:val="24"/>
              </w:rPr>
            </w:r>
          </w:p>
        </w:tc>
        <w:tc>
          <w:tcPr>
            <w:tcW w:w="3402" w:type="dxa"/>
          </w:tcPr>
          <w:p>
            <w:pPr>
              <w:pStyle w:val="0"/>
            </w:pPr>
            <w:r>
              <w:rPr>
                <w:sz w:val="24"/>
              </w:rPr>
              <w:t xml:space="preserve">ins-die:Summa_Po_Neuregulirovannym_Strakh_Sluch_Na_Konets_Otch_Perioda</w:t>
            </w:r>
          </w:p>
        </w:tc>
      </w:tr>
      <w:tr>
        <w:tc>
          <w:tcPr>
            <w:tcW w:w="964" w:type="dxa"/>
          </w:tcPr>
          <w:p>
            <w:pPr>
              <w:pStyle w:val="0"/>
            </w:pPr>
            <w:r>
              <w:rPr>
                <w:sz w:val="24"/>
              </w:rPr>
              <w:t xml:space="preserve">64.1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64.2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64.3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183" w:name="P56183"/>
          <w:bookmarkEnd w:id="56183"/>
          <w:p>
            <w:pPr>
              <w:pStyle w:val="0"/>
            </w:pPr>
            <w:r>
              <w:rPr>
                <w:sz w:val="24"/>
              </w:rPr>
              <w:t xml:space="preserve">65</w:t>
            </w:r>
          </w:p>
        </w:tc>
        <w:tc>
          <w:tcPr>
            <w:gridSpan w:val="4"/>
            <w:tcW w:w="2891" w:type="dxa"/>
          </w:tcPr>
          <w:p>
            <w:pPr>
              <w:pStyle w:val="0"/>
            </w:pPr>
            <w:r>
              <w:rPr>
                <w:sz w:val="24"/>
              </w:rPr>
              <w:t xml:space="preserve">Количество неурегулированных страховых случаев на конец отчетного периода</w:t>
            </w:r>
          </w:p>
        </w:tc>
        <w:tc>
          <w:tcPr>
            <w:tcW w:w="1814" w:type="dxa"/>
          </w:tcPr>
          <w:p>
            <w:pPr>
              <w:pStyle w:val="0"/>
            </w:pPr>
            <w:r>
              <w:rPr>
                <w:sz w:val="24"/>
              </w:rPr>
            </w:r>
          </w:p>
        </w:tc>
        <w:tc>
          <w:tcPr>
            <w:tcW w:w="3402" w:type="dxa"/>
          </w:tcPr>
          <w:p>
            <w:pPr>
              <w:pStyle w:val="0"/>
            </w:pPr>
            <w:r>
              <w:rPr>
                <w:sz w:val="24"/>
              </w:rPr>
              <w:t xml:space="preserve">ins-dic:Kolichestvo_Neuregulirovannykh_Strakhovykh_Sluchaevnakonotchp</w:t>
            </w:r>
          </w:p>
        </w:tc>
      </w:tr>
      <w:tr>
        <w:tc>
          <w:tcPr>
            <w:tcW w:w="964" w:type="dxa"/>
          </w:tcPr>
          <w:p>
            <w:pPr>
              <w:pStyle w:val="0"/>
            </w:pPr>
            <w:r>
              <w:rPr>
                <w:sz w:val="24"/>
              </w:rPr>
              <w:t xml:space="preserve">65.1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65.2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7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65,3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199" w:name="P56199"/>
          <w:bookmarkEnd w:id="56199"/>
          <w:p>
            <w:pPr>
              <w:pStyle w:val="0"/>
            </w:pPr>
            <w:r>
              <w:rPr>
                <w:sz w:val="24"/>
              </w:rPr>
              <w:t xml:space="preserve">66</w:t>
            </w:r>
          </w:p>
        </w:tc>
        <w:tc>
          <w:tcPr>
            <w:gridSpan w:val="4"/>
            <w:tcW w:w="2891" w:type="dxa"/>
          </w:tcPr>
          <w:p>
            <w:pPr>
              <w:pStyle w:val="0"/>
            </w:pPr>
            <w:r>
              <w:rPr>
                <w:sz w:val="24"/>
              </w:rPr>
              <w:t xml:space="preserve">Сумма страховых выплат</w:t>
            </w:r>
          </w:p>
        </w:tc>
        <w:tc>
          <w:tcPr>
            <w:tcW w:w="1814" w:type="dxa"/>
          </w:tcPr>
          <w:p>
            <w:pPr>
              <w:pStyle w:val="0"/>
            </w:pPr>
            <w:r>
              <w:rPr>
                <w:sz w:val="24"/>
              </w:rPr>
            </w:r>
          </w:p>
        </w:tc>
        <w:tc>
          <w:tcPr>
            <w:tcW w:w="3402" w:type="dxa"/>
          </w:tcPr>
          <w:p>
            <w:pPr>
              <w:pStyle w:val="0"/>
            </w:pPr>
            <w:r>
              <w:rPr>
                <w:sz w:val="24"/>
              </w:rPr>
              <w:t xml:space="preserve">ins-dic:Summa_Po_Strakhovym_Vyplatam_-_Vsego</w:t>
            </w:r>
          </w:p>
        </w:tc>
      </w:tr>
      <w:tr>
        <w:tc>
          <w:tcPr>
            <w:tcW w:w="964" w:type="dxa"/>
          </w:tcPr>
          <w:p>
            <w:pPr>
              <w:pStyle w:val="0"/>
            </w:pPr>
            <w:r>
              <w:rPr>
                <w:sz w:val="24"/>
              </w:rPr>
              <w:t xml:space="preserve">66.1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66.2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66.3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66.4</w:t>
            </w:r>
          </w:p>
        </w:tc>
        <w:tc>
          <w:tcPr>
            <w:gridSpan w:val="4"/>
            <w:tcW w:w="2891" w:type="dxa"/>
          </w:tcPr>
          <w:p>
            <w:pPr>
              <w:pStyle w:val="0"/>
            </w:pPr>
            <w:r>
              <w:rPr>
                <w:sz w:val="24"/>
              </w:rPr>
            </w:r>
          </w:p>
        </w:tc>
        <w:tc>
          <w:tcPr>
            <w:tcW w:w="1814" w:type="dxa"/>
          </w:tcPr>
          <w:p>
            <w:pPr>
              <w:pStyle w:val="0"/>
            </w:pPr>
            <w:r>
              <w:rPr>
                <w:sz w:val="24"/>
              </w:rPr>
              <w:t xml:space="preserve">Способы заключения договора</w:t>
            </w:r>
          </w:p>
        </w:tc>
        <w:tc>
          <w:tcPr>
            <w:tcW w:w="3402" w:type="dxa"/>
          </w:tcPr>
          <w:p>
            <w:pPr>
              <w:pStyle w:val="0"/>
            </w:pPr>
            <w:r>
              <w:rPr>
                <w:sz w:val="24"/>
              </w:rPr>
              <w:t xml:space="preserve">dim-int:SposobyZaklDogAxis</w:t>
            </w:r>
          </w:p>
        </w:tc>
      </w:tr>
      <w:tr>
        <w:tc>
          <w:tcPr>
            <w:tcW w:w="964" w:type="dxa"/>
          </w:tcPr>
          <w:p>
            <w:pPr>
              <w:pStyle w:val="0"/>
            </w:pPr>
            <w:r>
              <w:rPr>
                <w:sz w:val="24"/>
              </w:rPr>
              <w:t xml:space="preserve">66.5</w:t>
            </w:r>
          </w:p>
        </w:tc>
        <w:tc>
          <w:tcPr>
            <w:gridSpan w:val="4"/>
            <w:tcW w:w="2891" w:type="dxa"/>
          </w:tcPr>
          <w:p>
            <w:pPr>
              <w:pStyle w:val="0"/>
            </w:pPr>
            <w:r>
              <w:rPr>
                <w:sz w:val="24"/>
              </w:rPr>
            </w:r>
          </w:p>
        </w:tc>
        <w:tc>
          <w:tcPr>
            <w:tcW w:w="1814" w:type="dxa"/>
          </w:tcPr>
          <w:p>
            <w:pPr>
              <w:pStyle w:val="0"/>
            </w:pPr>
            <w:r>
              <w:rPr>
                <w:sz w:val="24"/>
              </w:rPr>
              <w:t xml:space="preserve">Виды страховых случаев</w:t>
            </w:r>
          </w:p>
        </w:tc>
        <w:tc>
          <w:tcPr>
            <w:tcW w:w="3402" w:type="dxa"/>
          </w:tcPr>
          <w:p>
            <w:pPr>
              <w:pStyle w:val="0"/>
            </w:pPr>
            <w:r>
              <w:rPr>
                <w:sz w:val="24"/>
              </w:rPr>
              <w:t xml:space="preserve">dim-int:Vidy_Strax_Sluch_Axis</w:t>
            </w:r>
          </w:p>
        </w:tc>
      </w:tr>
      <w:tr>
        <w:tc>
          <w:tcPr>
            <w:tcW w:w="964" w:type="dxa"/>
          </w:tcPr>
          <w:p>
            <w:pPr>
              <w:pStyle w:val="0"/>
            </w:pPr>
            <w:r>
              <w:rPr>
                <w:sz w:val="24"/>
              </w:rPr>
              <w:t xml:space="preserve">66.6</w:t>
            </w:r>
          </w:p>
        </w:tc>
        <w:tc>
          <w:tcPr>
            <w:gridSpan w:val="4"/>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w:t>
            </w:r>
          </w:p>
        </w:tc>
        <w:tc>
          <w:tcPr>
            <w:tcW w:w="3402" w:type="dxa"/>
          </w:tcPr>
          <w:p>
            <w:pPr>
              <w:pStyle w:val="0"/>
            </w:pPr>
            <w:r>
              <w:rPr>
                <w:sz w:val="24"/>
              </w:rPr>
              <w:t xml:space="preserve">dim-int:Obs_GoAxis</w:t>
            </w:r>
          </w:p>
        </w:tc>
      </w:tr>
      <w:tr>
        <w:tc>
          <w:tcPr>
            <w:tcW w:w="964" w:type="dxa"/>
          </w:tcPr>
          <w:bookmarkStart w:id="56227" w:name="P56227"/>
          <w:bookmarkEnd w:id="56227"/>
          <w:p>
            <w:pPr>
              <w:pStyle w:val="0"/>
            </w:pPr>
            <w:r>
              <w:rPr>
                <w:sz w:val="24"/>
              </w:rPr>
              <w:t xml:space="preserve">67</w:t>
            </w:r>
          </w:p>
        </w:tc>
        <w:tc>
          <w:tcPr>
            <w:gridSpan w:val="4"/>
            <w:tcW w:w="2891" w:type="dxa"/>
          </w:tcPr>
          <w:p>
            <w:pPr>
              <w:pStyle w:val="0"/>
            </w:pPr>
            <w:r>
              <w:rPr>
                <w:sz w:val="24"/>
              </w:rPr>
              <w:t xml:space="preserve">Количество страховых выплат</w:t>
            </w:r>
          </w:p>
        </w:tc>
        <w:tc>
          <w:tcPr>
            <w:tcW w:w="1814" w:type="dxa"/>
          </w:tcPr>
          <w:p>
            <w:pPr>
              <w:pStyle w:val="0"/>
            </w:pPr>
            <w:r>
              <w:rPr>
                <w:sz w:val="24"/>
              </w:rPr>
            </w:r>
          </w:p>
        </w:tc>
        <w:tc>
          <w:tcPr>
            <w:tcW w:w="3402" w:type="dxa"/>
          </w:tcPr>
          <w:p>
            <w:pPr>
              <w:pStyle w:val="0"/>
            </w:pPr>
            <w:r>
              <w:rPr>
                <w:sz w:val="24"/>
              </w:rPr>
              <w:t xml:space="preserve">ins-dic:Kolich_Strax_Vypl</w:t>
            </w:r>
          </w:p>
        </w:tc>
      </w:tr>
      <w:tr>
        <w:tc>
          <w:tcPr>
            <w:tcW w:w="964" w:type="dxa"/>
          </w:tcPr>
          <w:p>
            <w:pPr>
              <w:pStyle w:val="0"/>
            </w:pPr>
            <w:r>
              <w:rPr>
                <w:sz w:val="24"/>
              </w:rPr>
              <w:t xml:space="preserve">67.1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67.2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67.3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67.4</w:t>
            </w:r>
          </w:p>
        </w:tc>
        <w:tc>
          <w:tcPr>
            <w:gridSpan w:val="4"/>
            <w:tcW w:w="2891" w:type="dxa"/>
          </w:tcPr>
          <w:p>
            <w:pPr>
              <w:pStyle w:val="0"/>
            </w:pPr>
            <w:r>
              <w:rPr>
                <w:sz w:val="24"/>
              </w:rPr>
            </w:r>
          </w:p>
        </w:tc>
        <w:tc>
          <w:tcPr>
            <w:tcW w:w="1814" w:type="dxa"/>
          </w:tcPr>
          <w:p>
            <w:pPr>
              <w:pStyle w:val="0"/>
            </w:pPr>
            <w:r>
              <w:rPr>
                <w:sz w:val="24"/>
              </w:rPr>
              <w:t xml:space="preserve">Способы заключения договора</w:t>
            </w:r>
          </w:p>
        </w:tc>
        <w:tc>
          <w:tcPr>
            <w:tcW w:w="3402" w:type="dxa"/>
          </w:tcPr>
          <w:p>
            <w:pPr>
              <w:pStyle w:val="0"/>
            </w:pPr>
            <w:r>
              <w:rPr>
                <w:sz w:val="24"/>
              </w:rPr>
              <w:t xml:space="preserve">dim-int:SposobyZaklDogAxis</w:t>
            </w:r>
          </w:p>
        </w:tc>
      </w:tr>
      <w:tr>
        <w:tc>
          <w:tcPr>
            <w:tcW w:w="964" w:type="dxa"/>
          </w:tcPr>
          <w:p>
            <w:pPr>
              <w:pStyle w:val="0"/>
            </w:pPr>
            <w:r>
              <w:rPr>
                <w:sz w:val="24"/>
              </w:rPr>
              <w:t xml:space="preserve">67.5</w:t>
            </w:r>
          </w:p>
        </w:tc>
        <w:tc>
          <w:tcPr>
            <w:gridSpan w:val="4"/>
            <w:tcW w:w="2891" w:type="dxa"/>
          </w:tcPr>
          <w:p>
            <w:pPr>
              <w:pStyle w:val="0"/>
            </w:pPr>
            <w:r>
              <w:rPr>
                <w:sz w:val="24"/>
              </w:rPr>
            </w:r>
          </w:p>
        </w:tc>
        <w:tc>
          <w:tcPr>
            <w:tcW w:w="1814" w:type="dxa"/>
          </w:tcPr>
          <w:p>
            <w:pPr>
              <w:pStyle w:val="0"/>
            </w:pPr>
            <w:r>
              <w:rPr>
                <w:sz w:val="24"/>
              </w:rPr>
              <w:t xml:space="preserve">Виды страховых случаев</w:t>
            </w:r>
          </w:p>
        </w:tc>
        <w:tc>
          <w:tcPr>
            <w:tcW w:w="3402" w:type="dxa"/>
          </w:tcPr>
          <w:p>
            <w:pPr>
              <w:pStyle w:val="0"/>
            </w:pPr>
            <w:r>
              <w:rPr>
                <w:sz w:val="24"/>
              </w:rPr>
              <w:t xml:space="preserve">dim-int:Vidy_Strax_Sluch_Axis</w:t>
            </w:r>
          </w:p>
        </w:tc>
      </w:tr>
      <w:tr>
        <w:tc>
          <w:tcPr>
            <w:tcW w:w="964" w:type="dxa"/>
          </w:tcPr>
          <w:bookmarkStart w:id="56251" w:name="P56251"/>
          <w:bookmarkEnd w:id="56251"/>
          <w:p>
            <w:pPr>
              <w:pStyle w:val="0"/>
            </w:pPr>
            <w:r>
              <w:rPr>
                <w:sz w:val="24"/>
              </w:rPr>
              <w:t xml:space="preserve">68</w:t>
            </w:r>
          </w:p>
        </w:tc>
        <w:tc>
          <w:tcPr>
            <w:gridSpan w:val="4"/>
            <w:tcW w:w="2891" w:type="dxa"/>
          </w:tcPr>
          <w:p>
            <w:pPr>
              <w:pStyle w:val="0"/>
            </w:pPr>
            <w:r>
              <w:rPr>
                <w:sz w:val="24"/>
              </w:rPr>
              <w:t xml:space="preserve">Страховые выплаты на основании решения суда</w:t>
            </w:r>
          </w:p>
        </w:tc>
        <w:tc>
          <w:tcPr>
            <w:tcW w:w="1814" w:type="dxa"/>
          </w:tcPr>
          <w:p>
            <w:pPr>
              <w:pStyle w:val="0"/>
            </w:pPr>
            <w:r>
              <w:rPr>
                <w:sz w:val="24"/>
              </w:rPr>
            </w:r>
          </w:p>
        </w:tc>
        <w:tc>
          <w:tcPr>
            <w:tcW w:w="3402" w:type="dxa"/>
          </w:tcPr>
          <w:p>
            <w:pPr>
              <w:pStyle w:val="0"/>
            </w:pPr>
            <w:r>
              <w:rPr>
                <w:sz w:val="24"/>
              </w:rPr>
              <w:t xml:space="preserve">ins-dic:StrVyplNaOsnReshSud</w:t>
            </w:r>
          </w:p>
        </w:tc>
      </w:tr>
      <w:tr>
        <w:tc>
          <w:tcPr>
            <w:tcW w:w="964" w:type="dxa"/>
          </w:tcPr>
          <w:p>
            <w:pPr>
              <w:pStyle w:val="0"/>
            </w:pPr>
            <w:r>
              <w:rPr>
                <w:sz w:val="24"/>
              </w:rPr>
              <w:t xml:space="preserve">68.1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68.2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68.3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267" w:name="P56267"/>
          <w:bookmarkEnd w:id="56267"/>
          <w:p>
            <w:pPr>
              <w:pStyle w:val="0"/>
            </w:pPr>
            <w:r>
              <w:rPr>
                <w:sz w:val="24"/>
              </w:rPr>
              <w:t xml:space="preserve">69</w:t>
            </w:r>
          </w:p>
        </w:tc>
        <w:tc>
          <w:tcPr>
            <w:gridSpan w:val="4"/>
            <w:tcW w:w="2891" w:type="dxa"/>
          </w:tcPr>
          <w:p>
            <w:pPr>
              <w:pStyle w:val="0"/>
            </w:pPr>
            <w:r>
              <w:rPr>
                <w:sz w:val="24"/>
              </w:rPr>
              <w:t xml:space="preserve">Сумма выплат на возмещение причиненного вреда в натуре</w:t>
            </w:r>
          </w:p>
        </w:tc>
        <w:tc>
          <w:tcPr>
            <w:tcW w:w="1814" w:type="dxa"/>
          </w:tcPr>
          <w:p>
            <w:pPr>
              <w:pStyle w:val="0"/>
            </w:pPr>
            <w:r>
              <w:rPr>
                <w:sz w:val="24"/>
              </w:rPr>
            </w:r>
          </w:p>
        </w:tc>
        <w:tc>
          <w:tcPr>
            <w:tcW w:w="3402" w:type="dxa"/>
          </w:tcPr>
          <w:p>
            <w:pPr>
              <w:pStyle w:val="0"/>
            </w:pPr>
            <w:r>
              <w:rPr>
                <w:sz w:val="24"/>
              </w:rPr>
              <w:t xml:space="preserve">ins-dic:SumVyplVNature</w:t>
            </w:r>
          </w:p>
        </w:tc>
      </w:tr>
      <w:tr>
        <w:tc>
          <w:tcPr>
            <w:tcW w:w="964" w:type="dxa"/>
          </w:tcPr>
          <w:p>
            <w:pPr>
              <w:pStyle w:val="0"/>
            </w:pPr>
            <w:r>
              <w:rPr>
                <w:sz w:val="24"/>
              </w:rPr>
              <w:t xml:space="preserve">69.1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69.2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69.3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69.4</w:t>
            </w:r>
          </w:p>
        </w:tc>
        <w:tc>
          <w:tcPr>
            <w:gridSpan w:val="4"/>
            <w:tcW w:w="2891" w:type="dxa"/>
          </w:tcPr>
          <w:p>
            <w:pPr>
              <w:pStyle w:val="0"/>
            </w:pPr>
            <w:r>
              <w:rPr>
                <w:sz w:val="24"/>
              </w:rPr>
            </w:r>
          </w:p>
        </w:tc>
        <w:tc>
          <w:tcPr>
            <w:tcW w:w="1814" w:type="dxa"/>
          </w:tcPr>
          <w:p>
            <w:pPr>
              <w:pStyle w:val="0"/>
            </w:pPr>
            <w:r>
              <w:rPr>
                <w:sz w:val="24"/>
              </w:rPr>
              <w:t xml:space="preserve">Виды страховых случаев</w:t>
            </w:r>
          </w:p>
        </w:tc>
        <w:tc>
          <w:tcPr>
            <w:tcW w:w="3402" w:type="dxa"/>
          </w:tcPr>
          <w:p>
            <w:pPr>
              <w:pStyle w:val="0"/>
            </w:pPr>
            <w:r>
              <w:rPr>
                <w:sz w:val="24"/>
              </w:rPr>
              <w:t xml:space="preserve">dim-int:Vidy_Strax_Sluch_Axis</w:t>
            </w:r>
          </w:p>
        </w:tc>
      </w:tr>
      <w:tr>
        <w:tc>
          <w:tcPr>
            <w:tcW w:w="964" w:type="dxa"/>
          </w:tcPr>
          <w:bookmarkStart w:id="56287" w:name="P56287"/>
          <w:bookmarkEnd w:id="56287"/>
          <w:p>
            <w:pPr>
              <w:pStyle w:val="0"/>
            </w:pPr>
            <w:r>
              <w:rPr>
                <w:sz w:val="24"/>
              </w:rPr>
              <w:t xml:space="preserve">70</w:t>
            </w:r>
          </w:p>
        </w:tc>
        <w:tc>
          <w:tcPr>
            <w:gridSpan w:val="4"/>
            <w:tcW w:w="2891" w:type="dxa"/>
          </w:tcPr>
          <w:p>
            <w:pPr>
              <w:pStyle w:val="0"/>
            </w:pPr>
            <w:r>
              <w:rPr>
                <w:sz w:val="24"/>
              </w:rPr>
              <w:t xml:space="preserve">Количество выплат на возмещение причиненного вреда в натуре</w:t>
            </w:r>
          </w:p>
        </w:tc>
        <w:tc>
          <w:tcPr>
            <w:tcW w:w="1814" w:type="dxa"/>
          </w:tcPr>
          <w:p>
            <w:pPr>
              <w:pStyle w:val="0"/>
            </w:pPr>
            <w:r>
              <w:rPr>
                <w:sz w:val="24"/>
              </w:rPr>
            </w:r>
          </w:p>
        </w:tc>
        <w:tc>
          <w:tcPr>
            <w:tcW w:w="3402" w:type="dxa"/>
          </w:tcPr>
          <w:p>
            <w:pPr>
              <w:pStyle w:val="0"/>
            </w:pPr>
            <w:r>
              <w:rPr>
                <w:sz w:val="24"/>
              </w:rPr>
              <w:t xml:space="preserve">ins-dic:KolVyplVNature</w:t>
            </w:r>
          </w:p>
        </w:tc>
      </w:tr>
      <w:tr>
        <w:tc>
          <w:tcPr>
            <w:tcW w:w="964" w:type="dxa"/>
          </w:tcPr>
          <w:p>
            <w:pPr>
              <w:pStyle w:val="0"/>
            </w:pPr>
            <w:r>
              <w:rPr>
                <w:sz w:val="24"/>
              </w:rPr>
              <w:t xml:space="preserve">70.1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70.2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8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70.3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70.4</w:t>
            </w:r>
          </w:p>
        </w:tc>
        <w:tc>
          <w:tcPr>
            <w:gridSpan w:val="4"/>
            <w:tcW w:w="2891" w:type="dxa"/>
          </w:tcPr>
          <w:p>
            <w:pPr>
              <w:pStyle w:val="0"/>
            </w:pPr>
            <w:r>
              <w:rPr>
                <w:sz w:val="24"/>
              </w:rPr>
            </w:r>
          </w:p>
        </w:tc>
        <w:tc>
          <w:tcPr>
            <w:tcW w:w="1814" w:type="dxa"/>
          </w:tcPr>
          <w:p>
            <w:pPr>
              <w:pStyle w:val="0"/>
            </w:pPr>
            <w:r>
              <w:rPr>
                <w:sz w:val="24"/>
              </w:rPr>
              <w:t xml:space="preserve">Виды страховых случаев</w:t>
            </w:r>
          </w:p>
        </w:tc>
        <w:tc>
          <w:tcPr>
            <w:tcW w:w="3402" w:type="dxa"/>
          </w:tcPr>
          <w:p>
            <w:pPr>
              <w:pStyle w:val="0"/>
            </w:pPr>
            <w:r>
              <w:rPr>
                <w:sz w:val="24"/>
              </w:rPr>
              <w:t xml:space="preserve">dim~int:Vidy_Strax_Sluch_Axis</w:t>
            </w:r>
          </w:p>
        </w:tc>
      </w:tr>
      <w:tr>
        <w:tc>
          <w:tcPr>
            <w:tcW w:w="964" w:type="dxa"/>
          </w:tcPr>
          <w:bookmarkStart w:id="56307" w:name="P56307"/>
          <w:bookmarkEnd w:id="56307"/>
          <w:p>
            <w:pPr>
              <w:pStyle w:val="0"/>
            </w:pPr>
            <w:r>
              <w:rPr>
                <w:sz w:val="24"/>
              </w:rPr>
              <w:t xml:space="preserve">71</w:t>
            </w:r>
          </w:p>
        </w:tc>
        <w:tc>
          <w:tcPr>
            <w:gridSpan w:val="4"/>
            <w:tcW w:w="2891" w:type="dxa"/>
          </w:tcPr>
          <w:p>
            <w:pPr>
              <w:pStyle w:val="0"/>
            </w:pPr>
            <w:r>
              <w:rPr>
                <w:sz w:val="24"/>
              </w:rPr>
              <w:t xml:space="preserve">Сумма выплат по возмещению расходов страхователей в целях уменьшения убытков</w:t>
            </w:r>
          </w:p>
        </w:tc>
        <w:tc>
          <w:tcPr>
            <w:tcW w:w="1814" w:type="dxa"/>
          </w:tcPr>
          <w:p>
            <w:pPr>
              <w:pStyle w:val="0"/>
            </w:pPr>
            <w:r>
              <w:rPr>
                <w:sz w:val="24"/>
              </w:rPr>
            </w:r>
          </w:p>
        </w:tc>
        <w:tc>
          <w:tcPr>
            <w:tcW w:w="3402" w:type="dxa"/>
          </w:tcPr>
          <w:p>
            <w:pPr>
              <w:pStyle w:val="0"/>
            </w:pPr>
            <w:r>
              <w:rPr>
                <w:sz w:val="24"/>
              </w:rPr>
              <w:t xml:space="preserve">ins-dic:Summavyplatpovozmeschraskhodovstrakhovatvcelyakhumenub</w:t>
            </w:r>
          </w:p>
        </w:tc>
      </w:tr>
      <w:tr>
        <w:tc>
          <w:tcPr>
            <w:tcW w:w="964" w:type="dxa"/>
          </w:tcPr>
          <w:p>
            <w:pPr>
              <w:pStyle w:val="0"/>
            </w:pPr>
            <w:r>
              <w:rPr>
                <w:sz w:val="24"/>
              </w:rPr>
              <w:t xml:space="preserve">71.1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71.2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71.3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323" w:name="P56323"/>
          <w:bookmarkEnd w:id="56323"/>
          <w:p>
            <w:pPr>
              <w:pStyle w:val="0"/>
            </w:pPr>
            <w:r>
              <w:rPr>
                <w:sz w:val="24"/>
              </w:rPr>
              <w:t xml:space="preserve">72</w:t>
            </w:r>
          </w:p>
        </w:tc>
        <w:tc>
          <w:tcPr>
            <w:gridSpan w:val="4"/>
            <w:tcW w:w="2891" w:type="dxa"/>
          </w:tcPr>
          <w:p>
            <w:pPr>
              <w:pStyle w:val="0"/>
            </w:pPr>
            <w:r>
              <w:rPr>
                <w:sz w:val="24"/>
              </w:rPr>
              <w:t xml:space="preserve">Количество выплат по возмещению расходов страхователей в целях уменьшения убытков</w:t>
            </w:r>
          </w:p>
        </w:tc>
        <w:tc>
          <w:tcPr>
            <w:tcW w:w="1814" w:type="dxa"/>
          </w:tcPr>
          <w:p>
            <w:pPr>
              <w:pStyle w:val="0"/>
            </w:pPr>
            <w:r>
              <w:rPr>
                <w:sz w:val="24"/>
              </w:rPr>
            </w:r>
          </w:p>
        </w:tc>
        <w:tc>
          <w:tcPr>
            <w:tcW w:w="3402" w:type="dxa"/>
          </w:tcPr>
          <w:p>
            <w:pPr>
              <w:pStyle w:val="0"/>
            </w:pPr>
            <w:r>
              <w:rPr>
                <w:sz w:val="24"/>
              </w:rPr>
              <w:t xml:space="preserve">ins-dic:Kolichstrakhvyplatpovozmeschraskhstrakhovatelejvcelyakhumenub</w:t>
            </w:r>
          </w:p>
        </w:tc>
      </w:tr>
      <w:tr>
        <w:tc>
          <w:tcPr>
            <w:tcW w:w="964" w:type="dxa"/>
          </w:tcPr>
          <w:p>
            <w:pPr>
              <w:pStyle w:val="0"/>
            </w:pPr>
            <w:r>
              <w:rPr>
                <w:sz w:val="24"/>
              </w:rPr>
              <w:t xml:space="preserve">72.1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72.2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72.3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339" w:name="P56339"/>
          <w:bookmarkEnd w:id="56339"/>
          <w:p>
            <w:pPr>
              <w:pStyle w:val="0"/>
            </w:pPr>
            <w:r>
              <w:rPr>
                <w:sz w:val="24"/>
              </w:rPr>
              <w:t xml:space="preserve">73</w:t>
            </w:r>
          </w:p>
        </w:tc>
        <w:tc>
          <w:tcPr>
            <w:gridSpan w:val="4"/>
            <w:tcW w:w="2891" w:type="dxa"/>
          </w:tcPr>
          <w:p>
            <w:pPr>
              <w:pStyle w:val="0"/>
            </w:pPr>
            <w:r>
              <w:rPr>
                <w:sz w:val="24"/>
              </w:rPr>
              <w:t xml:space="preserve">Сумма выплат по возмещению расходов по независимой экспертизе (оценке), организованной потерпевшим</w:t>
            </w:r>
          </w:p>
        </w:tc>
        <w:tc>
          <w:tcPr>
            <w:tcW w:w="1814" w:type="dxa"/>
          </w:tcPr>
          <w:p>
            <w:pPr>
              <w:pStyle w:val="0"/>
            </w:pPr>
            <w:r>
              <w:rPr>
                <w:sz w:val="24"/>
              </w:rPr>
            </w:r>
          </w:p>
        </w:tc>
        <w:tc>
          <w:tcPr>
            <w:tcW w:w="3402" w:type="dxa"/>
          </w:tcPr>
          <w:p>
            <w:pPr>
              <w:pStyle w:val="0"/>
            </w:pPr>
            <w:r>
              <w:rPr>
                <w:sz w:val="24"/>
              </w:rPr>
              <w:t xml:space="preserve">ins-dic:Summavyplpovozmrasxponezavisekspertizeocenkeorganizpoterpevshim</w:t>
            </w:r>
          </w:p>
        </w:tc>
      </w:tr>
      <w:tr>
        <w:tc>
          <w:tcPr>
            <w:tcW w:w="964" w:type="dxa"/>
          </w:tcPr>
          <w:p>
            <w:pPr>
              <w:pStyle w:val="0"/>
            </w:pPr>
            <w:r>
              <w:rPr>
                <w:sz w:val="24"/>
              </w:rPr>
              <w:t xml:space="preserve">73.1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73.2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73.3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355" w:name="P56355"/>
          <w:bookmarkEnd w:id="56355"/>
          <w:p>
            <w:pPr>
              <w:pStyle w:val="0"/>
            </w:pPr>
            <w:r>
              <w:rPr>
                <w:sz w:val="24"/>
              </w:rPr>
              <w:t xml:space="preserve">74</w:t>
            </w:r>
          </w:p>
        </w:tc>
        <w:tc>
          <w:tcPr>
            <w:gridSpan w:val="4"/>
            <w:tcW w:w="2891" w:type="dxa"/>
          </w:tcPr>
          <w:p>
            <w:pPr>
              <w:pStyle w:val="0"/>
            </w:pPr>
            <w:r>
              <w:rPr>
                <w:sz w:val="24"/>
              </w:rPr>
              <w:t xml:space="preserve">Количество выплат по возмещению расходов по независимой экспертизе (оценке), организованной потерпевшим</w:t>
            </w:r>
          </w:p>
        </w:tc>
        <w:tc>
          <w:tcPr>
            <w:tcW w:w="1814" w:type="dxa"/>
          </w:tcPr>
          <w:p>
            <w:pPr>
              <w:pStyle w:val="0"/>
            </w:pPr>
            <w:r>
              <w:rPr>
                <w:sz w:val="24"/>
              </w:rPr>
            </w:r>
          </w:p>
        </w:tc>
        <w:tc>
          <w:tcPr>
            <w:tcW w:w="3402" w:type="dxa"/>
          </w:tcPr>
          <w:p>
            <w:pPr>
              <w:pStyle w:val="0"/>
            </w:pPr>
            <w:r>
              <w:rPr>
                <w:sz w:val="24"/>
              </w:rPr>
              <w:t xml:space="preserve">ins-dic:Kolichvyplpovozmrasxponezavisekspertizeocenkeorganizpoterpevshim</w:t>
            </w:r>
          </w:p>
        </w:tc>
      </w:tr>
      <w:tr>
        <w:tc>
          <w:tcPr>
            <w:tcW w:w="964" w:type="dxa"/>
          </w:tcPr>
          <w:p>
            <w:pPr>
              <w:pStyle w:val="0"/>
            </w:pPr>
            <w:r>
              <w:rPr>
                <w:sz w:val="24"/>
              </w:rPr>
              <w:t xml:space="preserve">74.1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74.2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74.3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371" w:name="P56371"/>
          <w:bookmarkEnd w:id="56371"/>
          <w:p>
            <w:pPr>
              <w:pStyle w:val="0"/>
            </w:pPr>
            <w:r>
              <w:rPr>
                <w:sz w:val="24"/>
              </w:rPr>
              <w:t xml:space="preserve">75</w:t>
            </w:r>
          </w:p>
        </w:tc>
        <w:tc>
          <w:tcPr>
            <w:gridSpan w:val="4"/>
            <w:tcW w:w="2891" w:type="dxa"/>
          </w:tcPr>
          <w:p>
            <w:pPr>
              <w:pStyle w:val="0"/>
            </w:pPr>
            <w:r>
              <w:rPr>
                <w:sz w:val="24"/>
              </w:rPr>
              <w:t xml:space="preserve">Сумма выплат по неустойкам за несоблюдение сроков осуществления страховой выплаты</w:t>
            </w:r>
          </w:p>
        </w:tc>
        <w:tc>
          <w:tcPr>
            <w:tcW w:w="1814" w:type="dxa"/>
          </w:tcPr>
          <w:p>
            <w:pPr>
              <w:pStyle w:val="0"/>
            </w:pPr>
            <w:r>
              <w:rPr>
                <w:sz w:val="24"/>
              </w:rPr>
            </w:r>
          </w:p>
        </w:tc>
        <w:tc>
          <w:tcPr>
            <w:tcW w:w="3402" w:type="dxa"/>
          </w:tcPr>
          <w:p>
            <w:pPr>
              <w:pStyle w:val="0"/>
            </w:pPr>
            <w:r>
              <w:rPr>
                <w:sz w:val="24"/>
              </w:rPr>
              <w:t xml:space="preserve">ins-dic:Neustojka_V_Svyazi_S_Zaderzhkoj_Strakhovoj_Vyplaty</w:t>
            </w:r>
          </w:p>
        </w:tc>
      </w:tr>
      <w:tr>
        <w:tc>
          <w:tcPr>
            <w:tcW w:w="964" w:type="dxa"/>
          </w:tcPr>
          <w:p>
            <w:pPr>
              <w:pStyle w:val="0"/>
            </w:pPr>
            <w:r>
              <w:rPr>
                <w:sz w:val="24"/>
              </w:rPr>
              <w:t xml:space="preserve">75.1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75.2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79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75.3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387" w:name="P56387"/>
          <w:bookmarkEnd w:id="56387"/>
          <w:p>
            <w:pPr>
              <w:pStyle w:val="0"/>
            </w:pPr>
            <w:r>
              <w:rPr>
                <w:sz w:val="24"/>
              </w:rPr>
              <w:t xml:space="preserve">76</w:t>
            </w:r>
          </w:p>
        </w:tc>
        <w:tc>
          <w:tcPr>
            <w:gridSpan w:val="4"/>
            <w:tcW w:w="2891" w:type="dxa"/>
          </w:tcPr>
          <w:p>
            <w:pPr>
              <w:pStyle w:val="0"/>
            </w:pPr>
            <w:r>
              <w:rPr>
                <w:sz w:val="24"/>
              </w:rPr>
              <w:t xml:space="preserve">Количество выплат по неустойкам за несоблюдение сроков осуществления страховой выплаты</w:t>
            </w:r>
          </w:p>
        </w:tc>
        <w:tc>
          <w:tcPr>
            <w:tcW w:w="1814" w:type="dxa"/>
          </w:tcPr>
          <w:p>
            <w:pPr>
              <w:pStyle w:val="0"/>
            </w:pPr>
            <w:r>
              <w:rPr>
                <w:sz w:val="24"/>
              </w:rPr>
            </w:r>
          </w:p>
        </w:tc>
        <w:tc>
          <w:tcPr>
            <w:tcW w:w="3402" w:type="dxa"/>
          </w:tcPr>
          <w:p>
            <w:pPr>
              <w:pStyle w:val="0"/>
            </w:pPr>
            <w:r>
              <w:rPr>
                <w:sz w:val="24"/>
              </w:rPr>
              <w:t xml:space="preserve">ins-dic:Kolich_Zaderzh_Strax_Vypl</w:t>
            </w:r>
          </w:p>
        </w:tc>
      </w:tr>
      <w:tr>
        <w:tc>
          <w:tcPr>
            <w:tcW w:w="964" w:type="dxa"/>
          </w:tcPr>
          <w:p>
            <w:pPr>
              <w:pStyle w:val="0"/>
            </w:pPr>
            <w:r>
              <w:rPr>
                <w:sz w:val="24"/>
              </w:rPr>
              <w:t xml:space="preserve">76.1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p>
            <w:pPr>
              <w:pStyle w:val="0"/>
            </w:pPr>
            <w:r>
              <w:rPr>
                <w:sz w:val="24"/>
              </w:rPr>
              <w:t xml:space="preserve">76.2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76.3</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blPrEx>
          <w:tblBorders>
            <w:insideV w:val="nil"/>
          </w:tblBorders>
        </w:tblPrEx>
        <w:tc>
          <w:tcPr>
            <w:gridSpan w:val="4"/>
            <w:tcW w:w="1865" w:type="dxa"/>
            <w:tcBorders>
              <w:left w:val="single" w:sz="4"/>
            </w:tcBorders>
          </w:tcPr>
          <w:bookmarkStart w:id="56403" w:name="P56403"/>
          <w:bookmarkEnd w:id="56403"/>
          <w:p>
            <w:pPr>
              <w:pStyle w:val="0"/>
              <w:outlineLvl w:val="4"/>
            </w:pPr>
            <w:r>
              <w:rPr>
                <w:sz w:val="24"/>
              </w:rPr>
              <w:t xml:space="preserve">Подраздел 5.1.</w:t>
            </w:r>
          </w:p>
        </w:tc>
        <w:tc>
          <w:tcPr>
            <w:gridSpan w:val="3"/>
            <w:tcW w:w="7206" w:type="dxa"/>
            <w:tcBorders>
              <w:right w:val="single" w:sz="4"/>
            </w:tcBorders>
          </w:tcPr>
          <w:p>
            <w:pPr>
              <w:pStyle w:val="0"/>
            </w:pPr>
            <w:r>
              <w:rPr>
                <w:sz w:val="24"/>
              </w:rPr>
              <w:t xml:space="preserve">Прямое возмещение убытков по обязательному страхованию гражданской ответственности владельцев транспортных средств</w:t>
            </w:r>
          </w:p>
        </w:tc>
      </w:tr>
      <w:tr>
        <w:tc>
          <w:tcPr>
            <w:tcW w:w="964" w:type="dxa"/>
          </w:tcPr>
          <w:bookmarkStart w:id="56405" w:name="P56405"/>
          <w:bookmarkEnd w:id="56405"/>
          <w:p>
            <w:pPr>
              <w:pStyle w:val="0"/>
            </w:pPr>
            <w:r>
              <w:rPr>
                <w:sz w:val="24"/>
              </w:rPr>
              <w:t xml:space="preserve">77</w:t>
            </w:r>
          </w:p>
        </w:tc>
        <w:tc>
          <w:tcPr>
            <w:gridSpan w:val="4"/>
            <w:tcW w:w="2891" w:type="dxa"/>
          </w:tcPr>
          <w:p>
            <w:pPr>
              <w:pStyle w:val="0"/>
            </w:pPr>
            <w:r>
              <w:rPr>
                <w:sz w:val="24"/>
              </w:rPr>
              <w:t xml:space="preserve">Количество предъявленных потерпевшими требований о прямом возмещении убытков</w:t>
            </w:r>
          </w:p>
        </w:tc>
        <w:tc>
          <w:tcPr>
            <w:tcW w:w="1814" w:type="dxa"/>
          </w:tcPr>
          <w:p>
            <w:pPr>
              <w:pStyle w:val="0"/>
            </w:pPr>
            <w:r>
              <w:rPr>
                <w:sz w:val="24"/>
              </w:rPr>
            </w:r>
          </w:p>
        </w:tc>
        <w:tc>
          <w:tcPr>
            <w:tcW w:w="3402" w:type="dxa"/>
          </w:tcPr>
          <w:p>
            <w:pPr>
              <w:pStyle w:val="0"/>
            </w:pPr>
            <w:r>
              <w:rPr>
                <w:sz w:val="24"/>
              </w:rPr>
              <w:t xml:space="preserve">ins-dic:KolichestvoPredYavlennykhPoterpevshimiTrebOPVU</w:t>
            </w:r>
          </w:p>
        </w:tc>
      </w:tr>
      <w:tr>
        <w:tc>
          <w:tcPr>
            <w:tcW w:w="964" w:type="dxa"/>
          </w:tcPr>
          <w:p>
            <w:pPr>
              <w:pStyle w:val="0"/>
            </w:pPr>
            <w:r>
              <w:rPr>
                <w:sz w:val="24"/>
              </w:rPr>
              <w:t xml:space="preserve">77.1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413" w:name="P56413"/>
          <w:bookmarkEnd w:id="56413"/>
          <w:p>
            <w:pPr>
              <w:pStyle w:val="0"/>
            </w:pPr>
            <w:r>
              <w:rPr>
                <w:sz w:val="24"/>
              </w:rPr>
              <w:t xml:space="preserve">78</w:t>
            </w:r>
          </w:p>
        </w:tc>
        <w:tc>
          <w:tcPr>
            <w:gridSpan w:val="4"/>
            <w:tcW w:w="2891" w:type="dxa"/>
          </w:tcPr>
          <w:p>
            <w:pPr>
              <w:pStyle w:val="0"/>
            </w:pPr>
            <w:r>
              <w:rPr>
                <w:sz w:val="24"/>
              </w:rPr>
              <w:t xml:space="preserve">Сумма предполагаемых выплат по прямому возмещению убытков в соответствии с направленными предварительными уведомлениями</w:t>
            </w:r>
          </w:p>
        </w:tc>
        <w:tc>
          <w:tcPr>
            <w:tcW w:w="1814" w:type="dxa"/>
          </w:tcPr>
          <w:p>
            <w:pPr>
              <w:pStyle w:val="0"/>
            </w:pPr>
            <w:r>
              <w:rPr>
                <w:sz w:val="24"/>
              </w:rPr>
            </w:r>
          </w:p>
        </w:tc>
        <w:tc>
          <w:tcPr>
            <w:tcW w:w="3402" w:type="dxa"/>
          </w:tcPr>
          <w:p>
            <w:pPr>
              <w:pStyle w:val="0"/>
            </w:pPr>
            <w:r>
              <w:rPr>
                <w:sz w:val="24"/>
              </w:rPr>
              <w:t xml:space="preserve">ins-dic:SummaPredpolagVyplatPoPVUVSootvSPredvaritelNymiUved</w:t>
            </w:r>
          </w:p>
        </w:tc>
      </w:tr>
      <w:tr>
        <w:tc>
          <w:tcPr>
            <w:tcW w:w="964" w:type="dxa"/>
          </w:tcPr>
          <w:p>
            <w:pPr>
              <w:pStyle w:val="0"/>
            </w:pPr>
            <w:r>
              <w:rPr>
                <w:sz w:val="24"/>
              </w:rPr>
              <w:t xml:space="preserve">78.1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78.2</w:t>
            </w:r>
          </w:p>
        </w:tc>
        <w:tc>
          <w:tcPr>
            <w:gridSpan w:val="4"/>
            <w:tcW w:w="2891" w:type="dxa"/>
          </w:tcPr>
          <w:p>
            <w:pPr>
              <w:pStyle w:val="0"/>
            </w:pPr>
            <w:r>
              <w:rPr>
                <w:sz w:val="24"/>
              </w:rPr>
            </w:r>
          </w:p>
        </w:tc>
        <w:tc>
          <w:tcPr>
            <w:tcW w:w="1814" w:type="dxa"/>
          </w:tcPr>
          <w:p>
            <w:pPr>
              <w:pStyle w:val="0"/>
            </w:pPr>
            <w:r>
              <w:rPr>
                <w:sz w:val="24"/>
              </w:rPr>
              <w:t xml:space="preserve">Получатель предварительного уведомления (требования об оплате возмещенного вреда)</w:t>
            </w:r>
          </w:p>
        </w:tc>
        <w:tc>
          <w:tcPr>
            <w:tcW w:w="3402" w:type="dxa"/>
          </w:tcPr>
          <w:p>
            <w:pPr>
              <w:pStyle w:val="0"/>
            </w:pPr>
            <w:r>
              <w:rPr>
                <w:sz w:val="24"/>
              </w:rPr>
              <w:t xml:space="preserve">dim-int:Pol_Treb_PVU_Axis</w:t>
            </w:r>
          </w:p>
        </w:tc>
      </w:tr>
      <w:tr>
        <w:tc>
          <w:tcPr>
            <w:tcW w:w="964" w:type="dxa"/>
          </w:tcPr>
          <w:bookmarkStart w:id="56425" w:name="P56425"/>
          <w:bookmarkEnd w:id="56425"/>
          <w:p>
            <w:pPr>
              <w:pStyle w:val="0"/>
            </w:pPr>
            <w:r>
              <w:rPr>
                <w:sz w:val="24"/>
              </w:rPr>
              <w:t xml:space="preserve">79</w:t>
            </w:r>
          </w:p>
        </w:tc>
        <w:tc>
          <w:tcPr>
            <w:gridSpan w:val="4"/>
            <w:tcW w:w="2891" w:type="dxa"/>
          </w:tcPr>
          <w:p>
            <w:pPr>
              <w:pStyle w:val="0"/>
            </w:pPr>
            <w:r>
              <w:rPr>
                <w:sz w:val="24"/>
              </w:rPr>
              <w:t xml:space="preserve">Количество мотивированных отказов потерпевшим по их требованиям о прямом возмещении убытков</w:t>
            </w:r>
          </w:p>
        </w:tc>
        <w:tc>
          <w:tcPr>
            <w:tcW w:w="1814" w:type="dxa"/>
          </w:tcPr>
          <w:p>
            <w:pPr>
              <w:pStyle w:val="0"/>
            </w:pPr>
            <w:r>
              <w:rPr>
                <w:sz w:val="24"/>
              </w:rPr>
            </w:r>
          </w:p>
        </w:tc>
        <w:tc>
          <w:tcPr>
            <w:tcW w:w="3402" w:type="dxa"/>
          </w:tcPr>
          <w:p>
            <w:pPr>
              <w:pStyle w:val="0"/>
            </w:pPr>
            <w:r>
              <w:rPr>
                <w:sz w:val="24"/>
              </w:rPr>
              <w:t xml:space="preserve">ins-dic:KolichestvoMotivirOtkPoterpevshimPoIkhTrebOPVU</w:t>
            </w:r>
          </w:p>
        </w:tc>
      </w:tr>
      <w:tr>
        <w:tc>
          <w:tcPr>
            <w:tcW w:w="964" w:type="dxa"/>
          </w:tcPr>
          <w:p>
            <w:pPr>
              <w:pStyle w:val="0"/>
            </w:pPr>
            <w:r>
              <w:rPr>
                <w:sz w:val="24"/>
              </w:rPr>
              <w:t xml:space="preserve">79.1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433" w:name="P56433"/>
          <w:bookmarkEnd w:id="56433"/>
          <w:p>
            <w:pPr>
              <w:pStyle w:val="0"/>
            </w:pPr>
            <w:r>
              <w:rPr>
                <w:sz w:val="24"/>
              </w:rPr>
              <w:t xml:space="preserve">80</w:t>
            </w:r>
          </w:p>
        </w:tc>
        <w:tc>
          <w:tcPr>
            <w:gridSpan w:val="4"/>
            <w:tcW w:w="2891" w:type="dxa"/>
          </w:tcPr>
          <w:p>
            <w:pPr>
              <w:pStyle w:val="0"/>
            </w:pPr>
            <w:r>
              <w:rPr>
                <w:sz w:val="24"/>
              </w:rPr>
              <w:t xml:space="preserve">Количество оплаченных требований потерпевших о прямом возмещении убытков (без учета дополнительного возмещения убытков потерпевшим)</w:t>
            </w:r>
          </w:p>
        </w:tc>
        <w:tc>
          <w:tcPr>
            <w:tcW w:w="1814" w:type="dxa"/>
          </w:tcPr>
          <w:p>
            <w:pPr>
              <w:pStyle w:val="0"/>
            </w:pPr>
            <w:r>
              <w:rPr>
                <w:sz w:val="24"/>
              </w:rPr>
            </w:r>
          </w:p>
        </w:tc>
        <w:tc>
          <w:tcPr>
            <w:tcW w:w="3402" w:type="dxa"/>
          </w:tcPr>
          <w:p>
            <w:pPr>
              <w:pStyle w:val="0"/>
            </w:pPr>
            <w:r>
              <w:rPr>
                <w:sz w:val="24"/>
              </w:rPr>
              <w:t xml:space="preserve">ins-dic:KolichestvoOplachTrebPoterpevshikhOPVU</w:t>
            </w:r>
          </w:p>
        </w:tc>
      </w:tr>
      <w:tr>
        <w:tc>
          <w:tcPr>
            <w:tcW w:w="964" w:type="dxa"/>
          </w:tcPr>
          <w:p>
            <w:pPr>
              <w:pStyle w:val="0"/>
            </w:pPr>
            <w:r>
              <w:rPr>
                <w:sz w:val="24"/>
              </w:rPr>
              <w:t xml:space="preserve">80.1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441" w:name="P56441"/>
          <w:bookmarkEnd w:id="56441"/>
          <w:p>
            <w:pPr>
              <w:pStyle w:val="0"/>
            </w:pPr>
            <w:r>
              <w:rPr>
                <w:sz w:val="24"/>
              </w:rPr>
              <w:t xml:space="preserve">81</w:t>
            </w:r>
          </w:p>
        </w:tc>
        <w:tc>
          <w:tcPr>
            <w:gridSpan w:val="4"/>
            <w:tcW w:w="2891" w:type="dxa"/>
          </w:tcPr>
          <w:p>
            <w:pPr>
              <w:pStyle w:val="0"/>
            </w:pPr>
            <w:r>
              <w:rPr>
                <w:sz w:val="24"/>
              </w:rPr>
              <w:t xml:space="preserve">Количество оплаченных требований потерпевших о прямом возмещении убытков (дополнительное возмещение убытков потерпевшим)</w:t>
            </w:r>
          </w:p>
        </w:tc>
        <w:tc>
          <w:tcPr>
            <w:tcW w:w="1814" w:type="dxa"/>
          </w:tcPr>
          <w:p>
            <w:pPr>
              <w:pStyle w:val="0"/>
            </w:pPr>
            <w:r>
              <w:rPr>
                <w:sz w:val="24"/>
              </w:rPr>
            </w:r>
          </w:p>
        </w:tc>
        <w:tc>
          <w:tcPr>
            <w:tcW w:w="3402" w:type="dxa"/>
          </w:tcPr>
          <w:p>
            <w:pPr>
              <w:pStyle w:val="0"/>
            </w:pPr>
            <w:r>
              <w:rPr>
                <w:sz w:val="24"/>
              </w:rPr>
              <w:t xml:space="preserve">ins-dic:Kol_Oplach_Treb_Poterp_PVU_DopVozmUbPoterp</w:t>
            </w:r>
          </w:p>
        </w:tc>
      </w:tr>
      <w:tr>
        <w:tc>
          <w:tcPr>
            <w:tcW w:w="964" w:type="dxa"/>
          </w:tcPr>
          <w:p>
            <w:pPr>
              <w:pStyle w:val="0"/>
            </w:pPr>
            <w:r>
              <w:rPr>
                <w:sz w:val="24"/>
              </w:rPr>
              <w:t xml:space="preserve">81.1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449" w:name="P56449"/>
          <w:bookmarkEnd w:id="56449"/>
          <w:p>
            <w:pPr>
              <w:pStyle w:val="0"/>
            </w:pPr>
            <w:r>
              <w:rPr>
                <w:sz w:val="24"/>
              </w:rPr>
              <w:t xml:space="preserve">82</w:t>
            </w:r>
          </w:p>
        </w:tc>
        <w:tc>
          <w:tcPr>
            <w:gridSpan w:val="4"/>
            <w:tcW w:w="2891" w:type="dxa"/>
          </w:tcPr>
          <w:p>
            <w:pPr>
              <w:pStyle w:val="0"/>
            </w:pPr>
            <w:r>
              <w:rPr>
                <w:sz w:val="24"/>
              </w:rPr>
              <w:t xml:space="preserve">Сумма выплат потерпевшим по их требованиям о прямом возмещении убытков (без учета дополнительного возмещения убытков потерпевшим)</w:t>
            </w:r>
          </w:p>
        </w:tc>
        <w:tc>
          <w:tcPr>
            <w:tcW w:w="1814" w:type="dxa"/>
          </w:tcPr>
          <w:p>
            <w:pPr>
              <w:pStyle w:val="0"/>
            </w:pPr>
            <w:r>
              <w:rPr>
                <w:sz w:val="24"/>
              </w:rPr>
            </w:r>
          </w:p>
        </w:tc>
        <w:tc>
          <w:tcPr>
            <w:tcW w:w="3402" w:type="dxa"/>
          </w:tcPr>
          <w:p>
            <w:pPr>
              <w:pStyle w:val="0"/>
            </w:pPr>
            <w:r>
              <w:rPr>
                <w:sz w:val="24"/>
              </w:rPr>
              <w:t xml:space="preserve">ins-dic:SummaVyplatPoterpPoIkhTrebOPVU</w:t>
            </w:r>
          </w:p>
        </w:tc>
      </w:tr>
      <w:tr>
        <w:tc>
          <w:tcPr>
            <w:tcW w:w="964" w:type="dxa"/>
          </w:tcPr>
          <w:p>
            <w:pPr>
              <w:pStyle w:val="0"/>
            </w:pPr>
            <w:r>
              <w:rPr>
                <w:sz w:val="24"/>
              </w:rPr>
              <w:t xml:space="preserve">82.1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457" w:name="P56457"/>
          <w:bookmarkEnd w:id="56457"/>
          <w:p>
            <w:pPr>
              <w:pStyle w:val="0"/>
            </w:pPr>
            <w:r>
              <w:rPr>
                <w:sz w:val="24"/>
              </w:rPr>
              <w:t xml:space="preserve">83</w:t>
            </w:r>
          </w:p>
        </w:tc>
        <w:tc>
          <w:tcPr>
            <w:gridSpan w:val="4"/>
            <w:tcW w:w="2891" w:type="dxa"/>
          </w:tcPr>
          <w:p>
            <w:pPr>
              <w:pStyle w:val="0"/>
            </w:pPr>
            <w:r>
              <w:rPr>
                <w:sz w:val="24"/>
              </w:rPr>
              <w:t xml:space="preserve">Сумма выплат потерпевшим по их требованиям о прямом возмещении убытков (дополнительное возмещение убытков потерпевшим)</w:t>
            </w:r>
          </w:p>
        </w:tc>
        <w:tc>
          <w:tcPr>
            <w:tcW w:w="1814" w:type="dxa"/>
          </w:tcPr>
          <w:p>
            <w:pPr>
              <w:pStyle w:val="0"/>
            </w:pPr>
            <w:r>
              <w:rPr>
                <w:sz w:val="24"/>
              </w:rPr>
            </w:r>
          </w:p>
        </w:tc>
        <w:tc>
          <w:tcPr>
            <w:tcW w:w="3402" w:type="dxa"/>
          </w:tcPr>
          <w:p>
            <w:pPr>
              <w:pStyle w:val="0"/>
            </w:pPr>
            <w:r>
              <w:rPr>
                <w:sz w:val="24"/>
              </w:rPr>
              <w:t xml:space="preserve">ins-dic:Summa_Vyplat_Poterp_Po_Treb_o_PVU_DopVozmUbPoterp</w:t>
            </w:r>
          </w:p>
        </w:tc>
      </w:tr>
      <w:tr>
        <w:tc>
          <w:tcPr>
            <w:tcW w:w="964" w:type="dxa"/>
          </w:tcPr>
          <w:p>
            <w:pPr>
              <w:pStyle w:val="0"/>
            </w:pPr>
            <w:r>
              <w:rPr>
                <w:sz w:val="24"/>
              </w:rPr>
              <w:t xml:space="preserve">83.1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465" w:name="P56465"/>
          <w:bookmarkEnd w:id="56465"/>
          <w:p>
            <w:pPr>
              <w:pStyle w:val="0"/>
            </w:pPr>
            <w:r>
              <w:rPr>
                <w:sz w:val="24"/>
              </w:rPr>
              <w:t xml:space="preserve">84</w:t>
            </w:r>
          </w:p>
        </w:tc>
        <w:tc>
          <w:tcPr>
            <w:gridSpan w:val="4"/>
            <w:tcW w:w="2891" w:type="dxa"/>
          </w:tcPr>
          <w:p>
            <w:pPr>
              <w:pStyle w:val="0"/>
            </w:pPr>
            <w:r>
              <w:rPr>
                <w:sz w:val="24"/>
              </w:rPr>
              <w:t xml:space="preserve">Количество направленных требований об оплате возмещенного вреда</w:t>
            </w:r>
          </w:p>
        </w:tc>
        <w:tc>
          <w:tcPr>
            <w:tcW w:w="1814" w:type="dxa"/>
          </w:tcPr>
          <w:p>
            <w:pPr>
              <w:pStyle w:val="0"/>
            </w:pPr>
            <w:r>
              <w:rPr>
                <w:sz w:val="24"/>
              </w:rPr>
            </w:r>
          </w:p>
        </w:tc>
        <w:tc>
          <w:tcPr>
            <w:tcW w:w="3402" w:type="dxa"/>
          </w:tcPr>
          <w:p>
            <w:pPr>
              <w:pStyle w:val="0"/>
            </w:pPr>
            <w:r>
              <w:rPr>
                <w:sz w:val="24"/>
              </w:rPr>
              <w:t xml:space="preserve">ins-dic:Kolichestvo_Trebovanij_Ob_Oplate_Vozmeschennogo_Vreda</w:t>
            </w:r>
          </w:p>
        </w:tc>
      </w:tr>
      <w:tr>
        <w:tc>
          <w:tcPr>
            <w:tcW w:w="964" w:type="dxa"/>
          </w:tcPr>
          <w:p>
            <w:pPr>
              <w:pStyle w:val="0"/>
            </w:pPr>
            <w:r>
              <w:rPr>
                <w:sz w:val="24"/>
              </w:rPr>
              <w:t xml:space="preserve">84.1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84.2</w:t>
            </w:r>
          </w:p>
        </w:tc>
        <w:tc>
          <w:tcPr>
            <w:gridSpan w:val="4"/>
            <w:tcW w:w="2891" w:type="dxa"/>
          </w:tcPr>
          <w:p>
            <w:pPr>
              <w:pStyle w:val="0"/>
            </w:pPr>
            <w:r>
              <w:rPr>
                <w:sz w:val="24"/>
              </w:rPr>
            </w:r>
          </w:p>
        </w:tc>
        <w:tc>
          <w:tcPr>
            <w:tcW w:w="1814" w:type="dxa"/>
          </w:tcPr>
          <w:p>
            <w:pPr>
              <w:pStyle w:val="0"/>
            </w:pPr>
            <w:r>
              <w:rPr>
                <w:sz w:val="24"/>
              </w:rPr>
              <w:t xml:space="preserve">Получатель предварительного уведомления (требования об оплате возмещенного вреда)</w:t>
            </w:r>
          </w:p>
        </w:tc>
        <w:tc>
          <w:tcPr>
            <w:tcW w:w="3402" w:type="dxa"/>
          </w:tcPr>
          <w:p>
            <w:pPr>
              <w:pStyle w:val="0"/>
            </w:pPr>
            <w:r>
              <w:rPr>
                <w:sz w:val="24"/>
              </w:rPr>
              <w:t xml:space="preserve">dim-int:Pol_Treb_PVU_Axis</w:t>
            </w:r>
          </w:p>
        </w:tc>
      </w:tr>
      <w:tr>
        <w:tc>
          <w:tcPr>
            <w:tcW w:w="964" w:type="dxa"/>
          </w:tcPr>
          <w:bookmarkStart w:id="56477" w:name="P56477"/>
          <w:bookmarkEnd w:id="56477"/>
          <w:p>
            <w:pPr>
              <w:pStyle w:val="0"/>
            </w:pPr>
            <w:r>
              <w:rPr>
                <w:sz w:val="24"/>
              </w:rPr>
              <w:t xml:space="preserve">85</w:t>
            </w:r>
          </w:p>
        </w:tc>
        <w:tc>
          <w:tcPr>
            <w:gridSpan w:val="4"/>
            <w:tcW w:w="2891" w:type="dxa"/>
          </w:tcPr>
          <w:p>
            <w:pPr>
              <w:pStyle w:val="0"/>
            </w:pPr>
            <w:r>
              <w:rPr>
                <w:sz w:val="24"/>
              </w:rPr>
              <w:t xml:space="preserve">Количество требований об оплате возмещенного вреда, по которым поступили денежные средства</w:t>
            </w:r>
          </w:p>
        </w:tc>
        <w:tc>
          <w:tcPr>
            <w:tcW w:w="1814" w:type="dxa"/>
          </w:tcPr>
          <w:p>
            <w:pPr>
              <w:pStyle w:val="0"/>
            </w:pPr>
            <w:r>
              <w:rPr>
                <w:sz w:val="24"/>
              </w:rPr>
            </w:r>
          </w:p>
        </w:tc>
        <w:tc>
          <w:tcPr>
            <w:tcW w:w="3402" w:type="dxa"/>
          </w:tcPr>
          <w:p>
            <w:pPr>
              <w:pStyle w:val="0"/>
            </w:pPr>
            <w:r>
              <w:rPr>
                <w:sz w:val="24"/>
              </w:rPr>
              <w:t xml:space="preserve">ins-dic:KolichestvoTrebObOplateVozmeschennogoVredaPoKotPostDenSr</w:t>
            </w:r>
          </w:p>
        </w:tc>
      </w:tr>
      <w:tr>
        <w:tc>
          <w:tcPr>
            <w:tcW w:w="964" w:type="dxa"/>
          </w:tcPr>
          <w:p>
            <w:pPr>
              <w:pStyle w:val="0"/>
            </w:pPr>
            <w:r>
              <w:rPr>
                <w:sz w:val="24"/>
              </w:rPr>
              <w:t xml:space="preserve">85.1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85.2</w:t>
            </w:r>
          </w:p>
        </w:tc>
        <w:tc>
          <w:tcPr>
            <w:gridSpan w:val="4"/>
            <w:tcW w:w="2891" w:type="dxa"/>
          </w:tcPr>
          <w:p>
            <w:pPr>
              <w:pStyle w:val="0"/>
            </w:pPr>
            <w:r>
              <w:rPr>
                <w:sz w:val="24"/>
              </w:rPr>
            </w:r>
          </w:p>
        </w:tc>
        <w:tc>
          <w:tcPr>
            <w:tcW w:w="1814" w:type="dxa"/>
          </w:tcPr>
          <w:p>
            <w:pPr>
              <w:pStyle w:val="0"/>
            </w:pPr>
            <w:r>
              <w:rPr>
                <w:sz w:val="24"/>
              </w:rPr>
              <w:t xml:space="preserve">Получатель предварительного уведомления (требования об оплате возмещенного вреда)</w:t>
            </w:r>
          </w:p>
        </w:tc>
        <w:tc>
          <w:tcPr>
            <w:tcW w:w="3402" w:type="dxa"/>
          </w:tcPr>
          <w:p>
            <w:pPr>
              <w:pStyle w:val="0"/>
            </w:pPr>
            <w:r>
              <w:rPr>
                <w:sz w:val="24"/>
              </w:rPr>
              <w:t xml:space="preserve">dim-int:Pol_Treb_PVU_Axis</w:t>
            </w:r>
          </w:p>
        </w:tc>
      </w:tr>
      <w:tr>
        <w:tc>
          <w:tcPr>
            <w:tcW w:w="964" w:type="dxa"/>
          </w:tcPr>
          <w:bookmarkStart w:id="56489" w:name="P56489"/>
          <w:bookmarkEnd w:id="56489"/>
          <w:p>
            <w:pPr>
              <w:pStyle w:val="0"/>
            </w:pPr>
            <w:r>
              <w:rPr>
                <w:sz w:val="24"/>
              </w:rPr>
              <w:t xml:space="preserve">86</w:t>
            </w:r>
          </w:p>
        </w:tc>
        <w:tc>
          <w:tcPr>
            <w:gridSpan w:val="4"/>
            <w:tcW w:w="2891" w:type="dxa"/>
          </w:tcPr>
          <w:p>
            <w:pPr>
              <w:pStyle w:val="0"/>
            </w:pPr>
            <w:r>
              <w:rPr>
                <w:sz w:val="24"/>
              </w:rPr>
              <w:t xml:space="preserve">Сумма поступивших денежных средств по требованиям об оплате возмещенного вреда</w:t>
            </w:r>
          </w:p>
        </w:tc>
        <w:tc>
          <w:tcPr>
            <w:tcW w:w="1814" w:type="dxa"/>
          </w:tcPr>
          <w:p>
            <w:pPr>
              <w:pStyle w:val="0"/>
            </w:pPr>
            <w:r>
              <w:rPr>
                <w:sz w:val="24"/>
              </w:rPr>
            </w:r>
          </w:p>
        </w:tc>
        <w:tc>
          <w:tcPr>
            <w:tcW w:w="3402" w:type="dxa"/>
          </w:tcPr>
          <w:p>
            <w:pPr>
              <w:pStyle w:val="0"/>
            </w:pPr>
            <w:r>
              <w:rPr>
                <w:sz w:val="24"/>
              </w:rPr>
              <w:t xml:space="preserve">ins-dic:Summa_Postupivshikh_Denezhnykh_Sredstv</w:t>
            </w:r>
          </w:p>
        </w:tc>
      </w:tr>
      <w:tr>
        <w:tc>
          <w:tcPr>
            <w:tcW w:w="964" w:type="dxa"/>
          </w:tcPr>
          <w:p>
            <w:pPr>
              <w:pStyle w:val="0"/>
            </w:pPr>
            <w:r>
              <w:rPr>
                <w:sz w:val="24"/>
              </w:rPr>
              <w:t xml:space="preserve">86.1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p>
            <w:pPr>
              <w:pStyle w:val="0"/>
            </w:pPr>
            <w:r>
              <w:rPr>
                <w:sz w:val="24"/>
              </w:rPr>
              <w:t xml:space="preserve">86.2</w:t>
            </w:r>
          </w:p>
        </w:tc>
        <w:tc>
          <w:tcPr>
            <w:gridSpan w:val="4"/>
            <w:tcW w:w="2891" w:type="dxa"/>
          </w:tcPr>
          <w:p>
            <w:pPr>
              <w:pStyle w:val="0"/>
            </w:pPr>
            <w:r>
              <w:rPr>
                <w:sz w:val="24"/>
              </w:rPr>
            </w:r>
          </w:p>
        </w:tc>
        <w:tc>
          <w:tcPr>
            <w:tcW w:w="1814" w:type="dxa"/>
          </w:tcPr>
          <w:p>
            <w:pPr>
              <w:pStyle w:val="0"/>
            </w:pPr>
            <w:r>
              <w:rPr>
                <w:sz w:val="24"/>
              </w:rPr>
              <w:t xml:space="preserve">Получатель предварительного уведомления (требования об оплате возмещенного вреда)</w:t>
            </w:r>
          </w:p>
        </w:tc>
        <w:tc>
          <w:tcPr>
            <w:tcW w:w="3402" w:type="dxa"/>
          </w:tcPr>
          <w:p>
            <w:pPr>
              <w:pStyle w:val="0"/>
            </w:pPr>
            <w:r>
              <w:rPr>
                <w:sz w:val="24"/>
              </w:rPr>
              <w:t xml:space="preserve">dim-int:Pol_Treb_PVU_Axis</w:t>
            </w:r>
          </w:p>
        </w:tc>
      </w:tr>
      <w:tr>
        <w:tc>
          <w:tcPr>
            <w:tcW w:w="964" w:type="dxa"/>
          </w:tcPr>
          <w:bookmarkStart w:id="56501" w:name="P56501"/>
          <w:bookmarkEnd w:id="56501"/>
          <w:p>
            <w:pPr>
              <w:pStyle w:val="0"/>
            </w:pPr>
            <w:r>
              <w:rPr>
                <w:sz w:val="24"/>
              </w:rPr>
              <w:t xml:space="preserve">87</w:t>
            </w:r>
          </w:p>
        </w:tc>
        <w:tc>
          <w:tcPr>
            <w:gridSpan w:val="4"/>
            <w:tcW w:w="2891" w:type="dxa"/>
          </w:tcPr>
          <w:p>
            <w:pPr>
              <w:pStyle w:val="0"/>
            </w:pPr>
            <w:r>
              <w:rPr>
                <w:sz w:val="24"/>
              </w:rPr>
              <w:t xml:space="preserve">Количество поступивших предварительных уведомлений от страховщиков потерпевших</w:t>
            </w:r>
          </w:p>
        </w:tc>
        <w:tc>
          <w:tcPr>
            <w:tcW w:w="1814" w:type="dxa"/>
          </w:tcPr>
          <w:p>
            <w:pPr>
              <w:pStyle w:val="0"/>
            </w:pPr>
            <w:r>
              <w:rPr>
                <w:sz w:val="24"/>
              </w:rPr>
            </w:r>
          </w:p>
        </w:tc>
        <w:tc>
          <w:tcPr>
            <w:tcW w:w="3402" w:type="dxa"/>
          </w:tcPr>
          <w:p>
            <w:pPr>
              <w:pStyle w:val="0"/>
            </w:pPr>
            <w:r>
              <w:rPr>
                <w:sz w:val="24"/>
              </w:rPr>
              <w:t xml:space="preserve">ins-dic:KolichestvoPostupPredvaritelNykhUvedomlenijOtStrahPoterpevshih</w:t>
            </w:r>
          </w:p>
        </w:tc>
      </w:tr>
      <w:tr>
        <w:tc>
          <w:tcPr>
            <w:tcW w:w="964" w:type="dxa"/>
          </w:tcPr>
          <w:p>
            <w:pPr>
              <w:pStyle w:val="0"/>
            </w:pPr>
            <w:r>
              <w:rPr>
                <w:sz w:val="24"/>
              </w:rPr>
              <w:t xml:space="preserve">87.1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509" w:name="P56509"/>
          <w:bookmarkEnd w:id="56509"/>
          <w:p>
            <w:pPr>
              <w:pStyle w:val="0"/>
            </w:pPr>
            <w:r>
              <w:rPr>
                <w:sz w:val="24"/>
              </w:rPr>
              <w:t xml:space="preserve">88</w:t>
            </w:r>
          </w:p>
        </w:tc>
        <w:tc>
          <w:tcPr>
            <w:gridSpan w:val="4"/>
            <w:tcW w:w="2891" w:type="dxa"/>
          </w:tcPr>
          <w:p>
            <w:pPr>
              <w:pStyle w:val="0"/>
            </w:pPr>
            <w:r>
              <w:rPr>
                <w:sz w:val="24"/>
              </w:rPr>
              <w:t xml:space="preserve">Сумма предполагаемых выплат по прямому возмещению убытков в соответствии с предварительными уведомлениями, поступившими от страховщиков потерпевших</w:t>
            </w:r>
          </w:p>
        </w:tc>
        <w:tc>
          <w:tcPr>
            <w:tcW w:w="1814" w:type="dxa"/>
          </w:tcPr>
          <w:p>
            <w:pPr>
              <w:pStyle w:val="0"/>
            </w:pPr>
            <w:r>
              <w:rPr>
                <w:sz w:val="24"/>
              </w:rPr>
            </w:r>
          </w:p>
        </w:tc>
        <w:tc>
          <w:tcPr>
            <w:tcW w:w="3402" w:type="dxa"/>
          </w:tcPr>
          <w:p>
            <w:pPr>
              <w:pStyle w:val="0"/>
            </w:pPr>
            <w:r>
              <w:rPr>
                <w:sz w:val="24"/>
              </w:rPr>
              <w:t xml:space="preserve">ins-dic:SummaPredpolagVyplPoPVUVSootvSPredvUvedomPostupOtStrPoterpevshih</w:t>
            </w:r>
          </w:p>
        </w:tc>
      </w:tr>
      <w:tr>
        <w:tc>
          <w:tcPr>
            <w:tcW w:w="964" w:type="dxa"/>
          </w:tcPr>
          <w:p>
            <w:pPr>
              <w:pStyle w:val="0"/>
            </w:pPr>
            <w:r>
              <w:rPr>
                <w:sz w:val="24"/>
              </w:rPr>
              <w:t xml:space="preserve">88.1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517" w:name="P56517"/>
          <w:bookmarkEnd w:id="56517"/>
          <w:p>
            <w:pPr>
              <w:pStyle w:val="0"/>
            </w:pPr>
            <w:r>
              <w:rPr>
                <w:sz w:val="24"/>
              </w:rPr>
              <w:t xml:space="preserve">89</w:t>
            </w:r>
          </w:p>
        </w:tc>
        <w:tc>
          <w:tcPr>
            <w:gridSpan w:val="4"/>
            <w:tcW w:w="2891" w:type="dxa"/>
          </w:tcPr>
          <w:p>
            <w:pPr>
              <w:pStyle w:val="0"/>
            </w:pPr>
            <w:r>
              <w:rPr>
                <w:sz w:val="24"/>
              </w:rPr>
              <w:t xml:space="preserve">Количество мотивированных отказов потерпевшим по их требованиям о прямом возмещении убытков, поступивших от страховщиков потерпевших</w:t>
            </w:r>
          </w:p>
        </w:tc>
        <w:tc>
          <w:tcPr>
            <w:tcW w:w="1814" w:type="dxa"/>
          </w:tcPr>
          <w:p>
            <w:pPr>
              <w:pStyle w:val="0"/>
            </w:pPr>
            <w:r>
              <w:rPr>
                <w:sz w:val="24"/>
              </w:rPr>
            </w:r>
          </w:p>
        </w:tc>
        <w:tc>
          <w:tcPr>
            <w:tcW w:w="3402" w:type="dxa"/>
          </w:tcPr>
          <w:p>
            <w:pPr>
              <w:pStyle w:val="0"/>
            </w:pPr>
            <w:r>
              <w:rPr>
                <w:sz w:val="24"/>
              </w:rPr>
              <w:t xml:space="preserve">ins-dic:KolichMotivirOtkPoterpevshimPoIkhTrebOPVUPostOtStrahPoterpevsh</w:t>
            </w:r>
          </w:p>
        </w:tc>
      </w:tr>
      <w:tr>
        <w:tc>
          <w:tcPr>
            <w:tcW w:w="964" w:type="dxa"/>
          </w:tcPr>
          <w:p>
            <w:pPr>
              <w:pStyle w:val="0"/>
            </w:pPr>
            <w:r>
              <w:rPr>
                <w:sz w:val="24"/>
              </w:rPr>
              <w:t xml:space="preserve">89.1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525" w:name="P56525"/>
          <w:bookmarkEnd w:id="56525"/>
          <w:p>
            <w:pPr>
              <w:pStyle w:val="0"/>
            </w:pPr>
            <w:r>
              <w:rPr>
                <w:sz w:val="24"/>
              </w:rPr>
              <w:t xml:space="preserve">90</w:t>
            </w:r>
          </w:p>
        </w:tc>
        <w:tc>
          <w:tcPr>
            <w:gridSpan w:val="4"/>
            <w:tcW w:w="2891" w:type="dxa"/>
          </w:tcPr>
          <w:p>
            <w:pPr>
              <w:pStyle w:val="0"/>
            </w:pPr>
            <w:r>
              <w:rPr>
                <w:sz w:val="24"/>
              </w:rPr>
              <w:t xml:space="preserve">Количество требований об оплате возмещенного вреда, поступивших от страховщиков потерпевших</w:t>
            </w:r>
          </w:p>
        </w:tc>
        <w:tc>
          <w:tcPr>
            <w:tcW w:w="1814" w:type="dxa"/>
          </w:tcPr>
          <w:p>
            <w:pPr>
              <w:pStyle w:val="0"/>
            </w:pPr>
            <w:r>
              <w:rPr>
                <w:sz w:val="24"/>
              </w:rPr>
            </w:r>
          </w:p>
        </w:tc>
        <w:tc>
          <w:tcPr>
            <w:tcW w:w="3402" w:type="dxa"/>
          </w:tcPr>
          <w:p>
            <w:pPr>
              <w:pStyle w:val="0"/>
            </w:pPr>
            <w:r>
              <w:rPr>
                <w:sz w:val="24"/>
              </w:rPr>
              <w:t xml:space="preserve">ins-dic:KolichestvoTrebObOplateVozmeschVredaPostupOtStrahPoterpevshikh</w:t>
            </w:r>
          </w:p>
        </w:tc>
      </w:tr>
      <w:tr>
        <w:tc>
          <w:tcPr>
            <w:tcW w:w="964" w:type="dxa"/>
          </w:tcPr>
          <w:p>
            <w:pPr>
              <w:pStyle w:val="0"/>
            </w:pPr>
            <w:r>
              <w:rPr>
                <w:sz w:val="24"/>
              </w:rPr>
              <w:t xml:space="preserve">90.1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533" w:name="P56533"/>
          <w:bookmarkEnd w:id="56533"/>
          <w:p>
            <w:pPr>
              <w:pStyle w:val="0"/>
            </w:pPr>
            <w:r>
              <w:rPr>
                <w:sz w:val="24"/>
              </w:rPr>
              <w:t xml:space="preserve">91</w:t>
            </w:r>
          </w:p>
        </w:tc>
        <w:tc>
          <w:tcPr>
            <w:gridSpan w:val="4"/>
            <w:tcW w:w="2891" w:type="dxa"/>
          </w:tcPr>
          <w:p>
            <w:pPr>
              <w:pStyle w:val="0"/>
            </w:pPr>
            <w:r>
              <w:rPr>
                <w:sz w:val="24"/>
              </w:rPr>
              <w:t xml:space="preserve">Сумма осуществленных страховщиками потерпевших выплат по прямому возмещению убытков в соответствии с требованиями об оплате возмещенного вреда, поступившими от страховщиков потерпевших</w:t>
            </w:r>
          </w:p>
        </w:tc>
        <w:tc>
          <w:tcPr>
            <w:tcW w:w="1814" w:type="dxa"/>
          </w:tcPr>
          <w:p>
            <w:pPr>
              <w:pStyle w:val="0"/>
            </w:pPr>
            <w:r>
              <w:rPr>
                <w:sz w:val="24"/>
              </w:rPr>
            </w:r>
          </w:p>
        </w:tc>
        <w:tc>
          <w:tcPr>
            <w:tcW w:w="3402" w:type="dxa"/>
          </w:tcPr>
          <w:p>
            <w:pPr>
              <w:pStyle w:val="0"/>
            </w:pPr>
            <w:r>
              <w:rPr>
                <w:sz w:val="24"/>
              </w:rPr>
              <w:t xml:space="preserve">ins-dic:SumProizvStrPoterpVyplPoPVUVSootSTrebObOplOtStrakh_Poterpevshikh</w:t>
            </w:r>
          </w:p>
        </w:tc>
      </w:tr>
      <w:tr>
        <w:tc>
          <w:tcPr>
            <w:tcW w:w="964" w:type="dxa"/>
          </w:tcPr>
          <w:p>
            <w:pPr>
              <w:pStyle w:val="0"/>
            </w:pPr>
            <w:r>
              <w:rPr>
                <w:sz w:val="24"/>
              </w:rPr>
              <w:t xml:space="preserve">91.1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541" w:name="P56541"/>
          <w:bookmarkEnd w:id="56541"/>
          <w:p>
            <w:pPr>
              <w:pStyle w:val="0"/>
            </w:pPr>
            <w:r>
              <w:rPr>
                <w:sz w:val="24"/>
              </w:rPr>
              <w:t xml:space="preserve">92</w:t>
            </w:r>
          </w:p>
        </w:tc>
        <w:tc>
          <w:tcPr>
            <w:gridSpan w:val="4"/>
            <w:tcW w:w="2891" w:type="dxa"/>
          </w:tcPr>
          <w:p>
            <w:pPr>
              <w:pStyle w:val="0"/>
            </w:pPr>
            <w:r>
              <w:rPr>
                <w:sz w:val="24"/>
              </w:rPr>
              <w:t xml:space="preserve">Количество требований об оплате возмещенного вреда, на основании которых признана сумма страховых выплат по договорам обязательного страхования гражданской ответственности владельцев транспортных средств</w:t>
            </w:r>
          </w:p>
        </w:tc>
        <w:tc>
          <w:tcPr>
            <w:tcW w:w="1814" w:type="dxa"/>
          </w:tcPr>
          <w:p>
            <w:pPr>
              <w:pStyle w:val="0"/>
            </w:pPr>
            <w:r>
              <w:rPr>
                <w:sz w:val="24"/>
              </w:rPr>
            </w:r>
          </w:p>
        </w:tc>
        <w:tc>
          <w:tcPr>
            <w:tcW w:w="3402" w:type="dxa"/>
          </w:tcPr>
          <w:p>
            <w:pPr>
              <w:pStyle w:val="0"/>
            </w:pPr>
            <w:r>
              <w:rPr>
                <w:sz w:val="24"/>
              </w:rPr>
              <w:t xml:space="preserve">ins-dic:KolichTrebObOplVredaNaOsnKotPrizSumStrVyplPoDogOSAGO</w:t>
            </w:r>
          </w:p>
        </w:tc>
      </w:tr>
      <w:tr>
        <w:tc>
          <w:tcPr>
            <w:tcW w:w="964" w:type="dxa"/>
          </w:tcPr>
          <w:p>
            <w:pPr>
              <w:pStyle w:val="0"/>
            </w:pPr>
            <w:r>
              <w:rPr>
                <w:sz w:val="24"/>
              </w:rPr>
              <w:t xml:space="preserve">92.1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549" w:name="P56549"/>
          <w:bookmarkEnd w:id="56549"/>
          <w:p>
            <w:pPr>
              <w:pStyle w:val="0"/>
            </w:pPr>
            <w:r>
              <w:rPr>
                <w:sz w:val="24"/>
              </w:rPr>
              <w:t xml:space="preserve">93</w:t>
            </w:r>
          </w:p>
        </w:tc>
        <w:tc>
          <w:tcPr>
            <w:gridSpan w:val="4"/>
            <w:tcW w:w="2891" w:type="dxa"/>
          </w:tcPr>
          <w:p>
            <w:pPr>
              <w:pStyle w:val="0"/>
            </w:pPr>
            <w:r>
              <w:rPr>
                <w:sz w:val="24"/>
              </w:rPr>
              <w:t xml:space="preserve">Сумма страховых выплат по договорам обязательного страхования гражданской ответственности владельцев транспортных средств, признанных на основании представленных страховщиками потерпевших требований об оплате возмещенного вреда</w:t>
            </w:r>
          </w:p>
        </w:tc>
        <w:tc>
          <w:tcPr>
            <w:tcW w:w="1814" w:type="dxa"/>
          </w:tcPr>
          <w:p>
            <w:pPr>
              <w:pStyle w:val="0"/>
            </w:pPr>
            <w:r>
              <w:rPr>
                <w:sz w:val="24"/>
              </w:rPr>
            </w:r>
          </w:p>
        </w:tc>
        <w:tc>
          <w:tcPr>
            <w:tcW w:w="3402" w:type="dxa"/>
          </w:tcPr>
          <w:p>
            <w:pPr>
              <w:pStyle w:val="0"/>
            </w:pPr>
            <w:r>
              <w:rPr>
                <w:sz w:val="24"/>
              </w:rPr>
              <w:t xml:space="preserve">ins-dic:SumStrVyplPoDogOSAGOPriznNaOsnPredstStrahPoterpevTrebObOplVreda</w:t>
            </w:r>
          </w:p>
        </w:tc>
      </w:tr>
      <w:tr>
        <w:tc>
          <w:tcPr>
            <w:tcW w:w="964" w:type="dxa"/>
          </w:tcPr>
          <w:p>
            <w:pPr>
              <w:pStyle w:val="0"/>
            </w:pPr>
            <w:r>
              <w:rPr>
                <w:sz w:val="24"/>
              </w:rPr>
              <w:t xml:space="preserve">93.1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c>
          <w:tcPr>
            <w:tcW w:w="964" w:type="dxa"/>
          </w:tcPr>
          <w:bookmarkStart w:id="56557" w:name="P56557"/>
          <w:bookmarkEnd w:id="56557"/>
          <w:p>
            <w:pPr>
              <w:pStyle w:val="0"/>
            </w:pPr>
            <w:r>
              <w:rPr>
                <w:sz w:val="24"/>
              </w:rPr>
              <w:t xml:space="preserve">94</w:t>
            </w:r>
          </w:p>
        </w:tc>
        <w:tc>
          <w:tcPr>
            <w:gridSpan w:val="4"/>
            <w:tcW w:w="2891" w:type="dxa"/>
          </w:tcPr>
          <w:p>
            <w:pPr>
              <w:pStyle w:val="0"/>
            </w:pPr>
            <w:r>
              <w:rPr>
                <w:sz w:val="24"/>
              </w:rPr>
              <w:t xml:space="preserve">Сумма осуществленных выплат страховщикам потерпевших в счет осуществленного ими прямого возмещения убытков потерпевшим</w:t>
            </w:r>
          </w:p>
        </w:tc>
        <w:tc>
          <w:tcPr>
            <w:tcW w:w="1814" w:type="dxa"/>
          </w:tcPr>
          <w:p>
            <w:pPr>
              <w:pStyle w:val="0"/>
            </w:pPr>
            <w:r>
              <w:rPr>
                <w:sz w:val="24"/>
              </w:rPr>
            </w:r>
          </w:p>
        </w:tc>
        <w:tc>
          <w:tcPr>
            <w:tcW w:w="3402" w:type="dxa"/>
          </w:tcPr>
          <w:p>
            <w:pPr>
              <w:pStyle w:val="0"/>
            </w:pPr>
            <w:r>
              <w:rPr>
                <w:sz w:val="24"/>
              </w:rPr>
              <w:t xml:space="preserve">ins-dic:SumProizvVyplatStrahPoterpVSchetOsuschImiPryamVozmUbytkovPoterp</w:t>
            </w:r>
          </w:p>
        </w:tc>
      </w:tr>
      <w:tr>
        <w:tc>
          <w:tcPr>
            <w:tcW w:w="964" w:type="dxa"/>
          </w:tcPr>
          <w:p>
            <w:pPr>
              <w:pStyle w:val="0"/>
            </w:pPr>
            <w:r>
              <w:rPr>
                <w:sz w:val="24"/>
              </w:rPr>
              <w:t xml:space="preserve">94.1</w:t>
            </w:r>
          </w:p>
        </w:tc>
        <w:tc>
          <w:tcPr>
            <w:gridSpan w:val="4"/>
            <w:tcW w:w="2891" w:type="dxa"/>
          </w:tcPr>
          <w:p>
            <w:pPr>
              <w:pStyle w:val="0"/>
            </w:pPr>
            <w:r>
              <w:rPr>
                <w:sz w:val="24"/>
              </w:rPr>
            </w:r>
          </w:p>
        </w:tc>
        <w:tc>
          <w:tcPr>
            <w:tcW w:w="1814" w:type="dxa"/>
          </w:tcPr>
          <w:p>
            <w:pPr>
              <w:pStyle w:val="0"/>
            </w:pPr>
            <w:r>
              <w:rPr>
                <w:sz w:val="24"/>
              </w:rPr>
              <w:t xml:space="preserve">Тип страхователя</w:t>
            </w:r>
          </w:p>
        </w:tc>
        <w:tc>
          <w:tcPr>
            <w:tcW w:w="3402" w:type="dxa"/>
          </w:tcPr>
          <w:p>
            <w:pPr>
              <w:pStyle w:val="0"/>
            </w:pPr>
            <w:r>
              <w:rPr>
                <w:sz w:val="24"/>
              </w:rPr>
              <w:t xml:space="preserve">dim-int:Tip_Sl_Axis</w:t>
            </w:r>
          </w:p>
        </w:tc>
      </w:tr>
      <w:tr>
        <w:tblPrEx>
          <w:tblBorders>
            <w:insideV w:val="nil"/>
          </w:tblBorders>
        </w:tblPrEx>
        <w:tc>
          <w:tcPr>
            <w:gridSpan w:val="2"/>
            <w:tcW w:w="1309" w:type="dxa"/>
            <w:tcBorders>
              <w:left w:val="single" w:sz="4"/>
            </w:tcBorders>
          </w:tcPr>
          <w:bookmarkStart w:id="56565" w:name="P56565"/>
          <w:bookmarkEnd w:id="56565"/>
          <w:p>
            <w:pPr>
              <w:pStyle w:val="0"/>
              <w:outlineLvl w:val="3"/>
            </w:pPr>
            <w:r>
              <w:rPr>
                <w:sz w:val="24"/>
              </w:rPr>
              <w:t xml:space="preserve">Раздел 6.</w:t>
            </w:r>
          </w:p>
        </w:tc>
        <w:tc>
          <w:tcPr>
            <w:gridSpan w:val="5"/>
            <w:tcW w:w="7762" w:type="dxa"/>
            <w:tcBorders>
              <w:right w:val="single" w:sz="4"/>
            </w:tcBorders>
          </w:tcPr>
          <w:p>
            <w:pPr>
              <w:pStyle w:val="0"/>
              <w:jc w:val="both"/>
            </w:pPr>
            <w:r>
              <w:rPr>
                <w:sz w:val="24"/>
              </w:rPr>
              <w:t xml:space="preserve">Обязательное медицинское страхование</w:t>
            </w:r>
          </w:p>
        </w:tc>
      </w:tr>
      <w:tr>
        <w:tc>
          <w:tcPr>
            <w:tcW w:w="964" w:type="dxa"/>
          </w:tcPr>
          <w:bookmarkStart w:id="56567" w:name="P56567"/>
          <w:bookmarkEnd w:id="56567"/>
          <w:p>
            <w:pPr>
              <w:pStyle w:val="0"/>
            </w:pPr>
            <w:r>
              <w:rPr>
                <w:sz w:val="24"/>
              </w:rPr>
              <w:t xml:space="preserve">95</w:t>
            </w:r>
          </w:p>
        </w:tc>
        <w:tc>
          <w:tcPr>
            <w:gridSpan w:val="4"/>
            <w:tcW w:w="2891" w:type="dxa"/>
          </w:tcPr>
          <w:p>
            <w:pPr>
              <w:pStyle w:val="0"/>
            </w:pPr>
            <w:r>
              <w:rPr>
                <w:sz w:val="24"/>
              </w:rPr>
              <w:t xml:space="preserve">Средства страховой медицинской организации, предназначенные для оплаты медицинской помощи</w:t>
            </w:r>
          </w:p>
        </w:tc>
        <w:tc>
          <w:tcPr>
            <w:tcW w:w="1814" w:type="dxa"/>
          </w:tcPr>
          <w:p>
            <w:pPr>
              <w:pStyle w:val="0"/>
            </w:pPr>
            <w:r>
              <w:rPr>
                <w:sz w:val="24"/>
              </w:rPr>
            </w:r>
          </w:p>
        </w:tc>
        <w:tc>
          <w:tcPr>
            <w:tcW w:w="3402" w:type="dxa"/>
          </w:tcPr>
          <w:p>
            <w:pPr>
              <w:pStyle w:val="0"/>
            </w:pPr>
            <w:r>
              <w:rPr>
                <w:sz w:val="24"/>
              </w:rPr>
              <w:t xml:space="preserve">ins-dic:Sredstva_Foms_Oplata_Vsego</w:t>
            </w:r>
          </w:p>
        </w:tc>
      </w:tr>
      <w:tr>
        <w:tc>
          <w:tcPr>
            <w:tcW w:w="964" w:type="dxa"/>
          </w:tcPr>
          <w:p>
            <w:pPr>
              <w:pStyle w:val="0"/>
            </w:pPr>
            <w:r>
              <w:rPr>
                <w:sz w:val="24"/>
              </w:rPr>
              <w:t xml:space="preserve">95.1</w:t>
            </w:r>
          </w:p>
        </w:tc>
        <w:tc>
          <w:tcPr>
            <w:gridSpan w:val="4"/>
            <w:tcW w:w="2891" w:type="dxa"/>
          </w:tcPr>
          <w:p>
            <w:pPr>
              <w:pStyle w:val="0"/>
            </w:pPr>
            <w:r>
              <w:rPr>
                <w:sz w:val="24"/>
              </w:rPr>
            </w:r>
          </w:p>
        </w:tc>
        <w:tc>
          <w:tcPr>
            <w:tcW w:w="1814" w:type="dxa"/>
          </w:tcPr>
          <w:p>
            <w:pPr>
              <w:pStyle w:val="0"/>
            </w:pPr>
            <w:r>
              <w:rPr>
                <w:sz w:val="24"/>
              </w:rPr>
              <w:t xml:space="preserve">Структура средств, предназначенных для оплаты медицинской помощи</w:t>
            </w:r>
          </w:p>
        </w:tc>
        <w:tc>
          <w:tcPr>
            <w:tcW w:w="3402" w:type="dxa"/>
          </w:tcPr>
          <w:p>
            <w:pPr>
              <w:pStyle w:val="0"/>
            </w:pPr>
            <w:r>
              <w:rPr>
                <w:sz w:val="24"/>
              </w:rPr>
              <w:t xml:space="preserve">dim-int:Strukt_Sredstv_Opl_Med_Pomoshhi_Axis</w:t>
            </w:r>
          </w:p>
        </w:tc>
      </w:tr>
      <w:tr>
        <w:tc>
          <w:tcPr>
            <w:tcW w:w="964" w:type="dxa"/>
          </w:tcPr>
          <w:p>
            <w:pPr>
              <w:pStyle w:val="0"/>
            </w:pPr>
            <w:r>
              <w:rPr>
                <w:sz w:val="24"/>
              </w:rPr>
              <w:t xml:space="preserve">95.2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bookmarkStart w:id="56579" w:name="P56579"/>
          <w:bookmarkEnd w:id="56579"/>
          <w:p>
            <w:pPr>
              <w:pStyle w:val="0"/>
            </w:pPr>
            <w:r>
              <w:rPr>
                <w:sz w:val="24"/>
              </w:rPr>
              <w:t xml:space="preserve">96</w:t>
            </w:r>
          </w:p>
        </w:tc>
        <w:tc>
          <w:tcPr>
            <w:gridSpan w:val="4"/>
            <w:tcW w:w="2891" w:type="dxa"/>
          </w:tcPr>
          <w:p>
            <w:pPr>
              <w:pStyle w:val="0"/>
            </w:pPr>
            <w:r>
              <w:rPr>
                <w:sz w:val="24"/>
              </w:rPr>
              <w:t xml:space="preserve">Оплата страховой медицинской организацией медицинской помощи, оказанной застрахованным лицам</w:t>
            </w:r>
          </w:p>
        </w:tc>
        <w:tc>
          <w:tcPr>
            <w:tcW w:w="1814" w:type="dxa"/>
          </w:tcPr>
          <w:p>
            <w:pPr>
              <w:pStyle w:val="0"/>
            </w:pPr>
            <w:r>
              <w:rPr>
                <w:sz w:val="24"/>
              </w:rPr>
            </w:r>
          </w:p>
        </w:tc>
        <w:tc>
          <w:tcPr>
            <w:tcW w:w="3402" w:type="dxa"/>
          </w:tcPr>
          <w:p>
            <w:pPr>
              <w:pStyle w:val="0"/>
            </w:pPr>
            <w:r>
              <w:rPr>
                <w:sz w:val="24"/>
              </w:rPr>
              <w:t xml:space="preserve">ins-dic:Oplata_Foms_Med_Pomoshhi_Vsego</w:t>
            </w:r>
          </w:p>
        </w:tc>
      </w:tr>
      <w:tr>
        <w:tc>
          <w:tcPr>
            <w:tcW w:w="964" w:type="dxa"/>
          </w:tcPr>
          <w:p>
            <w:pPr>
              <w:pStyle w:val="0"/>
            </w:pPr>
            <w:r>
              <w:rPr>
                <w:sz w:val="24"/>
              </w:rPr>
              <w:t xml:space="preserve">96.1</w:t>
            </w:r>
          </w:p>
        </w:tc>
        <w:tc>
          <w:tcPr>
            <w:gridSpan w:val="4"/>
            <w:tcW w:w="2891" w:type="dxa"/>
          </w:tcPr>
          <w:p>
            <w:pPr>
              <w:pStyle w:val="0"/>
            </w:pPr>
            <w:r>
              <w:rPr>
                <w:sz w:val="24"/>
              </w:rPr>
            </w:r>
          </w:p>
        </w:tc>
        <w:tc>
          <w:tcPr>
            <w:tcW w:w="1814" w:type="dxa"/>
          </w:tcPr>
          <w:p>
            <w:pPr>
              <w:pStyle w:val="0"/>
            </w:pPr>
            <w:r>
              <w:rPr>
                <w:sz w:val="24"/>
              </w:rPr>
              <w:t xml:space="preserve">Структура оплаты медицинской помощи, оказанной застрахованным лицам</w:t>
            </w:r>
          </w:p>
        </w:tc>
        <w:tc>
          <w:tcPr>
            <w:tcW w:w="3402" w:type="dxa"/>
          </w:tcPr>
          <w:p>
            <w:pPr>
              <w:pStyle w:val="0"/>
            </w:pPr>
            <w:r>
              <w:rPr>
                <w:sz w:val="24"/>
              </w:rPr>
              <w:t xml:space="preserve">dim-int:Strukt_Opl_Med_Pomoshhi_Okaz_Zastr_Liczam_Axis</w:t>
            </w:r>
          </w:p>
        </w:tc>
      </w:tr>
      <w:tr>
        <w:tc>
          <w:tcPr>
            <w:tcW w:w="964" w:type="dxa"/>
          </w:tcPr>
          <w:p>
            <w:pPr>
              <w:pStyle w:val="0"/>
            </w:pPr>
            <w:r>
              <w:rPr>
                <w:sz w:val="24"/>
              </w:rPr>
              <w:t xml:space="preserve">96.2</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3"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bookmarkStart w:id="56591" w:name="P56591"/>
          <w:bookmarkEnd w:id="56591"/>
          <w:p>
            <w:pPr>
              <w:pStyle w:val="0"/>
            </w:pPr>
            <w:r>
              <w:rPr>
                <w:sz w:val="24"/>
              </w:rPr>
              <w:t xml:space="preserve">97</w:t>
            </w:r>
          </w:p>
        </w:tc>
        <w:tc>
          <w:tcPr>
            <w:gridSpan w:val="4"/>
            <w:tcW w:w="2891" w:type="dxa"/>
          </w:tcPr>
          <w:p>
            <w:pPr>
              <w:pStyle w:val="0"/>
            </w:pPr>
            <w:r>
              <w:rPr>
                <w:sz w:val="24"/>
              </w:rPr>
              <w:t xml:space="preserve">Число застрахованных страховой медицинской организацией лиц</w:t>
            </w:r>
          </w:p>
        </w:tc>
        <w:tc>
          <w:tcPr>
            <w:tcW w:w="1814" w:type="dxa"/>
          </w:tcPr>
          <w:p>
            <w:pPr>
              <w:pStyle w:val="0"/>
            </w:pPr>
            <w:r>
              <w:rPr>
                <w:sz w:val="24"/>
              </w:rPr>
            </w:r>
          </w:p>
        </w:tc>
        <w:tc>
          <w:tcPr>
            <w:tcW w:w="3402" w:type="dxa"/>
          </w:tcPr>
          <w:p>
            <w:pPr>
              <w:pStyle w:val="0"/>
            </w:pPr>
            <w:r>
              <w:rPr>
                <w:sz w:val="24"/>
              </w:rPr>
              <w:t xml:space="preserve">ins-dic:Foms_Chislo_Zastraxovannyx_Vsego</w:t>
            </w:r>
          </w:p>
        </w:tc>
      </w:tr>
      <w:tr>
        <w:tc>
          <w:tcPr>
            <w:tcW w:w="964" w:type="dxa"/>
          </w:tcPr>
          <w:p>
            <w:pPr>
              <w:pStyle w:val="0"/>
            </w:pPr>
            <w:r>
              <w:rPr>
                <w:sz w:val="24"/>
              </w:rPr>
              <w:t xml:space="preserve">97.1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bookmarkStart w:id="56599" w:name="P56599"/>
          <w:bookmarkEnd w:id="56599"/>
          <w:p>
            <w:pPr>
              <w:pStyle w:val="0"/>
            </w:pPr>
            <w:r>
              <w:rPr>
                <w:sz w:val="24"/>
              </w:rPr>
              <w:t xml:space="preserve">98</w:t>
            </w:r>
          </w:p>
        </w:tc>
        <w:tc>
          <w:tcPr>
            <w:gridSpan w:val="4"/>
            <w:tcW w:w="2891" w:type="dxa"/>
          </w:tcPr>
          <w:p>
            <w:pPr>
              <w:pStyle w:val="0"/>
            </w:pPr>
            <w:r>
              <w:rPr>
                <w:sz w:val="24"/>
              </w:rPr>
              <w:t xml:space="preserve">Увеличение числа застрахованных страховой медицинской организацией лиц</w:t>
            </w:r>
          </w:p>
        </w:tc>
        <w:tc>
          <w:tcPr>
            <w:tcW w:w="1814" w:type="dxa"/>
          </w:tcPr>
          <w:p>
            <w:pPr>
              <w:pStyle w:val="0"/>
            </w:pPr>
            <w:r>
              <w:rPr>
                <w:sz w:val="24"/>
              </w:rPr>
            </w:r>
          </w:p>
        </w:tc>
        <w:tc>
          <w:tcPr>
            <w:tcW w:w="3402" w:type="dxa"/>
          </w:tcPr>
          <w:p>
            <w:pPr>
              <w:pStyle w:val="0"/>
            </w:pPr>
            <w:r>
              <w:rPr>
                <w:sz w:val="24"/>
              </w:rPr>
              <w:t xml:space="preserve">ins-dic:Foms_Chislo_Zastraxovannyx_Uvelich_Vsego</w:t>
            </w:r>
          </w:p>
        </w:tc>
      </w:tr>
      <w:tr>
        <w:tc>
          <w:tcPr>
            <w:tcW w:w="964" w:type="dxa"/>
          </w:tcPr>
          <w:p>
            <w:pPr>
              <w:pStyle w:val="0"/>
            </w:pPr>
            <w:r>
              <w:rPr>
                <w:sz w:val="24"/>
              </w:rPr>
              <w:t xml:space="preserve">98.1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5"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c>
          <w:tcPr>
            <w:tcW w:w="964" w:type="dxa"/>
          </w:tcPr>
          <w:bookmarkStart w:id="56607" w:name="P56607"/>
          <w:bookmarkEnd w:id="56607"/>
          <w:p>
            <w:pPr>
              <w:pStyle w:val="0"/>
            </w:pPr>
            <w:r>
              <w:rPr>
                <w:sz w:val="24"/>
              </w:rPr>
              <w:t xml:space="preserve">99</w:t>
            </w:r>
          </w:p>
        </w:tc>
        <w:tc>
          <w:tcPr>
            <w:gridSpan w:val="4"/>
            <w:tcW w:w="2891" w:type="dxa"/>
          </w:tcPr>
          <w:p>
            <w:pPr>
              <w:pStyle w:val="0"/>
            </w:pPr>
            <w:r>
              <w:rPr>
                <w:sz w:val="24"/>
              </w:rPr>
              <w:t xml:space="preserve">Уменьшение числа застрахованных страховой медицинской организацией лиц</w:t>
            </w:r>
          </w:p>
        </w:tc>
        <w:tc>
          <w:tcPr>
            <w:tcW w:w="1814" w:type="dxa"/>
          </w:tcPr>
          <w:p>
            <w:pPr>
              <w:pStyle w:val="0"/>
            </w:pPr>
            <w:r>
              <w:rPr>
                <w:sz w:val="24"/>
              </w:rPr>
            </w:r>
          </w:p>
        </w:tc>
        <w:tc>
          <w:tcPr>
            <w:tcW w:w="3402" w:type="dxa"/>
          </w:tcPr>
          <w:p>
            <w:pPr>
              <w:pStyle w:val="0"/>
            </w:pPr>
            <w:r>
              <w:rPr>
                <w:sz w:val="24"/>
              </w:rPr>
              <w:t xml:space="preserve">ins-dic:Foms_Chislo_Zastraxovannyx_Umensh_Vsego</w:t>
            </w:r>
          </w:p>
        </w:tc>
      </w:tr>
      <w:tr>
        <w:tc>
          <w:tcPr>
            <w:tcW w:w="964" w:type="dxa"/>
          </w:tcPr>
          <w:p>
            <w:pPr>
              <w:pStyle w:val="0"/>
            </w:pPr>
            <w:r>
              <w:rPr>
                <w:sz w:val="24"/>
              </w:rPr>
              <w:t xml:space="preserve">99.1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w:t>
            </w:r>
          </w:p>
        </w:tc>
        <w:tc>
          <w:tcPr>
            <w:tcW w:w="3402" w:type="dxa"/>
          </w:tcPr>
          <w:p>
            <w:pPr>
              <w:pStyle w:val="0"/>
            </w:pPr>
            <w:r>
              <w:rPr>
                <w:sz w:val="24"/>
              </w:rPr>
              <w:t xml:space="preserve">dim-int:Kod_OKATOAxis</w:t>
            </w:r>
          </w:p>
        </w:tc>
      </w:tr>
      <w:tr>
        <w:tblPrEx>
          <w:tblBorders>
            <w:insideV w:val="nil"/>
          </w:tblBorders>
        </w:tblPrEx>
        <w:tc>
          <w:tcPr>
            <w:gridSpan w:val="2"/>
            <w:tcW w:w="1309" w:type="dxa"/>
            <w:tcBorders>
              <w:left w:val="single" w:sz="4"/>
            </w:tcBorders>
          </w:tcPr>
          <w:bookmarkStart w:id="56615" w:name="P56615"/>
          <w:bookmarkEnd w:id="56615"/>
          <w:p>
            <w:pPr>
              <w:pStyle w:val="0"/>
              <w:outlineLvl w:val="3"/>
            </w:pPr>
            <w:r>
              <w:rPr>
                <w:sz w:val="24"/>
              </w:rPr>
              <w:t xml:space="preserve">Раздел 7.</w:t>
            </w:r>
          </w:p>
        </w:tc>
        <w:tc>
          <w:tcPr>
            <w:gridSpan w:val="5"/>
            <w:tcW w:w="7762" w:type="dxa"/>
            <w:tcBorders>
              <w:right w:val="single" w:sz="4"/>
            </w:tcBorders>
          </w:tcPr>
          <w:p>
            <w:pPr>
              <w:pStyle w:val="0"/>
              <w:jc w:val="both"/>
            </w:pPr>
            <w:r>
              <w:rPr>
                <w:sz w:val="24"/>
              </w:rPr>
              <w:t xml:space="preserve">Посредники, в том числе страховые агенты, при заключении договоров страхования</w:t>
            </w:r>
          </w:p>
        </w:tc>
      </w:tr>
      <w:tr>
        <w:tblPrEx>
          <w:tblBorders>
            <w:insideV w:val="nil"/>
          </w:tblBorders>
        </w:tblPrEx>
        <w:tc>
          <w:tcPr>
            <w:gridSpan w:val="4"/>
            <w:tcW w:w="1865" w:type="dxa"/>
            <w:tcBorders>
              <w:left w:val="single" w:sz="4"/>
            </w:tcBorders>
          </w:tcPr>
          <w:bookmarkStart w:id="56617" w:name="P56617"/>
          <w:bookmarkEnd w:id="56617"/>
          <w:p>
            <w:pPr>
              <w:pStyle w:val="0"/>
              <w:outlineLvl w:val="4"/>
            </w:pPr>
            <w:r>
              <w:rPr>
                <w:sz w:val="24"/>
              </w:rPr>
              <w:t xml:space="preserve">Подраздел 7.1.</w:t>
            </w:r>
          </w:p>
        </w:tc>
        <w:tc>
          <w:tcPr>
            <w:gridSpan w:val="3"/>
            <w:tcW w:w="7206" w:type="dxa"/>
            <w:tcBorders>
              <w:right w:val="single" w:sz="4"/>
            </w:tcBorders>
          </w:tcPr>
          <w:p>
            <w:pPr>
              <w:pStyle w:val="0"/>
            </w:pPr>
            <w:r>
              <w:rPr>
                <w:sz w:val="24"/>
              </w:rPr>
              <w:t xml:space="preserve">Страховые премии по договорам страхования, заключенным без участия посредников либо при их участии, вознаграждение посредникам (кроме договоров страхования, заключенных путем обмена информацией в электронной форме)</w:t>
            </w:r>
          </w:p>
        </w:tc>
      </w:tr>
      <w:tr>
        <w:tc>
          <w:tcPr>
            <w:tcW w:w="964" w:type="dxa"/>
          </w:tcPr>
          <w:bookmarkStart w:id="56619" w:name="P56619"/>
          <w:bookmarkEnd w:id="56619"/>
          <w:p>
            <w:pPr>
              <w:pStyle w:val="0"/>
            </w:pPr>
            <w:r>
              <w:rPr>
                <w:sz w:val="24"/>
              </w:rPr>
              <w:t xml:space="preserve">100</w:t>
            </w:r>
          </w:p>
        </w:tc>
        <w:tc>
          <w:tcPr>
            <w:gridSpan w:val="4"/>
            <w:tcW w:w="2891" w:type="dxa"/>
          </w:tcPr>
          <w:p>
            <w:pPr>
              <w:pStyle w:val="0"/>
            </w:pPr>
            <w:r>
              <w:rPr>
                <w:sz w:val="24"/>
              </w:rPr>
              <w:t xml:space="preserve">Страховые премии (взносы)</w:t>
            </w:r>
          </w:p>
        </w:tc>
        <w:tc>
          <w:tcPr>
            <w:tcW w:w="1814" w:type="dxa"/>
          </w:tcPr>
          <w:p>
            <w:pPr>
              <w:pStyle w:val="0"/>
            </w:pPr>
            <w:r>
              <w:rPr>
                <w:sz w:val="24"/>
              </w:rPr>
            </w:r>
          </w:p>
        </w:tc>
        <w:tc>
          <w:tcPr>
            <w:tcW w:w="3402" w:type="dxa"/>
          </w:tcPr>
          <w:p>
            <w:pPr>
              <w:pStyle w:val="0"/>
            </w:pPr>
            <w:r>
              <w:rPr>
                <w:sz w:val="24"/>
              </w:rPr>
              <w:t xml:space="preserve">ins-dic:Sp_Vsego</w:t>
            </w:r>
          </w:p>
        </w:tc>
      </w:tr>
      <w:tr>
        <w:tc>
          <w:tcPr>
            <w:tcW w:w="964" w:type="dxa"/>
          </w:tcPr>
          <w:p>
            <w:pPr>
              <w:pStyle w:val="0"/>
            </w:pPr>
            <w:r>
              <w:rPr>
                <w:sz w:val="24"/>
              </w:rPr>
              <w:t xml:space="preserve">100.1</w:t>
            </w:r>
          </w:p>
        </w:tc>
        <w:tc>
          <w:tcPr>
            <w:gridSpan w:val="4"/>
            <w:tcW w:w="2891" w:type="dxa"/>
          </w:tcPr>
          <w:p>
            <w:pPr>
              <w:pStyle w:val="0"/>
            </w:pPr>
            <w:r>
              <w:rPr>
                <w:sz w:val="24"/>
              </w:rPr>
            </w:r>
          </w:p>
        </w:tc>
        <w:tc>
          <w:tcPr>
            <w:tcW w:w="1814" w:type="dxa"/>
          </w:tcPr>
          <w:p>
            <w:pPr>
              <w:pStyle w:val="0"/>
            </w:pPr>
            <w:r>
              <w:rPr>
                <w:sz w:val="24"/>
              </w:rPr>
              <w:t xml:space="preserve">Заключение договора путем обмена информацией в электронной форме</w:t>
            </w:r>
          </w:p>
        </w:tc>
        <w:tc>
          <w:tcPr>
            <w:tcW w:w="3402" w:type="dxa"/>
          </w:tcPr>
          <w:p>
            <w:pPr>
              <w:pStyle w:val="0"/>
            </w:pPr>
            <w:r>
              <w:rPr>
                <w:sz w:val="24"/>
              </w:rPr>
              <w:t xml:space="preserve">dim-int:IspObmInfElFormAxis</w:t>
            </w:r>
          </w:p>
        </w:tc>
      </w:tr>
      <w:tr>
        <w:tc>
          <w:tcPr>
            <w:tcW w:w="964" w:type="dxa"/>
          </w:tcPr>
          <w:p>
            <w:pPr>
              <w:pStyle w:val="0"/>
            </w:pPr>
            <w:r>
              <w:rPr>
                <w:sz w:val="24"/>
              </w:rPr>
              <w:t xml:space="preserve">100.2</w:t>
            </w:r>
          </w:p>
        </w:tc>
        <w:tc>
          <w:tcPr>
            <w:gridSpan w:val="4"/>
            <w:tcW w:w="2891" w:type="dxa"/>
          </w:tcPr>
          <w:p>
            <w:pPr>
              <w:pStyle w:val="0"/>
            </w:pPr>
            <w:r>
              <w:rPr>
                <w:sz w:val="24"/>
              </w:rPr>
            </w:r>
          </w:p>
        </w:tc>
        <w:tc>
          <w:tcPr>
            <w:tcW w:w="1814" w:type="dxa"/>
          </w:tcPr>
          <w:p>
            <w:pPr>
              <w:pStyle w:val="0"/>
            </w:pPr>
            <w:r>
              <w:rPr>
                <w:sz w:val="24"/>
              </w:rPr>
              <w:t xml:space="preserve">Тип посредника</w:t>
            </w:r>
          </w:p>
        </w:tc>
        <w:tc>
          <w:tcPr>
            <w:tcW w:w="3402" w:type="dxa"/>
          </w:tcPr>
          <w:p>
            <w:pPr>
              <w:pStyle w:val="0"/>
            </w:pPr>
            <w:r>
              <w:rPr>
                <w:sz w:val="24"/>
              </w:rPr>
              <w:t xml:space="preserve">dim-int:Tip_Posred_Axis</w:t>
            </w:r>
          </w:p>
        </w:tc>
      </w:tr>
      <w:tr>
        <w:tc>
          <w:tcPr>
            <w:tcW w:w="964" w:type="dxa"/>
          </w:tcPr>
          <w:p>
            <w:pPr>
              <w:pStyle w:val="0"/>
            </w:pPr>
            <w:r>
              <w:rPr>
                <w:sz w:val="24"/>
              </w:rPr>
              <w:t xml:space="preserve">100.3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100.4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100.5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100.6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100.7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bookmarkStart w:id="56651" w:name="P56651"/>
          <w:bookmarkEnd w:id="56651"/>
          <w:p>
            <w:pPr>
              <w:pStyle w:val="0"/>
            </w:pPr>
            <w:r>
              <w:rPr>
                <w:sz w:val="24"/>
              </w:rPr>
              <w:t xml:space="preserve">101</w:t>
            </w:r>
          </w:p>
        </w:tc>
        <w:tc>
          <w:tcPr>
            <w:gridSpan w:val="4"/>
            <w:tcW w:w="2891" w:type="dxa"/>
          </w:tcPr>
          <w:p>
            <w:pPr>
              <w:pStyle w:val="0"/>
            </w:pPr>
            <w:r>
              <w:rPr>
                <w:sz w:val="24"/>
              </w:rPr>
              <w:t xml:space="preserve">Вознаграждение посредникам</w:t>
            </w:r>
          </w:p>
        </w:tc>
        <w:tc>
          <w:tcPr>
            <w:tcW w:w="1814" w:type="dxa"/>
          </w:tcPr>
          <w:p>
            <w:pPr>
              <w:pStyle w:val="0"/>
            </w:pPr>
            <w:r>
              <w:rPr>
                <w:sz w:val="24"/>
              </w:rPr>
            </w:r>
          </w:p>
        </w:tc>
        <w:tc>
          <w:tcPr>
            <w:tcW w:w="3402" w:type="dxa"/>
          </w:tcPr>
          <w:p>
            <w:pPr>
              <w:pStyle w:val="0"/>
            </w:pPr>
            <w:r>
              <w:rPr>
                <w:sz w:val="24"/>
              </w:rPr>
              <w:t xml:space="preserve">ins-dic:Voznagrazhdenie_Posrednikam_Vsego</w:t>
            </w:r>
          </w:p>
        </w:tc>
      </w:tr>
      <w:tr>
        <w:tc>
          <w:tcPr>
            <w:tcW w:w="964" w:type="dxa"/>
          </w:tcPr>
          <w:p>
            <w:pPr>
              <w:pStyle w:val="0"/>
            </w:pPr>
            <w:r>
              <w:rPr>
                <w:sz w:val="24"/>
              </w:rPr>
              <w:t xml:space="preserve">101.1</w:t>
            </w:r>
          </w:p>
        </w:tc>
        <w:tc>
          <w:tcPr>
            <w:gridSpan w:val="4"/>
            <w:tcW w:w="2891" w:type="dxa"/>
          </w:tcPr>
          <w:p>
            <w:pPr>
              <w:pStyle w:val="0"/>
            </w:pPr>
            <w:r>
              <w:rPr>
                <w:sz w:val="24"/>
              </w:rPr>
            </w:r>
          </w:p>
        </w:tc>
        <w:tc>
          <w:tcPr>
            <w:tcW w:w="1814" w:type="dxa"/>
          </w:tcPr>
          <w:p>
            <w:pPr>
              <w:pStyle w:val="0"/>
            </w:pPr>
            <w:r>
              <w:rPr>
                <w:sz w:val="24"/>
              </w:rPr>
              <w:t xml:space="preserve">Заключение договора путем обмена информацией в электронной форме</w:t>
            </w:r>
          </w:p>
        </w:tc>
        <w:tc>
          <w:tcPr>
            <w:tcW w:w="3402" w:type="dxa"/>
          </w:tcPr>
          <w:p>
            <w:pPr>
              <w:pStyle w:val="0"/>
            </w:pPr>
            <w:r>
              <w:rPr>
                <w:sz w:val="24"/>
              </w:rPr>
              <w:t xml:space="preserve">dim-int:IspObmInfElFormAxis</w:t>
            </w:r>
          </w:p>
        </w:tc>
      </w:tr>
      <w:tr>
        <w:tc>
          <w:tcPr>
            <w:tcW w:w="964" w:type="dxa"/>
          </w:tcPr>
          <w:p>
            <w:pPr>
              <w:pStyle w:val="0"/>
            </w:pPr>
            <w:r>
              <w:rPr>
                <w:sz w:val="24"/>
              </w:rPr>
              <w:t xml:space="preserve">101.2</w:t>
            </w:r>
          </w:p>
        </w:tc>
        <w:tc>
          <w:tcPr>
            <w:gridSpan w:val="4"/>
            <w:tcW w:w="2891" w:type="dxa"/>
          </w:tcPr>
          <w:p>
            <w:pPr>
              <w:pStyle w:val="0"/>
            </w:pPr>
            <w:r>
              <w:rPr>
                <w:sz w:val="24"/>
              </w:rPr>
            </w:r>
          </w:p>
        </w:tc>
        <w:tc>
          <w:tcPr>
            <w:tcW w:w="1814" w:type="dxa"/>
          </w:tcPr>
          <w:p>
            <w:pPr>
              <w:pStyle w:val="0"/>
            </w:pPr>
            <w:r>
              <w:rPr>
                <w:sz w:val="24"/>
              </w:rPr>
              <w:t xml:space="preserve">Тип посредника</w:t>
            </w:r>
          </w:p>
        </w:tc>
        <w:tc>
          <w:tcPr>
            <w:tcW w:w="3402" w:type="dxa"/>
          </w:tcPr>
          <w:p>
            <w:pPr>
              <w:pStyle w:val="0"/>
            </w:pPr>
            <w:r>
              <w:rPr>
                <w:sz w:val="24"/>
              </w:rPr>
              <w:t xml:space="preserve">dim-int:Tip_Posred_Axis</w:t>
            </w:r>
          </w:p>
        </w:tc>
      </w:tr>
      <w:tr>
        <w:tc>
          <w:tcPr>
            <w:tcW w:w="964" w:type="dxa"/>
          </w:tcPr>
          <w:p>
            <w:pPr>
              <w:pStyle w:val="0"/>
            </w:pPr>
            <w:r>
              <w:rPr>
                <w:sz w:val="24"/>
              </w:rPr>
              <w:t xml:space="preserve">101.3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101.4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101.5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101.6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101.7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blPrEx>
          <w:tblBorders>
            <w:insideV w:val="nil"/>
          </w:tblBorders>
        </w:tblPrEx>
        <w:tc>
          <w:tcPr>
            <w:gridSpan w:val="4"/>
            <w:tcW w:w="1865" w:type="dxa"/>
            <w:tcBorders>
              <w:left w:val="single" w:sz="4"/>
            </w:tcBorders>
          </w:tcPr>
          <w:bookmarkStart w:id="56683" w:name="P56683"/>
          <w:bookmarkEnd w:id="56683"/>
          <w:p>
            <w:pPr>
              <w:pStyle w:val="0"/>
              <w:outlineLvl w:val="5"/>
            </w:pPr>
            <w:r>
              <w:rPr>
                <w:sz w:val="24"/>
              </w:rPr>
              <w:t xml:space="preserve">Подраздел 7.1.1.</w:t>
            </w:r>
          </w:p>
        </w:tc>
        <w:tc>
          <w:tcPr>
            <w:gridSpan w:val="3"/>
            <w:tcW w:w="7206" w:type="dxa"/>
            <w:tcBorders>
              <w:right w:val="single" w:sz="4"/>
            </w:tcBorders>
          </w:tcPr>
          <w:p>
            <w:pPr>
              <w:pStyle w:val="0"/>
            </w:pPr>
            <w:r>
              <w:rPr>
                <w:sz w:val="24"/>
              </w:rPr>
              <w:t xml:space="preserve">Страховые премии по договорам страхования, заключенным путем обмена информацией в электронной форме, количество заключенных договоров страхования и вознаграждение посредникам за их заключение</w:t>
            </w:r>
          </w:p>
        </w:tc>
      </w:tr>
      <w:tr>
        <w:tc>
          <w:tcPr>
            <w:tcW w:w="964" w:type="dxa"/>
          </w:tcPr>
          <w:bookmarkStart w:id="56685" w:name="P56685"/>
          <w:bookmarkEnd w:id="56685"/>
          <w:p>
            <w:pPr>
              <w:pStyle w:val="0"/>
            </w:pPr>
            <w:r>
              <w:rPr>
                <w:sz w:val="24"/>
              </w:rPr>
              <w:t xml:space="preserve">102</w:t>
            </w:r>
          </w:p>
        </w:tc>
        <w:tc>
          <w:tcPr>
            <w:gridSpan w:val="4"/>
            <w:tcW w:w="2891" w:type="dxa"/>
          </w:tcPr>
          <w:p>
            <w:pPr>
              <w:pStyle w:val="0"/>
            </w:pPr>
            <w:r>
              <w:rPr>
                <w:sz w:val="24"/>
              </w:rPr>
              <w:t xml:space="preserve">Страховые премии (взносы)</w:t>
            </w:r>
          </w:p>
        </w:tc>
        <w:tc>
          <w:tcPr>
            <w:tcW w:w="1814" w:type="dxa"/>
          </w:tcPr>
          <w:p>
            <w:pPr>
              <w:pStyle w:val="0"/>
            </w:pPr>
            <w:r>
              <w:rPr>
                <w:sz w:val="24"/>
              </w:rPr>
            </w:r>
          </w:p>
        </w:tc>
        <w:tc>
          <w:tcPr>
            <w:tcW w:w="3402" w:type="dxa"/>
          </w:tcPr>
          <w:p>
            <w:pPr>
              <w:pStyle w:val="0"/>
            </w:pPr>
            <w:r>
              <w:rPr>
                <w:sz w:val="24"/>
              </w:rPr>
              <w:t xml:space="preserve">ins-dic:Sp_Vsego</w:t>
            </w:r>
          </w:p>
        </w:tc>
      </w:tr>
      <w:tr>
        <w:tc>
          <w:tcPr>
            <w:tcW w:w="964" w:type="dxa"/>
          </w:tcPr>
          <w:p>
            <w:pPr>
              <w:pStyle w:val="0"/>
            </w:pPr>
            <w:r>
              <w:rPr>
                <w:sz w:val="24"/>
              </w:rPr>
              <w:t xml:space="preserve">102.1</w:t>
            </w:r>
          </w:p>
        </w:tc>
        <w:tc>
          <w:tcPr>
            <w:gridSpan w:val="4"/>
            <w:tcW w:w="2891" w:type="dxa"/>
          </w:tcPr>
          <w:p>
            <w:pPr>
              <w:pStyle w:val="0"/>
            </w:pPr>
            <w:r>
              <w:rPr>
                <w:sz w:val="24"/>
              </w:rPr>
            </w:r>
          </w:p>
        </w:tc>
        <w:tc>
          <w:tcPr>
            <w:tcW w:w="1814" w:type="dxa"/>
          </w:tcPr>
          <w:p>
            <w:pPr>
              <w:pStyle w:val="0"/>
            </w:pPr>
            <w:r>
              <w:rPr>
                <w:sz w:val="24"/>
              </w:rPr>
              <w:t xml:space="preserve">Заключение договора путем обмена информацией в электронной форме</w:t>
            </w:r>
          </w:p>
        </w:tc>
        <w:tc>
          <w:tcPr>
            <w:tcW w:w="3402" w:type="dxa"/>
          </w:tcPr>
          <w:p>
            <w:pPr>
              <w:pStyle w:val="0"/>
            </w:pPr>
            <w:r>
              <w:rPr>
                <w:sz w:val="24"/>
              </w:rPr>
              <w:t xml:space="preserve">dim-int:IspObmInfElFormAxis</w:t>
            </w:r>
          </w:p>
        </w:tc>
      </w:tr>
      <w:tr>
        <w:tc>
          <w:tcPr>
            <w:tcW w:w="964" w:type="dxa"/>
          </w:tcPr>
          <w:p>
            <w:pPr>
              <w:pStyle w:val="0"/>
            </w:pPr>
            <w:r>
              <w:rPr>
                <w:sz w:val="24"/>
              </w:rPr>
              <w:t xml:space="preserve">102.2</w:t>
            </w:r>
          </w:p>
        </w:tc>
        <w:tc>
          <w:tcPr>
            <w:gridSpan w:val="4"/>
            <w:tcW w:w="2891" w:type="dxa"/>
          </w:tcPr>
          <w:p>
            <w:pPr>
              <w:pStyle w:val="0"/>
            </w:pPr>
            <w:r>
              <w:rPr>
                <w:sz w:val="24"/>
              </w:rPr>
            </w:r>
          </w:p>
        </w:tc>
        <w:tc>
          <w:tcPr>
            <w:tcW w:w="1814" w:type="dxa"/>
          </w:tcPr>
          <w:p>
            <w:pPr>
              <w:pStyle w:val="0"/>
            </w:pPr>
            <w:r>
              <w:rPr>
                <w:sz w:val="24"/>
              </w:rPr>
              <w:t xml:space="preserve">Тип посредника</w:t>
            </w:r>
          </w:p>
        </w:tc>
        <w:tc>
          <w:tcPr>
            <w:tcW w:w="3402" w:type="dxa"/>
          </w:tcPr>
          <w:p>
            <w:pPr>
              <w:pStyle w:val="0"/>
            </w:pPr>
            <w:r>
              <w:rPr>
                <w:sz w:val="24"/>
              </w:rPr>
              <w:t xml:space="preserve">dim-int:Tip_Posred_Axis</w:t>
            </w:r>
          </w:p>
        </w:tc>
      </w:tr>
      <w:tr>
        <w:tc>
          <w:tcPr>
            <w:tcW w:w="964" w:type="dxa"/>
          </w:tcPr>
          <w:p>
            <w:pPr>
              <w:pStyle w:val="0"/>
            </w:pPr>
            <w:r>
              <w:rPr>
                <w:sz w:val="24"/>
              </w:rPr>
              <w:t xml:space="preserve">102.3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102.4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102.5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102.6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102.7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bookmarkStart w:id="56717" w:name="P56717"/>
          <w:bookmarkEnd w:id="56717"/>
          <w:p>
            <w:pPr>
              <w:pStyle w:val="0"/>
            </w:pPr>
            <w:r>
              <w:rPr>
                <w:sz w:val="24"/>
              </w:rPr>
              <w:t xml:space="preserve">103</w:t>
            </w:r>
          </w:p>
        </w:tc>
        <w:tc>
          <w:tcPr>
            <w:gridSpan w:val="4"/>
            <w:tcW w:w="2891" w:type="dxa"/>
          </w:tcPr>
          <w:p>
            <w:pPr>
              <w:pStyle w:val="0"/>
            </w:pPr>
            <w:r>
              <w:rPr>
                <w:sz w:val="24"/>
              </w:rPr>
              <w:t xml:space="preserve">Количество заключенных договоров страхования</w:t>
            </w:r>
          </w:p>
        </w:tc>
        <w:tc>
          <w:tcPr>
            <w:tcW w:w="1814" w:type="dxa"/>
          </w:tcPr>
          <w:p>
            <w:pPr>
              <w:pStyle w:val="0"/>
            </w:pPr>
            <w:r>
              <w:rPr>
                <w:sz w:val="24"/>
              </w:rPr>
            </w:r>
          </w:p>
        </w:tc>
        <w:tc>
          <w:tcPr>
            <w:tcW w:w="3402" w:type="dxa"/>
          </w:tcPr>
          <w:p>
            <w:pPr>
              <w:pStyle w:val="0"/>
            </w:pPr>
            <w:r>
              <w:rPr>
                <w:sz w:val="24"/>
              </w:rPr>
              <w:t xml:space="preserve">ins-dic:KolZaklDogStr</w:t>
            </w:r>
          </w:p>
        </w:tc>
      </w:tr>
      <w:tr>
        <w:tc>
          <w:tcPr>
            <w:tcW w:w="964" w:type="dxa"/>
          </w:tcPr>
          <w:p>
            <w:pPr>
              <w:pStyle w:val="0"/>
            </w:pPr>
            <w:r>
              <w:rPr>
                <w:sz w:val="24"/>
              </w:rPr>
              <w:t xml:space="preserve">103.1</w:t>
            </w:r>
          </w:p>
        </w:tc>
        <w:tc>
          <w:tcPr>
            <w:gridSpan w:val="4"/>
            <w:tcW w:w="2891" w:type="dxa"/>
          </w:tcPr>
          <w:p>
            <w:pPr>
              <w:pStyle w:val="0"/>
            </w:pPr>
            <w:r>
              <w:rPr>
                <w:sz w:val="24"/>
              </w:rPr>
            </w:r>
          </w:p>
        </w:tc>
        <w:tc>
          <w:tcPr>
            <w:tcW w:w="1814" w:type="dxa"/>
          </w:tcPr>
          <w:p>
            <w:pPr>
              <w:pStyle w:val="0"/>
            </w:pPr>
            <w:r>
              <w:rPr>
                <w:sz w:val="24"/>
              </w:rPr>
              <w:t xml:space="preserve">Заключение договора путем обмена информацией в электронной форме</w:t>
            </w:r>
          </w:p>
        </w:tc>
        <w:tc>
          <w:tcPr>
            <w:tcW w:w="3402" w:type="dxa"/>
          </w:tcPr>
          <w:p>
            <w:pPr>
              <w:pStyle w:val="0"/>
            </w:pPr>
            <w:r>
              <w:rPr>
                <w:sz w:val="24"/>
              </w:rPr>
              <w:t xml:space="preserve">dim-int:IspObmInfElFormAxis</w:t>
            </w:r>
          </w:p>
        </w:tc>
      </w:tr>
      <w:tr>
        <w:tc>
          <w:tcPr>
            <w:tcW w:w="964" w:type="dxa"/>
          </w:tcPr>
          <w:p>
            <w:pPr>
              <w:pStyle w:val="0"/>
            </w:pPr>
            <w:r>
              <w:rPr>
                <w:sz w:val="24"/>
              </w:rPr>
              <w:t xml:space="preserve">103.2</w:t>
            </w:r>
          </w:p>
        </w:tc>
        <w:tc>
          <w:tcPr>
            <w:gridSpan w:val="4"/>
            <w:tcW w:w="2891" w:type="dxa"/>
          </w:tcPr>
          <w:p>
            <w:pPr>
              <w:pStyle w:val="0"/>
            </w:pPr>
            <w:r>
              <w:rPr>
                <w:sz w:val="24"/>
              </w:rPr>
            </w:r>
          </w:p>
        </w:tc>
        <w:tc>
          <w:tcPr>
            <w:tcW w:w="1814" w:type="dxa"/>
          </w:tcPr>
          <w:p>
            <w:pPr>
              <w:pStyle w:val="0"/>
            </w:pPr>
            <w:r>
              <w:rPr>
                <w:sz w:val="24"/>
              </w:rPr>
              <w:t xml:space="preserve">Тип посредника</w:t>
            </w:r>
          </w:p>
        </w:tc>
        <w:tc>
          <w:tcPr>
            <w:tcW w:w="3402" w:type="dxa"/>
          </w:tcPr>
          <w:p>
            <w:pPr>
              <w:pStyle w:val="0"/>
            </w:pPr>
            <w:r>
              <w:rPr>
                <w:sz w:val="24"/>
              </w:rPr>
              <w:t xml:space="preserve">dim-int:Tip_Posred_Axis</w:t>
            </w:r>
          </w:p>
        </w:tc>
      </w:tr>
      <w:tr>
        <w:tc>
          <w:tcPr>
            <w:tcW w:w="964" w:type="dxa"/>
          </w:tcPr>
          <w:p>
            <w:pPr>
              <w:pStyle w:val="0"/>
            </w:pPr>
            <w:r>
              <w:rPr>
                <w:sz w:val="24"/>
              </w:rPr>
              <w:t xml:space="preserve">103.3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103.4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103.5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103.6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103.7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bookmarkStart w:id="56749" w:name="P56749"/>
          <w:bookmarkEnd w:id="56749"/>
          <w:p>
            <w:pPr>
              <w:pStyle w:val="0"/>
            </w:pPr>
            <w:r>
              <w:rPr>
                <w:sz w:val="24"/>
              </w:rPr>
              <w:t xml:space="preserve">104</w:t>
            </w:r>
          </w:p>
        </w:tc>
        <w:tc>
          <w:tcPr>
            <w:gridSpan w:val="4"/>
            <w:tcW w:w="2891" w:type="dxa"/>
          </w:tcPr>
          <w:p>
            <w:pPr>
              <w:pStyle w:val="0"/>
            </w:pPr>
            <w:r>
              <w:rPr>
                <w:sz w:val="24"/>
              </w:rPr>
              <w:t xml:space="preserve">Вознаграждение посредникам</w:t>
            </w:r>
          </w:p>
        </w:tc>
        <w:tc>
          <w:tcPr>
            <w:tcW w:w="1814" w:type="dxa"/>
          </w:tcPr>
          <w:p>
            <w:pPr>
              <w:pStyle w:val="0"/>
            </w:pPr>
            <w:r>
              <w:rPr>
                <w:sz w:val="24"/>
              </w:rPr>
            </w:r>
          </w:p>
        </w:tc>
        <w:tc>
          <w:tcPr>
            <w:tcW w:w="3402" w:type="dxa"/>
          </w:tcPr>
          <w:p>
            <w:pPr>
              <w:pStyle w:val="0"/>
            </w:pPr>
            <w:r>
              <w:rPr>
                <w:sz w:val="24"/>
              </w:rPr>
              <w:t xml:space="preserve">ins-dic:Voznagrazhdenie_Posrednikam_Vsego</w:t>
            </w:r>
          </w:p>
        </w:tc>
      </w:tr>
      <w:tr>
        <w:tc>
          <w:tcPr>
            <w:tcW w:w="964" w:type="dxa"/>
          </w:tcPr>
          <w:p>
            <w:pPr>
              <w:pStyle w:val="0"/>
            </w:pPr>
            <w:r>
              <w:rPr>
                <w:sz w:val="24"/>
              </w:rPr>
              <w:t xml:space="preserve">104.1</w:t>
            </w:r>
          </w:p>
        </w:tc>
        <w:tc>
          <w:tcPr>
            <w:gridSpan w:val="4"/>
            <w:tcW w:w="2891" w:type="dxa"/>
          </w:tcPr>
          <w:p>
            <w:pPr>
              <w:pStyle w:val="0"/>
            </w:pPr>
            <w:r>
              <w:rPr>
                <w:sz w:val="24"/>
              </w:rPr>
            </w:r>
          </w:p>
        </w:tc>
        <w:tc>
          <w:tcPr>
            <w:tcW w:w="1814" w:type="dxa"/>
          </w:tcPr>
          <w:p>
            <w:pPr>
              <w:pStyle w:val="0"/>
            </w:pPr>
            <w:r>
              <w:rPr>
                <w:sz w:val="24"/>
              </w:rPr>
              <w:t xml:space="preserve">Заключение договора путем обмена информацией в электронной форме</w:t>
            </w:r>
          </w:p>
        </w:tc>
        <w:tc>
          <w:tcPr>
            <w:tcW w:w="3402" w:type="dxa"/>
          </w:tcPr>
          <w:p>
            <w:pPr>
              <w:pStyle w:val="0"/>
            </w:pPr>
            <w:r>
              <w:rPr>
                <w:sz w:val="24"/>
              </w:rPr>
              <w:t xml:space="preserve">dim-int:IspObmInfElFormAxis</w:t>
            </w:r>
          </w:p>
        </w:tc>
      </w:tr>
      <w:tr>
        <w:tc>
          <w:tcPr>
            <w:tcW w:w="964" w:type="dxa"/>
          </w:tcPr>
          <w:p>
            <w:pPr>
              <w:pStyle w:val="0"/>
            </w:pPr>
            <w:r>
              <w:rPr>
                <w:sz w:val="24"/>
              </w:rPr>
              <w:t xml:space="preserve">104.2</w:t>
            </w:r>
          </w:p>
        </w:tc>
        <w:tc>
          <w:tcPr>
            <w:gridSpan w:val="4"/>
            <w:tcW w:w="2891" w:type="dxa"/>
          </w:tcPr>
          <w:p>
            <w:pPr>
              <w:pStyle w:val="0"/>
            </w:pPr>
            <w:r>
              <w:rPr>
                <w:sz w:val="24"/>
              </w:rPr>
            </w:r>
          </w:p>
        </w:tc>
        <w:tc>
          <w:tcPr>
            <w:tcW w:w="1814" w:type="dxa"/>
          </w:tcPr>
          <w:p>
            <w:pPr>
              <w:pStyle w:val="0"/>
            </w:pPr>
            <w:r>
              <w:rPr>
                <w:sz w:val="24"/>
              </w:rPr>
              <w:t xml:space="preserve">Тип посредника</w:t>
            </w:r>
          </w:p>
        </w:tc>
        <w:tc>
          <w:tcPr>
            <w:tcW w:w="3402" w:type="dxa"/>
          </w:tcPr>
          <w:p>
            <w:pPr>
              <w:pStyle w:val="0"/>
            </w:pPr>
            <w:r>
              <w:rPr>
                <w:sz w:val="24"/>
              </w:rPr>
              <w:t xml:space="preserve">dim-int:Tip_Posred_Axis</w:t>
            </w:r>
          </w:p>
        </w:tc>
      </w:tr>
      <w:tr>
        <w:tc>
          <w:tcPr>
            <w:tcW w:w="964" w:type="dxa"/>
          </w:tcPr>
          <w:p>
            <w:pPr>
              <w:pStyle w:val="0"/>
            </w:pPr>
            <w:r>
              <w:rPr>
                <w:sz w:val="24"/>
              </w:rPr>
              <w:t xml:space="preserve">104.3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104.4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104.5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104.6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104.7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blPrEx>
          <w:tblBorders>
            <w:insideV w:val="nil"/>
          </w:tblBorders>
        </w:tblPrEx>
        <w:tc>
          <w:tcPr>
            <w:gridSpan w:val="4"/>
            <w:tcW w:w="1865" w:type="dxa"/>
            <w:tcBorders>
              <w:left w:val="single" w:sz="4"/>
            </w:tcBorders>
          </w:tcPr>
          <w:bookmarkStart w:id="56781" w:name="P56781"/>
          <w:bookmarkEnd w:id="56781"/>
          <w:p>
            <w:pPr>
              <w:pStyle w:val="0"/>
              <w:outlineLvl w:val="4"/>
            </w:pPr>
            <w:r>
              <w:rPr>
                <w:sz w:val="24"/>
              </w:rPr>
              <w:t xml:space="preserve">Подраздел 7.2.</w:t>
            </w:r>
          </w:p>
        </w:tc>
        <w:tc>
          <w:tcPr>
            <w:gridSpan w:val="3"/>
            <w:tcW w:w="7206" w:type="dxa"/>
            <w:tcBorders>
              <w:right w:val="single" w:sz="4"/>
            </w:tcBorders>
          </w:tcPr>
          <w:p>
            <w:pPr>
              <w:pStyle w:val="0"/>
            </w:pPr>
            <w:r>
              <w:rPr>
                <w:sz w:val="24"/>
              </w:rPr>
              <w:t xml:space="preserve">Количество договоров страхования, заключенных страховыми агентами, и вознаграждение страховым агентам за их заключение</w:t>
            </w:r>
          </w:p>
        </w:tc>
      </w:tr>
      <w:tr>
        <w:tc>
          <w:tcPr>
            <w:tcW w:w="964" w:type="dxa"/>
          </w:tcPr>
          <w:bookmarkStart w:id="56783" w:name="P56783"/>
          <w:bookmarkEnd w:id="56783"/>
          <w:p>
            <w:pPr>
              <w:pStyle w:val="0"/>
            </w:pPr>
            <w:r>
              <w:rPr>
                <w:sz w:val="24"/>
              </w:rPr>
              <w:t xml:space="preserve">105</w:t>
            </w:r>
          </w:p>
        </w:tc>
        <w:tc>
          <w:tcPr>
            <w:gridSpan w:val="4"/>
            <w:tcW w:w="2891" w:type="dxa"/>
          </w:tcPr>
          <w:p>
            <w:pPr>
              <w:pStyle w:val="0"/>
            </w:pPr>
            <w:r>
              <w:rPr>
                <w:sz w:val="24"/>
              </w:rPr>
              <w:t xml:space="preserve">Количество договоров страхования, заключенных страховыми агентами</w:t>
            </w:r>
          </w:p>
        </w:tc>
        <w:tc>
          <w:tcPr>
            <w:tcW w:w="1814" w:type="dxa"/>
          </w:tcPr>
          <w:p>
            <w:pPr>
              <w:pStyle w:val="0"/>
            </w:pPr>
            <w:r>
              <w:rPr>
                <w:sz w:val="24"/>
              </w:rPr>
            </w:r>
          </w:p>
        </w:tc>
        <w:tc>
          <w:tcPr>
            <w:tcW w:w="3402" w:type="dxa"/>
          </w:tcPr>
          <w:p>
            <w:pPr>
              <w:pStyle w:val="0"/>
            </w:pPr>
            <w:r>
              <w:rPr>
                <w:sz w:val="24"/>
              </w:rPr>
              <w:t xml:space="preserve">ins-dic:Kol-Vo_Dog_Strax_Agenty_Vsego</w:t>
            </w:r>
          </w:p>
        </w:tc>
      </w:tr>
      <w:tr>
        <w:tc>
          <w:tcPr>
            <w:tcW w:w="964" w:type="dxa"/>
          </w:tcPr>
          <w:p>
            <w:pPr>
              <w:pStyle w:val="0"/>
            </w:pPr>
            <w:r>
              <w:rPr>
                <w:sz w:val="24"/>
              </w:rPr>
              <w:t xml:space="preserve">105.1</w:t>
            </w:r>
          </w:p>
        </w:tc>
        <w:tc>
          <w:tcPr>
            <w:gridSpan w:val="4"/>
            <w:tcW w:w="2891" w:type="dxa"/>
          </w:tcPr>
          <w:p>
            <w:pPr>
              <w:pStyle w:val="0"/>
            </w:pPr>
            <w:r>
              <w:rPr>
                <w:sz w:val="24"/>
              </w:rPr>
            </w:r>
          </w:p>
        </w:tc>
        <w:tc>
          <w:tcPr>
            <w:tcW w:w="1814" w:type="dxa"/>
          </w:tcPr>
          <w:p>
            <w:pPr>
              <w:pStyle w:val="0"/>
            </w:pPr>
            <w:r>
              <w:rPr>
                <w:sz w:val="24"/>
              </w:rPr>
              <w:t xml:space="preserve">Виды страховых агентов</w:t>
            </w:r>
          </w:p>
        </w:tc>
        <w:tc>
          <w:tcPr>
            <w:tcW w:w="3402" w:type="dxa"/>
          </w:tcPr>
          <w:p>
            <w:pPr>
              <w:pStyle w:val="0"/>
            </w:pPr>
            <w:r>
              <w:rPr>
                <w:sz w:val="24"/>
              </w:rPr>
              <w:t xml:space="preserve">dim-int:Vidy_Strax_Agent_Axis</w:t>
            </w:r>
          </w:p>
        </w:tc>
      </w:tr>
      <w:tr>
        <w:tc>
          <w:tcPr>
            <w:tcW w:w="964" w:type="dxa"/>
          </w:tcPr>
          <w:p>
            <w:pPr>
              <w:pStyle w:val="0"/>
            </w:pPr>
            <w:r>
              <w:rPr>
                <w:sz w:val="24"/>
              </w:rPr>
              <w:t xml:space="preserve">105.2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105.3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105.4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105.5</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105.6</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bookmarkStart w:id="56811" w:name="P56811"/>
          <w:bookmarkEnd w:id="56811"/>
          <w:p>
            <w:pPr>
              <w:pStyle w:val="0"/>
            </w:pPr>
            <w:r>
              <w:rPr>
                <w:sz w:val="24"/>
              </w:rPr>
              <w:t xml:space="preserve">106</w:t>
            </w:r>
          </w:p>
        </w:tc>
        <w:tc>
          <w:tcPr>
            <w:gridSpan w:val="4"/>
            <w:tcW w:w="2891" w:type="dxa"/>
          </w:tcPr>
          <w:p>
            <w:pPr>
              <w:pStyle w:val="0"/>
            </w:pPr>
            <w:r>
              <w:rPr>
                <w:sz w:val="24"/>
              </w:rPr>
              <w:t xml:space="preserve">Вознаграждение страховым агентам за заключение договоров страхования</w:t>
            </w:r>
          </w:p>
        </w:tc>
        <w:tc>
          <w:tcPr>
            <w:tcW w:w="1814" w:type="dxa"/>
          </w:tcPr>
          <w:p>
            <w:pPr>
              <w:pStyle w:val="0"/>
            </w:pPr>
            <w:r>
              <w:rPr>
                <w:sz w:val="24"/>
              </w:rPr>
            </w:r>
          </w:p>
        </w:tc>
        <w:tc>
          <w:tcPr>
            <w:tcW w:w="3402" w:type="dxa"/>
          </w:tcPr>
          <w:p>
            <w:pPr>
              <w:pStyle w:val="0"/>
            </w:pPr>
            <w:r>
              <w:rPr>
                <w:sz w:val="24"/>
              </w:rPr>
              <w:t xml:space="preserve">ins-dic:Voznagrazhdenie_Strax_Agenty_Vsego</w:t>
            </w:r>
          </w:p>
        </w:tc>
      </w:tr>
      <w:tr>
        <w:tc>
          <w:tcPr>
            <w:tcW w:w="964" w:type="dxa"/>
          </w:tcPr>
          <w:p>
            <w:pPr>
              <w:pStyle w:val="0"/>
            </w:pPr>
            <w:r>
              <w:rPr>
                <w:sz w:val="24"/>
              </w:rPr>
              <w:t xml:space="preserve">106.1</w:t>
            </w:r>
          </w:p>
        </w:tc>
        <w:tc>
          <w:tcPr>
            <w:gridSpan w:val="4"/>
            <w:tcW w:w="2891" w:type="dxa"/>
          </w:tcPr>
          <w:p>
            <w:pPr>
              <w:pStyle w:val="0"/>
            </w:pPr>
            <w:r>
              <w:rPr>
                <w:sz w:val="24"/>
              </w:rPr>
            </w:r>
          </w:p>
        </w:tc>
        <w:tc>
          <w:tcPr>
            <w:tcW w:w="1814" w:type="dxa"/>
          </w:tcPr>
          <w:p>
            <w:pPr>
              <w:pStyle w:val="0"/>
            </w:pPr>
            <w:r>
              <w:rPr>
                <w:sz w:val="24"/>
              </w:rPr>
              <w:t xml:space="preserve">Виды страховых агентов</w:t>
            </w:r>
          </w:p>
        </w:tc>
        <w:tc>
          <w:tcPr>
            <w:tcW w:w="3402" w:type="dxa"/>
          </w:tcPr>
          <w:p>
            <w:pPr>
              <w:pStyle w:val="0"/>
            </w:pPr>
            <w:r>
              <w:rPr>
                <w:sz w:val="24"/>
              </w:rPr>
              <w:t xml:space="preserve">dim-int:Vidy_Strax_Agent_Axis</w:t>
            </w:r>
          </w:p>
        </w:tc>
      </w:tr>
      <w:tr>
        <w:tc>
          <w:tcPr>
            <w:tcW w:w="964" w:type="dxa"/>
          </w:tcPr>
          <w:p>
            <w:pPr>
              <w:pStyle w:val="0"/>
            </w:pPr>
            <w:r>
              <w:rPr>
                <w:sz w:val="24"/>
              </w:rPr>
              <w:t xml:space="preserve">106.2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106.3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106.4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106.5</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106.6</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blPrEx>
          <w:tblBorders>
            <w:insideV w:val="nil"/>
          </w:tblBorders>
        </w:tblPrEx>
        <w:tc>
          <w:tcPr>
            <w:gridSpan w:val="4"/>
            <w:tcW w:w="1865" w:type="dxa"/>
            <w:tcBorders>
              <w:left w:val="single" w:sz="4"/>
            </w:tcBorders>
          </w:tcPr>
          <w:bookmarkStart w:id="56839" w:name="P56839"/>
          <w:bookmarkEnd w:id="56839"/>
          <w:p>
            <w:pPr>
              <w:pStyle w:val="0"/>
              <w:outlineLvl w:val="4"/>
            </w:pPr>
            <w:r>
              <w:rPr>
                <w:sz w:val="24"/>
              </w:rPr>
              <w:t xml:space="preserve">Подраздел 7.3.</w:t>
            </w:r>
          </w:p>
        </w:tc>
        <w:tc>
          <w:tcPr>
            <w:gridSpan w:val="3"/>
            <w:tcW w:w="7206" w:type="dxa"/>
            <w:tcBorders>
              <w:right w:val="single" w:sz="4"/>
            </w:tcBorders>
          </w:tcPr>
          <w:p>
            <w:pPr>
              <w:pStyle w:val="0"/>
              <w:jc w:val="both"/>
            </w:pPr>
            <w:r>
              <w:rPr>
                <w:sz w:val="24"/>
              </w:rPr>
              <w:t xml:space="preserve">Страховые агенты</w:t>
            </w:r>
          </w:p>
        </w:tc>
      </w:tr>
      <w:tr>
        <w:tc>
          <w:tcPr>
            <w:tcW w:w="964" w:type="dxa"/>
          </w:tcPr>
          <w:p>
            <w:pPr>
              <w:pStyle w:val="0"/>
            </w:pPr>
            <w:r>
              <w:rPr>
                <w:sz w:val="24"/>
              </w:rPr>
              <w:t xml:space="preserve">107</w:t>
            </w:r>
          </w:p>
        </w:tc>
        <w:tc>
          <w:tcPr>
            <w:gridSpan w:val="4"/>
            <w:tcW w:w="2891" w:type="dxa"/>
          </w:tcPr>
          <w:p>
            <w:pPr>
              <w:pStyle w:val="0"/>
            </w:pPr>
            <w:r>
              <w:rPr>
                <w:sz w:val="24"/>
              </w:rPr>
              <w:t xml:space="preserve">Количество или средняя численность страховых агентов</w:t>
            </w:r>
          </w:p>
        </w:tc>
        <w:tc>
          <w:tcPr>
            <w:tcW w:w="1814" w:type="dxa"/>
          </w:tcPr>
          <w:p>
            <w:pPr>
              <w:pStyle w:val="0"/>
            </w:pPr>
            <w:r>
              <w:rPr>
                <w:sz w:val="24"/>
              </w:rPr>
            </w:r>
          </w:p>
        </w:tc>
        <w:tc>
          <w:tcPr>
            <w:tcW w:w="3402" w:type="dxa"/>
          </w:tcPr>
          <w:p>
            <w:pPr>
              <w:pStyle w:val="0"/>
            </w:pPr>
            <w:r>
              <w:rPr>
                <w:sz w:val="24"/>
              </w:rPr>
              <w:t xml:space="preserve">ins-dic:Chisl_Kol_Strax_Agentov</w:t>
            </w:r>
          </w:p>
        </w:tc>
      </w:tr>
      <w:tr>
        <w:tc>
          <w:tcPr>
            <w:tcW w:w="964" w:type="dxa"/>
          </w:tcPr>
          <w:p>
            <w:pPr>
              <w:pStyle w:val="0"/>
            </w:pPr>
            <w:r>
              <w:rPr>
                <w:sz w:val="24"/>
              </w:rPr>
              <w:t xml:space="preserve">107.1</w:t>
            </w:r>
          </w:p>
        </w:tc>
        <w:tc>
          <w:tcPr>
            <w:gridSpan w:val="4"/>
            <w:tcW w:w="2891" w:type="dxa"/>
          </w:tcPr>
          <w:p>
            <w:pPr>
              <w:pStyle w:val="0"/>
            </w:pPr>
            <w:r>
              <w:rPr>
                <w:sz w:val="24"/>
              </w:rPr>
            </w:r>
          </w:p>
        </w:tc>
        <w:tc>
          <w:tcPr>
            <w:tcW w:w="1814" w:type="dxa"/>
          </w:tcPr>
          <w:p>
            <w:pPr>
              <w:pStyle w:val="0"/>
            </w:pPr>
            <w:r>
              <w:rPr>
                <w:sz w:val="24"/>
              </w:rPr>
              <w:t xml:space="preserve">Виды страховых агентов</w:t>
            </w:r>
          </w:p>
        </w:tc>
        <w:tc>
          <w:tcPr>
            <w:tcW w:w="3402" w:type="dxa"/>
          </w:tcPr>
          <w:p>
            <w:pPr>
              <w:pStyle w:val="0"/>
            </w:pPr>
            <w:r>
              <w:rPr>
                <w:sz w:val="24"/>
              </w:rPr>
              <w:t xml:space="preserve">dim-int:Vidy_Strax_Agent_Axis</w:t>
            </w:r>
          </w:p>
        </w:tc>
      </w:tr>
      <w:tr>
        <w:tblPrEx>
          <w:tblBorders>
            <w:insideV w:val="nil"/>
          </w:tblBorders>
        </w:tblPrEx>
        <w:tc>
          <w:tcPr>
            <w:gridSpan w:val="2"/>
            <w:tcW w:w="1309" w:type="dxa"/>
            <w:tcBorders>
              <w:left w:val="single" w:sz="4"/>
            </w:tcBorders>
          </w:tcPr>
          <w:bookmarkStart w:id="56849" w:name="P56849"/>
          <w:bookmarkEnd w:id="56849"/>
          <w:p>
            <w:pPr>
              <w:pStyle w:val="0"/>
              <w:outlineLvl w:val="3"/>
            </w:pPr>
            <w:r>
              <w:rPr>
                <w:sz w:val="24"/>
              </w:rPr>
              <w:t xml:space="preserve">Раздел 8.</w:t>
            </w:r>
          </w:p>
        </w:tc>
        <w:tc>
          <w:tcPr>
            <w:gridSpan w:val="5"/>
            <w:tcW w:w="7762" w:type="dxa"/>
            <w:tcBorders>
              <w:right w:val="single" w:sz="4"/>
            </w:tcBorders>
          </w:tcPr>
          <w:p>
            <w:pPr>
              <w:pStyle w:val="0"/>
              <w:jc w:val="both"/>
            </w:pPr>
            <w:r>
              <w:rPr>
                <w:sz w:val="24"/>
              </w:rPr>
              <w:t xml:space="preserve">Перестрахование</w:t>
            </w:r>
          </w:p>
        </w:tc>
      </w:tr>
      <w:tr>
        <w:tblPrEx>
          <w:tblBorders>
            <w:insideV w:val="nil"/>
          </w:tblBorders>
        </w:tblPrEx>
        <w:tc>
          <w:tcPr>
            <w:gridSpan w:val="4"/>
            <w:tcW w:w="1865" w:type="dxa"/>
            <w:tcBorders>
              <w:left w:val="single" w:sz="4"/>
            </w:tcBorders>
          </w:tcPr>
          <w:bookmarkStart w:id="56851" w:name="P56851"/>
          <w:bookmarkEnd w:id="56851"/>
          <w:p>
            <w:pPr>
              <w:pStyle w:val="0"/>
              <w:outlineLvl w:val="4"/>
            </w:pPr>
            <w:r>
              <w:rPr>
                <w:sz w:val="24"/>
              </w:rPr>
              <w:t xml:space="preserve">Подраздел 8.1.</w:t>
            </w:r>
          </w:p>
        </w:tc>
        <w:tc>
          <w:tcPr>
            <w:gridSpan w:val="3"/>
            <w:tcW w:w="7206" w:type="dxa"/>
            <w:tcBorders>
              <w:right w:val="single" w:sz="4"/>
            </w:tcBorders>
          </w:tcPr>
          <w:p>
            <w:pPr>
              <w:pStyle w:val="0"/>
              <w:jc w:val="both"/>
            </w:pPr>
            <w:r>
              <w:rPr>
                <w:sz w:val="24"/>
              </w:rPr>
              <w:t xml:space="preserve">Входящее перестрахование</w:t>
            </w:r>
          </w:p>
        </w:tc>
      </w:tr>
      <w:tr>
        <w:tc>
          <w:tcPr>
            <w:tcW w:w="964" w:type="dxa"/>
          </w:tcPr>
          <w:bookmarkStart w:id="56853" w:name="P56853"/>
          <w:bookmarkEnd w:id="56853"/>
          <w:p>
            <w:pPr>
              <w:pStyle w:val="0"/>
            </w:pPr>
            <w:r>
              <w:rPr>
                <w:sz w:val="24"/>
              </w:rPr>
              <w:t xml:space="preserve">108</w:t>
            </w:r>
          </w:p>
        </w:tc>
        <w:tc>
          <w:tcPr>
            <w:gridSpan w:val="4"/>
            <w:tcW w:w="2891" w:type="dxa"/>
          </w:tcPr>
          <w:p>
            <w:pPr>
              <w:pStyle w:val="0"/>
            </w:pPr>
            <w:r>
              <w:rPr>
                <w:sz w:val="24"/>
              </w:rPr>
              <w:t xml:space="preserve">Страховые премии по договорам входящего перестрахования</w:t>
            </w:r>
          </w:p>
        </w:tc>
        <w:tc>
          <w:tcPr>
            <w:tcW w:w="1814" w:type="dxa"/>
          </w:tcPr>
          <w:p>
            <w:pPr>
              <w:pStyle w:val="0"/>
            </w:pPr>
            <w:r>
              <w:rPr>
                <w:sz w:val="24"/>
              </w:rPr>
            </w:r>
          </w:p>
        </w:tc>
        <w:tc>
          <w:tcPr>
            <w:tcW w:w="3402" w:type="dxa"/>
          </w:tcPr>
          <w:p>
            <w:pPr>
              <w:pStyle w:val="0"/>
            </w:pPr>
            <w:r>
              <w:rPr>
                <w:sz w:val="24"/>
              </w:rPr>
              <w:t xml:space="preserve">ins-dic:Sp_Prinyatye_V_Perestrax_Vsego</w:t>
            </w:r>
          </w:p>
        </w:tc>
      </w:tr>
      <w:tr>
        <w:tc>
          <w:tcPr>
            <w:tcW w:w="964" w:type="dxa"/>
          </w:tcPr>
          <w:p>
            <w:pPr>
              <w:pStyle w:val="0"/>
            </w:pPr>
            <w:r>
              <w:rPr>
                <w:sz w:val="24"/>
              </w:rPr>
              <w:t xml:space="preserve">108.1</w:t>
            </w:r>
          </w:p>
        </w:tc>
        <w:tc>
          <w:tcPr>
            <w:gridSpan w:val="4"/>
            <w:tcW w:w="2891" w:type="dxa"/>
          </w:tcPr>
          <w:p>
            <w:pPr>
              <w:pStyle w:val="0"/>
            </w:pPr>
            <w:r>
              <w:rPr>
                <w:sz w:val="24"/>
              </w:rPr>
            </w:r>
          </w:p>
        </w:tc>
        <w:tc>
          <w:tcPr>
            <w:tcW w:w="1814" w:type="dxa"/>
          </w:tcPr>
          <w:p>
            <w:pPr>
              <w:pStyle w:val="0"/>
            </w:pPr>
            <w:r>
              <w:rPr>
                <w:sz w:val="24"/>
              </w:rPr>
              <w:t xml:space="preserve">Территориальный признак</w:t>
            </w:r>
          </w:p>
        </w:tc>
        <w:tc>
          <w:tcPr>
            <w:tcW w:w="3402" w:type="dxa"/>
          </w:tcPr>
          <w:p>
            <w:pPr>
              <w:pStyle w:val="0"/>
            </w:pPr>
            <w:r>
              <w:rPr>
                <w:sz w:val="24"/>
              </w:rPr>
              <w:t xml:space="preserve">dim-int:Terr_Priznak_Axis</w:t>
            </w:r>
          </w:p>
        </w:tc>
      </w:tr>
      <w:tr>
        <w:tc>
          <w:tcPr>
            <w:tcW w:w="964" w:type="dxa"/>
          </w:tcPr>
          <w:p>
            <w:pPr>
              <w:pStyle w:val="0"/>
            </w:pPr>
            <w:r>
              <w:rPr>
                <w:sz w:val="24"/>
              </w:rPr>
              <w:t xml:space="preserve">108.2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108.3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108.4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108.5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108.6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108.7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108.8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109</w:t>
            </w:r>
          </w:p>
        </w:tc>
        <w:tc>
          <w:tcPr>
            <w:gridSpan w:val="4"/>
            <w:tcW w:w="2891" w:type="dxa"/>
          </w:tcPr>
          <w:p>
            <w:pPr>
              <w:pStyle w:val="0"/>
            </w:pPr>
            <w:r>
              <w:rPr>
                <w:sz w:val="24"/>
              </w:rPr>
              <w:t xml:space="preserve">Страховые выплаты по договорам входящего перестрахования</w:t>
            </w:r>
          </w:p>
        </w:tc>
        <w:tc>
          <w:tcPr>
            <w:tcW w:w="1814" w:type="dxa"/>
          </w:tcPr>
          <w:p>
            <w:pPr>
              <w:pStyle w:val="0"/>
            </w:pPr>
            <w:r>
              <w:rPr>
                <w:sz w:val="24"/>
              </w:rPr>
            </w:r>
          </w:p>
        </w:tc>
        <w:tc>
          <w:tcPr>
            <w:tcW w:w="3402" w:type="dxa"/>
          </w:tcPr>
          <w:p>
            <w:pPr>
              <w:pStyle w:val="0"/>
            </w:pPr>
            <w:r>
              <w:rPr>
                <w:sz w:val="24"/>
              </w:rPr>
              <w:t xml:space="preserve">ins-dic:Vyplaty_Prinyatye_V_Perestraxovame_Vsego</w:t>
            </w:r>
          </w:p>
        </w:tc>
      </w:tr>
      <w:tr>
        <w:tc>
          <w:tcPr>
            <w:tcW w:w="964" w:type="dxa"/>
          </w:tcPr>
          <w:p>
            <w:pPr>
              <w:pStyle w:val="0"/>
            </w:pPr>
            <w:r>
              <w:rPr>
                <w:sz w:val="24"/>
              </w:rPr>
              <w:t xml:space="preserve">109.1</w:t>
            </w:r>
          </w:p>
        </w:tc>
        <w:tc>
          <w:tcPr>
            <w:gridSpan w:val="4"/>
            <w:tcW w:w="2891" w:type="dxa"/>
          </w:tcPr>
          <w:p>
            <w:pPr>
              <w:pStyle w:val="0"/>
            </w:pPr>
            <w:r>
              <w:rPr>
                <w:sz w:val="24"/>
              </w:rPr>
            </w:r>
          </w:p>
        </w:tc>
        <w:tc>
          <w:tcPr>
            <w:tcW w:w="1814" w:type="dxa"/>
          </w:tcPr>
          <w:p>
            <w:pPr>
              <w:pStyle w:val="0"/>
            </w:pPr>
            <w:r>
              <w:rPr>
                <w:sz w:val="24"/>
              </w:rPr>
              <w:t xml:space="preserve">Территориальный признак</w:t>
            </w:r>
          </w:p>
        </w:tc>
        <w:tc>
          <w:tcPr>
            <w:tcW w:w="3402" w:type="dxa"/>
          </w:tcPr>
          <w:p>
            <w:pPr>
              <w:pStyle w:val="0"/>
            </w:pPr>
            <w:r>
              <w:rPr>
                <w:sz w:val="24"/>
              </w:rPr>
              <w:t xml:space="preserve">dim-int:Terr_Priznak_Axis</w:t>
            </w:r>
          </w:p>
        </w:tc>
      </w:tr>
      <w:tr>
        <w:tc>
          <w:tcPr>
            <w:tcW w:w="964" w:type="dxa"/>
          </w:tcPr>
          <w:p>
            <w:pPr>
              <w:pStyle w:val="0"/>
            </w:pPr>
            <w:r>
              <w:rPr>
                <w:sz w:val="24"/>
              </w:rPr>
              <w:t xml:space="preserve">109.2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109.3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109.4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109.5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109.6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109.7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109.8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blPrEx>
          <w:tblBorders>
            <w:insideV w:val="nil"/>
          </w:tblBorders>
        </w:tblPrEx>
        <w:tc>
          <w:tcPr>
            <w:gridSpan w:val="4"/>
            <w:tcW w:w="1865" w:type="dxa"/>
            <w:tcBorders>
              <w:left w:val="single" w:sz="4"/>
            </w:tcBorders>
          </w:tcPr>
          <w:bookmarkStart w:id="56925" w:name="P56925"/>
          <w:bookmarkEnd w:id="56925"/>
          <w:p>
            <w:pPr>
              <w:pStyle w:val="0"/>
              <w:outlineLvl w:val="5"/>
            </w:pPr>
            <w:r>
              <w:rPr>
                <w:sz w:val="24"/>
              </w:rPr>
              <w:t xml:space="preserve">Подраздел 8.1.1.</w:t>
            </w:r>
          </w:p>
        </w:tc>
        <w:tc>
          <w:tcPr>
            <w:gridSpan w:val="3"/>
            <w:tcW w:w="7206" w:type="dxa"/>
            <w:tcBorders>
              <w:right w:val="single" w:sz="4"/>
            </w:tcBorders>
          </w:tcPr>
          <w:p>
            <w:pPr>
              <w:pStyle w:val="0"/>
              <w:jc w:val="both"/>
            </w:pPr>
            <w:r>
              <w:rPr>
                <w:sz w:val="24"/>
              </w:rPr>
              <w:t xml:space="preserve">Входящее перестрахование (в разрезе иностранных государств)</w:t>
            </w:r>
          </w:p>
        </w:tc>
      </w:tr>
      <w:tr>
        <w:tc>
          <w:tcPr>
            <w:tcW w:w="964" w:type="dxa"/>
          </w:tcPr>
          <w:p>
            <w:pPr>
              <w:pStyle w:val="0"/>
            </w:pPr>
            <w:r>
              <w:rPr>
                <w:sz w:val="24"/>
              </w:rPr>
              <w:t xml:space="preserve">110</w:t>
            </w:r>
          </w:p>
        </w:tc>
        <w:tc>
          <w:tcPr>
            <w:gridSpan w:val="4"/>
            <w:tcW w:w="2891" w:type="dxa"/>
          </w:tcPr>
          <w:p>
            <w:pPr>
              <w:pStyle w:val="0"/>
            </w:pPr>
            <w:r>
              <w:rPr>
                <w:sz w:val="24"/>
              </w:rPr>
              <w:t xml:space="preserve">Страховые премии по договорам входящего перестрахования</w:t>
            </w:r>
          </w:p>
        </w:tc>
        <w:tc>
          <w:tcPr>
            <w:tcW w:w="1814" w:type="dxa"/>
          </w:tcPr>
          <w:p>
            <w:pPr>
              <w:pStyle w:val="0"/>
            </w:pPr>
            <w:r>
              <w:rPr>
                <w:sz w:val="24"/>
              </w:rPr>
            </w:r>
          </w:p>
        </w:tc>
        <w:tc>
          <w:tcPr>
            <w:tcW w:w="3402" w:type="dxa"/>
          </w:tcPr>
          <w:p>
            <w:pPr>
              <w:pStyle w:val="0"/>
            </w:pPr>
            <w:r>
              <w:rPr>
                <w:sz w:val="24"/>
              </w:rPr>
              <w:t xml:space="preserve">ins-dic:Sp_Prinyatye_V_Perestrax_Vsego</w:t>
            </w:r>
          </w:p>
        </w:tc>
      </w:tr>
      <w:tr>
        <w:tc>
          <w:tcPr>
            <w:tcW w:w="964" w:type="dxa"/>
          </w:tcPr>
          <w:p>
            <w:pPr>
              <w:pStyle w:val="0"/>
            </w:pPr>
            <w:r>
              <w:rPr>
                <w:sz w:val="24"/>
              </w:rPr>
              <w:t xml:space="preserve">110.1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110.2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110.3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110.4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110.5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110.6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110.7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110.8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111</w:t>
            </w:r>
          </w:p>
        </w:tc>
        <w:tc>
          <w:tcPr>
            <w:gridSpan w:val="4"/>
            <w:tcW w:w="2891" w:type="dxa"/>
          </w:tcPr>
          <w:p>
            <w:pPr>
              <w:pStyle w:val="0"/>
            </w:pPr>
            <w:r>
              <w:rPr>
                <w:sz w:val="24"/>
              </w:rPr>
              <w:t xml:space="preserve">Страховые выплаты по договорам входящего перестрахования</w:t>
            </w:r>
          </w:p>
        </w:tc>
        <w:tc>
          <w:tcPr>
            <w:tcW w:w="1814" w:type="dxa"/>
          </w:tcPr>
          <w:p>
            <w:pPr>
              <w:pStyle w:val="0"/>
            </w:pPr>
            <w:r>
              <w:rPr>
                <w:sz w:val="24"/>
              </w:rPr>
            </w:r>
          </w:p>
        </w:tc>
        <w:tc>
          <w:tcPr>
            <w:tcW w:w="3402" w:type="dxa"/>
          </w:tcPr>
          <w:p>
            <w:pPr>
              <w:pStyle w:val="0"/>
            </w:pPr>
            <w:r>
              <w:rPr>
                <w:sz w:val="24"/>
              </w:rPr>
              <w:t xml:space="preserve">ins-dic:Vyplaty_Prinyatye_V_Perestraxovanie_Vsego</w:t>
            </w:r>
          </w:p>
        </w:tc>
      </w:tr>
      <w:tr>
        <w:tc>
          <w:tcPr>
            <w:tcW w:w="964" w:type="dxa"/>
          </w:tcPr>
          <w:p>
            <w:pPr>
              <w:pStyle w:val="0"/>
            </w:pPr>
            <w:r>
              <w:rPr>
                <w:sz w:val="24"/>
              </w:rPr>
              <w:t xml:space="preserve">111.1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8"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111.2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111.3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111.4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111.5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111.6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111.7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111.8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blPrEx>
          <w:tblBorders>
            <w:insideV w:val="nil"/>
          </w:tblBorders>
        </w:tblPrEx>
        <w:tc>
          <w:tcPr>
            <w:gridSpan w:val="4"/>
            <w:tcW w:w="1865" w:type="dxa"/>
            <w:tcBorders>
              <w:left w:val="single" w:sz="4"/>
            </w:tcBorders>
          </w:tcPr>
          <w:bookmarkStart w:id="56999" w:name="P56999"/>
          <w:bookmarkEnd w:id="56999"/>
          <w:p>
            <w:pPr>
              <w:pStyle w:val="0"/>
              <w:outlineLvl w:val="4"/>
            </w:pPr>
            <w:r>
              <w:rPr>
                <w:sz w:val="24"/>
              </w:rPr>
              <w:t xml:space="preserve">Подраздел 8.2.</w:t>
            </w:r>
          </w:p>
        </w:tc>
        <w:tc>
          <w:tcPr>
            <w:gridSpan w:val="3"/>
            <w:tcW w:w="7206" w:type="dxa"/>
            <w:tcBorders>
              <w:right w:val="single" w:sz="4"/>
            </w:tcBorders>
          </w:tcPr>
          <w:p>
            <w:pPr>
              <w:pStyle w:val="0"/>
              <w:jc w:val="both"/>
            </w:pPr>
            <w:r>
              <w:rPr>
                <w:sz w:val="24"/>
              </w:rPr>
              <w:t xml:space="preserve">Исходящее перестрахование</w:t>
            </w:r>
          </w:p>
        </w:tc>
      </w:tr>
      <w:tr>
        <w:tc>
          <w:tcPr>
            <w:tcW w:w="964" w:type="dxa"/>
          </w:tcPr>
          <w:bookmarkStart w:id="57001" w:name="P57001"/>
          <w:bookmarkEnd w:id="57001"/>
          <w:p>
            <w:pPr>
              <w:pStyle w:val="0"/>
            </w:pPr>
            <w:r>
              <w:rPr>
                <w:sz w:val="24"/>
              </w:rPr>
              <w:t xml:space="preserve">112</w:t>
            </w:r>
          </w:p>
        </w:tc>
        <w:tc>
          <w:tcPr>
            <w:gridSpan w:val="4"/>
            <w:tcW w:w="2891" w:type="dxa"/>
          </w:tcPr>
          <w:p>
            <w:pPr>
              <w:pStyle w:val="0"/>
            </w:pPr>
            <w:r>
              <w:rPr>
                <w:sz w:val="24"/>
              </w:rPr>
              <w:t xml:space="preserve">Страховые премии по договорам исходящего перестрахования</w:t>
            </w:r>
          </w:p>
        </w:tc>
        <w:tc>
          <w:tcPr>
            <w:tcW w:w="1814" w:type="dxa"/>
          </w:tcPr>
          <w:p>
            <w:pPr>
              <w:pStyle w:val="0"/>
            </w:pPr>
            <w:r>
              <w:rPr>
                <w:sz w:val="24"/>
              </w:rPr>
            </w:r>
          </w:p>
        </w:tc>
        <w:tc>
          <w:tcPr>
            <w:tcW w:w="3402" w:type="dxa"/>
          </w:tcPr>
          <w:p>
            <w:pPr>
              <w:pStyle w:val="0"/>
            </w:pPr>
            <w:r>
              <w:rPr>
                <w:sz w:val="24"/>
              </w:rPr>
              <w:t xml:space="preserve">ins-dic:Sp_Peredan_V_Perestrax_Vsego</w:t>
            </w:r>
          </w:p>
        </w:tc>
      </w:tr>
      <w:tr>
        <w:tc>
          <w:tcPr>
            <w:tcW w:w="964" w:type="dxa"/>
          </w:tcPr>
          <w:p>
            <w:pPr>
              <w:pStyle w:val="0"/>
            </w:pPr>
            <w:r>
              <w:rPr>
                <w:sz w:val="24"/>
              </w:rPr>
              <w:t xml:space="preserve">112.1</w:t>
            </w:r>
          </w:p>
        </w:tc>
        <w:tc>
          <w:tcPr>
            <w:gridSpan w:val="4"/>
            <w:tcW w:w="2891" w:type="dxa"/>
          </w:tcPr>
          <w:p>
            <w:pPr>
              <w:pStyle w:val="0"/>
            </w:pPr>
            <w:r>
              <w:rPr>
                <w:sz w:val="24"/>
              </w:rPr>
            </w:r>
          </w:p>
        </w:tc>
        <w:tc>
          <w:tcPr>
            <w:tcW w:w="1814" w:type="dxa"/>
          </w:tcPr>
          <w:p>
            <w:pPr>
              <w:pStyle w:val="0"/>
            </w:pPr>
            <w:r>
              <w:rPr>
                <w:sz w:val="24"/>
              </w:rPr>
              <w:t xml:space="preserve">Территориальный признак</w:t>
            </w:r>
          </w:p>
        </w:tc>
        <w:tc>
          <w:tcPr>
            <w:tcW w:w="3402" w:type="dxa"/>
          </w:tcPr>
          <w:p>
            <w:pPr>
              <w:pStyle w:val="0"/>
            </w:pPr>
            <w:r>
              <w:rPr>
                <w:sz w:val="24"/>
              </w:rPr>
              <w:t xml:space="preserve">dim-int:Terr_Priznak_Axis</w:t>
            </w:r>
          </w:p>
        </w:tc>
      </w:tr>
      <w:tr>
        <w:tc>
          <w:tcPr>
            <w:tcW w:w="964" w:type="dxa"/>
          </w:tcPr>
          <w:p>
            <w:pPr>
              <w:pStyle w:val="0"/>
            </w:pPr>
            <w:r>
              <w:rPr>
                <w:sz w:val="24"/>
              </w:rPr>
              <w:t xml:space="preserve">112.2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112.3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112.4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112.5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112.6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112.7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112.8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7037" w:name="P57037"/>
          <w:bookmarkEnd w:id="57037"/>
          <w:p>
            <w:pPr>
              <w:pStyle w:val="0"/>
            </w:pPr>
            <w:r>
              <w:rPr>
                <w:sz w:val="24"/>
              </w:rPr>
              <w:t xml:space="preserve">113</w:t>
            </w:r>
          </w:p>
        </w:tc>
        <w:tc>
          <w:tcPr>
            <w:gridSpan w:val="4"/>
            <w:tcW w:w="2891" w:type="dxa"/>
          </w:tcPr>
          <w:p>
            <w:pPr>
              <w:pStyle w:val="0"/>
            </w:pPr>
            <w:r>
              <w:rPr>
                <w:sz w:val="24"/>
              </w:rPr>
              <w:t xml:space="preserve">Передано в ретроцессию из страховых премий по договорам исходящего перестрахования</w:t>
            </w:r>
          </w:p>
        </w:tc>
        <w:tc>
          <w:tcPr>
            <w:tcW w:w="1814" w:type="dxa"/>
          </w:tcPr>
          <w:p>
            <w:pPr>
              <w:pStyle w:val="0"/>
            </w:pPr>
            <w:r>
              <w:rPr>
                <w:sz w:val="24"/>
              </w:rPr>
            </w:r>
          </w:p>
        </w:tc>
        <w:tc>
          <w:tcPr>
            <w:tcW w:w="3402" w:type="dxa"/>
          </w:tcPr>
          <w:p>
            <w:pPr>
              <w:pStyle w:val="0"/>
            </w:pPr>
            <w:r>
              <w:rPr>
                <w:sz w:val="24"/>
              </w:rPr>
              <w:t xml:space="preserve">ins-dic:Sp_Peredan_V_Perestrax_Vsego_Na_Ter_Rf_Peredano_Retroczessiyu</w:t>
            </w:r>
          </w:p>
        </w:tc>
      </w:tr>
      <w:tr>
        <w:tc>
          <w:tcPr>
            <w:tcW w:w="964" w:type="dxa"/>
          </w:tcPr>
          <w:p>
            <w:pPr>
              <w:pStyle w:val="0"/>
            </w:pPr>
            <w:r>
              <w:rPr>
                <w:sz w:val="24"/>
              </w:rPr>
              <w:t xml:space="preserve">113.1</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113.2</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113.3</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113.4</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113.5</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113.6</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7065" w:name="P57065"/>
          <w:bookmarkEnd w:id="57065"/>
          <w:p>
            <w:pPr>
              <w:pStyle w:val="0"/>
            </w:pPr>
            <w:r>
              <w:rPr>
                <w:sz w:val="24"/>
              </w:rPr>
              <w:t xml:space="preserve">114</w:t>
            </w:r>
          </w:p>
        </w:tc>
        <w:tc>
          <w:tcPr>
            <w:gridSpan w:val="4"/>
            <w:tcW w:w="2891" w:type="dxa"/>
          </w:tcPr>
          <w:p>
            <w:pPr>
              <w:pStyle w:val="0"/>
            </w:pPr>
            <w:r>
              <w:rPr>
                <w:sz w:val="24"/>
              </w:rPr>
              <w:t xml:space="preserve">Страховые выплаты по договорам исходящего перестрахования</w:t>
            </w:r>
          </w:p>
        </w:tc>
        <w:tc>
          <w:tcPr>
            <w:tcW w:w="1814" w:type="dxa"/>
          </w:tcPr>
          <w:p>
            <w:pPr>
              <w:pStyle w:val="0"/>
            </w:pPr>
            <w:r>
              <w:rPr>
                <w:sz w:val="24"/>
              </w:rPr>
            </w:r>
          </w:p>
        </w:tc>
        <w:tc>
          <w:tcPr>
            <w:tcW w:w="3402" w:type="dxa"/>
          </w:tcPr>
          <w:p>
            <w:pPr>
              <w:pStyle w:val="0"/>
            </w:pPr>
            <w:r>
              <w:rPr>
                <w:sz w:val="24"/>
              </w:rPr>
              <w:t xml:space="preserve">ins-dic:Dolya_Perestrax_V_Vyplatax_Peredan_V_Perestraxovanie</w:t>
            </w:r>
          </w:p>
        </w:tc>
      </w:tr>
      <w:tr>
        <w:tc>
          <w:tcPr>
            <w:tcW w:w="964" w:type="dxa"/>
          </w:tcPr>
          <w:p>
            <w:pPr>
              <w:pStyle w:val="0"/>
            </w:pPr>
            <w:r>
              <w:rPr>
                <w:sz w:val="24"/>
              </w:rPr>
              <w:t xml:space="preserve">114.1</w:t>
            </w:r>
          </w:p>
        </w:tc>
        <w:tc>
          <w:tcPr>
            <w:gridSpan w:val="4"/>
            <w:tcW w:w="2891" w:type="dxa"/>
          </w:tcPr>
          <w:p>
            <w:pPr>
              <w:pStyle w:val="0"/>
            </w:pPr>
            <w:r>
              <w:rPr>
                <w:sz w:val="24"/>
              </w:rPr>
            </w:r>
          </w:p>
        </w:tc>
        <w:tc>
          <w:tcPr>
            <w:tcW w:w="1814" w:type="dxa"/>
          </w:tcPr>
          <w:p>
            <w:pPr>
              <w:pStyle w:val="0"/>
            </w:pPr>
            <w:r>
              <w:rPr>
                <w:sz w:val="24"/>
              </w:rPr>
              <w:t xml:space="preserve">Территориальный признак</w:t>
            </w:r>
          </w:p>
        </w:tc>
        <w:tc>
          <w:tcPr>
            <w:tcW w:w="3402" w:type="dxa"/>
          </w:tcPr>
          <w:p>
            <w:pPr>
              <w:pStyle w:val="0"/>
            </w:pPr>
            <w:r>
              <w:rPr>
                <w:sz w:val="24"/>
              </w:rPr>
              <w:t xml:space="preserve">dim-int:Terr_Priznak_Axis</w:t>
            </w:r>
          </w:p>
        </w:tc>
      </w:tr>
      <w:tr>
        <w:tc>
          <w:tcPr>
            <w:tcW w:w="964" w:type="dxa"/>
          </w:tcPr>
          <w:p>
            <w:pPr>
              <w:pStyle w:val="0"/>
            </w:pPr>
            <w:r>
              <w:rPr>
                <w:sz w:val="24"/>
              </w:rPr>
              <w:t xml:space="preserve">114.2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114.3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114.4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114.5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114.6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114.7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114.8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blPrEx>
          <w:tblBorders>
            <w:insideV w:val="nil"/>
          </w:tblBorders>
        </w:tblPrEx>
        <w:tc>
          <w:tcPr>
            <w:gridSpan w:val="4"/>
            <w:tcW w:w="1865" w:type="dxa"/>
            <w:tcBorders>
              <w:left w:val="single" w:sz="4"/>
            </w:tcBorders>
          </w:tcPr>
          <w:bookmarkStart w:id="57101" w:name="P57101"/>
          <w:bookmarkEnd w:id="57101"/>
          <w:p>
            <w:pPr>
              <w:pStyle w:val="0"/>
              <w:outlineLvl w:val="5"/>
            </w:pPr>
            <w:r>
              <w:rPr>
                <w:sz w:val="24"/>
              </w:rPr>
              <w:t xml:space="preserve">Подраздел 8.2.1.</w:t>
            </w:r>
          </w:p>
        </w:tc>
        <w:tc>
          <w:tcPr>
            <w:gridSpan w:val="3"/>
            <w:tcW w:w="7206" w:type="dxa"/>
            <w:tcBorders>
              <w:right w:val="single" w:sz="4"/>
            </w:tcBorders>
          </w:tcPr>
          <w:p>
            <w:pPr>
              <w:pStyle w:val="0"/>
              <w:jc w:val="both"/>
            </w:pPr>
            <w:r>
              <w:rPr>
                <w:sz w:val="24"/>
              </w:rPr>
              <w:t xml:space="preserve">Исходящее перестрахование (в разрезе иностранных государств)</w:t>
            </w:r>
          </w:p>
        </w:tc>
      </w:tr>
      <w:tr>
        <w:tc>
          <w:tcPr>
            <w:tcW w:w="964" w:type="dxa"/>
          </w:tcPr>
          <w:p>
            <w:pPr>
              <w:pStyle w:val="0"/>
            </w:pPr>
            <w:r>
              <w:rPr>
                <w:sz w:val="24"/>
              </w:rPr>
              <w:t xml:space="preserve">115</w:t>
            </w:r>
          </w:p>
        </w:tc>
        <w:tc>
          <w:tcPr>
            <w:gridSpan w:val="4"/>
            <w:tcW w:w="2891" w:type="dxa"/>
          </w:tcPr>
          <w:p>
            <w:pPr>
              <w:pStyle w:val="0"/>
            </w:pPr>
            <w:r>
              <w:rPr>
                <w:sz w:val="24"/>
              </w:rPr>
              <w:t xml:space="preserve">Страховые премии по договорам исходящего перестрахования</w:t>
            </w:r>
          </w:p>
        </w:tc>
        <w:tc>
          <w:tcPr>
            <w:tcW w:w="1814" w:type="dxa"/>
          </w:tcPr>
          <w:p>
            <w:pPr>
              <w:pStyle w:val="0"/>
            </w:pPr>
            <w:r>
              <w:rPr>
                <w:sz w:val="24"/>
              </w:rPr>
            </w:r>
          </w:p>
        </w:tc>
        <w:tc>
          <w:tcPr>
            <w:tcW w:w="3402" w:type="dxa"/>
          </w:tcPr>
          <w:p>
            <w:pPr>
              <w:pStyle w:val="0"/>
            </w:pPr>
            <w:r>
              <w:rPr>
                <w:sz w:val="24"/>
              </w:rPr>
              <w:t xml:space="preserve">ins-dic:Sp_Peredan_V_Perestrax_Vsego</w:t>
            </w:r>
          </w:p>
        </w:tc>
      </w:tr>
      <w:tr>
        <w:tc>
          <w:tcPr>
            <w:tcW w:w="964" w:type="dxa"/>
          </w:tcPr>
          <w:p>
            <w:pPr>
              <w:pStyle w:val="0"/>
            </w:pPr>
            <w:r>
              <w:rPr>
                <w:sz w:val="24"/>
              </w:rPr>
              <w:t xml:space="preserve">115.1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0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115.2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115.3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115.4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115.5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115.6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115.7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115.8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7139" w:name="P57139"/>
          <w:bookmarkEnd w:id="57139"/>
          <w:p>
            <w:pPr>
              <w:pStyle w:val="0"/>
            </w:pPr>
            <w:r>
              <w:rPr>
                <w:sz w:val="24"/>
              </w:rPr>
              <w:t xml:space="preserve">116</w:t>
            </w:r>
          </w:p>
        </w:tc>
        <w:tc>
          <w:tcPr>
            <w:gridSpan w:val="4"/>
            <w:tcW w:w="2891" w:type="dxa"/>
          </w:tcPr>
          <w:p>
            <w:pPr>
              <w:pStyle w:val="0"/>
            </w:pPr>
            <w:r>
              <w:rPr>
                <w:sz w:val="24"/>
              </w:rPr>
              <w:t xml:space="preserve">Передано в ретроцессию из страховых премий по договорам исходящего перестрахования</w:t>
            </w:r>
          </w:p>
        </w:tc>
        <w:tc>
          <w:tcPr>
            <w:tcW w:w="1814" w:type="dxa"/>
          </w:tcPr>
          <w:p>
            <w:pPr>
              <w:pStyle w:val="0"/>
            </w:pPr>
            <w:r>
              <w:rPr>
                <w:sz w:val="24"/>
              </w:rPr>
            </w:r>
          </w:p>
        </w:tc>
        <w:tc>
          <w:tcPr>
            <w:tcW w:w="3402" w:type="dxa"/>
          </w:tcPr>
          <w:p>
            <w:pPr>
              <w:pStyle w:val="0"/>
            </w:pPr>
            <w:r>
              <w:rPr>
                <w:sz w:val="24"/>
              </w:rPr>
              <w:t xml:space="preserve">ins-dic:Sp_Peredan_V_Perestrax_Vsego_Na_Ter_Rf_Peredano_Retroczessiyu</w:t>
            </w:r>
          </w:p>
        </w:tc>
      </w:tr>
      <w:tr>
        <w:tc>
          <w:tcPr>
            <w:tcW w:w="964" w:type="dxa"/>
          </w:tcPr>
          <w:p>
            <w:pPr>
              <w:pStyle w:val="0"/>
            </w:pPr>
            <w:r>
              <w:rPr>
                <w:sz w:val="24"/>
              </w:rPr>
              <w:t xml:space="preserve">116.1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10"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116.2</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116.3</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116.4</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116.5</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116.6</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116.7</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c>
          <w:tcPr>
            <w:tcW w:w="964" w:type="dxa"/>
          </w:tcPr>
          <w:bookmarkStart w:id="57171" w:name="P57171"/>
          <w:bookmarkEnd w:id="57171"/>
          <w:p>
            <w:pPr>
              <w:pStyle w:val="0"/>
            </w:pPr>
            <w:r>
              <w:rPr>
                <w:sz w:val="24"/>
              </w:rPr>
              <w:t xml:space="preserve">117</w:t>
            </w:r>
          </w:p>
        </w:tc>
        <w:tc>
          <w:tcPr>
            <w:gridSpan w:val="4"/>
            <w:tcW w:w="2891" w:type="dxa"/>
          </w:tcPr>
          <w:p>
            <w:pPr>
              <w:pStyle w:val="0"/>
            </w:pPr>
            <w:r>
              <w:rPr>
                <w:sz w:val="24"/>
              </w:rPr>
              <w:t xml:space="preserve">Страховые выплаты по договорам исходящего перестрахования</w:t>
            </w:r>
          </w:p>
        </w:tc>
        <w:tc>
          <w:tcPr>
            <w:tcW w:w="1814" w:type="dxa"/>
          </w:tcPr>
          <w:p>
            <w:pPr>
              <w:pStyle w:val="0"/>
            </w:pPr>
            <w:r>
              <w:rPr>
                <w:sz w:val="24"/>
              </w:rPr>
            </w:r>
          </w:p>
        </w:tc>
        <w:tc>
          <w:tcPr>
            <w:tcW w:w="3402" w:type="dxa"/>
          </w:tcPr>
          <w:p>
            <w:pPr>
              <w:pStyle w:val="0"/>
            </w:pPr>
            <w:r>
              <w:rPr>
                <w:sz w:val="24"/>
              </w:rPr>
              <w:t xml:space="preserve">ins-dic:Dolya_Perestrax_V_Vyplatax_Peredan_V_Perestraxovanie</w:t>
            </w:r>
          </w:p>
        </w:tc>
      </w:tr>
      <w:tr>
        <w:tc>
          <w:tcPr>
            <w:tcW w:w="964" w:type="dxa"/>
          </w:tcPr>
          <w:p>
            <w:pPr>
              <w:pStyle w:val="0"/>
            </w:pPr>
            <w:r>
              <w:rPr>
                <w:sz w:val="24"/>
              </w:rPr>
              <w:t xml:space="preserve">117.1</w:t>
            </w:r>
          </w:p>
        </w:tc>
        <w:tc>
          <w:tcPr>
            <w:gridSpan w:val="4"/>
            <w:tcW w:w="2891" w:type="dxa"/>
          </w:tcPr>
          <w:p>
            <w:pPr>
              <w:pStyle w:val="0"/>
            </w:pPr>
            <w:r>
              <w:rPr>
                <w:sz w:val="24"/>
              </w:rPr>
            </w:r>
          </w:p>
        </w:tc>
        <w:tc>
          <w:tcPr>
            <w:tcW w:w="1814" w:type="dxa"/>
          </w:tcPr>
          <w:p>
            <w:pPr>
              <w:pStyle w:val="0"/>
            </w:pPr>
            <w:r>
              <w:rPr>
                <w:sz w:val="24"/>
              </w:rPr>
              <w:t xml:space="preserve">Код по Общероссийскому </w:t>
            </w:r>
            <w:hyperlink w:history="0" r:id="rId81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w:t>
            </w:r>
          </w:p>
        </w:tc>
        <w:tc>
          <w:tcPr>
            <w:tcW w:w="3402" w:type="dxa"/>
          </w:tcPr>
          <w:p>
            <w:pPr>
              <w:pStyle w:val="0"/>
            </w:pPr>
            <w:r>
              <w:rPr>
                <w:sz w:val="24"/>
              </w:rPr>
              <w:t xml:space="preserve">dim-int:Kod_OKSMAxis</w:t>
            </w:r>
          </w:p>
        </w:tc>
      </w:tr>
      <w:tr>
        <w:tc>
          <w:tcPr>
            <w:tcW w:w="964" w:type="dxa"/>
          </w:tcPr>
          <w:p>
            <w:pPr>
              <w:pStyle w:val="0"/>
            </w:pPr>
            <w:r>
              <w:rPr>
                <w:sz w:val="24"/>
              </w:rPr>
              <w:t xml:space="preserve">117.2</w:t>
            </w:r>
          </w:p>
        </w:tc>
        <w:tc>
          <w:tcPr>
            <w:gridSpan w:val="4"/>
            <w:tcW w:w="2891" w:type="dxa"/>
          </w:tcPr>
          <w:p>
            <w:pPr>
              <w:pStyle w:val="0"/>
            </w:pPr>
            <w:r>
              <w:rPr>
                <w:sz w:val="24"/>
              </w:rPr>
            </w:r>
          </w:p>
        </w:tc>
        <w:tc>
          <w:tcPr>
            <w:tcW w:w="1814" w:type="dxa"/>
          </w:tcPr>
          <w:p>
            <w:pPr>
              <w:pStyle w:val="0"/>
            </w:pPr>
            <w:r>
              <w:rPr>
                <w:sz w:val="24"/>
              </w:rPr>
              <w:t xml:space="preserve">Формы перестрахования</w:t>
            </w:r>
          </w:p>
        </w:tc>
        <w:tc>
          <w:tcPr>
            <w:tcW w:w="3402" w:type="dxa"/>
          </w:tcPr>
          <w:p>
            <w:pPr>
              <w:pStyle w:val="0"/>
            </w:pPr>
            <w:r>
              <w:rPr>
                <w:sz w:val="24"/>
              </w:rPr>
              <w:t xml:space="preserve">dim-int:Formy_Perestrax_Axis</w:t>
            </w:r>
          </w:p>
        </w:tc>
      </w:tr>
      <w:tr>
        <w:tc>
          <w:tcPr>
            <w:tcW w:w="964" w:type="dxa"/>
          </w:tcPr>
          <w:p>
            <w:pPr>
              <w:pStyle w:val="0"/>
            </w:pPr>
            <w:r>
              <w:rPr>
                <w:sz w:val="24"/>
              </w:rPr>
              <w:t xml:space="preserve">117.3</w:t>
            </w:r>
          </w:p>
        </w:tc>
        <w:tc>
          <w:tcPr>
            <w:gridSpan w:val="4"/>
            <w:tcW w:w="2891" w:type="dxa"/>
          </w:tcPr>
          <w:p>
            <w:pPr>
              <w:pStyle w:val="0"/>
            </w:pPr>
            <w:r>
              <w:rPr>
                <w:sz w:val="24"/>
              </w:rPr>
            </w:r>
          </w:p>
        </w:tc>
        <w:tc>
          <w:tcPr>
            <w:tcW w:w="1814" w:type="dxa"/>
          </w:tcPr>
          <w:p>
            <w:pPr>
              <w:pStyle w:val="0"/>
            </w:pPr>
            <w:r>
              <w:rPr>
                <w:sz w:val="24"/>
              </w:rPr>
              <w:t xml:space="preserve">Виды страхования</w:t>
            </w:r>
          </w:p>
        </w:tc>
        <w:tc>
          <w:tcPr>
            <w:tcW w:w="3402" w:type="dxa"/>
          </w:tcPr>
          <w:p>
            <w:pPr>
              <w:pStyle w:val="0"/>
            </w:pPr>
            <w:r>
              <w:rPr>
                <w:sz w:val="24"/>
              </w:rPr>
              <w:t xml:space="preserve">dim-int:Vidy_straxovaniyaAxis</w:t>
            </w:r>
          </w:p>
        </w:tc>
      </w:tr>
      <w:tr>
        <w:tc>
          <w:tcPr>
            <w:tcW w:w="964" w:type="dxa"/>
          </w:tcPr>
          <w:p>
            <w:pPr>
              <w:pStyle w:val="0"/>
            </w:pPr>
            <w:r>
              <w:rPr>
                <w:sz w:val="24"/>
              </w:rPr>
              <w:t xml:space="preserve">117.4</w:t>
            </w:r>
          </w:p>
        </w:tc>
        <w:tc>
          <w:tcPr>
            <w:gridSpan w:val="4"/>
            <w:tcW w:w="2891" w:type="dxa"/>
          </w:tcPr>
          <w:p>
            <w:pPr>
              <w:pStyle w:val="0"/>
            </w:pPr>
            <w:r>
              <w:rPr>
                <w:sz w:val="24"/>
              </w:rPr>
            </w:r>
          </w:p>
        </w:tc>
        <w:tc>
          <w:tcPr>
            <w:tcW w:w="1814" w:type="dxa"/>
          </w:tcPr>
          <w:p>
            <w:pPr>
              <w:pStyle w:val="0"/>
            </w:pPr>
            <w:r>
              <w:rPr>
                <w:sz w:val="24"/>
              </w:rPr>
              <w:t xml:space="preserve">Схема уплаты страховой премии</w:t>
            </w:r>
          </w:p>
        </w:tc>
        <w:tc>
          <w:tcPr>
            <w:tcW w:w="3402" w:type="dxa"/>
          </w:tcPr>
          <w:p>
            <w:pPr>
              <w:pStyle w:val="0"/>
            </w:pPr>
            <w:r>
              <w:rPr>
                <w:sz w:val="24"/>
              </w:rPr>
              <w:t xml:space="preserve">dim-int:Sxema_Upl_Straxprem_Axis</w:t>
            </w:r>
          </w:p>
        </w:tc>
      </w:tr>
      <w:tr>
        <w:tc>
          <w:tcPr>
            <w:tcW w:w="964" w:type="dxa"/>
          </w:tcPr>
          <w:p>
            <w:pPr>
              <w:pStyle w:val="0"/>
            </w:pPr>
            <w:r>
              <w:rPr>
                <w:sz w:val="24"/>
              </w:rPr>
              <w:t xml:space="preserve">117.5</w:t>
            </w:r>
          </w:p>
        </w:tc>
        <w:tc>
          <w:tcPr>
            <w:gridSpan w:val="4"/>
            <w:tcW w:w="2891" w:type="dxa"/>
          </w:tcPr>
          <w:p>
            <w:pPr>
              <w:pStyle w:val="0"/>
            </w:pPr>
            <w:r>
              <w:rPr>
                <w:sz w:val="24"/>
              </w:rPr>
            </w:r>
          </w:p>
        </w:tc>
        <w:tc>
          <w:tcPr>
            <w:tcW w:w="1814" w:type="dxa"/>
          </w:tcPr>
          <w:p>
            <w:pPr>
              <w:pStyle w:val="0"/>
            </w:pPr>
            <w:r>
              <w:rPr>
                <w:sz w:val="24"/>
              </w:rPr>
              <w:t xml:space="preserve">Вид добровольного страхования жизни</w:t>
            </w:r>
          </w:p>
        </w:tc>
        <w:tc>
          <w:tcPr>
            <w:tcW w:w="3402" w:type="dxa"/>
          </w:tcPr>
          <w:p>
            <w:pPr>
              <w:pStyle w:val="0"/>
            </w:pPr>
            <w:r>
              <w:rPr>
                <w:sz w:val="24"/>
              </w:rPr>
              <w:t xml:space="preserve">dim-int:TipDobrStrZhAxis</w:t>
            </w:r>
          </w:p>
        </w:tc>
      </w:tr>
      <w:tr>
        <w:tc>
          <w:tcPr>
            <w:tcW w:w="964" w:type="dxa"/>
          </w:tcPr>
          <w:p>
            <w:pPr>
              <w:pStyle w:val="0"/>
            </w:pPr>
            <w:r>
              <w:rPr>
                <w:sz w:val="24"/>
              </w:rPr>
              <w:t xml:space="preserve">117.6</w:t>
            </w:r>
          </w:p>
        </w:tc>
        <w:tc>
          <w:tcPr>
            <w:gridSpan w:val="4"/>
            <w:tcW w:w="2891" w:type="dxa"/>
          </w:tcPr>
          <w:p>
            <w:pPr>
              <w:pStyle w:val="0"/>
            </w:pPr>
            <w:r>
              <w:rPr>
                <w:sz w:val="24"/>
              </w:rPr>
            </w:r>
          </w:p>
        </w:tc>
        <w:tc>
          <w:tcPr>
            <w:tcW w:w="1814" w:type="dxa"/>
          </w:tcPr>
          <w:p>
            <w:pPr>
              <w:pStyle w:val="0"/>
            </w:pPr>
            <w:r>
              <w:rPr>
                <w:sz w:val="24"/>
              </w:rPr>
              <w:t xml:space="preserve">Государственная поддержка</w:t>
            </w:r>
          </w:p>
        </w:tc>
        <w:tc>
          <w:tcPr>
            <w:tcW w:w="3402" w:type="dxa"/>
          </w:tcPr>
          <w:p>
            <w:pPr>
              <w:pStyle w:val="0"/>
            </w:pPr>
            <w:r>
              <w:rPr>
                <w:sz w:val="24"/>
              </w:rPr>
              <w:t xml:space="preserve">dim-int:Gospodderzhka_Axis</w:t>
            </w:r>
          </w:p>
        </w:tc>
      </w:tr>
      <w:tr>
        <w:tc>
          <w:tcPr>
            <w:tcW w:w="964" w:type="dxa"/>
          </w:tcPr>
          <w:p>
            <w:pPr>
              <w:pStyle w:val="0"/>
            </w:pPr>
            <w:r>
              <w:rPr>
                <w:sz w:val="24"/>
              </w:rPr>
              <w:t xml:space="preserve">117.7</w:t>
            </w:r>
          </w:p>
        </w:tc>
        <w:tc>
          <w:tcPr>
            <w:gridSpan w:val="4"/>
            <w:tcW w:w="2891" w:type="dxa"/>
          </w:tcPr>
          <w:p>
            <w:pPr>
              <w:pStyle w:val="0"/>
            </w:pPr>
            <w:r>
              <w:rPr>
                <w:sz w:val="24"/>
              </w:rPr>
            </w:r>
          </w:p>
        </w:tc>
        <w:tc>
          <w:tcPr>
            <w:tcW w:w="1814" w:type="dxa"/>
          </w:tcPr>
          <w:p>
            <w:pPr>
              <w:pStyle w:val="0"/>
            </w:pPr>
            <w:r>
              <w:rPr>
                <w:sz w:val="24"/>
              </w:rPr>
              <w:t xml:space="preserve">Иные виды обязательного страхования</w:t>
            </w:r>
          </w:p>
        </w:tc>
        <w:tc>
          <w:tcPr>
            <w:tcW w:w="3402" w:type="dxa"/>
          </w:tcPr>
          <w:p>
            <w:pPr>
              <w:pStyle w:val="0"/>
            </w:pPr>
            <w:r>
              <w:rPr>
                <w:sz w:val="24"/>
              </w:rPr>
              <w:t xml:space="preserve">dim-int:InyeVidyObyazStrTaxis</w:t>
            </w:r>
          </w:p>
        </w:tc>
      </w:tr>
      <w:tr>
        <w:tc>
          <w:tcPr>
            <w:tcW w:w="964" w:type="dxa"/>
          </w:tcPr>
          <w:p>
            <w:pPr>
              <w:pStyle w:val="0"/>
            </w:pPr>
            <w:r>
              <w:rPr>
                <w:sz w:val="24"/>
              </w:rPr>
              <w:t xml:space="preserve">117.8</w:t>
            </w:r>
          </w:p>
        </w:tc>
        <w:tc>
          <w:tcPr>
            <w:gridSpan w:val="4"/>
            <w:tcW w:w="2891" w:type="dxa"/>
          </w:tcPr>
          <w:p>
            <w:pPr>
              <w:pStyle w:val="0"/>
            </w:pPr>
            <w:r>
              <w:rPr>
                <w:sz w:val="24"/>
              </w:rPr>
            </w:r>
          </w:p>
        </w:tc>
        <w:tc>
          <w:tcPr>
            <w:tcW w:w="1814" w:type="dxa"/>
          </w:tcPr>
          <w:p>
            <w:pPr>
              <w:pStyle w:val="0"/>
            </w:pPr>
            <w:r>
              <w:rPr>
                <w:sz w:val="24"/>
              </w:rPr>
              <w:t xml:space="preserve">Виды страхования (справочно)</w:t>
            </w:r>
          </w:p>
        </w:tc>
        <w:tc>
          <w:tcPr>
            <w:tcW w:w="3402" w:type="dxa"/>
          </w:tcPr>
          <w:p>
            <w:pPr>
              <w:pStyle w:val="0"/>
            </w:pPr>
            <w:r>
              <w:rPr>
                <w:sz w:val="24"/>
              </w:rPr>
              <w:t xml:space="preserve">dim-int:Vidy_straxovaniyaSpravochnoAxis</w:t>
            </w:r>
          </w:p>
        </w:tc>
      </w:tr>
      <w:tr>
        <w:tblPrEx>
          <w:tblBorders>
            <w:insideV w:val="nil"/>
          </w:tblBorders>
        </w:tblPrEx>
        <w:tc>
          <w:tcPr>
            <w:gridSpan w:val="2"/>
            <w:tcW w:w="1309" w:type="dxa"/>
            <w:tcBorders>
              <w:left w:val="single" w:sz="4"/>
            </w:tcBorders>
          </w:tcPr>
          <w:bookmarkStart w:id="57207" w:name="P57207"/>
          <w:bookmarkEnd w:id="57207"/>
          <w:p>
            <w:pPr>
              <w:pStyle w:val="0"/>
              <w:outlineLvl w:val="3"/>
            </w:pPr>
            <w:r>
              <w:rPr>
                <w:sz w:val="24"/>
              </w:rPr>
              <w:t xml:space="preserve">Раздел 9.</w:t>
            </w:r>
          </w:p>
        </w:tc>
        <w:tc>
          <w:tcPr>
            <w:gridSpan w:val="5"/>
            <w:tcW w:w="7762" w:type="dxa"/>
            <w:tcBorders>
              <w:right w:val="single" w:sz="4"/>
            </w:tcBorders>
          </w:tcPr>
          <w:p>
            <w:pPr>
              <w:pStyle w:val="0"/>
              <w:jc w:val="both"/>
            </w:pPr>
            <w:r>
              <w:rPr>
                <w:sz w:val="24"/>
              </w:rPr>
              <w:t xml:space="preserve">Сведения о числе членов общества взаимного страхования</w:t>
            </w:r>
          </w:p>
        </w:tc>
      </w:tr>
      <w:tr>
        <w:tc>
          <w:tcPr>
            <w:tcW w:w="964" w:type="dxa"/>
          </w:tcPr>
          <w:bookmarkStart w:id="57209" w:name="P57209"/>
          <w:bookmarkEnd w:id="57209"/>
          <w:p>
            <w:pPr>
              <w:pStyle w:val="0"/>
            </w:pPr>
            <w:r>
              <w:rPr>
                <w:sz w:val="24"/>
              </w:rPr>
              <w:t xml:space="preserve">118</w:t>
            </w:r>
          </w:p>
        </w:tc>
        <w:tc>
          <w:tcPr>
            <w:gridSpan w:val="4"/>
            <w:tcW w:w="2891" w:type="dxa"/>
          </w:tcPr>
          <w:p>
            <w:pPr>
              <w:pStyle w:val="0"/>
            </w:pPr>
            <w:r>
              <w:rPr>
                <w:sz w:val="24"/>
              </w:rPr>
              <w:t xml:space="preserve">Число членов общества взаимного страхования</w:t>
            </w:r>
          </w:p>
        </w:tc>
        <w:tc>
          <w:tcPr>
            <w:tcW w:w="1814" w:type="dxa"/>
          </w:tcPr>
          <w:p>
            <w:pPr>
              <w:pStyle w:val="0"/>
            </w:pPr>
            <w:r>
              <w:rPr>
                <w:sz w:val="24"/>
              </w:rPr>
            </w:r>
          </w:p>
        </w:tc>
        <w:tc>
          <w:tcPr>
            <w:tcW w:w="3402" w:type="dxa"/>
          </w:tcPr>
          <w:p>
            <w:pPr>
              <w:pStyle w:val="0"/>
            </w:pPr>
            <w:r>
              <w:rPr>
                <w:sz w:val="24"/>
              </w:rPr>
              <w:t xml:space="preserve">ins-dic:Chislo_Chlenov_Ovs</w:t>
            </w:r>
          </w:p>
        </w:tc>
      </w:tr>
      <w:tr>
        <w:tc>
          <w:tcPr>
            <w:tcW w:w="964" w:type="dxa"/>
          </w:tcPr>
          <w:p>
            <w:pPr>
              <w:pStyle w:val="0"/>
            </w:pPr>
            <w:r>
              <w:rPr>
                <w:sz w:val="24"/>
              </w:rPr>
              <w:t xml:space="preserve">118.1</w:t>
            </w:r>
          </w:p>
        </w:tc>
        <w:tc>
          <w:tcPr>
            <w:gridSpan w:val="4"/>
            <w:tcW w:w="2891" w:type="dxa"/>
          </w:tcPr>
          <w:p>
            <w:pPr>
              <w:pStyle w:val="0"/>
            </w:pPr>
            <w:r>
              <w:rPr>
                <w:sz w:val="24"/>
              </w:rPr>
            </w:r>
          </w:p>
        </w:tc>
        <w:tc>
          <w:tcPr>
            <w:tcW w:w="1814" w:type="dxa"/>
          </w:tcPr>
          <w:p>
            <w:pPr>
              <w:pStyle w:val="0"/>
            </w:pPr>
            <w:r>
              <w:rPr>
                <w:sz w:val="24"/>
              </w:rPr>
              <w:t xml:space="preserve">Состав членов общества взаимного страхования</w:t>
            </w:r>
          </w:p>
        </w:tc>
        <w:tc>
          <w:tcPr>
            <w:tcW w:w="3402" w:type="dxa"/>
          </w:tcPr>
          <w:p>
            <w:pPr>
              <w:pStyle w:val="0"/>
            </w:pPr>
            <w:r>
              <w:rPr>
                <w:sz w:val="24"/>
              </w:rPr>
              <w:t xml:space="preserve">dim-int:Sostav_Chlenov_Ovs_Axis</w:t>
            </w:r>
          </w:p>
        </w:tc>
      </w:tr>
      <w:tr>
        <w:tc>
          <w:tcPr>
            <w:tcW w:w="964" w:type="dxa"/>
          </w:tcPr>
          <w:bookmarkStart w:id="57217" w:name="P57217"/>
          <w:bookmarkEnd w:id="57217"/>
          <w:p>
            <w:pPr>
              <w:pStyle w:val="0"/>
            </w:pPr>
            <w:r>
              <w:rPr>
                <w:sz w:val="24"/>
              </w:rPr>
              <w:t xml:space="preserve">119</w:t>
            </w:r>
          </w:p>
        </w:tc>
        <w:tc>
          <w:tcPr>
            <w:gridSpan w:val="4"/>
            <w:tcW w:w="2891" w:type="dxa"/>
          </w:tcPr>
          <w:p>
            <w:pPr>
              <w:pStyle w:val="0"/>
            </w:pPr>
            <w:r>
              <w:rPr>
                <w:sz w:val="24"/>
              </w:rPr>
              <w:t xml:space="preserve">Число членов, вступивших в общество взаимного страхования</w:t>
            </w:r>
          </w:p>
        </w:tc>
        <w:tc>
          <w:tcPr>
            <w:tcW w:w="1814" w:type="dxa"/>
          </w:tcPr>
          <w:p>
            <w:pPr>
              <w:pStyle w:val="0"/>
            </w:pPr>
            <w:r>
              <w:rPr>
                <w:sz w:val="24"/>
              </w:rPr>
            </w:r>
          </w:p>
        </w:tc>
        <w:tc>
          <w:tcPr>
            <w:tcW w:w="3402" w:type="dxa"/>
          </w:tcPr>
          <w:p>
            <w:pPr>
              <w:pStyle w:val="0"/>
            </w:pPr>
            <w:r>
              <w:rPr>
                <w:sz w:val="24"/>
              </w:rPr>
              <w:t xml:space="preserve">ins-dic:Chislo_Chlenov_Ovs_Vstupivshix</w:t>
            </w:r>
          </w:p>
        </w:tc>
      </w:tr>
      <w:tr>
        <w:tc>
          <w:tcPr>
            <w:tcW w:w="964" w:type="dxa"/>
          </w:tcPr>
          <w:p>
            <w:pPr>
              <w:pStyle w:val="0"/>
            </w:pPr>
            <w:r>
              <w:rPr>
                <w:sz w:val="24"/>
              </w:rPr>
              <w:t xml:space="preserve">119.1</w:t>
            </w:r>
          </w:p>
        </w:tc>
        <w:tc>
          <w:tcPr>
            <w:gridSpan w:val="4"/>
            <w:tcW w:w="2891" w:type="dxa"/>
          </w:tcPr>
          <w:p>
            <w:pPr>
              <w:pStyle w:val="0"/>
            </w:pPr>
            <w:r>
              <w:rPr>
                <w:sz w:val="24"/>
              </w:rPr>
            </w:r>
          </w:p>
        </w:tc>
        <w:tc>
          <w:tcPr>
            <w:tcW w:w="1814" w:type="dxa"/>
          </w:tcPr>
          <w:p>
            <w:pPr>
              <w:pStyle w:val="0"/>
            </w:pPr>
            <w:r>
              <w:rPr>
                <w:sz w:val="24"/>
              </w:rPr>
              <w:t xml:space="preserve">Состав членов общества взаимного страхования</w:t>
            </w:r>
          </w:p>
        </w:tc>
        <w:tc>
          <w:tcPr>
            <w:tcW w:w="3402" w:type="dxa"/>
          </w:tcPr>
          <w:p>
            <w:pPr>
              <w:pStyle w:val="0"/>
            </w:pPr>
            <w:r>
              <w:rPr>
                <w:sz w:val="24"/>
              </w:rPr>
              <w:t xml:space="preserve">dim-int:Sostav_Chlenov_Ovs_Axis</w:t>
            </w:r>
          </w:p>
        </w:tc>
      </w:tr>
      <w:tr>
        <w:tc>
          <w:tcPr>
            <w:tcW w:w="964" w:type="dxa"/>
          </w:tcPr>
          <w:bookmarkStart w:id="57225" w:name="P57225"/>
          <w:bookmarkEnd w:id="57225"/>
          <w:p>
            <w:pPr>
              <w:pStyle w:val="0"/>
            </w:pPr>
            <w:r>
              <w:rPr>
                <w:sz w:val="24"/>
              </w:rPr>
              <w:t xml:space="preserve">120</w:t>
            </w:r>
          </w:p>
        </w:tc>
        <w:tc>
          <w:tcPr>
            <w:gridSpan w:val="4"/>
            <w:tcW w:w="2891" w:type="dxa"/>
          </w:tcPr>
          <w:p>
            <w:pPr>
              <w:pStyle w:val="0"/>
            </w:pPr>
            <w:r>
              <w:rPr>
                <w:sz w:val="24"/>
              </w:rPr>
              <w:t xml:space="preserve">Число членов общества взаимного страхования, прекративших членство в обществе взаимного страхования</w:t>
            </w:r>
          </w:p>
        </w:tc>
        <w:tc>
          <w:tcPr>
            <w:tcW w:w="1814" w:type="dxa"/>
          </w:tcPr>
          <w:p>
            <w:pPr>
              <w:pStyle w:val="0"/>
            </w:pPr>
            <w:r>
              <w:rPr>
                <w:sz w:val="24"/>
              </w:rPr>
            </w:r>
          </w:p>
        </w:tc>
        <w:tc>
          <w:tcPr>
            <w:tcW w:w="3402" w:type="dxa"/>
          </w:tcPr>
          <w:p>
            <w:pPr>
              <w:pStyle w:val="0"/>
            </w:pPr>
            <w:r>
              <w:rPr>
                <w:sz w:val="24"/>
              </w:rPr>
              <w:t xml:space="preserve">ins-dic:Chislo_Chlenov_Ovs_Prekrativshix_Chlenstvo</w:t>
            </w:r>
          </w:p>
        </w:tc>
      </w:tr>
      <w:tr>
        <w:tc>
          <w:tcPr>
            <w:tcW w:w="964" w:type="dxa"/>
          </w:tcPr>
          <w:p>
            <w:pPr>
              <w:pStyle w:val="0"/>
            </w:pPr>
            <w:r>
              <w:rPr>
                <w:sz w:val="24"/>
              </w:rPr>
              <w:t xml:space="preserve">120.1</w:t>
            </w:r>
          </w:p>
        </w:tc>
        <w:tc>
          <w:tcPr>
            <w:gridSpan w:val="4"/>
            <w:tcW w:w="2891" w:type="dxa"/>
          </w:tcPr>
          <w:p>
            <w:pPr>
              <w:pStyle w:val="0"/>
            </w:pPr>
            <w:r>
              <w:rPr>
                <w:sz w:val="24"/>
              </w:rPr>
            </w:r>
          </w:p>
        </w:tc>
        <w:tc>
          <w:tcPr>
            <w:tcW w:w="1814" w:type="dxa"/>
          </w:tcPr>
          <w:p>
            <w:pPr>
              <w:pStyle w:val="0"/>
            </w:pPr>
            <w:r>
              <w:rPr>
                <w:sz w:val="24"/>
              </w:rPr>
              <w:t xml:space="preserve">Состав членов общества взаимного страхования</w:t>
            </w:r>
          </w:p>
        </w:tc>
        <w:tc>
          <w:tcPr>
            <w:tcW w:w="3402" w:type="dxa"/>
          </w:tcPr>
          <w:p>
            <w:pPr>
              <w:pStyle w:val="0"/>
            </w:pPr>
            <w:r>
              <w:rPr>
                <w:sz w:val="24"/>
              </w:rPr>
              <w:t xml:space="preserve">dim-int:Sostav_Chlenov_Ovs_Axis</w:t>
            </w:r>
          </w:p>
        </w:tc>
      </w:tr>
      <w:tr>
        <w:tc>
          <w:tcPr>
            <w:tcW w:w="964" w:type="dxa"/>
          </w:tcPr>
          <w:p>
            <w:pPr>
              <w:pStyle w:val="0"/>
            </w:pPr>
            <w:r>
              <w:rPr>
                <w:sz w:val="24"/>
              </w:rPr>
              <w:t xml:space="preserve">120.2</w:t>
            </w:r>
          </w:p>
        </w:tc>
        <w:tc>
          <w:tcPr>
            <w:gridSpan w:val="4"/>
            <w:tcW w:w="2891" w:type="dxa"/>
          </w:tcPr>
          <w:p>
            <w:pPr>
              <w:pStyle w:val="0"/>
            </w:pPr>
            <w:r>
              <w:rPr>
                <w:sz w:val="24"/>
              </w:rPr>
            </w:r>
          </w:p>
        </w:tc>
        <w:tc>
          <w:tcPr>
            <w:tcW w:w="1814" w:type="dxa"/>
          </w:tcPr>
          <w:p>
            <w:pPr>
              <w:pStyle w:val="0"/>
            </w:pPr>
            <w:r>
              <w:rPr>
                <w:sz w:val="24"/>
              </w:rPr>
              <w:t xml:space="preserve">Причины прекращения членства в обществе взаимного страхования</w:t>
            </w:r>
          </w:p>
        </w:tc>
        <w:tc>
          <w:tcPr>
            <w:tcW w:w="3402" w:type="dxa"/>
          </w:tcPr>
          <w:p>
            <w:pPr>
              <w:pStyle w:val="0"/>
            </w:pPr>
            <w:r>
              <w:rPr>
                <w:sz w:val="24"/>
              </w:rPr>
              <w:t xml:space="preserve">dim-int:Prichiny_Prekr_Chlen_Ovs_Axis</w:t>
            </w:r>
          </w:p>
        </w:tc>
      </w:tr>
      <w:tr>
        <w:tc>
          <w:tcPr>
            <w:tcW w:w="964" w:type="dxa"/>
          </w:tcPr>
          <w:bookmarkStart w:id="57237" w:name="P57237"/>
          <w:bookmarkEnd w:id="57237"/>
          <w:p>
            <w:pPr>
              <w:pStyle w:val="0"/>
            </w:pPr>
            <w:r>
              <w:rPr>
                <w:sz w:val="24"/>
              </w:rPr>
              <w:t xml:space="preserve">121</w:t>
            </w:r>
          </w:p>
        </w:tc>
        <w:tc>
          <w:tcPr>
            <w:gridSpan w:val="4"/>
            <w:tcW w:w="2891" w:type="dxa"/>
          </w:tcPr>
          <w:p>
            <w:pPr>
              <w:pStyle w:val="0"/>
            </w:pPr>
            <w:r>
              <w:rPr>
                <w:sz w:val="24"/>
              </w:rPr>
              <w:t xml:space="preserve">Число членов общества взаимного страхования, прекративших членство в обществе взаимного страхования, но несущих субсидиарную ответственность по страховым обязательствам общества взаимного страхования</w:t>
            </w:r>
          </w:p>
        </w:tc>
        <w:tc>
          <w:tcPr>
            <w:tcW w:w="1814" w:type="dxa"/>
          </w:tcPr>
          <w:p>
            <w:pPr>
              <w:pStyle w:val="0"/>
            </w:pPr>
            <w:r>
              <w:rPr>
                <w:sz w:val="24"/>
              </w:rPr>
            </w:r>
          </w:p>
        </w:tc>
        <w:tc>
          <w:tcPr>
            <w:tcW w:w="3402" w:type="dxa"/>
          </w:tcPr>
          <w:p>
            <w:pPr>
              <w:pStyle w:val="0"/>
            </w:pPr>
            <w:r>
              <w:rPr>
                <w:sz w:val="24"/>
              </w:rPr>
              <w:t xml:space="preserve">ins-dic:Chisl_Chlen_Ovs_Prekrativshix_Chlenstvo_No_Nesushhix_Subsid_Otv</w:t>
            </w:r>
          </w:p>
        </w:tc>
      </w:tr>
      <w:tr>
        <w:tc>
          <w:tcPr>
            <w:tcW w:w="964" w:type="dxa"/>
          </w:tcPr>
          <w:p>
            <w:pPr>
              <w:pStyle w:val="0"/>
            </w:pPr>
            <w:r>
              <w:rPr>
                <w:sz w:val="24"/>
              </w:rPr>
              <w:t xml:space="preserve">121.1</w:t>
            </w:r>
          </w:p>
        </w:tc>
        <w:tc>
          <w:tcPr>
            <w:gridSpan w:val="4"/>
            <w:tcW w:w="2891" w:type="dxa"/>
          </w:tcPr>
          <w:p>
            <w:pPr>
              <w:pStyle w:val="0"/>
            </w:pPr>
            <w:r>
              <w:rPr>
                <w:sz w:val="24"/>
              </w:rPr>
            </w:r>
          </w:p>
        </w:tc>
        <w:tc>
          <w:tcPr>
            <w:tcW w:w="1814" w:type="dxa"/>
          </w:tcPr>
          <w:p>
            <w:pPr>
              <w:pStyle w:val="0"/>
            </w:pPr>
            <w:r>
              <w:rPr>
                <w:sz w:val="24"/>
              </w:rPr>
              <w:t xml:space="preserve">Состав членов общества взаимного страхования</w:t>
            </w:r>
          </w:p>
        </w:tc>
        <w:tc>
          <w:tcPr>
            <w:tcW w:w="3402" w:type="dxa"/>
          </w:tcPr>
          <w:p>
            <w:pPr>
              <w:pStyle w:val="0"/>
            </w:pPr>
            <w:r>
              <w:rPr>
                <w:sz w:val="24"/>
              </w:rPr>
              <w:t xml:space="preserve">dim-int:Sostav_Chlenov_Ovs_Axis</w:t>
            </w:r>
          </w:p>
        </w:tc>
      </w:tr>
      <w:tr>
        <w:tc>
          <w:tcPr>
            <w:gridSpan w:val="7"/>
            <w:tcW w:w="9071" w:type="dxa"/>
          </w:tcPr>
          <w:p>
            <w:pPr>
              <w:pStyle w:val="0"/>
              <w:outlineLvl w:val="3"/>
              <w:jc w:val="both"/>
            </w:pPr>
            <w:r>
              <w:rPr>
                <w:sz w:val="24"/>
              </w:rPr>
              <w:t xml:space="preserve">Пояснения к отчетности по форме 0420162 "Сведения о деятельности страховщика"</w:t>
            </w:r>
          </w:p>
        </w:tc>
      </w:tr>
      <w:tr>
        <w:tc>
          <w:tcPr>
            <w:tcW w:w="964" w:type="dxa"/>
          </w:tcPr>
          <w:bookmarkStart w:id="57246" w:name="P57246"/>
          <w:bookmarkEnd w:id="57246"/>
          <w:p>
            <w:pPr>
              <w:pStyle w:val="0"/>
            </w:pPr>
            <w:r>
              <w:rPr>
                <w:sz w:val="24"/>
              </w:rPr>
              <w:t xml:space="preserve">122</w:t>
            </w:r>
          </w:p>
        </w:tc>
        <w:tc>
          <w:tcPr>
            <w:gridSpan w:val="4"/>
            <w:tcW w:w="2891" w:type="dxa"/>
          </w:tcPr>
          <w:p>
            <w:pPr>
              <w:pStyle w:val="0"/>
            </w:pPr>
            <w:r>
              <w:rPr>
                <w:sz w:val="24"/>
              </w:rPr>
              <w:t xml:space="preserve">Причины неосуществления страховой деятельности</w:t>
            </w:r>
          </w:p>
        </w:tc>
        <w:tc>
          <w:tcPr>
            <w:tcW w:w="1814" w:type="dxa"/>
          </w:tcPr>
          <w:p>
            <w:pPr>
              <w:pStyle w:val="0"/>
            </w:pPr>
            <w:r>
              <w:rPr>
                <w:sz w:val="24"/>
              </w:rPr>
            </w:r>
          </w:p>
        </w:tc>
        <w:tc>
          <w:tcPr>
            <w:tcW w:w="3402" w:type="dxa"/>
          </w:tcPr>
          <w:p>
            <w:pPr>
              <w:pStyle w:val="0"/>
            </w:pPr>
            <w:r>
              <w:rPr>
                <w:sz w:val="24"/>
              </w:rPr>
              <w:t xml:space="preserve">ins-dic:PrichNeosushhStrDeyat</w:t>
            </w:r>
          </w:p>
        </w:tc>
      </w:tr>
      <w:tr>
        <w:tc>
          <w:tcPr>
            <w:tcW w:w="964" w:type="dxa"/>
          </w:tcPr>
          <w:bookmarkStart w:id="57250" w:name="P57250"/>
          <w:bookmarkEnd w:id="57250"/>
          <w:p>
            <w:pPr>
              <w:pStyle w:val="0"/>
            </w:pPr>
            <w:r>
              <w:rPr>
                <w:sz w:val="24"/>
              </w:rPr>
              <w:t xml:space="preserve">123</w:t>
            </w:r>
          </w:p>
        </w:tc>
        <w:tc>
          <w:tcPr>
            <w:gridSpan w:val="4"/>
            <w:tcW w:w="2891" w:type="dxa"/>
          </w:tcPr>
          <w:p>
            <w:pPr>
              <w:pStyle w:val="0"/>
            </w:pPr>
            <w:r>
              <w:rPr>
                <w:sz w:val="24"/>
              </w:rPr>
              <w:t xml:space="preserve">Разрешение на осуществление страховой деятельности на территории иностранного государства (иностранных государств)</w:t>
            </w:r>
          </w:p>
        </w:tc>
        <w:tc>
          <w:tcPr>
            <w:tcW w:w="1814" w:type="dxa"/>
          </w:tcPr>
          <w:p>
            <w:pPr>
              <w:pStyle w:val="0"/>
            </w:pPr>
            <w:r>
              <w:rPr>
                <w:sz w:val="24"/>
              </w:rPr>
            </w:r>
          </w:p>
        </w:tc>
        <w:tc>
          <w:tcPr>
            <w:tcW w:w="3402" w:type="dxa"/>
          </w:tcPr>
          <w:p>
            <w:pPr>
              <w:pStyle w:val="0"/>
            </w:pPr>
            <w:r>
              <w:rPr>
                <w:sz w:val="24"/>
              </w:rPr>
              <w:t xml:space="preserve">ins-dic:RazrOsushhStrDeyatTerrInGos</w:t>
            </w:r>
          </w:p>
        </w:tc>
      </w:tr>
      <w:tr>
        <w:tc>
          <w:tcPr>
            <w:tcW w:w="964" w:type="dxa"/>
          </w:tcPr>
          <w:bookmarkStart w:id="57254" w:name="P57254"/>
          <w:bookmarkEnd w:id="57254"/>
          <w:p>
            <w:pPr>
              <w:pStyle w:val="0"/>
            </w:pPr>
            <w:r>
              <w:rPr>
                <w:sz w:val="24"/>
              </w:rPr>
              <w:t xml:space="preserve">124</w:t>
            </w:r>
          </w:p>
        </w:tc>
        <w:tc>
          <w:tcPr>
            <w:gridSpan w:val="4"/>
            <w:tcW w:w="2891" w:type="dxa"/>
          </w:tcPr>
          <w:p>
            <w:pPr>
              <w:pStyle w:val="0"/>
            </w:pPr>
            <w:r>
              <w:rPr>
                <w:sz w:val="24"/>
              </w:rPr>
              <w:t xml:space="preserve">Проведение страхования в иностранной валюте</w:t>
            </w:r>
          </w:p>
        </w:tc>
        <w:tc>
          <w:tcPr>
            <w:tcW w:w="1814" w:type="dxa"/>
          </w:tcPr>
          <w:p>
            <w:pPr>
              <w:pStyle w:val="0"/>
            </w:pPr>
            <w:r>
              <w:rPr>
                <w:sz w:val="24"/>
              </w:rPr>
            </w:r>
          </w:p>
        </w:tc>
        <w:tc>
          <w:tcPr>
            <w:tcW w:w="3402" w:type="dxa"/>
          </w:tcPr>
          <w:p>
            <w:pPr>
              <w:pStyle w:val="0"/>
            </w:pPr>
            <w:r>
              <w:rPr>
                <w:sz w:val="24"/>
              </w:rPr>
              <w:t xml:space="preserve">ins-dic:ProvStrInVal</w:t>
            </w:r>
          </w:p>
        </w:tc>
      </w:tr>
      <w:tr>
        <w:tc>
          <w:tcPr>
            <w:tcW w:w="964" w:type="dxa"/>
          </w:tcPr>
          <w:bookmarkStart w:id="57258" w:name="P57258"/>
          <w:bookmarkEnd w:id="57258"/>
          <w:p>
            <w:pPr>
              <w:pStyle w:val="0"/>
            </w:pPr>
            <w:r>
              <w:rPr>
                <w:sz w:val="24"/>
              </w:rPr>
              <w:t xml:space="preserve">125</w:t>
            </w:r>
          </w:p>
        </w:tc>
        <w:tc>
          <w:tcPr>
            <w:gridSpan w:val="4"/>
            <w:tcW w:w="2891" w:type="dxa"/>
          </w:tcPr>
          <w:p>
            <w:pPr>
              <w:pStyle w:val="0"/>
            </w:pPr>
            <w:r>
              <w:rPr>
                <w:sz w:val="24"/>
              </w:rPr>
              <w:t xml:space="preserve">Дополнительное возмещение страховщиком потерпевшего убытков потерпевшему при осуществлении прямого возмещения убытков (указывается страховщиком причинителя вреда)</w:t>
            </w:r>
          </w:p>
        </w:tc>
        <w:tc>
          <w:tcPr>
            <w:tcW w:w="1814" w:type="dxa"/>
          </w:tcPr>
          <w:p>
            <w:pPr>
              <w:pStyle w:val="0"/>
            </w:pPr>
            <w:r>
              <w:rPr>
                <w:sz w:val="24"/>
              </w:rPr>
            </w:r>
          </w:p>
        </w:tc>
        <w:tc>
          <w:tcPr>
            <w:tcW w:w="3402" w:type="dxa"/>
          </w:tcPr>
          <w:p>
            <w:pPr>
              <w:pStyle w:val="0"/>
            </w:pPr>
            <w:r>
              <w:rPr>
                <w:sz w:val="24"/>
              </w:rPr>
              <w:t xml:space="preserve">ins-dic:DopVozmStrUbPVU</w:t>
            </w:r>
          </w:p>
        </w:tc>
      </w:tr>
    </w:tbl>
    <w:p>
      <w:pPr>
        <w:pStyle w:val="0"/>
        <w:jc w:val="both"/>
      </w:pPr>
      <w:r>
        <w:rPr>
          <w:sz w:val="24"/>
        </w:rPr>
      </w:r>
    </w:p>
    <w:p>
      <w:pPr>
        <w:pStyle w:val="0"/>
        <w:outlineLvl w:val="3"/>
        <w:jc w:val="center"/>
      </w:pPr>
      <w:r>
        <w:rPr>
          <w:sz w:val="24"/>
        </w:rPr>
        <w:t xml:space="preserve">Порядок и сроки</w:t>
      </w:r>
    </w:p>
    <w:p>
      <w:pPr>
        <w:pStyle w:val="0"/>
        <w:jc w:val="center"/>
      </w:pPr>
      <w:r>
        <w:rPr>
          <w:sz w:val="24"/>
        </w:rPr>
        <w:t xml:space="preserve">составления отчетности по форме 0420162 "Сведения</w:t>
      </w:r>
    </w:p>
    <w:p>
      <w:pPr>
        <w:pStyle w:val="0"/>
        <w:jc w:val="center"/>
      </w:pPr>
      <w:r>
        <w:rPr>
          <w:sz w:val="24"/>
        </w:rPr>
        <w:t xml:space="preserve">о деятельности страховщика"</w:t>
      </w:r>
    </w:p>
    <w:p>
      <w:pPr>
        <w:pStyle w:val="0"/>
        <w:jc w:val="both"/>
      </w:pPr>
      <w:r>
        <w:rPr>
          <w:sz w:val="24"/>
        </w:rPr>
      </w:r>
    </w:p>
    <w:p>
      <w:pPr>
        <w:pStyle w:val="0"/>
        <w:ind w:firstLine="540"/>
        <w:jc w:val="both"/>
      </w:pPr>
      <w:r>
        <w:rPr>
          <w:sz w:val="24"/>
        </w:rPr>
        <w:t xml:space="preserve">1. Отчетность по </w:t>
      </w:r>
      <w:hyperlink w:history="0" w:anchor="P54356" w:tooltip="Отчетность по форме 0420162">
        <w:r>
          <w:rPr>
            <w:sz w:val="24"/>
            <w:color w:val="0000ff"/>
          </w:rPr>
          <w:t xml:space="preserve">форме 0420162</w:t>
        </w:r>
      </w:hyperlink>
      <w:r>
        <w:rPr>
          <w:sz w:val="24"/>
        </w:rPr>
        <w:t xml:space="preserve"> "Сведения о деятельности страховщика" (далее - отчетность по форме 0420162) составляется страховщиком посредством формирования предусмотренных в ней показателей за I квартал, первое полугодие, 9 месяцев, год (далее - отчетный период) по состоянию на последний календарный день отчетного периода включительно с соблюдением положений </w:t>
      </w:r>
      <w:hyperlink w:history="0" w:anchor="P59298" w:tooltip="Часть III. Порядок составления статистической отчетности страховщика">
        <w:r>
          <w:rPr>
            <w:sz w:val="24"/>
            <w:color w:val="0000ff"/>
          </w:rPr>
          <w:t xml:space="preserve">части III</w:t>
        </w:r>
      </w:hyperlink>
      <w:r>
        <w:rPr>
          <w:sz w:val="24"/>
        </w:rPr>
        <w:t xml:space="preserve"> настоящего приложения.</w:t>
      </w:r>
    </w:p>
    <w:p>
      <w:pPr>
        <w:pStyle w:val="0"/>
        <w:spacing w:before="240" w:lineRule="auto"/>
        <w:ind w:firstLine="540"/>
        <w:jc w:val="both"/>
      </w:pPr>
      <w:r>
        <w:rPr>
          <w:sz w:val="24"/>
        </w:rPr>
        <w:t xml:space="preserve">Отчетность по </w:t>
      </w:r>
      <w:hyperlink w:history="0" w:anchor="P54356" w:tooltip="Отчетность по форме 0420162">
        <w:r>
          <w:rPr>
            <w:sz w:val="24"/>
            <w:color w:val="0000ff"/>
          </w:rPr>
          <w:t xml:space="preserve">форме 0420162</w:t>
        </w:r>
      </w:hyperlink>
      <w:r>
        <w:rPr>
          <w:sz w:val="24"/>
        </w:rPr>
        <w:t xml:space="preserve"> составляется страховой организацией и обществом взаимного страхования, включая данные по всем имеющимся обособленным подразделениям.</w:t>
      </w:r>
    </w:p>
    <w:p>
      <w:pPr>
        <w:pStyle w:val="0"/>
        <w:spacing w:before="240" w:lineRule="auto"/>
        <w:ind w:firstLine="540"/>
        <w:jc w:val="both"/>
      </w:pPr>
      <w:r>
        <w:rPr>
          <w:sz w:val="24"/>
        </w:rPr>
        <w:t xml:space="preserve">Иностранная страховая организация включает в отчетность по </w:t>
      </w:r>
      <w:hyperlink w:history="0" w:anchor="P54356" w:tooltip="Отчетность по форме 0420162">
        <w:r>
          <w:rPr>
            <w:sz w:val="24"/>
            <w:color w:val="0000ff"/>
          </w:rPr>
          <w:t xml:space="preserve">форме 0420162</w:t>
        </w:r>
      </w:hyperlink>
      <w:r>
        <w:rPr>
          <w:sz w:val="24"/>
        </w:rPr>
        <w:t xml:space="preserve"> данные только по филиалам, созданным на территории Российской Федерации, через которые иностранная страховая организация осуществляет страховую деятельность на территории Российской Федерации.</w:t>
      </w:r>
    </w:p>
    <w:p>
      <w:pPr>
        <w:pStyle w:val="0"/>
        <w:spacing w:before="240" w:lineRule="auto"/>
        <w:ind w:firstLine="540"/>
        <w:jc w:val="both"/>
      </w:pPr>
      <w:r>
        <w:rPr>
          <w:sz w:val="24"/>
        </w:rPr>
        <w:t xml:space="preserve">Требования настоящих Порядка и сроков в отношении отражения в отчетности по </w:t>
      </w:r>
      <w:hyperlink w:history="0" w:anchor="P54356" w:tooltip="Отчетность по форме 0420162">
        <w:r>
          <w:rPr>
            <w:sz w:val="24"/>
            <w:color w:val="0000ff"/>
          </w:rPr>
          <w:t xml:space="preserve">форме 0420162</w:t>
        </w:r>
      </w:hyperlink>
      <w:r>
        <w:rPr>
          <w:sz w:val="24"/>
        </w:rPr>
        <w:t xml:space="preserve"> сведений об операциях с перестраховщиками распространяются также на акционерное общество "Российское агентство по страхованию экспортных кредитов и инвестиций" в случае, если страховщик заключал с указанным акционерным обществом в соответствии с </w:t>
      </w:r>
      <w:hyperlink w:history="0" r:id="rId812"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пунктом 2.2 части 20 статьи 46.1</w:t>
        </w:r>
      </w:hyperlink>
      <w:r>
        <w:rPr>
          <w:sz w:val="24"/>
        </w:rPr>
        <w:t xml:space="preserve"> Федерального закона от 8 декабря 2003 года N 164-ФЗ "Об основах государственного регулирования внешнеторговой деятельности" договоры перестрахования, в которых страховщик выступает перестрахователем (далее - договоры исходящего перестрахования).</w:t>
      </w:r>
    </w:p>
    <w:p>
      <w:pPr>
        <w:pStyle w:val="0"/>
        <w:spacing w:before="240" w:lineRule="auto"/>
        <w:ind w:firstLine="540"/>
        <w:jc w:val="both"/>
      </w:pPr>
      <w:r>
        <w:rPr>
          <w:sz w:val="24"/>
        </w:rPr>
        <w:t xml:space="preserve">2. В отчетности по </w:t>
      </w:r>
      <w:hyperlink w:history="0" w:anchor="P54356" w:tooltip="Отчетность по форме 0420162">
        <w:r>
          <w:rPr>
            <w:sz w:val="24"/>
            <w:color w:val="0000ff"/>
          </w:rPr>
          <w:t xml:space="preserve">форме 0420162</w:t>
        </w:r>
      </w:hyperlink>
      <w:r>
        <w:rPr>
          <w:sz w:val="24"/>
        </w:rPr>
        <w:t xml:space="preserve"> сведения по договорам страхования и договорам сострахования приводятся без разделения на договоры страхования и договоры сострахования (далее при совместном упоминании - договоры страхования).</w:t>
      </w:r>
    </w:p>
    <w:p>
      <w:pPr>
        <w:pStyle w:val="0"/>
        <w:spacing w:before="240" w:lineRule="auto"/>
        <w:ind w:firstLine="540"/>
        <w:jc w:val="both"/>
      </w:pPr>
      <w:r>
        <w:rPr>
          <w:sz w:val="24"/>
        </w:rPr>
        <w:t xml:space="preserve">3. Данные отчетности по </w:t>
      </w:r>
      <w:hyperlink w:history="0" w:anchor="P54356" w:tooltip="Отчетность по форме 0420162">
        <w:r>
          <w:rPr>
            <w:sz w:val="24"/>
            <w:color w:val="0000ff"/>
          </w:rPr>
          <w:t xml:space="preserve">форме 0420162</w:t>
        </w:r>
      </w:hyperlink>
      <w:r>
        <w:rPr>
          <w:sz w:val="24"/>
        </w:rPr>
        <w:t xml:space="preserve"> отражаются нарастающим итогом с начала года (за исключением данных о количестве действовавших на конец отчетного периода договоров страхования, числе застрахованных и страховой сумме на конец отчетного периода, количестве не урегулированных на конец отчетного периода страховых случаев и сумме по ним, количестве полисолет, числе застрахованных лиц по обязательному медицинскому страхованию на начало и конец отчетного периода, числе членов общества взаимного страхования на начало и конец отчетного периода, числе членов общества взаимного страхования, прекративших членство в обществе взаимного страхования, но несущих субсидиарную ответственность по страховым обязательствам общества взаимного страхования, на конец отчетного периода).</w:t>
      </w:r>
    </w:p>
    <w:p>
      <w:pPr>
        <w:pStyle w:val="0"/>
        <w:spacing w:before="240" w:lineRule="auto"/>
        <w:ind w:firstLine="540"/>
        <w:jc w:val="both"/>
      </w:pPr>
      <w:r>
        <w:rPr>
          <w:sz w:val="24"/>
        </w:rPr>
        <w:t xml:space="preserve">4. Страховая организация (за исключением страховой организации, предметом деятельности которой является исключительно перестрахование) формирует показатели </w:t>
      </w:r>
      <w:hyperlink w:history="0" w:anchor="P54370" w:tooltip="Раздел 1. Страхование">
        <w:r>
          <w:rPr>
            <w:sz w:val="24"/>
            <w:color w:val="0000ff"/>
          </w:rPr>
          <w:t xml:space="preserve">разделов 1</w:t>
        </w:r>
      </w:hyperlink>
      <w:r>
        <w:rPr>
          <w:sz w:val="24"/>
        </w:rPr>
        <w:t xml:space="preserve"> - </w:t>
      </w:r>
      <w:hyperlink w:history="0" w:anchor="P55985" w:tooltip="Раздел 5.">
        <w:r>
          <w:rPr>
            <w:sz w:val="24"/>
            <w:color w:val="0000ff"/>
          </w:rPr>
          <w:t xml:space="preserve">5</w:t>
        </w:r>
      </w:hyperlink>
      <w:r>
        <w:rPr>
          <w:sz w:val="24"/>
        </w:rPr>
        <w:t xml:space="preserve">, </w:t>
      </w:r>
      <w:hyperlink w:history="0" w:anchor="P56615" w:tooltip="Раздел 7.">
        <w:r>
          <w:rPr>
            <w:sz w:val="24"/>
            <w:color w:val="0000ff"/>
          </w:rPr>
          <w:t xml:space="preserve">7</w:t>
        </w:r>
      </w:hyperlink>
      <w:r>
        <w:rPr>
          <w:sz w:val="24"/>
        </w:rPr>
        <w:t xml:space="preserve"> и </w:t>
      </w:r>
      <w:hyperlink w:history="0" w:anchor="P56849" w:tooltip="Раздел 8.">
        <w:r>
          <w:rPr>
            <w:sz w:val="24"/>
            <w:color w:val="0000ff"/>
          </w:rPr>
          <w:t xml:space="preserve">8</w:t>
        </w:r>
      </w:hyperlink>
      <w:r>
        <w:rPr>
          <w:sz w:val="24"/>
        </w:rPr>
        <w:t xml:space="preserve"> отчетности по форме 0420162.</w:t>
      </w:r>
    </w:p>
    <w:p>
      <w:pPr>
        <w:pStyle w:val="0"/>
        <w:spacing w:before="240" w:lineRule="auto"/>
        <w:ind w:firstLine="540"/>
        <w:jc w:val="both"/>
      </w:pPr>
      <w:r>
        <w:rPr>
          <w:sz w:val="24"/>
        </w:rPr>
        <w:t xml:space="preserve">Иностранная страховая организация (за исключением иностранной страховой организации, предметом деятельности которой является исключительно перестрахование) формирует показатели </w:t>
      </w:r>
      <w:hyperlink w:history="0" w:anchor="P54370" w:tooltip="Раздел 1. Страхование">
        <w:r>
          <w:rPr>
            <w:sz w:val="24"/>
            <w:color w:val="0000ff"/>
          </w:rPr>
          <w:t xml:space="preserve">разделов 1</w:t>
        </w:r>
      </w:hyperlink>
      <w:r>
        <w:rPr>
          <w:sz w:val="24"/>
        </w:rPr>
        <w:t xml:space="preserve">, </w:t>
      </w:r>
      <w:hyperlink w:history="0" w:anchor="P55703" w:tooltip="Раздел 2.">
        <w:r>
          <w:rPr>
            <w:sz w:val="24"/>
            <w:color w:val="0000ff"/>
          </w:rPr>
          <w:t xml:space="preserve">2</w:t>
        </w:r>
      </w:hyperlink>
      <w:r>
        <w:rPr>
          <w:sz w:val="24"/>
        </w:rPr>
        <w:t xml:space="preserve">, </w:t>
      </w:r>
      <w:hyperlink w:history="0" w:anchor="P55985" w:tooltip="Раздел 5.">
        <w:r>
          <w:rPr>
            <w:sz w:val="24"/>
            <w:color w:val="0000ff"/>
          </w:rPr>
          <w:t xml:space="preserve">5</w:t>
        </w:r>
      </w:hyperlink>
      <w:r>
        <w:rPr>
          <w:sz w:val="24"/>
        </w:rPr>
        <w:t xml:space="preserve">, </w:t>
      </w:r>
      <w:hyperlink w:history="0" w:anchor="P56615" w:tooltip="Раздел 7.">
        <w:r>
          <w:rPr>
            <w:sz w:val="24"/>
            <w:color w:val="0000ff"/>
          </w:rPr>
          <w:t xml:space="preserve">7</w:t>
        </w:r>
      </w:hyperlink>
      <w:r>
        <w:rPr>
          <w:sz w:val="24"/>
        </w:rPr>
        <w:t xml:space="preserve"> и </w:t>
      </w:r>
      <w:hyperlink w:history="0" w:anchor="P56849" w:tooltip="Раздел 8.">
        <w:r>
          <w:rPr>
            <w:sz w:val="24"/>
            <w:color w:val="0000ff"/>
          </w:rPr>
          <w:t xml:space="preserve">8</w:t>
        </w:r>
      </w:hyperlink>
      <w:r>
        <w:rPr>
          <w:sz w:val="24"/>
        </w:rPr>
        <w:t xml:space="preserve"> отчетности по форме 0420162.</w:t>
      </w:r>
    </w:p>
    <w:p>
      <w:pPr>
        <w:pStyle w:val="0"/>
        <w:spacing w:before="240" w:lineRule="auto"/>
        <w:ind w:firstLine="540"/>
        <w:jc w:val="both"/>
      </w:pPr>
      <w:r>
        <w:rPr>
          <w:sz w:val="24"/>
        </w:rPr>
        <w:t xml:space="preserve">Страховая организация и иностранная страховая организация, не осуществляющие обязательное страхование гражданской ответственности владельцев транспортных средств, показатели </w:t>
      </w:r>
      <w:hyperlink w:history="0" w:anchor="P55985" w:tooltip="Раздел 5.">
        <w:r>
          <w:rPr>
            <w:sz w:val="24"/>
            <w:color w:val="0000ff"/>
          </w:rPr>
          <w:t xml:space="preserve">раздела 5</w:t>
        </w:r>
      </w:hyperlink>
      <w:r>
        <w:rPr>
          <w:sz w:val="24"/>
        </w:rPr>
        <w:t xml:space="preserve"> отчетности по форме 0420162 не формируют.</w:t>
      </w:r>
    </w:p>
    <w:p>
      <w:pPr>
        <w:pStyle w:val="0"/>
        <w:spacing w:before="240" w:lineRule="auto"/>
        <w:ind w:firstLine="540"/>
        <w:jc w:val="both"/>
      </w:pPr>
      <w:r>
        <w:rPr>
          <w:sz w:val="24"/>
        </w:rPr>
        <w:t xml:space="preserve">Страховая организация и иностранная страховая организация, предметом деятельности которых является исключительно перестрахование, формируют показатели </w:t>
      </w:r>
      <w:hyperlink w:history="0" w:anchor="P56849" w:tooltip="Раздел 8.">
        <w:r>
          <w:rPr>
            <w:sz w:val="24"/>
            <w:color w:val="0000ff"/>
          </w:rPr>
          <w:t xml:space="preserve">раздела 8</w:t>
        </w:r>
      </w:hyperlink>
      <w:r>
        <w:rPr>
          <w:sz w:val="24"/>
        </w:rPr>
        <w:t xml:space="preserve"> отчетности по форме 0420162.</w:t>
      </w:r>
    </w:p>
    <w:p>
      <w:pPr>
        <w:pStyle w:val="0"/>
        <w:spacing w:before="240" w:lineRule="auto"/>
        <w:ind w:firstLine="540"/>
        <w:jc w:val="both"/>
      </w:pPr>
      <w:r>
        <w:rPr>
          <w:sz w:val="24"/>
        </w:rPr>
        <w:t xml:space="preserve">Страховая медицинская организация, предметом деятельности которой является обязательное и добровольное медицинское страхование, формирует показатели </w:t>
      </w:r>
      <w:hyperlink w:history="0" w:anchor="P54370" w:tooltip="Раздел 1. Страхование">
        <w:r>
          <w:rPr>
            <w:sz w:val="24"/>
            <w:color w:val="0000ff"/>
          </w:rPr>
          <w:t xml:space="preserve">разделов 1</w:t>
        </w:r>
      </w:hyperlink>
      <w:r>
        <w:rPr>
          <w:sz w:val="24"/>
        </w:rPr>
        <w:t xml:space="preserve">, </w:t>
      </w:r>
      <w:hyperlink w:history="0" w:anchor="P55703" w:tooltip="Раздел 2.">
        <w:r>
          <w:rPr>
            <w:sz w:val="24"/>
            <w:color w:val="0000ff"/>
          </w:rPr>
          <w:t xml:space="preserve">2</w:t>
        </w:r>
      </w:hyperlink>
      <w:r>
        <w:rPr>
          <w:sz w:val="24"/>
        </w:rPr>
        <w:t xml:space="preserve">, </w:t>
      </w:r>
      <w:hyperlink w:history="0" w:anchor="P56565" w:tooltip="Раздел 6.">
        <w:r>
          <w:rPr>
            <w:sz w:val="24"/>
            <w:color w:val="0000ff"/>
          </w:rPr>
          <w:t xml:space="preserve">6</w:t>
        </w:r>
      </w:hyperlink>
      <w:r>
        <w:rPr>
          <w:sz w:val="24"/>
        </w:rPr>
        <w:t xml:space="preserve"> и </w:t>
      </w:r>
      <w:hyperlink w:history="0" w:anchor="P56615" w:tooltip="Раздел 7.">
        <w:r>
          <w:rPr>
            <w:sz w:val="24"/>
            <w:color w:val="0000ff"/>
          </w:rPr>
          <w:t xml:space="preserve">7</w:t>
        </w:r>
      </w:hyperlink>
      <w:r>
        <w:rPr>
          <w:sz w:val="24"/>
        </w:rPr>
        <w:t xml:space="preserve">, </w:t>
      </w:r>
      <w:hyperlink w:history="0" w:anchor="P56999" w:tooltip="Подраздел 8.2.">
        <w:r>
          <w:rPr>
            <w:sz w:val="24"/>
            <w:color w:val="0000ff"/>
          </w:rPr>
          <w:t xml:space="preserve">подразделов 8.2</w:t>
        </w:r>
      </w:hyperlink>
      <w:r>
        <w:rPr>
          <w:sz w:val="24"/>
        </w:rPr>
        <w:t xml:space="preserve"> и </w:t>
      </w:r>
      <w:hyperlink w:history="0" w:anchor="P57101" w:tooltip="Подраздел 8.2.1.">
        <w:r>
          <w:rPr>
            <w:sz w:val="24"/>
            <w:color w:val="0000ff"/>
          </w:rPr>
          <w:t xml:space="preserve">8.2.1 раздела 8</w:t>
        </w:r>
      </w:hyperlink>
      <w:r>
        <w:rPr>
          <w:sz w:val="24"/>
        </w:rPr>
        <w:t xml:space="preserve"> отчетности по форме 0420162.</w:t>
      </w:r>
    </w:p>
    <w:p>
      <w:pPr>
        <w:pStyle w:val="0"/>
        <w:spacing w:before="240" w:lineRule="auto"/>
        <w:ind w:firstLine="540"/>
        <w:jc w:val="both"/>
      </w:pPr>
      <w:r>
        <w:rPr>
          <w:sz w:val="24"/>
        </w:rPr>
        <w:t xml:space="preserve">Страховая медицинская организация, предметом деятельности которой является исключительно обязательное медицинское страхование, формирует показатели </w:t>
      </w:r>
      <w:hyperlink w:history="0" w:anchor="P56565" w:tooltip="Раздел 6.">
        <w:r>
          <w:rPr>
            <w:sz w:val="24"/>
            <w:color w:val="0000ff"/>
          </w:rPr>
          <w:t xml:space="preserve">раздела 6</w:t>
        </w:r>
      </w:hyperlink>
      <w:r>
        <w:rPr>
          <w:sz w:val="24"/>
        </w:rPr>
        <w:t xml:space="preserve"> отчетности по форме 0420162.</w:t>
      </w:r>
    </w:p>
    <w:p>
      <w:pPr>
        <w:pStyle w:val="0"/>
        <w:spacing w:before="240" w:lineRule="auto"/>
        <w:ind w:firstLine="540"/>
        <w:jc w:val="both"/>
      </w:pPr>
      <w:r>
        <w:rPr>
          <w:sz w:val="24"/>
        </w:rPr>
        <w:t xml:space="preserve">Общество взаимного страхования формирует показатели </w:t>
      </w:r>
      <w:hyperlink w:history="0" w:anchor="P54370" w:tooltip="Раздел 1. Страхование">
        <w:r>
          <w:rPr>
            <w:sz w:val="24"/>
            <w:color w:val="0000ff"/>
          </w:rPr>
          <w:t xml:space="preserve">разделов 1</w:t>
        </w:r>
      </w:hyperlink>
      <w:r>
        <w:rPr>
          <w:sz w:val="24"/>
        </w:rPr>
        <w:t xml:space="preserve">, </w:t>
      </w:r>
      <w:hyperlink w:history="0" w:anchor="P55703" w:tooltip="Раздел 2.">
        <w:r>
          <w:rPr>
            <w:sz w:val="24"/>
            <w:color w:val="0000ff"/>
          </w:rPr>
          <w:t xml:space="preserve">2</w:t>
        </w:r>
      </w:hyperlink>
      <w:r>
        <w:rPr>
          <w:sz w:val="24"/>
        </w:rPr>
        <w:t xml:space="preserve">, </w:t>
      </w:r>
      <w:hyperlink w:history="0" w:anchor="P56999" w:tooltip="Подраздел 8.2.">
        <w:r>
          <w:rPr>
            <w:sz w:val="24"/>
            <w:color w:val="0000ff"/>
          </w:rPr>
          <w:t xml:space="preserve">подразделов 8.2</w:t>
        </w:r>
      </w:hyperlink>
      <w:r>
        <w:rPr>
          <w:sz w:val="24"/>
        </w:rPr>
        <w:t xml:space="preserve"> и </w:t>
      </w:r>
      <w:hyperlink w:history="0" w:anchor="P57101" w:tooltip="Подраздел 8.2.1.">
        <w:r>
          <w:rPr>
            <w:sz w:val="24"/>
            <w:color w:val="0000ff"/>
          </w:rPr>
          <w:t xml:space="preserve">8.2.1 раздела 8</w:t>
        </w:r>
      </w:hyperlink>
      <w:r>
        <w:rPr>
          <w:sz w:val="24"/>
        </w:rPr>
        <w:t xml:space="preserve">, </w:t>
      </w:r>
      <w:hyperlink w:history="0" w:anchor="P57207" w:tooltip="Раздел 9.">
        <w:r>
          <w:rPr>
            <w:sz w:val="24"/>
            <w:color w:val="0000ff"/>
          </w:rPr>
          <w:t xml:space="preserve">раздела 9</w:t>
        </w:r>
      </w:hyperlink>
      <w:r>
        <w:rPr>
          <w:sz w:val="24"/>
        </w:rPr>
        <w:t xml:space="preserve"> отчетности по форме 0420162. Общество взаимного страхования формирует показатели </w:t>
      </w:r>
      <w:hyperlink w:history="0" w:anchor="P55985" w:tooltip="Раздел 5.">
        <w:r>
          <w:rPr>
            <w:sz w:val="24"/>
            <w:color w:val="0000ff"/>
          </w:rPr>
          <w:t xml:space="preserve">раздела 5</w:t>
        </w:r>
      </w:hyperlink>
      <w:r>
        <w:rPr>
          <w:sz w:val="24"/>
        </w:rPr>
        <w:t xml:space="preserve"> отчетности по форме 0420162 в случае, если Федеральным </w:t>
      </w:r>
      <w:hyperlink w:history="0" r:id="rId813"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от 25 апреля 2002 года N 40-ФЗ "Об обязательном страховании гражданской ответственности владельцев транспортных средств" (далее - Федеральный закон N 40-ФЗ) предусмотрено право общества взаимного страхования на осуществление обязательного страхования гражданской ответственности владельцев транспортных средств и в случае его осуществления обществом взаимного страхования в отчетном периоде. При этом общество взаимного страхования, осуществляющее взаимное страхование своих членов непосредственно на основании устава общества взаимного страхования, данные о количестве договоров страхования (</w:t>
      </w:r>
      <w:hyperlink w:history="0" w:anchor="P54370" w:tooltip="Раздел 1. Страхование">
        <w:r>
          <w:rPr>
            <w:sz w:val="24"/>
            <w:color w:val="0000ff"/>
          </w:rPr>
          <w:t xml:space="preserve">разделы 1</w:t>
        </w:r>
      </w:hyperlink>
      <w:r>
        <w:rPr>
          <w:sz w:val="24"/>
        </w:rPr>
        <w:t xml:space="preserve">, </w:t>
      </w:r>
      <w:hyperlink w:history="0" w:anchor="P55703" w:tooltip="Раздел 2.">
        <w:r>
          <w:rPr>
            <w:sz w:val="24"/>
            <w:color w:val="0000ff"/>
          </w:rPr>
          <w:t xml:space="preserve">2</w:t>
        </w:r>
      </w:hyperlink>
      <w:r>
        <w:rPr>
          <w:sz w:val="24"/>
        </w:rPr>
        <w:t xml:space="preserve"> и </w:t>
      </w:r>
      <w:hyperlink w:history="0" w:anchor="P55985" w:tooltip="Раздел 5.">
        <w:r>
          <w:rPr>
            <w:sz w:val="24"/>
            <w:color w:val="0000ff"/>
          </w:rPr>
          <w:t xml:space="preserve">5</w:t>
        </w:r>
      </w:hyperlink>
      <w:r>
        <w:rPr>
          <w:sz w:val="24"/>
        </w:rPr>
        <w:t xml:space="preserve"> отчетности по форме 0420162) не указывает.</w:t>
      </w:r>
    </w:p>
    <w:p>
      <w:pPr>
        <w:pStyle w:val="0"/>
        <w:spacing w:before="240" w:lineRule="auto"/>
        <w:ind w:firstLine="540"/>
        <w:jc w:val="both"/>
      </w:pPr>
      <w:r>
        <w:rPr>
          <w:sz w:val="24"/>
        </w:rPr>
        <w:t xml:space="preserve">5. При неосуществлении страховой деятельности в отчетном периоде страховщик по показателю "Причины неосуществления страховой деятельности" </w:t>
      </w:r>
      <w:hyperlink w:history="0" w:anchor="P57246" w:tooltip="122">
        <w:r>
          <w:rPr>
            <w:sz w:val="24"/>
            <w:color w:val="0000ff"/>
          </w:rPr>
          <w:t xml:space="preserve">(строка 122)</w:t>
        </w:r>
      </w:hyperlink>
      <w:r>
        <w:rPr>
          <w:sz w:val="24"/>
        </w:rPr>
        <w:t xml:space="preserve"> должен указать причины неосуществления страховой деятельности в отчетном периоде.</w:t>
      </w:r>
    </w:p>
    <w:p>
      <w:pPr>
        <w:pStyle w:val="0"/>
        <w:spacing w:before="240" w:lineRule="auto"/>
        <w:ind w:firstLine="540"/>
        <w:jc w:val="both"/>
      </w:pPr>
      <w:r>
        <w:rPr>
          <w:sz w:val="24"/>
        </w:rPr>
        <w:t xml:space="preserve">6. Отчетность по </w:t>
      </w:r>
      <w:hyperlink w:history="0" w:anchor="P54356" w:tooltip="Отчетность по форме 0420162">
        <w:r>
          <w:rPr>
            <w:sz w:val="24"/>
            <w:color w:val="0000ff"/>
          </w:rPr>
          <w:t xml:space="preserve">форме 0420162</w:t>
        </w:r>
      </w:hyperlink>
      <w:r>
        <w:rPr>
          <w:sz w:val="24"/>
        </w:rPr>
        <w:t xml:space="preserve"> составляется на основании сведений, содержащихся в журналах, указанных в </w:t>
      </w:r>
      <w:hyperlink w:history="0" r:id="rId814"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подпункте 5.9.1 пункта 5.9</w:t>
        </w:r>
      </w:hyperlink>
      <w:r>
        <w:rPr>
          <w:sz w:val="24"/>
        </w:rPr>
        <w:t xml:space="preserve"> Положения Банка России от 17 июня 2025 года N 858-П "О требованиях к финансовой устойчивости и платежеспособности страховщиков" &lt;1&gt; (далее - Положение Банка России N 858-П).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27 августа 2025 года, регистрационный N 83340.</w:t>
      </w:r>
    </w:p>
    <w:p>
      <w:pPr>
        <w:pStyle w:val="0"/>
        <w:jc w:val="both"/>
      </w:pPr>
      <w:r>
        <w:rPr>
          <w:sz w:val="24"/>
        </w:rPr>
      </w:r>
    </w:p>
    <w:p>
      <w:pPr>
        <w:pStyle w:val="0"/>
        <w:ind w:firstLine="540"/>
        <w:jc w:val="both"/>
      </w:pPr>
      <w:r>
        <w:rPr>
          <w:sz w:val="24"/>
        </w:rPr>
        <w:t xml:space="preserve">7. Первым отчетным периодом для вновь созданного страховщика считается период со дня начала действия лицензии на осуществление страховой деятельности по последний календарный день отчетного периода включительно.</w:t>
      </w:r>
    </w:p>
    <w:p>
      <w:pPr>
        <w:pStyle w:val="0"/>
        <w:spacing w:before="240" w:lineRule="auto"/>
        <w:ind w:firstLine="540"/>
        <w:jc w:val="both"/>
      </w:pPr>
      <w:r>
        <w:rPr>
          <w:sz w:val="24"/>
        </w:rPr>
        <w:t xml:space="preserve">8. Отчетность по </w:t>
      </w:r>
      <w:hyperlink w:history="0" w:anchor="P54356" w:tooltip="Отчетность по форме 0420162">
        <w:r>
          <w:rPr>
            <w:sz w:val="24"/>
            <w:color w:val="0000ff"/>
          </w:rPr>
          <w:t xml:space="preserve">форме 0420162</w:t>
        </w:r>
      </w:hyperlink>
      <w:r>
        <w:rPr>
          <w:sz w:val="24"/>
        </w:rPr>
        <w:t xml:space="preserve"> составляется с учетом того, что отражение данных по группам аналитических признаков "Виды страхования", "Виды страхования (справочно)", "Иные виды обязательного страхования" осуществляется в соответствии с видами страхования, указанными в </w:t>
      </w:r>
      <w:hyperlink w:history="0" r:id="rId81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пункте 1 статьи 32.9</w:t>
        </w:r>
      </w:hyperlink>
      <w:r>
        <w:rPr>
          <w:sz w:val="24"/>
        </w:rPr>
        <w:t xml:space="preserve"> Закона Российской Федерации от 27 ноября 1992 года N 4015-I "Об организации страхового дела в Российской Федерации" (далее - Закон Российской Федерации N 4015-I).</w:t>
      </w:r>
    </w:p>
    <w:p>
      <w:pPr>
        <w:pStyle w:val="0"/>
        <w:spacing w:before="240" w:lineRule="auto"/>
        <w:ind w:firstLine="540"/>
        <w:jc w:val="both"/>
      </w:pPr>
      <w:r>
        <w:rPr>
          <w:sz w:val="24"/>
        </w:rPr>
        <w:t xml:space="preserve">Договор страхования, относящийся к нескольким видам страхования, для отражения в отчетности по </w:t>
      </w:r>
      <w:hyperlink w:history="0" w:anchor="P54356" w:tooltip="Отчетность по форме 0420162">
        <w:r>
          <w:rPr>
            <w:sz w:val="24"/>
            <w:color w:val="0000ff"/>
          </w:rPr>
          <w:t xml:space="preserve">форме 0420162</w:t>
        </w:r>
      </w:hyperlink>
      <w:r>
        <w:rPr>
          <w:sz w:val="24"/>
        </w:rPr>
        <w:t xml:space="preserve"> разделяется исходя из объектов и рисков, включенных в данный договор, на отдельные договоры, каждый из которых принимается за единицу. При этом страховые премии относятся к тому или иному виду страхования пропорционально структуре тарифной ставки, страховые выплаты - согласно виду выплат по каждому конкретному страховому случаю.</w:t>
      </w:r>
    </w:p>
    <w:p>
      <w:pPr>
        <w:pStyle w:val="0"/>
        <w:spacing w:before="240" w:lineRule="auto"/>
        <w:ind w:firstLine="540"/>
        <w:jc w:val="both"/>
      </w:pPr>
      <w:r>
        <w:rPr>
          <w:sz w:val="24"/>
        </w:rPr>
        <w:t xml:space="preserve">В случае осуществления систематического страхования разных партий однородного имущества (товаров, грузов или иного однородного имущества) на сходных условиях в течение определенного срока на основании генерального полиса последний должен рассматриваться как один договор страхования независимо от количества страховых полисов, выдаваемых страхователю по отдельным партиям имущества, подпадающим под действие генерального полиса.</w:t>
      </w:r>
    </w:p>
    <w:p>
      <w:pPr>
        <w:pStyle w:val="0"/>
        <w:spacing w:before="240" w:lineRule="auto"/>
        <w:ind w:firstLine="540"/>
        <w:jc w:val="both"/>
      </w:pPr>
      <w:r>
        <w:rPr>
          <w:sz w:val="24"/>
        </w:rPr>
        <w:t xml:space="preserve">8.1. По аналитическому признаку "Добровольное страхование от несчастных случаев и болезней пациентов, участвующих в клинических исследованиях лекарственного препарата для медицинского применения" группы аналитических признаков "Виды страхования" также указываются данные о страховании жизни, здоровья пациента, участвующего в клиническом исследовании лекарственного препарата для медицинского применения, по договорам страхования, заключенным в соответствии со </w:t>
      </w:r>
      <w:hyperlink w:history="0" r:id="rId816"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статьей 44</w:t>
        </w:r>
      </w:hyperlink>
      <w:r>
        <w:rPr>
          <w:sz w:val="24"/>
        </w:rPr>
        <w:t xml:space="preserve"> Федерального закона от 12 апреля 2010 года N 61-ФЗ "Об обращении лекарственных средств".</w:t>
      </w:r>
    </w:p>
    <w:p>
      <w:pPr>
        <w:pStyle w:val="0"/>
        <w:spacing w:before="240" w:lineRule="auto"/>
        <w:ind w:firstLine="540"/>
        <w:jc w:val="both"/>
      </w:pPr>
      <w:r>
        <w:rPr>
          <w:sz w:val="24"/>
        </w:rPr>
        <w:t xml:space="preserve">По аналитическому признаку "Добровольное страхование от несчастных случаев и болезней работников налоговых органов" группы аналитических признаков "Виды страхования" указываются данные о государственном личном страховании работников налоговых органов по договорам страхования, заключенным в соответствии со </w:t>
      </w:r>
      <w:hyperlink w:history="0" r:id="rId817" w:tooltip="Закон РФ от 21.03.1991 N 943-1 (ред. от 23.07.2025) &quot;О налоговых органах Российской Федерации&quot; {КонсультантПлюс}">
        <w:r>
          <w:rPr>
            <w:sz w:val="24"/>
            <w:color w:val="0000ff"/>
          </w:rPr>
          <w:t xml:space="preserve">статьей 16</w:t>
        </w:r>
      </w:hyperlink>
      <w:r>
        <w:rPr>
          <w:sz w:val="24"/>
        </w:rPr>
        <w:t xml:space="preserve"> Закона Российской Федерации от 21 марта 1991 года N 943-I "О налоговых органах Российской Федерации".</w:t>
      </w:r>
    </w:p>
    <w:p>
      <w:pPr>
        <w:pStyle w:val="0"/>
        <w:spacing w:before="240" w:lineRule="auto"/>
        <w:ind w:firstLine="540"/>
        <w:jc w:val="both"/>
      </w:pPr>
      <w:r>
        <w:rPr>
          <w:sz w:val="24"/>
        </w:rPr>
        <w:t xml:space="preserve">По аналитическим признакам "Добровольное сельскохозяйственное страхование", "Добровольное сельскохозяйственное страхование урожая сельскохозяйственных культур", "Добровольное сельскохозяйственное страхование посадок многолетних насаждений", "Добровольное сельскохозяйственное страхование сельскохозяйственных животных", "Добровольное сельскохозяйственное страхование объектов товарной аквакультуры (товарного рыбоводства)" группы аналитических признаков "Виды страхования" (с указанием аналитического признака "Добровольное сельскохозяйственное страхование, осуществляемое с государственной поддержкой" по группе аналитических признаков "Государственная поддержка") указываются данные по договорам сельскохозяйственного страхования, осуществляемого с государственной поддержкой, заключенным в соответствии с Федеральным </w:t>
      </w:r>
      <w:hyperlink w:history="0" r:id="rId818" w:tooltip="Федеральный закон от 25.07.2011 N 260-ФЗ (ред. от 28.12.2024)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 {КонсультантПлюс}">
        <w:r>
          <w:rPr>
            <w:sz w:val="24"/>
            <w:color w:val="0000ff"/>
          </w:rPr>
          <w:t xml:space="preserve">законом</w:t>
        </w:r>
      </w:hyperlink>
      <w:r>
        <w:rPr>
          <w:sz w:val="2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pPr>
        <w:pStyle w:val="0"/>
        <w:spacing w:before="240" w:lineRule="auto"/>
        <w:ind w:firstLine="540"/>
        <w:jc w:val="both"/>
      </w:pPr>
      <w:r>
        <w:rPr>
          <w:sz w:val="24"/>
        </w:rPr>
        <w:t xml:space="preserve">По аналитическому признаку "Добровольное страхование гражданской ответственности владельцев автотранспортных средств (страхование, осуществляемое в рамках международных систем страхования)" группы аналитических признаков "Виды страхования" указываются данные о страховании гражданской ответственности владельцев транспортных средств в рамках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 созданное в соответствии с </w:t>
      </w:r>
      <w:hyperlink w:history="0" r:id="rId819"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пунктом 1 статьи 24</w:t>
        </w:r>
      </w:hyperlink>
      <w:r>
        <w:rPr>
          <w:sz w:val="24"/>
        </w:rPr>
        <w:t xml:space="preserve"> Федерального закона N 40-ФЗ (далее - профессиональное объединение страховщиков) и действующее в соответствии со </w:t>
      </w:r>
      <w:hyperlink w:history="0" r:id="rId820"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статьей 31</w:t>
        </w:r>
      </w:hyperlink>
      <w:r>
        <w:rPr>
          <w:sz w:val="24"/>
        </w:rPr>
        <w:t xml:space="preserve"> Федерального закона N 40-ФЗ.</w:t>
      </w:r>
    </w:p>
    <w:p>
      <w:pPr>
        <w:pStyle w:val="0"/>
        <w:spacing w:before="240" w:lineRule="auto"/>
        <w:ind w:firstLine="540"/>
        <w:jc w:val="both"/>
      </w:pPr>
      <w:r>
        <w:rPr>
          <w:sz w:val="24"/>
        </w:rPr>
        <w:t xml:space="preserve">По аналитическому признаку "Обязательное государственное страхование жизни и здоровья военнослужащих и приравненных к ним в обязательном государственном страховании лиц" и входящим в него аналитическим признакам группы аналитических признаков "Виды страхования" указываются данные об обязательном государственном страховании жизни и здоровья военнослужащих и приравненных к ним в обязательном государственном страховании лиц по договорам страхования, заключенным в соответствии с Федеральным </w:t>
      </w:r>
      <w:hyperlink w:history="0" r:id="rId821" w:tooltip="Федеральный закон от 28.03.1998 N 52-ФЗ (ред. от 31.07.202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quot; {КонсультантПлюс}">
        <w:r>
          <w:rPr>
            <w:sz w:val="24"/>
            <w:color w:val="0000ff"/>
          </w:rPr>
          <w:t xml:space="preserve">законом</w:t>
        </w:r>
      </w:hyperlink>
      <w:r>
        <w:rPr>
          <w:sz w:val="24"/>
        </w:rPr>
        <w:t xml:space="preserve"> от 28 марта 1998 года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w:t>
      </w:r>
    </w:p>
    <w:p>
      <w:pPr>
        <w:pStyle w:val="0"/>
        <w:spacing w:before="240" w:lineRule="auto"/>
        <w:ind w:firstLine="540"/>
        <w:jc w:val="both"/>
      </w:pPr>
      <w:r>
        <w:rPr>
          <w:sz w:val="24"/>
        </w:rPr>
        <w:t xml:space="preserve">По аналитическому признаку "Обязательное страхование гражданской ответственности владельцев транспортных средств" группы аналитических признаков "Виды страхования" указываются данные об обязательном страховании гражданской ответственности владельцев транспортных средств по договорам страхования, заключенным в соответствии с Федеральным </w:t>
      </w:r>
      <w:hyperlink w:history="0" r:id="rId822"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N 40-ФЗ.</w:t>
      </w:r>
    </w:p>
    <w:p>
      <w:pPr>
        <w:pStyle w:val="0"/>
        <w:spacing w:before="240" w:lineRule="auto"/>
        <w:ind w:firstLine="540"/>
        <w:jc w:val="both"/>
      </w:pPr>
      <w:r>
        <w:rPr>
          <w:sz w:val="24"/>
        </w:rPr>
        <w:t xml:space="preserve">По аналитическому признаку "Обязательное страхование гражданской ответственности владельца опасного объекта за причинение вреда в результате аварии на опасном объекте" и входящим в него аналитическим признакам группы аналитических признаков "Виды страхования" указываются данные об обязательном страховании гражданской ответственности владельца опасного объекта за причинение вреда в результате аварии на опасном объекте по договорам страхования, заключенным в соответствии с Федеральным </w:t>
      </w:r>
      <w:hyperlink w:history="0" r:id="rId823"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4"/>
            <w:color w:val="0000ff"/>
          </w:rPr>
          <w:t xml:space="preserve">законом</w:t>
        </w:r>
      </w:hyperlink>
      <w:r>
        <w:rPr>
          <w:sz w:val="24"/>
        </w:rP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spacing w:before="240" w:lineRule="auto"/>
        <w:ind w:firstLine="540"/>
        <w:jc w:val="both"/>
      </w:pPr>
      <w:r>
        <w:rPr>
          <w:sz w:val="24"/>
        </w:rPr>
        <w:t xml:space="preserve">По аналитическому признаку "Обязательное страхование гражданской ответственности перевозчика за причинение вреда жизни, здоровью, имуществу пассажиров" и входящим в него аналитическим признакам группы аналитических признаков "Виды страхования" указываются данные об обязательном страховании гражданской ответственности перевозчика за причинение вреда жизни, здоровью, имуществу пассажиров по договорам страхования, заключенным в соответствии с Федеральным </w:t>
      </w:r>
      <w:hyperlink w:history="0" r:id="rId824"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0"/>
        <w:spacing w:before="240" w:lineRule="auto"/>
        <w:ind w:firstLine="540"/>
        <w:jc w:val="both"/>
      </w:pPr>
      <w:r>
        <w:rPr>
          <w:sz w:val="24"/>
        </w:rPr>
        <w:t xml:space="preserve">8.2. По аналитическим признакам группы аналитических признаков "Иные виды обязательного страхования" указываются данные об иных видах обязательного страхования, условия и порядок осуществления которого определяются соответствующим федеральным законом о конкретном виде обязательного страхования.</w:t>
      </w:r>
    </w:p>
    <w:p>
      <w:pPr>
        <w:pStyle w:val="0"/>
        <w:spacing w:before="240" w:lineRule="auto"/>
        <w:ind w:firstLine="540"/>
        <w:jc w:val="both"/>
      </w:pPr>
      <w:r>
        <w:rPr>
          <w:sz w:val="24"/>
        </w:rPr>
        <w:t xml:space="preserve">Данные, указанные по аналитическим признакам группы аналитических признаков "Иные виды обязательного страхования", должны соответствовать данным, указанным по аналитическим признакам группы аналитических признаков "Виды обязательного страхования" </w:t>
      </w:r>
      <w:hyperlink w:history="0" w:anchor="P90" w:tooltip="Раздел 1. Общие сведения">
        <w:r>
          <w:rPr>
            <w:sz w:val="24"/>
            <w:color w:val="0000ff"/>
          </w:rPr>
          <w:t xml:space="preserve">раздела 1</w:t>
        </w:r>
      </w:hyperlink>
      <w:r>
        <w:rPr>
          <w:sz w:val="24"/>
        </w:rPr>
        <w:t xml:space="preserve"> отчетности по форме 0420150 "Общие сведения о страховщике".</w:t>
      </w:r>
    </w:p>
    <w:p>
      <w:pPr>
        <w:pStyle w:val="0"/>
        <w:spacing w:before="240" w:lineRule="auto"/>
        <w:ind w:firstLine="540"/>
        <w:jc w:val="both"/>
      </w:pPr>
      <w:r>
        <w:rPr>
          <w:sz w:val="24"/>
        </w:rPr>
        <w:t xml:space="preserve">8.3. По группе аналитических признаков "Вид добровольного страхования жизни" отражаются следующие договоры страхования жизни, относящиеся к добровольному страхованию жизни на случай смерти, дожития до определенного возраста или срока либо наступления иного события и (или) добровольному страхованию жизни с условием периодических страховых выплат (ренты, аннуитетов) и (или) с участием страхователя в инвестиционном доходе страховщика:</w:t>
      </w:r>
    </w:p>
    <w:p>
      <w:pPr>
        <w:pStyle w:val="0"/>
        <w:spacing w:before="240" w:lineRule="auto"/>
        <w:ind w:firstLine="540"/>
        <w:jc w:val="both"/>
      </w:pPr>
      <w:r>
        <w:rPr>
          <w:sz w:val="24"/>
        </w:rPr>
        <w:t xml:space="preserve">договор страхования, который содержит риск дожития до окончания срока страхования или до даты единичной или периодической выплаты пенсии (ренты, аннуитетов) и предусматривает выплату дополнительного инвестиционного дохода, формируемого в зависимости от результатов динамики актива или группы активов, либо предусматривает изменение страховой суммы в зависимости от изменения динамики актива или группы активов, определенного (определенных) в договоре страхования, - по аналитическому признаку "Инвестиционное страхование жизни";</w:t>
      </w:r>
    </w:p>
    <w:p>
      <w:pPr>
        <w:pStyle w:val="0"/>
        <w:spacing w:before="240" w:lineRule="auto"/>
        <w:ind w:firstLine="540"/>
        <w:jc w:val="both"/>
      </w:pPr>
      <w:r>
        <w:rPr>
          <w:sz w:val="24"/>
        </w:rPr>
        <w:t xml:space="preserve">договор страхования, который заключается на случай причинения вреда жизни и здоровью заемщика (заемщиков) кредита (в том числе по кредитным картам) и (или) дожития до события, влияющего на платежеспособность заемщика (на случай потери работы), со страховой суммой, размер которой определяется в договоре страхования в зависимости от размера всего кредита или его части, кредитной задолженности, задолженности по овердрафту, - по аналитическому признаку "Кредитное страхование жизни";</w:t>
      </w:r>
    </w:p>
    <w:p>
      <w:pPr>
        <w:pStyle w:val="0"/>
        <w:spacing w:before="240" w:lineRule="auto"/>
        <w:ind w:firstLine="540"/>
        <w:jc w:val="both"/>
      </w:pPr>
      <w:r>
        <w:rPr>
          <w:sz w:val="24"/>
        </w:rPr>
        <w:t xml:space="preserve">договор страхования, который содержит риск дожития до определенного возраста или срока либо наступления иного события, может предусматривать регулярные взносы, приводящие к накоплению оговоренной договором страхования страховой суммы, - по аналитическому признаку "Накопительное страхование жизни". В случае если по договору страхования предусмотрена выплата дополнительного инвестиционного дохода, его размер определяется страховщиком по итогам инвестиционной деятельности страховщика независимо от доходности по какому-либо конкретному активу или группе активов, определенному (определенной) в договоре страхования;</w:t>
      </w:r>
    </w:p>
    <w:p>
      <w:pPr>
        <w:pStyle w:val="0"/>
        <w:spacing w:before="240" w:lineRule="auto"/>
        <w:ind w:firstLine="540"/>
        <w:jc w:val="both"/>
      </w:pPr>
      <w:r>
        <w:rPr>
          <w:sz w:val="24"/>
        </w:rPr>
        <w:t xml:space="preserve">договор страхования, который не содержит риска дожития до определенного возраста или срока либо наступления иного события или до даты единичной периодической выплаты, заключается на случай смерти по любой причине и (или) причинения вреда здоровью, а размер страховых сумм не зависит от размера кредита, кредитной задолженности (или задолженности по овердрафту), при этом для отнесения договора страхования, заключенного только на случай причинения вреда здоровью по любой причине (без риска смерти), к страхованию жизни страховые тарифы должны быть рассчитаны с учетом популяционных таблиц (инвалидности, заболеваемости, других популяционных таблиц) и (или) с учетом нормы доходности, - по аналитическому признаку "Рисковое страхование жизни";</w:t>
      </w:r>
    </w:p>
    <w:p>
      <w:pPr>
        <w:pStyle w:val="0"/>
        <w:spacing w:before="240" w:lineRule="auto"/>
        <w:ind w:firstLine="540"/>
        <w:jc w:val="both"/>
      </w:pPr>
      <w:r>
        <w:rPr>
          <w:sz w:val="24"/>
        </w:rPr>
        <w:t xml:space="preserve">договоры страхования, не относящиеся к договорам инвестиционного, кредитного, накопительного, рискового и пенсионного страхования, - по аналитическому признаку "Прочее страхование жизни".</w:t>
      </w:r>
    </w:p>
    <w:p>
      <w:pPr>
        <w:pStyle w:val="0"/>
        <w:spacing w:before="240" w:lineRule="auto"/>
        <w:ind w:firstLine="540"/>
        <w:jc w:val="both"/>
      </w:pPr>
      <w:r>
        <w:rPr>
          <w:sz w:val="24"/>
        </w:rPr>
        <w:t xml:space="preserve">Договоры страхования жизни указываются в разбивке по схеме уплаты страховой премии (по аналитическим признакам группы аналитических признаков "Схема уплаты страховой премии") и срокам страхования (по аналитическим признакам группы аналитических признаков "Срок страхования") (в </w:t>
      </w:r>
      <w:hyperlink w:history="0" w:anchor="P56617" w:tooltip="Подраздел 7.1.">
        <w:r>
          <w:rPr>
            <w:sz w:val="24"/>
            <w:color w:val="0000ff"/>
          </w:rPr>
          <w:t xml:space="preserve">подразделах 7.1</w:t>
        </w:r>
      </w:hyperlink>
      <w:r>
        <w:rPr>
          <w:sz w:val="24"/>
        </w:rPr>
        <w:t xml:space="preserve">, </w:t>
      </w:r>
      <w:hyperlink w:history="0" w:anchor="P56683" w:tooltip="Подраздел 7.1.1.">
        <w:r>
          <w:rPr>
            <w:sz w:val="24"/>
            <w:color w:val="0000ff"/>
          </w:rPr>
          <w:t xml:space="preserve">7.1.1</w:t>
        </w:r>
      </w:hyperlink>
      <w:r>
        <w:rPr>
          <w:sz w:val="24"/>
        </w:rPr>
        <w:t xml:space="preserve">, </w:t>
      </w:r>
      <w:hyperlink w:history="0" w:anchor="P56781" w:tooltip="Подраздел 7.2.">
        <w:r>
          <w:rPr>
            <w:sz w:val="24"/>
            <w:color w:val="0000ff"/>
          </w:rPr>
          <w:t xml:space="preserve">7.2 раздела 7</w:t>
        </w:r>
      </w:hyperlink>
      <w:r>
        <w:rPr>
          <w:sz w:val="24"/>
        </w:rPr>
        <w:t xml:space="preserve">, </w:t>
      </w:r>
      <w:hyperlink w:history="0" w:anchor="P56851" w:tooltip="Подраздел 8.1.">
        <w:r>
          <w:rPr>
            <w:sz w:val="24"/>
            <w:color w:val="0000ff"/>
          </w:rPr>
          <w:t xml:space="preserve">подразделах 8.1</w:t>
        </w:r>
      </w:hyperlink>
      <w:r>
        <w:rPr>
          <w:sz w:val="24"/>
        </w:rPr>
        <w:t xml:space="preserve">, </w:t>
      </w:r>
      <w:hyperlink w:history="0" w:anchor="P56925" w:tooltip="Подраздел 8.1.1.">
        <w:r>
          <w:rPr>
            <w:sz w:val="24"/>
            <w:color w:val="0000ff"/>
          </w:rPr>
          <w:t xml:space="preserve">8.1.1</w:t>
        </w:r>
      </w:hyperlink>
      <w:r>
        <w:rPr>
          <w:sz w:val="24"/>
        </w:rPr>
        <w:t xml:space="preserve">, </w:t>
      </w:r>
      <w:hyperlink w:history="0" w:anchor="P56999" w:tooltip="Подраздел 8.2.">
        <w:r>
          <w:rPr>
            <w:sz w:val="24"/>
            <w:color w:val="0000ff"/>
          </w:rPr>
          <w:t xml:space="preserve">8.2</w:t>
        </w:r>
      </w:hyperlink>
      <w:r>
        <w:rPr>
          <w:sz w:val="24"/>
        </w:rPr>
        <w:t xml:space="preserve">, </w:t>
      </w:r>
      <w:hyperlink w:history="0" w:anchor="P57101" w:tooltip="Подраздел 8.2.1.">
        <w:r>
          <w:rPr>
            <w:sz w:val="24"/>
            <w:color w:val="0000ff"/>
          </w:rPr>
          <w:t xml:space="preserve">8.2.1 раздела 8</w:t>
        </w:r>
      </w:hyperlink>
      <w:r>
        <w:rPr>
          <w:sz w:val="24"/>
        </w:rPr>
        <w:t xml:space="preserve"> - в разбивке по схеме уплаты страховой премии).</w:t>
      </w:r>
    </w:p>
    <w:p>
      <w:pPr>
        <w:pStyle w:val="0"/>
        <w:spacing w:before="240" w:lineRule="auto"/>
        <w:ind w:firstLine="540"/>
        <w:jc w:val="both"/>
      </w:pPr>
      <w:r>
        <w:rPr>
          <w:sz w:val="24"/>
        </w:rPr>
        <w:t xml:space="preserve">8.4. Договоры страхования, условиями которых предусматриваются выплаты также в случаях причинения вреда здоровью застрахованного, утраты им трудоспособности в результате несчастного случая или болезни, в случае смерти в результате несчастного случая (далее - договоры комбинированного страхования жизни), для составления отчетности по </w:t>
      </w:r>
      <w:hyperlink w:history="0" w:anchor="P54356" w:tooltip="Отчетность по форме 0420162">
        <w:r>
          <w:rPr>
            <w:sz w:val="24"/>
            <w:color w:val="0000ff"/>
          </w:rPr>
          <w:t xml:space="preserve">форме 0420162</w:t>
        </w:r>
      </w:hyperlink>
      <w:r>
        <w:rPr>
          <w:sz w:val="24"/>
        </w:rPr>
        <w:t xml:space="preserve"> разделяются на отдельные договоры и рассматриваются как два самостоятельных договора - договор страхования от несчастных случаев и болезней и договор страхования жизни.</w:t>
      </w:r>
    </w:p>
    <w:p>
      <w:pPr>
        <w:pStyle w:val="0"/>
        <w:spacing w:before="240" w:lineRule="auto"/>
        <w:ind w:firstLine="540"/>
        <w:jc w:val="both"/>
      </w:pPr>
      <w:r>
        <w:rPr>
          <w:sz w:val="24"/>
        </w:rPr>
        <w:t xml:space="preserve">При этом суммы страховых премий по договорам комбинированного страхования жизни в соответствии с нетто-ставками, предусмотренными структурой страхового тарифа, разделяются на премии, относящиеся к страхованию жизни в части, предназначенной на выплату на случай смерти, дожития до определенного возраста или срока либо наступления иного события, и премии, относящиеся к страхованию иному, чем страхование жизни, в части, предназначенной на выплату при наступлении несчастного случая и болезни.</w:t>
      </w:r>
    </w:p>
    <w:p>
      <w:pPr>
        <w:pStyle w:val="0"/>
        <w:spacing w:before="240" w:lineRule="auto"/>
        <w:ind w:firstLine="540"/>
        <w:jc w:val="both"/>
      </w:pPr>
      <w:r>
        <w:rPr>
          <w:sz w:val="24"/>
        </w:rPr>
        <w:t xml:space="preserve">Осуществленные по договорам комбинированного страхования жизни выплаты разделяются на выплаты, относящиеся соответственно к страхованию жизни и страхованию иному, чем страхование жизни.</w:t>
      </w:r>
    </w:p>
    <w:p>
      <w:pPr>
        <w:pStyle w:val="0"/>
        <w:spacing w:before="240" w:lineRule="auto"/>
        <w:ind w:firstLine="540"/>
        <w:jc w:val="both"/>
      </w:pPr>
      <w:r>
        <w:rPr>
          <w:sz w:val="24"/>
        </w:rPr>
        <w:t xml:space="preserve">8.5. По аналитическому признаку "Добровольное страхование жилых помещений граждан" группы аналитических признаков "Виды страхования (справочно)" отражаются сведения о договорах добровольного страхования жилых помещений граждан (из сведений по договорам добровольного страхования имущества граждан, отраженных по аналитическому признаку "Добровольное страхование имущества граждан (кроме страхования транспортных средств, грузов и сельскохозяйственного страхования)" группы аналитических признаков "Виды страхования"). При этом по аналитическому признаку "Добровольное страхование жилых помещений граждан в рамках программы" группы аналитических признаков "Виды страхования (справочно)" отражаются данные о договорах страхования жилых помещений граждан, заключенных в соответствии с программами организации возмещения ущерба, причиненного расположенным на территориях субъектов Российской Федерации жилым помещениям граждан, с использованием механизма добровольного страхования, утвержденными органами государственной власти субъектов Российской Федерации в соответствии с </w:t>
      </w:r>
      <w:hyperlink w:history="0" r:id="rId825"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4"/>
            <w:color w:val="0000ff"/>
          </w:rPr>
          <w:t xml:space="preserve">пунктом 1 статьи 11.1</w:t>
        </w:r>
      </w:hyperlink>
      <w:r>
        <w:rPr>
          <w:sz w:val="24"/>
        </w:rPr>
        <w:t xml:space="preserve"> Федерального закона от 21 декабря 1994 года N 68-ФЗ "О защите населения и территорий от чрезвычайных ситуаций природного и техногенного характера" (далее - добровольное страхование жилых помещений граждан в рамках программы).</w:t>
      </w:r>
    </w:p>
    <w:p>
      <w:pPr>
        <w:pStyle w:val="0"/>
        <w:spacing w:before="240" w:lineRule="auto"/>
        <w:ind w:firstLine="540"/>
        <w:jc w:val="both"/>
      </w:pPr>
      <w:r>
        <w:rPr>
          <w:sz w:val="24"/>
        </w:rPr>
        <w:t xml:space="preserve">8.6. По аналитическим признакам "Добровольное страхование гражданской ответственности перевозчиков", "Добровольное страхование гражданской ответственности перевозчиков при перевозке средствами наземного транспорта (кроме средств железнодорожного транспорта)", "Добровольное страхование гражданской ответственности перевозчиков при перевозке средствами железнодорожного транспорта", "Добровольное страхование гражданской ответственности перевозчиков при перевозке средствами воздушного транспорта", "Добровольное страхование гражданской ответственности перевозчиков при перевозке средствами водного транспорта" группы аналитических признаков "Виды страхования (справочно)" отражаются сведения о договорах страхования гражданской ответственности, по которым страхователем является перевозчик (по видам транспорта) (из сведений по договорам добровольного страхования гражданской ответственности, отраженных по аналитическому признаку "Добровольное страхование гражданской ответственности" группы аналитических признаков "Виды страхования").</w:t>
      </w:r>
    </w:p>
    <w:p>
      <w:pPr>
        <w:pStyle w:val="0"/>
        <w:spacing w:before="240" w:lineRule="auto"/>
        <w:ind w:firstLine="540"/>
        <w:jc w:val="both"/>
      </w:pPr>
      <w:r>
        <w:rPr>
          <w:sz w:val="24"/>
        </w:rPr>
        <w:t xml:space="preserve">8.7. По аналитическому признаку "Нерезидент" группы аналитических признаков "Резидентство" отражаются сведения по договорам страхования, заключенным со страхователями-нерезидентами, из общих данных по показателям </w:t>
      </w:r>
      <w:hyperlink w:history="0" w:anchor="P54370" w:tooltip="Раздел 1. Страхование">
        <w:r>
          <w:rPr>
            <w:sz w:val="24"/>
            <w:color w:val="0000ff"/>
          </w:rPr>
          <w:t xml:space="preserve">раздела 1</w:t>
        </w:r>
      </w:hyperlink>
      <w:r>
        <w:rPr>
          <w:sz w:val="24"/>
        </w:rPr>
        <w:t xml:space="preserve"> отчетности по форме 0420162 (по сумме данных по аналитическим признакам группы аналитических признаков "Виды страхования" (</w:t>
      </w:r>
      <w:hyperlink w:history="0" w:anchor="P57581" w:tooltip="2.1">
        <w:r>
          <w:rPr>
            <w:sz w:val="24"/>
            <w:color w:val="0000ff"/>
          </w:rPr>
          <w:t xml:space="preserve">строки 2.1</w:t>
        </w:r>
      </w:hyperlink>
      <w:r>
        <w:rPr>
          <w:sz w:val="24"/>
        </w:rPr>
        <w:t xml:space="preserve">, </w:t>
      </w:r>
      <w:hyperlink w:history="0" w:anchor="P57597" w:tooltip="2.2">
        <w:r>
          <w:rPr>
            <w:sz w:val="24"/>
            <w:color w:val="0000ff"/>
          </w:rPr>
          <w:t xml:space="preserve">2.2</w:t>
        </w:r>
      </w:hyperlink>
      <w:r>
        <w:rPr>
          <w:sz w:val="24"/>
        </w:rPr>
        <w:t xml:space="preserve">, </w:t>
      </w:r>
      <w:hyperlink w:history="0" w:anchor="P57601" w:tooltip="2.3">
        <w:r>
          <w:rPr>
            <w:sz w:val="24"/>
            <w:color w:val="0000ff"/>
          </w:rPr>
          <w:t xml:space="preserve">2.3</w:t>
        </w:r>
      </w:hyperlink>
      <w:r>
        <w:rPr>
          <w:sz w:val="24"/>
        </w:rPr>
        <w:t xml:space="preserve">, </w:t>
      </w:r>
      <w:hyperlink w:history="0" w:anchor="P57649" w:tooltip="2.4">
        <w:r>
          <w:rPr>
            <w:sz w:val="24"/>
            <w:color w:val="0000ff"/>
          </w:rPr>
          <w:t xml:space="preserve">2.4</w:t>
        </w:r>
      </w:hyperlink>
      <w:r>
        <w:rPr>
          <w:sz w:val="24"/>
        </w:rPr>
        <w:t xml:space="preserve">, </w:t>
      </w:r>
      <w:hyperlink w:history="0" w:anchor="P57897" w:tooltip="2.5">
        <w:r>
          <w:rPr>
            <w:sz w:val="24"/>
            <w:color w:val="0000ff"/>
          </w:rPr>
          <w:t xml:space="preserve">2.5</w:t>
        </w:r>
      </w:hyperlink>
      <w:r>
        <w:rPr>
          <w:sz w:val="24"/>
        </w:rPr>
        <w:t xml:space="preserve">, </w:t>
      </w:r>
      <w:hyperlink w:history="0" w:anchor="P57925" w:tooltip="2.6">
        <w:r>
          <w:rPr>
            <w:sz w:val="24"/>
            <w:color w:val="0000ff"/>
          </w:rPr>
          <w:t xml:space="preserve">2.6</w:t>
        </w:r>
      </w:hyperlink>
      <w:r>
        <w:rPr>
          <w:sz w:val="24"/>
        </w:rPr>
        <w:t xml:space="preserve">, </w:t>
      </w:r>
      <w:hyperlink w:history="0" w:anchor="P57929" w:tooltip="2.7">
        <w:r>
          <w:rPr>
            <w:sz w:val="24"/>
            <w:color w:val="0000ff"/>
          </w:rPr>
          <w:t xml:space="preserve">2.7</w:t>
        </w:r>
      </w:hyperlink>
      <w:r>
        <w:rPr>
          <w:sz w:val="24"/>
        </w:rPr>
        <w:t xml:space="preserve">, </w:t>
      </w:r>
      <w:hyperlink w:history="0" w:anchor="P57949" w:tooltip="2.8">
        <w:r>
          <w:rPr>
            <w:sz w:val="24"/>
            <w:color w:val="0000ff"/>
          </w:rPr>
          <w:t xml:space="preserve">2.8 подраздела 1.1 раздела 1 части II</w:t>
        </w:r>
      </w:hyperlink>
      <w:r>
        <w:rPr>
          <w:sz w:val="24"/>
        </w:rPr>
        <w:t xml:space="preserve"> настоящего приложения) и аналитическим признакам группы аналитических признаков "Иные виды обязательного страхования").</w:t>
      </w:r>
    </w:p>
    <w:p>
      <w:pPr>
        <w:pStyle w:val="0"/>
        <w:spacing w:before="240" w:lineRule="auto"/>
        <w:ind w:firstLine="540"/>
        <w:jc w:val="both"/>
      </w:pPr>
      <w:r>
        <w:rPr>
          <w:sz w:val="24"/>
        </w:rPr>
        <w:t xml:space="preserve">8.8. Значения показателей </w:t>
      </w:r>
      <w:hyperlink w:history="0" w:anchor="P54370" w:tooltip="Раздел 1. Страхование">
        <w:r>
          <w:rPr>
            <w:sz w:val="24"/>
            <w:color w:val="0000ff"/>
          </w:rPr>
          <w:t xml:space="preserve">раздела 1</w:t>
        </w:r>
      </w:hyperlink>
      <w:r>
        <w:rPr>
          <w:sz w:val="24"/>
        </w:rPr>
        <w:t xml:space="preserve"> отчетности по форме 0420162 по аналитическим признакам группы аналитических признаков "Виды страхования" (</w:t>
      </w:r>
      <w:hyperlink w:history="0" w:anchor="P57577" w:tooltip="2">
        <w:r>
          <w:rPr>
            <w:sz w:val="24"/>
            <w:color w:val="0000ff"/>
          </w:rPr>
          <w:t xml:space="preserve">строка 2 подраздела 1.1 раздела 1 части II</w:t>
        </w:r>
      </w:hyperlink>
      <w:r>
        <w:rPr>
          <w:sz w:val="24"/>
        </w:rPr>
        <w:t xml:space="preserve"> настоящего приложения) определяются следующим образом:</w:t>
      </w:r>
    </w:p>
    <w:p>
      <w:pPr>
        <w:pStyle w:val="0"/>
        <w:spacing w:before="240" w:lineRule="auto"/>
        <w:ind w:firstLine="540"/>
        <w:jc w:val="both"/>
      </w:pPr>
      <w:r>
        <w:rPr>
          <w:sz w:val="24"/>
        </w:rPr>
        <w:t xml:space="preserve">данные по </w:t>
      </w:r>
      <w:hyperlink w:history="0" w:anchor="P57581" w:tooltip="2.1">
        <w:r>
          <w:rPr>
            <w:sz w:val="24"/>
            <w:color w:val="0000ff"/>
          </w:rPr>
          <w:t xml:space="preserve">строке 2.1</w:t>
        </w:r>
      </w:hyperlink>
      <w:r>
        <w:rPr>
          <w:sz w:val="24"/>
        </w:rPr>
        <w:t xml:space="preserve"> должны быть равны сумме данных по </w:t>
      </w:r>
      <w:hyperlink w:history="0" w:anchor="P57585" w:tooltip="2.1.1">
        <w:r>
          <w:rPr>
            <w:sz w:val="24"/>
            <w:color w:val="0000ff"/>
          </w:rPr>
          <w:t xml:space="preserve">строкам 2.1.1</w:t>
        </w:r>
      </w:hyperlink>
      <w:r>
        <w:rPr>
          <w:sz w:val="24"/>
        </w:rPr>
        <w:t xml:space="preserve"> - </w:t>
      </w:r>
      <w:hyperlink w:history="0" w:anchor="P57593" w:tooltip="2.1.3">
        <w:r>
          <w:rPr>
            <w:sz w:val="24"/>
            <w:color w:val="0000ff"/>
          </w:rPr>
          <w:t xml:space="preserve">2.1.3</w:t>
        </w:r>
      </w:hyperlink>
      <w:r>
        <w:rPr>
          <w:sz w:val="24"/>
        </w:rPr>
        <w:t xml:space="preserve">;</w:t>
      </w:r>
    </w:p>
    <w:p>
      <w:pPr>
        <w:pStyle w:val="0"/>
        <w:spacing w:before="240" w:lineRule="auto"/>
        <w:ind w:firstLine="540"/>
        <w:jc w:val="both"/>
      </w:pPr>
      <w:r>
        <w:rPr>
          <w:sz w:val="24"/>
        </w:rPr>
        <w:t xml:space="preserve">данные по </w:t>
      </w:r>
      <w:hyperlink w:history="0" w:anchor="P57601" w:tooltip="2.3">
        <w:r>
          <w:rPr>
            <w:sz w:val="24"/>
            <w:color w:val="0000ff"/>
          </w:rPr>
          <w:t xml:space="preserve">строке 2.3</w:t>
        </w:r>
      </w:hyperlink>
      <w:r>
        <w:rPr>
          <w:sz w:val="24"/>
        </w:rPr>
        <w:t xml:space="preserve"> должны быть равны сумме данных по </w:t>
      </w:r>
      <w:hyperlink w:history="0" w:anchor="P57605" w:tooltip="2.3.1">
        <w:r>
          <w:rPr>
            <w:sz w:val="24"/>
            <w:color w:val="0000ff"/>
          </w:rPr>
          <w:t xml:space="preserve">строкам 2.3.1</w:t>
        </w:r>
      </w:hyperlink>
      <w:r>
        <w:rPr>
          <w:sz w:val="24"/>
        </w:rPr>
        <w:t xml:space="preserve"> и </w:t>
      </w:r>
      <w:hyperlink w:history="0" w:anchor="P57633" w:tooltip="2.3.2">
        <w:r>
          <w:rPr>
            <w:sz w:val="24"/>
            <w:color w:val="0000ff"/>
          </w:rPr>
          <w:t xml:space="preserve">2.3.2</w:t>
        </w:r>
      </w:hyperlink>
      <w:r>
        <w:rPr>
          <w:sz w:val="24"/>
        </w:rPr>
        <w:t xml:space="preserve">;</w:t>
      </w:r>
    </w:p>
    <w:p>
      <w:pPr>
        <w:pStyle w:val="0"/>
        <w:spacing w:before="240" w:lineRule="auto"/>
        <w:ind w:firstLine="540"/>
        <w:jc w:val="both"/>
      </w:pPr>
      <w:r>
        <w:rPr>
          <w:sz w:val="24"/>
        </w:rPr>
        <w:t xml:space="preserve">данные по </w:t>
      </w:r>
      <w:hyperlink w:history="0" w:anchor="P57605" w:tooltip="2.3.1">
        <w:r>
          <w:rPr>
            <w:sz w:val="24"/>
            <w:color w:val="0000ff"/>
          </w:rPr>
          <w:t xml:space="preserve">строке 2.3.1</w:t>
        </w:r>
      </w:hyperlink>
      <w:r>
        <w:rPr>
          <w:sz w:val="24"/>
        </w:rPr>
        <w:t xml:space="preserve"> должны быть равны сумме данных по </w:t>
      </w:r>
      <w:hyperlink w:history="0" w:anchor="P57609" w:tooltip="2.3.1.1">
        <w:r>
          <w:rPr>
            <w:sz w:val="24"/>
            <w:color w:val="0000ff"/>
          </w:rPr>
          <w:t xml:space="preserve">строкам 2.3.1.1</w:t>
        </w:r>
      </w:hyperlink>
      <w:r>
        <w:rPr>
          <w:sz w:val="24"/>
        </w:rPr>
        <w:t xml:space="preserve"> - </w:t>
      </w:r>
      <w:hyperlink w:history="0" w:anchor="P57629" w:tooltip="2.3.1.6">
        <w:r>
          <w:rPr>
            <w:sz w:val="24"/>
            <w:color w:val="0000ff"/>
          </w:rPr>
          <w:t xml:space="preserve">2.3.1.6</w:t>
        </w:r>
      </w:hyperlink>
      <w:r>
        <w:rPr>
          <w:sz w:val="24"/>
        </w:rPr>
        <w:t xml:space="preserve">;</w:t>
      </w:r>
    </w:p>
    <w:p>
      <w:pPr>
        <w:pStyle w:val="0"/>
        <w:spacing w:before="240" w:lineRule="auto"/>
        <w:ind w:firstLine="540"/>
        <w:jc w:val="both"/>
      </w:pPr>
      <w:r>
        <w:rPr>
          <w:sz w:val="24"/>
        </w:rPr>
        <w:t xml:space="preserve">данные по </w:t>
      </w:r>
      <w:hyperlink w:history="0" w:anchor="P57633" w:tooltip="2.3.2">
        <w:r>
          <w:rPr>
            <w:sz w:val="24"/>
            <w:color w:val="0000ff"/>
          </w:rPr>
          <w:t xml:space="preserve">строке 2.3.2</w:t>
        </w:r>
      </w:hyperlink>
      <w:r>
        <w:rPr>
          <w:sz w:val="24"/>
        </w:rPr>
        <w:t xml:space="preserve"> должны быть равны сумме данных по </w:t>
      </w:r>
      <w:hyperlink w:history="0" w:anchor="P57637" w:tooltip="2.3.2.1">
        <w:r>
          <w:rPr>
            <w:sz w:val="24"/>
            <w:color w:val="0000ff"/>
          </w:rPr>
          <w:t xml:space="preserve">строкам 2.3.2.1</w:t>
        </w:r>
      </w:hyperlink>
      <w:r>
        <w:rPr>
          <w:sz w:val="24"/>
        </w:rPr>
        <w:t xml:space="preserve"> - </w:t>
      </w:r>
      <w:hyperlink w:history="0" w:anchor="P57645" w:tooltip="2.3.2.3">
        <w:r>
          <w:rPr>
            <w:sz w:val="24"/>
            <w:color w:val="0000ff"/>
          </w:rPr>
          <w:t xml:space="preserve">2.3.2.3</w:t>
        </w:r>
      </w:hyperlink>
      <w:r>
        <w:rPr>
          <w:sz w:val="24"/>
        </w:rPr>
        <w:t xml:space="preserve">;</w:t>
      </w:r>
    </w:p>
    <w:p>
      <w:pPr>
        <w:pStyle w:val="0"/>
        <w:spacing w:before="240" w:lineRule="auto"/>
        <w:ind w:firstLine="540"/>
        <w:jc w:val="both"/>
      </w:pPr>
      <w:r>
        <w:rPr>
          <w:sz w:val="24"/>
        </w:rPr>
        <w:t xml:space="preserve">данные по </w:t>
      </w:r>
      <w:hyperlink w:history="0" w:anchor="P57649" w:tooltip="2.4">
        <w:r>
          <w:rPr>
            <w:sz w:val="24"/>
            <w:color w:val="0000ff"/>
          </w:rPr>
          <w:t xml:space="preserve">строке 2.4</w:t>
        </w:r>
      </w:hyperlink>
      <w:r>
        <w:rPr>
          <w:sz w:val="24"/>
        </w:rPr>
        <w:t xml:space="preserve"> должны быть равны сумме данных по </w:t>
      </w:r>
      <w:hyperlink w:history="0" w:anchor="P57653" w:tooltip="2.4.1">
        <w:r>
          <w:rPr>
            <w:sz w:val="24"/>
            <w:color w:val="0000ff"/>
          </w:rPr>
          <w:t xml:space="preserve">строкам 2.4.1</w:t>
        </w:r>
      </w:hyperlink>
      <w:r>
        <w:rPr>
          <w:sz w:val="24"/>
        </w:rPr>
        <w:t xml:space="preserve">, </w:t>
      </w:r>
      <w:hyperlink w:history="0" w:anchor="P57745" w:tooltip="2.4.2">
        <w:r>
          <w:rPr>
            <w:sz w:val="24"/>
            <w:color w:val="0000ff"/>
          </w:rPr>
          <w:t xml:space="preserve">2.4.2</w:t>
        </w:r>
      </w:hyperlink>
      <w:r>
        <w:rPr>
          <w:sz w:val="24"/>
        </w:rPr>
        <w:t xml:space="preserve">, </w:t>
      </w:r>
      <w:hyperlink w:history="0" w:anchor="P57877" w:tooltip="2.4.3">
        <w:r>
          <w:rPr>
            <w:sz w:val="24"/>
            <w:color w:val="0000ff"/>
          </w:rPr>
          <w:t xml:space="preserve">2.4.3</w:t>
        </w:r>
      </w:hyperlink>
      <w:r>
        <w:rPr>
          <w:sz w:val="24"/>
        </w:rPr>
        <w:t xml:space="preserve"> и </w:t>
      </w:r>
      <w:hyperlink w:history="0" w:anchor="P57881" w:tooltip="2.4.4">
        <w:r>
          <w:rPr>
            <w:sz w:val="24"/>
            <w:color w:val="0000ff"/>
          </w:rPr>
          <w:t xml:space="preserve">2.4.4</w:t>
        </w:r>
      </w:hyperlink>
      <w:r>
        <w:rPr>
          <w:sz w:val="24"/>
        </w:rPr>
        <w:t xml:space="preserve">;</w:t>
      </w:r>
    </w:p>
    <w:p>
      <w:pPr>
        <w:pStyle w:val="0"/>
        <w:spacing w:before="240" w:lineRule="auto"/>
        <w:ind w:firstLine="540"/>
        <w:jc w:val="both"/>
      </w:pPr>
      <w:r>
        <w:rPr>
          <w:sz w:val="24"/>
        </w:rPr>
        <w:t xml:space="preserve">данные по </w:t>
      </w:r>
      <w:hyperlink w:history="0" w:anchor="P57653" w:tooltip="2.4.1">
        <w:r>
          <w:rPr>
            <w:sz w:val="24"/>
            <w:color w:val="0000ff"/>
          </w:rPr>
          <w:t xml:space="preserve">строке 2.4.1</w:t>
        </w:r>
      </w:hyperlink>
      <w:r>
        <w:rPr>
          <w:sz w:val="24"/>
        </w:rPr>
        <w:t xml:space="preserve"> должны быть равны сумме данных по </w:t>
      </w:r>
      <w:hyperlink w:history="0" w:anchor="P57657" w:tooltip="2.4.1.1">
        <w:r>
          <w:rPr>
            <w:sz w:val="24"/>
            <w:color w:val="0000ff"/>
          </w:rPr>
          <w:t xml:space="preserve">строкам 2.4.1.1</w:t>
        </w:r>
      </w:hyperlink>
      <w:r>
        <w:rPr>
          <w:sz w:val="24"/>
        </w:rPr>
        <w:t xml:space="preserve">, </w:t>
      </w:r>
      <w:hyperlink w:history="0" w:anchor="P57669" w:tooltip="2.4.1.2">
        <w:r>
          <w:rPr>
            <w:sz w:val="24"/>
            <w:color w:val="0000ff"/>
          </w:rPr>
          <w:t xml:space="preserve">2.4.1.2</w:t>
        </w:r>
      </w:hyperlink>
      <w:r>
        <w:rPr>
          <w:sz w:val="24"/>
        </w:rPr>
        <w:t xml:space="preserve"> - </w:t>
      </w:r>
      <w:hyperlink w:history="0" w:anchor="P57677" w:tooltip="2.4.1.4">
        <w:r>
          <w:rPr>
            <w:sz w:val="24"/>
            <w:color w:val="0000ff"/>
          </w:rPr>
          <w:t xml:space="preserve">2.4.1.4</w:t>
        </w:r>
      </w:hyperlink>
      <w:r>
        <w:rPr>
          <w:sz w:val="24"/>
        </w:rPr>
        <w:t xml:space="preserve">, </w:t>
      </w:r>
      <w:hyperlink w:history="0" w:anchor="P57689" w:tooltip="2.4.1.5">
        <w:r>
          <w:rPr>
            <w:sz w:val="24"/>
            <w:color w:val="0000ff"/>
          </w:rPr>
          <w:t xml:space="preserve">2.4.1.5</w:t>
        </w:r>
      </w:hyperlink>
      <w:r>
        <w:rPr>
          <w:sz w:val="24"/>
        </w:rPr>
        <w:t xml:space="preserve">, </w:t>
      </w:r>
      <w:hyperlink w:history="0" w:anchor="P57693" w:tooltip="2.4.1.6">
        <w:r>
          <w:rPr>
            <w:sz w:val="24"/>
            <w:color w:val="0000ff"/>
          </w:rPr>
          <w:t xml:space="preserve">2.4.1.6</w:t>
        </w:r>
      </w:hyperlink>
      <w:r>
        <w:rPr>
          <w:sz w:val="24"/>
        </w:rPr>
        <w:t xml:space="preserve">, </w:t>
      </w:r>
      <w:hyperlink w:history="0" w:anchor="P57713" w:tooltip="2.4.1.7">
        <w:r>
          <w:rPr>
            <w:sz w:val="24"/>
            <w:color w:val="0000ff"/>
          </w:rPr>
          <w:t xml:space="preserve">2.4.1.7</w:t>
        </w:r>
      </w:hyperlink>
      <w:r>
        <w:rPr>
          <w:sz w:val="24"/>
        </w:rPr>
        <w:t xml:space="preserve">, </w:t>
      </w:r>
      <w:hyperlink w:history="0" w:anchor="P57729" w:tooltip="2.4.1.8">
        <w:r>
          <w:rPr>
            <w:sz w:val="24"/>
            <w:color w:val="0000ff"/>
          </w:rPr>
          <w:t xml:space="preserve">2.4.1.8</w:t>
        </w:r>
      </w:hyperlink>
      <w:r>
        <w:rPr>
          <w:sz w:val="24"/>
        </w:rPr>
        <w:t xml:space="preserve">;</w:t>
      </w:r>
    </w:p>
    <w:p>
      <w:pPr>
        <w:pStyle w:val="0"/>
        <w:spacing w:before="240" w:lineRule="auto"/>
        <w:ind w:firstLine="540"/>
        <w:jc w:val="both"/>
      </w:pPr>
      <w:r>
        <w:rPr>
          <w:sz w:val="24"/>
        </w:rPr>
        <w:t xml:space="preserve">данные по </w:t>
      </w:r>
      <w:hyperlink w:history="0" w:anchor="P57657" w:tooltip="2.4.1.1">
        <w:r>
          <w:rPr>
            <w:sz w:val="24"/>
            <w:color w:val="0000ff"/>
          </w:rPr>
          <w:t xml:space="preserve">строке 2.4.1.1</w:t>
        </w:r>
      </w:hyperlink>
      <w:r>
        <w:rPr>
          <w:sz w:val="24"/>
        </w:rPr>
        <w:t xml:space="preserve"> должны быть равны сумме данных по </w:t>
      </w:r>
      <w:hyperlink w:history="0" w:anchor="P57661" w:tooltip="2.4.1.1.1">
        <w:r>
          <w:rPr>
            <w:sz w:val="24"/>
            <w:color w:val="0000ff"/>
          </w:rPr>
          <w:t xml:space="preserve">строкам 2.4.1.1.1</w:t>
        </w:r>
      </w:hyperlink>
      <w:r>
        <w:rPr>
          <w:sz w:val="24"/>
        </w:rPr>
        <w:t xml:space="preserve"> и </w:t>
      </w:r>
      <w:hyperlink w:history="0" w:anchor="P57665" w:tooltip="2.4.1.1.2">
        <w:r>
          <w:rPr>
            <w:sz w:val="24"/>
            <w:color w:val="0000ff"/>
          </w:rPr>
          <w:t xml:space="preserve">2.4.1.1.2</w:t>
        </w:r>
      </w:hyperlink>
      <w:r>
        <w:rPr>
          <w:sz w:val="24"/>
        </w:rPr>
        <w:t xml:space="preserve">;</w:t>
      </w:r>
    </w:p>
    <w:p>
      <w:pPr>
        <w:pStyle w:val="0"/>
        <w:spacing w:before="240" w:lineRule="auto"/>
        <w:ind w:firstLine="540"/>
        <w:jc w:val="both"/>
      </w:pPr>
      <w:r>
        <w:rPr>
          <w:sz w:val="24"/>
        </w:rPr>
        <w:t xml:space="preserve">данные по </w:t>
      </w:r>
      <w:hyperlink w:history="0" w:anchor="P57677" w:tooltip="2.4.1.4">
        <w:r>
          <w:rPr>
            <w:sz w:val="24"/>
            <w:color w:val="0000ff"/>
          </w:rPr>
          <w:t xml:space="preserve">строке 2.4.1.4</w:t>
        </w:r>
      </w:hyperlink>
      <w:r>
        <w:rPr>
          <w:sz w:val="24"/>
        </w:rPr>
        <w:t xml:space="preserve"> должны быть равны сумме данных по </w:t>
      </w:r>
      <w:hyperlink w:history="0" w:anchor="P57681" w:tooltip="2.4.1.4.1">
        <w:r>
          <w:rPr>
            <w:sz w:val="24"/>
            <w:color w:val="0000ff"/>
          </w:rPr>
          <w:t xml:space="preserve">строкам 2.4.1.4.1</w:t>
        </w:r>
      </w:hyperlink>
      <w:r>
        <w:rPr>
          <w:sz w:val="24"/>
        </w:rPr>
        <w:t xml:space="preserve"> и </w:t>
      </w:r>
      <w:hyperlink w:history="0" w:anchor="P57685" w:tooltip="2.4.1.4.2">
        <w:r>
          <w:rPr>
            <w:sz w:val="24"/>
            <w:color w:val="0000ff"/>
          </w:rPr>
          <w:t xml:space="preserve">2.4.1.4.2</w:t>
        </w:r>
      </w:hyperlink>
      <w:r>
        <w:rPr>
          <w:sz w:val="24"/>
        </w:rPr>
        <w:t xml:space="preserve">;</w:t>
      </w:r>
    </w:p>
    <w:p>
      <w:pPr>
        <w:pStyle w:val="0"/>
        <w:spacing w:before="240" w:lineRule="auto"/>
        <w:ind w:firstLine="540"/>
        <w:jc w:val="both"/>
      </w:pPr>
      <w:r>
        <w:rPr>
          <w:sz w:val="24"/>
        </w:rPr>
        <w:t xml:space="preserve">данные по </w:t>
      </w:r>
      <w:hyperlink w:history="0" w:anchor="P57693" w:tooltip="2.4.1.6">
        <w:r>
          <w:rPr>
            <w:sz w:val="24"/>
            <w:color w:val="0000ff"/>
          </w:rPr>
          <w:t xml:space="preserve">строке 2.4.1.6</w:t>
        </w:r>
      </w:hyperlink>
      <w:r>
        <w:rPr>
          <w:sz w:val="24"/>
        </w:rPr>
        <w:t xml:space="preserve"> должны быть равны сумме данных по </w:t>
      </w:r>
      <w:hyperlink w:history="0" w:anchor="P57697" w:tooltip="2.4.1.6.1">
        <w:r>
          <w:rPr>
            <w:sz w:val="24"/>
            <w:color w:val="0000ff"/>
          </w:rPr>
          <w:t xml:space="preserve">строкам 2.4.1.6.1</w:t>
        </w:r>
      </w:hyperlink>
      <w:r>
        <w:rPr>
          <w:sz w:val="24"/>
        </w:rPr>
        <w:t xml:space="preserve"> - </w:t>
      </w:r>
      <w:hyperlink w:history="0" w:anchor="P57709" w:tooltip="2.4.1.6.4">
        <w:r>
          <w:rPr>
            <w:sz w:val="24"/>
            <w:color w:val="0000ff"/>
          </w:rPr>
          <w:t xml:space="preserve">2.4.1.6.4</w:t>
        </w:r>
      </w:hyperlink>
      <w:r>
        <w:rPr>
          <w:sz w:val="24"/>
        </w:rPr>
        <w:t xml:space="preserve"> (отдельно по сельскохозяйственному страхованию, осуществляемому с государственной поддержкой, и сельскохозяйственному страхованию, осуществляемому без нее);</w:t>
      </w:r>
    </w:p>
    <w:p>
      <w:pPr>
        <w:pStyle w:val="0"/>
        <w:spacing w:before="240" w:lineRule="auto"/>
        <w:ind w:firstLine="540"/>
        <w:jc w:val="both"/>
      </w:pPr>
      <w:r>
        <w:rPr>
          <w:sz w:val="24"/>
        </w:rPr>
        <w:t xml:space="preserve">данные по </w:t>
      </w:r>
      <w:hyperlink w:history="0" w:anchor="P57713" w:tooltip="2.4.1.7">
        <w:r>
          <w:rPr>
            <w:sz w:val="24"/>
            <w:color w:val="0000ff"/>
          </w:rPr>
          <w:t xml:space="preserve">строке 2.4.1.7</w:t>
        </w:r>
      </w:hyperlink>
      <w:r>
        <w:rPr>
          <w:sz w:val="24"/>
        </w:rPr>
        <w:t xml:space="preserve"> должны быть равны сумме данных по </w:t>
      </w:r>
      <w:hyperlink w:history="0" w:anchor="P57717" w:tooltip="2.4.1.7.1">
        <w:r>
          <w:rPr>
            <w:sz w:val="24"/>
            <w:color w:val="0000ff"/>
          </w:rPr>
          <w:t xml:space="preserve">строкам 2.4.1.7.1</w:t>
        </w:r>
      </w:hyperlink>
      <w:r>
        <w:rPr>
          <w:sz w:val="24"/>
        </w:rPr>
        <w:t xml:space="preserve"> - </w:t>
      </w:r>
      <w:hyperlink w:history="0" w:anchor="P57725" w:tooltip="2.4.1.7.3">
        <w:r>
          <w:rPr>
            <w:sz w:val="24"/>
            <w:color w:val="0000ff"/>
          </w:rPr>
          <w:t xml:space="preserve">2.4.1.7.3</w:t>
        </w:r>
      </w:hyperlink>
      <w:r>
        <w:rPr>
          <w:sz w:val="24"/>
        </w:rPr>
        <w:t xml:space="preserve">;</w:t>
      </w:r>
    </w:p>
    <w:p>
      <w:pPr>
        <w:pStyle w:val="0"/>
        <w:spacing w:before="240" w:lineRule="auto"/>
        <w:ind w:firstLine="540"/>
        <w:jc w:val="both"/>
      </w:pPr>
      <w:r>
        <w:rPr>
          <w:sz w:val="24"/>
        </w:rPr>
        <w:t xml:space="preserve">данные по </w:t>
      </w:r>
      <w:hyperlink w:history="0" w:anchor="P57729" w:tooltip="2.4.1.8">
        <w:r>
          <w:rPr>
            <w:sz w:val="24"/>
            <w:color w:val="0000ff"/>
          </w:rPr>
          <w:t xml:space="preserve">строке 2.4.1.8</w:t>
        </w:r>
      </w:hyperlink>
      <w:r>
        <w:rPr>
          <w:sz w:val="24"/>
        </w:rPr>
        <w:t xml:space="preserve"> должны быть равны сумме данных по </w:t>
      </w:r>
      <w:hyperlink w:history="0" w:anchor="P57733" w:tooltip="2.4.1.8.1">
        <w:r>
          <w:rPr>
            <w:sz w:val="24"/>
            <w:color w:val="0000ff"/>
          </w:rPr>
          <w:t xml:space="preserve">строкам 2.4.1.8.1</w:t>
        </w:r>
      </w:hyperlink>
      <w:r>
        <w:rPr>
          <w:sz w:val="24"/>
        </w:rPr>
        <w:t xml:space="preserve"> - </w:t>
      </w:r>
      <w:hyperlink w:history="0" w:anchor="P57741" w:tooltip="2.4.1.8.3">
        <w:r>
          <w:rPr>
            <w:sz w:val="24"/>
            <w:color w:val="0000ff"/>
          </w:rPr>
          <w:t xml:space="preserve">2.4.1.8.3</w:t>
        </w:r>
      </w:hyperlink>
      <w:r>
        <w:rPr>
          <w:sz w:val="24"/>
        </w:rPr>
        <w:t xml:space="preserve">;</w:t>
      </w:r>
    </w:p>
    <w:p>
      <w:pPr>
        <w:pStyle w:val="0"/>
        <w:spacing w:before="240" w:lineRule="auto"/>
        <w:ind w:firstLine="540"/>
        <w:jc w:val="both"/>
      </w:pPr>
      <w:r>
        <w:rPr>
          <w:sz w:val="24"/>
        </w:rPr>
        <w:t xml:space="preserve">данные по </w:t>
      </w:r>
      <w:hyperlink w:history="0" w:anchor="P57745" w:tooltip="2.4.2">
        <w:r>
          <w:rPr>
            <w:sz w:val="24"/>
            <w:color w:val="0000ff"/>
          </w:rPr>
          <w:t xml:space="preserve">строке 2.4.2</w:t>
        </w:r>
      </w:hyperlink>
      <w:r>
        <w:rPr>
          <w:sz w:val="24"/>
        </w:rPr>
        <w:t xml:space="preserve"> должны быть равны сумме данных по </w:t>
      </w:r>
      <w:hyperlink w:history="0" w:anchor="P57749" w:tooltip="2.4.2.1">
        <w:r>
          <w:rPr>
            <w:sz w:val="24"/>
            <w:color w:val="0000ff"/>
          </w:rPr>
          <w:t xml:space="preserve">строкам 2.4.2.1</w:t>
        </w:r>
      </w:hyperlink>
      <w:r>
        <w:rPr>
          <w:sz w:val="24"/>
        </w:rPr>
        <w:t xml:space="preserve">, </w:t>
      </w:r>
      <w:hyperlink w:history="0" w:anchor="P57765" w:tooltip="2.4.2.2">
        <w:r>
          <w:rPr>
            <w:sz w:val="24"/>
            <w:color w:val="0000ff"/>
          </w:rPr>
          <w:t xml:space="preserve">2.4.2.2</w:t>
        </w:r>
      </w:hyperlink>
      <w:r>
        <w:rPr>
          <w:sz w:val="24"/>
        </w:rPr>
        <w:t xml:space="preserve"> - </w:t>
      </w:r>
      <w:hyperlink w:history="0" w:anchor="P57773" w:tooltip="2.4.2.4">
        <w:r>
          <w:rPr>
            <w:sz w:val="24"/>
            <w:color w:val="0000ff"/>
          </w:rPr>
          <w:t xml:space="preserve">2.4.2.4</w:t>
        </w:r>
      </w:hyperlink>
      <w:r>
        <w:rPr>
          <w:sz w:val="24"/>
        </w:rPr>
        <w:t xml:space="preserve">, </w:t>
      </w:r>
      <w:hyperlink w:history="0" w:anchor="P57785" w:tooltip="2.4.2.5">
        <w:r>
          <w:rPr>
            <w:sz w:val="24"/>
            <w:color w:val="0000ff"/>
          </w:rPr>
          <w:t xml:space="preserve">2.4.2.5</w:t>
        </w:r>
      </w:hyperlink>
      <w:r>
        <w:rPr>
          <w:sz w:val="24"/>
        </w:rPr>
        <w:t xml:space="preserve">, </w:t>
      </w:r>
      <w:hyperlink w:history="0" w:anchor="P57801" w:tooltip="2.4.2.6">
        <w:r>
          <w:rPr>
            <w:sz w:val="24"/>
            <w:color w:val="0000ff"/>
          </w:rPr>
          <w:t xml:space="preserve">2.4.2.6</w:t>
        </w:r>
      </w:hyperlink>
      <w:r>
        <w:rPr>
          <w:sz w:val="24"/>
        </w:rPr>
        <w:t xml:space="preserve">, </w:t>
      </w:r>
      <w:hyperlink w:history="0" w:anchor="P57813" w:tooltip="2.4.2.7">
        <w:r>
          <w:rPr>
            <w:sz w:val="24"/>
            <w:color w:val="0000ff"/>
          </w:rPr>
          <w:t xml:space="preserve">2.4.2.7</w:t>
        </w:r>
      </w:hyperlink>
      <w:r>
        <w:rPr>
          <w:sz w:val="24"/>
        </w:rPr>
        <w:t xml:space="preserve">, </w:t>
      </w:r>
      <w:hyperlink w:history="0" w:anchor="P57837" w:tooltip="2.4.2.8">
        <w:r>
          <w:rPr>
            <w:sz w:val="24"/>
            <w:color w:val="0000ff"/>
          </w:rPr>
          <w:t xml:space="preserve">2.4.2.8</w:t>
        </w:r>
      </w:hyperlink>
      <w:r>
        <w:rPr>
          <w:sz w:val="24"/>
        </w:rPr>
        <w:t xml:space="preserve">;</w:t>
      </w:r>
    </w:p>
    <w:p>
      <w:pPr>
        <w:pStyle w:val="0"/>
        <w:spacing w:before="240" w:lineRule="auto"/>
        <w:ind w:firstLine="540"/>
        <w:jc w:val="both"/>
      </w:pPr>
      <w:r>
        <w:rPr>
          <w:sz w:val="24"/>
        </w:rPr>
        <w:t xml:space="preserve">данные по </w:t>
      </w:r>
      <w:hyperlink w:history="0" w:anchor="P57749" w:tooltip="2.4.2.1">
        <w:r>
          <w:rPr>
            <w:sz w:val="24"/>
            <w:color w:val="0000ff"/>
          </w:rPr>
          <w:t xml:space="preserve">строке 2.4.2.1</w:t>
        </w:r>
      </w:hyperlink>
      <w:r>
        <w:rPr>
          <w:sz w:val="24"/>
        </w:rPr>
        <w:t xml:space="preserve"> должны быть равны сумме данных по </w:t>
      </w:r>
      <w:hyperlink w:history="0" w:anchor="P57753" w:tooltip="2.4.2.1.1">
        <w:r>
          <w:rPr>
            <w:sz w:val="24"/>
            <w:color w:val="0000ff"/>
          </w:rPr>
          <w:t xml:space="preserve">строкам 2.4.2.1.1</w:t>
        </w:r>
      </w:hyperlink>
      <w:r>
        <w:rPr>
          <w:sz w:val="24"/>
        </w:rPr>
        <w:t xml:space="preserve"> - </w:t>
      </w:r>
      <w:hyperlink w:history="0" w:anchor="P57761" w:tooltip="2.4.2.1.3">
        <w:r>
          <w:rPr>
            <w:sz w:val="24"/>
            <w:color w:val="0000ff"/>
          </w:rPr>
          <w:t xml:space="preserve">2.4.2.1.3</w:t>
        </w:r>
      </w:hyperlink>
      <w:r>
        <w:rPr>
          <w:sz w:val="24"/>
        </w:rPr>
        <w:t xml:space="preserve">;</w:t>
      </w:r>
    </w:p>
    <w:p>
      <w:pPr>
        <w:pStyle w:val="0"/>
        <w:spacing w:before="240" w:lineRule="auto"/>
        <w:ind w:firstLine="540"/>
        <w:jc w:val="both"/>
      </w:pPr>
      <w:r>
        <w:rPr>
          <w:sz w:val="24"/>
        </w:rPr>
        <w:t xml:space="preserve">данные по </w:t>
      </w:r>
      <w:hyperlink w:history="0" w:anchor="P57773" w:tooltip="2.4.2.4">
        <w:r>
          <w:rPr>
            <w:sz w:val="24"/>
            <w:color w:val="0000ff"/>
          </w:rPr>
          <w:t xml:space="preserve">строке 2.4.2.4</w:t>
        </w:r>
      </w:hyperlink>
      <w:r>
        <w:rPr>
          <w:sz w:val="24"/>
        </w:rPr>
        <w:t xml:space="preserve"> должны быть равны сумме данных по </w:t>
      </w:r>
      <w:hyperlink w:history="0" w:anchor="P57777" w:tooltip="2.4.2.4.1">
        <w:r>
          <w:rPr>
            <w:sz w:val="24"/>
            <w:color w:val="0000ff"/>
          </w:rPr>
          <w:t xml:space="preserve">строкам 2.4.2.4.1</w:t>
        </w:r>
      </w:hyperlink>
      <w:r>
        <w:rPr>
          <w:sz w:val="24"/>
        </w:rPr>
        <w:t xml:space="preserve"> и </w:t>
      </w:r>
      <w:hyperlink w:history="0" w:anchor="P57781" w:tooltip="2.4.2.4.2">
        <w:r>
          <w:rPr>
            <w:sz w:val="24"/>
            <w:color w:val="0000ff"/>
          </w:rPr>
          <w:t xml:space="preserve">2.4.2.4.2</w:t>
        </w:r>
      </w:hyperlink>
      <w:r>
        <w:rPr>
          <w:sz w:val="24"/>
        </w:rPr>
        <w:t xml:space="preserve">;</w:t>
      </w:r>
    </w:p>
    <w:p>
      <w:pPr>
        <w:pStyle w:val="0"/>
        <w:spacing w:before="240" w:lineRule="auto"/>
        <w:ind w:firstLine="540"/>
        <w:jc w:val="both"/>
      </w:pPr>
      <w:r>
        <w:rPr>
          <w:sz w:val="24"/>
        </w:rPr>
        <w:t xml:space="preserve">данные по </w:t>
      </w:r>
      <w:hyperlink w:history="0" w:anchor="P57785" w:tooltip="2.4.2.5">
        <w:r>
          <w:rPr>
            <w:sz w:val="24"/>
            <w:color w:val="0000ff"/>
          </w:rPr>
          <w:t xml:space="preserve">строке 2.4.2.5</w:t>
        </w:r>
      </w:hyperlink>
      <w:r>
        <w:rPr>
          <w:sz w:val="24"/>
        </w:rPr>
        <w:t xml:space="preserve"> должны быть равны сумме данных по </w:t>
      </w:r>
      <w:hyperlink w:history="0" w:anchor="P57789" w:tooltip="2.4.2.5.1">
        <w:r>
          <w:rPr>
            <w:sz w:val="24"/>
            <w:color w:val="0000ff"/>
          </w:rPr>
          <w:t xml:space="preserve">строкам 2.4.2.5.1</w:t>
        </w:r>
      </w:hyperlink>
      <w:r>
        <w:rPr>
          <w:sz w:val="24"/>
        </w:rPr>
        <w:t xml:space="preserve"> - </w:t>
      </w:r>
      <w:hyperlink w:history="0" w:anchor="P57797" w:tooltip="2.4.2.5.3">
        <w:r>
          <w:rPr>
            <w:sz w:val="24"/>
            <w:color w:val="0000ff"/>
          </w:rPr>
          <w:t xml:space="preserve">2.4.2.5.3</w:t>
        </w:r>
      </w:hyperlink>
      <w:r>
        <w:rPr>
          <w:sz w:val="24"/>
        </w:rPr>
        <w:t xml:space="preserve">;</w:t>
      </w:r>
    </w:p>
    <w:p>
      <w:pPr>
        <w:pStyle w:val="0"/>
        <w:spacing w:before="240" w:lineRule="auto"/>
        <w:ind w:firstLine="540"/>
        <w:jc w:val="both"/>
      </w:pPr>
      <w:r>
        <w:rPr>
          <w:sz w:val="24"/>
        </w:rPr>
        <w:t xml:space="preserve">данные по </w:t>
      </w:r>
      <w:hyperlink w:history="0" w:anchor="P57801" w:tooltip="2.4.2.6">
        <w:r>
          <w:rPr>
            <w:sz w:val="24"/>
            <w:color w:val="0000ff"/>
          </w:rPr>
          <w:t xml:space="preserve">строке 2.4.2.6</w:t>
        </w:r>
      </w:hyperlink>
      <w:r>
        <w:rPr>
          <w:sz w:val="24"/>
        </w:rPr>
        <w:t xml:space="preserve"> должны быть равны сумме данных по </w:t>
      </w:r>
      <w:hyperlink w:history="0" w:anchor="P57805" w:tooltip="2.4.2.6.1">
        <w:r>
          <w:rPr>
            <w:sz w:val="24"/>
            <w:color w:val="0000ff"/>
          </w:rPr>
          <w:t xml:space="preserve">строкам 2.4.2.6.1</w:t>
        </w:r>
      </w:hyperlink>
      <w:r>
        <w:rPr>
          <w:sz w:val="24"/>
        </w:rPr>
        <w:t xml:space="preserve"> и </w:t>
      </w:r>
      <w:hyperlink w:history="0" w:anchor="P57809" w:tooltip="2.4.2.6.2">
        <w:r>
          <w:rPr>
            <w:sz w:val="24"/>
            <w:color w:val="0000ff"/>
          </w:rPr>
          <w:t xml:space="preserve">2.4.2.6.2</w:t>
        </w:r>
      </w:hyperlink>
      <w:r>
        <w:rPr>
          <w:sz w:val="24"/>
        </w:rPr>
        <w:t xml:space="preserve">;</w:t>
      </w:r>
    </w:p>
    <w:p>
      <w:pPr>
        <w:pStyle w:val="0"/>
        <w:spacing w:before="240" w:lineRule="auto"/>
        <w:ind w:firstLine="540"/>
        <w:jc w:val="both"/>
      </w:pPr>
      <w:r>
        <w:rPr>
          <w:sz w:val="24"/>
        </w:rPr>
        <w:t xml:space="preserve">данные по </w:t>
      </w:r>
      <w:hyperlink w:history="0" w:anchor="P57813" w:tooltip="2.4.2.7">
        <w:r>
          <w:rPr>
            <w:sz w:val="24"/>
            <w:color w:val="0000ff"/>
          </w:rPr>
          <w:t xml:space="preserve">строке 2.4.2.7</w:t>
        </w:r>
      </w:hyperlink>
      <w:r>
        <w:rPr>
          <w:sz w:val="24"/>
        </w:rPr>
        <w:t xml:space="preserve"> должны быть равны сумме данных по </w:t>
      </w:r>
      <w:hyperlink w:history="0" w:anchor="P57817" w:tooltip="2.4.2.7.1">
        <w:r>
          <w:rPr>
            <w:sz w:val="24"/>
            <w:color w:val="0000ff"/>
          </w:rPr>
          <w:t xml:space="preserve">строкам 2.4.2.7.1</w:t>
        </w:r>
      </w:hyperlink>
      <w:r>
        <w:rPr>
          <w:sz w:val="24"/>
        </w:rPr>
        <w:t xml:space="preserve"> - </w:t>
      </w:r>
      <w:hyperlink w:history="0" w:anchor="P57833" w:tooltip="2.4.2.7.5">
        <w:r>
          <w:rPr>
            <w:sz w:val="24"/>
            <w:color w:val="0000ff"/>
          </w:rPr>
          <w:t xml:space="preserve">2.4.2.7.5</w:t>
        </w:r>
      </w:hyperlink>
      <w:r>
        <w:rPr>
          <w:sz w:val="24"/>
        </w:rPr>
        <w:t xml:space="preserve">;</w:t>
      </w:r>
    </w:p>
    <w:p>
      <w:pPr>
        <w:pStyle w:val="0"/>
        <w:spacing w:before="240" w:lineRule="auto"/>
        <w:ind w:firstLine="540"/>
        <w:jc w:val="both"/>
      </w:pPr>
      <w:r>
        <w:rPr>
          <w:sz w:val="24"/>
        </w:rPr>
        <w:t xml:space="preserve">данные по </w:t>
      </w:r>
      <w:hyperlink w:history="0" w:anchor="P57837" w:tooltip="2.4.2.8">
        <w:r>
          <w:rPr>
            <w:sz w:val="24"/>
            <w:color w:val="0000ff"/>
          </w:rPr>
          <w:t xml:space="preserve">строке 2.4.2.8</w:t>
        </w:r>
      </w:hyperlink>
      <w:r>
        <w:rPr>
          <w:sz w:val="24"/>
        </w:rPr>
        <w:t xml:space="preserve"> должны быть равны сумме данных по </w:t>
      </w:r>
      <w:hyperlink w:history="0" w:anchor="P57841" w:tooltip="2.4.2.8.1">
        <w:r>
          <w:rPr>
            <w:sz w:val="24"/>
            <w:color w:val="0000ff"/>
          </w:rPr>
          <w:t xml:space="preserve">строкам 2.4.2.8.1</w:t>
        </w:r>
      </w:hyperlink>
      <w:r>
        <w:rPr>
          <w:sz w:val="24"/>
        </w:rPr>
        <w:t xml:space="preserve"> - </w:t>
      </w:r>
      <w:hyperlink w:history="0" w:anchor="P57873" w:tooltip="2.4.2.8.9">
        <w:r>
          <w:rPr>
            <w:sz w:val="24"/>
            <w:color w:val="0000ff"/>
          </w:rPr>
          <w:t xml:space="preserve">2.4.2.8.9</w:t>
        </w:r>
      </w:hyperlink>
      <w:r>
        <w:rPr>
          <w:sz w:val="24"/>
        </w:rPr>
        <w:t xml:space="preserve">;</w:t>
      </w:r>
    </w:p>
    <w:p>
      <w:pPr>
        <w:pStyle w:val="0"/>
        <w:spacing w:before="240" w:lineRule="auto"/>
        <w:ind w:firstLine="540"/>
        <w:jc w:val="both"/>
      </w:pPr>
      <w:r>
        <w:rPr>
          <w:sz w:val="24"/>
        </w:rPr>
        <w:t xml:space="preserve">данные по </w:t>
      </w:r>
      <w:hyperlink w:history="0" w:anchor="P57881" w:tooltip="2.4.4">
        <w:r>
          <w:rPr>
            <w:sz w:val="24"/>
            <w:color w:val="0000ff"/>
          </w:rPr>
          <w:t xml:space="preserve">строке 2.4.4</w:t>
        </w:r>
      </w:hyperlink>
      <w:r>
        <w:rPr>
          <w:sz w:val="24"/>
        </w:rPr>
        <w:t xml:space="preserve"> должны быть равны сумме данных по </w:t>
      </w:r>
      <w:hyperlink w:history="0" w:anchor="P57885" w:tooltip="2.4.4.1">
        <w:r>
          <w:rPr>
            <w:sz w:val="24"/>
            <w:color w:val="0000ff"/>
          </w:rPr>
          <w:t xml:space="preserve">строкам 2.4.4.1</w:t>
        </w:r>
      </w:hyperlink>
      <w:r>
        <w:rPr>
          <w:sz w:val="24"/>
        </w:rPr>
        <w:t xml:space="preserve"> - </w:t>
      </w:r>
      <w:hyperlink w:history="0" w:anchor="P57893" w:tooltip="2.4.4.3">
        <w:r>
          <w:rPr>
            <w:sz w:val="24"/>
            <w:color w:val="0000ff"/>
          </w:rPr>
          <w:t xml:space="preserve">2.4.4.3</w:t>
        </w:r>
      </w:hyperlink>
      <w:r>
        <w:rPr>
          <w:sz w:val="24"/>
        </w:rPr>
        <w:t xml:space="preserve">;</w:t>
      </w:r>
    </w:p>
    <w:p>
      <w:pPr>
        <w:pStyle w:val="0"/>
        <w:spacing w:before="240" w:lineRule="auto"/>
        <w:ind w:firstLine="540"/>
        <w:jc w:val="both"/>
      </w:pPr>
      <w:r>
        <w:rPr>
          <w:sz w:val="24"/>
        </w:rPr>
        <w:t xml:space="preserve">данные по </w:t>
      </w:r>
      <w:hyperlink w:history="0" w:anchor="P57897" w:tooltip="2.5">
        <w:r>
          <w:rPr>
            <w:sz w:val="24"/>
            <w:color w:val="0000ff"/>
          </w:rPr>
          <w:t xml:space="preserve">строке 2.5</w:t>
        </w:r>
      </w:hyperlink>
      <w:r>
        <w:rPr>
          <w:sz w:val="24"/>
        </w:rPr>
        <w:t xml:space="preserve"> должны быть равны сумме данных по </w:t>
      </w:r>
      <w:hyperlink w:history="0" w:anchor="P57901" w:tooltip="2.5.1">
        <w:r>
          <w:rPr>
            <w:sz w:val="24"/>
            <w:color w:val="0000ff"/>
          </w:rPr>
          <w:t xml:space="preserve">строкам 2.5.1</w:t>
        </w:r>
      </w:hyperlink>
      <w:r>
        <w:rPr>
          <w:sz w:val="24"/>
        </w:rPr>
        <w:t xml:space="preserve"> - </w:t>
      </w:r>
      <w:hyperlink w:history="0" w:anchor="P57921" w:tooltip="2.5.6">
        <w:r>
          <w:rPr>
            <w:sz w:val="24"/>
            <w:color w:val="0000ff"/>
          </w:rPr>
          <w:t xml:space="preserve">2.5.6</w:t>
        </w:r>
      </w:hyperlink>
      <w:r>
        <w:rPr>
          <w:sz w:val="24"/>
        </w:rPr>
        <w:t xml:space="preserve">;</w:t>
      </w:r>
    </w:p>
    <w:p>
      <w:pPr>
        <w:pStyle w:val="0"/>
        <w:spacing w:before="240" w:lineRule="auto"/>
        <w:ind w:firstLine="540"/>
        <w:jc w:val="both"/>
      </w:pPr>
      <w:r>
        <w:rPr>
          <w:sz w:val="24"/>
        </w:rPr>
        <w:t xml:space="preserve">данные по </w:t>
      </w:r>
      <w:hyperlink w:history="0" w:anchor="P57929" w:tooltip="2.7">
        <w:r>
          <w:rPr>
            <w:sz w:val="24"/>
            <w:color w:val="0000ff"/>
          </w:rPr>
          <w:t xml:space="preserve">строке 2.7</w:t>
        </w:r>
      </w:hyperlink>
      <w:r>
        <w:rPr>
          <w:sz w:val="24"/>
        </w:rPr>
        <w:t xml:space="preserve"> должны быть равны сумме данных по </w:t>
      </w:r>
      <w:hyperlink w:history="0" w:anchor="P57933" w:tooltip="2.7.1">
        <w:r>
          <w:rPr>
            <w:sz w:val="24"/>
            <w:color w:val="0000ff"/>
          </w:rPr>
          <w:t xml:space="preserve">строкам 2.7.1</w:t>
        </w:r>
      </w:hyperlink>
      <w:r>
        <w:rPr>
          <w:sz w:val="24"/>
        </w:rPr>
        <w:t xml:space="preserve"> - </w:t>
      </w:r>
      <w:hyperlink w:history="0" w:anchor="P57945" w:tooltip="2.7.4">
        <w:r>
          <w:rPr>
            <w:sz w:val="24"/>
            <w:color w:val="0000ff"/>
          </w:rPr>
          <w:t xml:space="preserve">2.7.4</w:t>
        </w:r>
      </w:hyperlink>
      <w:r>
        <w:rPr>
          <w:sz w:val="24"/>
        </w:rPr>
        <w:t xml:space="preserve">;</w:t>
      </w:r>
    </w:p>
    <w:p>
      <w:pPr>
        <w:pStyle w:val="0"/>
        <w:spacing w:before="240" w:lineRule="auto"/>
        <w:ind w:firstLine="540"/>
        <w:jc w:val="both"/>
      </w:pPr>
      <w:r>
        <w:rPr>
          <w:sz w:val="24"/>
        </w:rPr>
        <w:t xml:space="preserve">данные по </w:t>
      </w:r>
      <w:hyperlink w:history="0" w:anchor="P57949" w:tooltip="2.8">
        <w:r>
          <w:rPr>
            <w:sz w:val="24"/>
            <w:color w:val="0000ff"/>
          </w:rPr>
          <w:t xml:space="preserve">строке 2.8</w:t>
        </w:r>
      </w:hyperlink>
      <w:r>
        <w:rPr>
          <w:sz w:val="24"/>
        </w:rPr>
        <w:t xml:space="preserve"> должны быть равны сумме данных по </w:t>
      </w:r>
      <w:hyperlink w:history="0" w:anchor="P57953" w:tooltip="2.8.1">
        <w:r>
          <w:rPr>
            <w:sz w:val="24"/>
            <w:color w:val="0000ff"/>
          </w:rPr>
          <w:t xml:space="preserve">строкам 2.8.1</w:t>
        </w:r>
      </w:hyperlink>
      <w:r>
        <w:rPr>
          <w:sz w:val="24"/>
        </w:rPr>
        <w:t xml:space="preserve">, </w:t>
      </w:r>
      <w:hyperlink w:history="0" w:anchor="P57965" w:tooltip="2.8.2">
        <w:r>
          <w:rPr>
            <w:sz w:val="24"/>
            <w:color w:val="0000ff"/>
          </w:rPr>
          <w:t xml:space="preserve">2.8.2</w:t>
        </w:r>
      </w:hyperlink>
      <w:r>
        <w:rPr>
          <w:sz w:val="24"/>
        </w:rPr>
        <w:t xml:space="preserve">, </w:t>
      </w:r>
      <w:hyperlink w:history="0" w:anchor="P57977" w:tooltip="2.8.3">
        <w:r>
          <w:rPr>
            <w:sz w:val="24"/>
            <w:color w:val="0000ff"/>
          </w:rPr>
          <w:t xml:space="preserve">2.8.3</w:t>
        </w:r>
      </w:hyperlink>
      <w:r>
        <w:rPr>
          <w:sz w:val="24"/>
        </w:rPr>
        <w:t xml:space="preserve">, </w:t>
      </w:r>
      <w:hyperlink w:history="0" w:anchor="P57981" w:tooltip="2.8.4">
        <w:r>
          <w:rPr>
            <w:sz w:val="24"/>
            <w:color w:val="0000ff"/>
          </w:rPr>
          <w:t xml:space="preserve">2.8.4</w:t>
        </w:r>
      </w:hyperlink>
      <w:r>
        <w:rPr>
          <w:sz w:val="24"/>
        </w:rPr>
        <w:t xml:space="preserve">, </w:t>
      </w:r>
      <w:hyperlink w:history="0" w:anchor="P57993" w:tooltip="2.8.5">
        <w:r>
          <w:rPr>
            <w:sz w:val="24"/>
            <w:color w:val="0000ff"/>
          </w:rPr>
          <w:t xml:space="preserve">2.8.5</w:t>
        </w:r>
      </w:hyperlink>
      <w:r>
        <w:rPr>
          <w:sz w:val="24"/>
        </w:rPr>
        <w:t xml:space="preserve">, </w:t>
      </w:r>
      <w:hyperlink w:history="0" w:anchor="P58017" w:tooltip="2.8.6">
        <w:r>
          <w:rPr>
            <w:sz w:val="24"/>
            <w:color w:val="0000ff"/>
          </w:rPr>
          <w:t xml:space="preserve">2.8.6</w:t>
        </w:r>
      </w:hyperlink>
      <w:r>
        <w:rPr>
          <w:sz w:val="24"/>
        </w:rPr>
        <w:t xml:space="preserve"> - </w:t>
      </w:r>
      <w:hyperlink w:history="0" w:anchor="P58025" w:tooltip="2.8.8">
        <w:r>
          <w:rPr>
            <w:sz w:val="24"/>
            <w:color w:val="0000ff"/>
          </w:rPr>
          <w:t xml:space="preserve">2.8.8</w:t>
        </w:r>
      </w:hyperlink>
      <w:r>
        <w:rPr>
          <w:sz w:val="24"/>
        </w:rPr>
        <w:t xml:space="preserve">;</w:t>
      </w:r>
    </w:p>
    <w:p>
      <w:pPr>
        <w:pStyle w:val="0"/>
        <w:spacing w:before="240" w:lineRule="auto"/>
        <w:ind w:firstLine="540"/>
        <w:jc w:val="both"/>
      </w:pPr>
      <w:r>
        <w:rPr>
          <w:sz w:val="24"/>
        </w:rPr>
        <w:t xml:space="preserve">данные по </w:t>
      </w:r>
      <w:hyperlink w:history="0" w:anchor="P57953" w:tooltip="2.8.1">
        <w:r>
          <w:rPr>
            <w:sz w:val="24"/>
            <w:color w:val="0000ff"/>
          </w:rPr>
          <w:t xml:space="preserve">строке 2.8.1</w:t>
        </w:r>
      </w:hyperlink>
      <w:r>
        <w:rPr>
          <w:sz w:val="24"/>
        </w:rPr>
        <w:t xml:space="preserve"> должны быть равны сумме данных по </w:t>
      </w:r>
      <w:hyperlink w:history="0" w:anchor="P57957" w:tooltip="2.8.1.1">
        <w:r>
          <w:rPr>
            <w:sz w:val="24"/>
            <w:color w:val="0000ff"/>
          </w:rPr>
          <w:t xml:space="preserve">строкам 2.8.1.1</w:t>
        </w:r>
      </w:hyperlink>
      <w:r>
        <w:rPr>
          <w:sz w:val="24"/>
        </w:rPr>
        <w:t xml:space="preserve"> и </w:t>
      </w:r>
      <w:hyperlink w:history="0" w:anchor="P57961" w:tooltip="2.8.1.2">
        <w:r>
          <w:rPr>
            <w:sz w:val="24"/>
            <w:color w:val="0000ff"/>
          </w:rPr>
          <w:t xml:space="preserve">2.8.1.2</w:t>
        </w:r>
      </w:hyperlink>
      <w:r>
        <w:rPr>
          <w:sz w:val="24"/>
        </w:rPr>
        <w:t xml:space="preserve">;</w:t>
      </w:r>
    </w:p>
    <w:p>
      <w:pPr>
        <w:pStyle w:val="0"/>
        <w:spacing w:before="240" w:lineRule="auto"/>
        <w:ind w:firstLine="540"/>
        <w:jc w:val="both"/>
      </w:pPr>
      <w:r>
        <w:rPr>
          <w:sz w:val="24"/>
        </w:rPr>
        <w:t xml:space="preserve">данные по </w:t>
      </w:r>
      <w:hyperlink w:history="0" w:anchor="P57965" w:tooltip="2.8.2">
        <w:r>
          <w:rPr>
            <w:sz w:val="24"/>
            <w:color w:val="0000ff"/>
          </w:rPr>
          <w:t xml:space="preserve">строке 2.8.2</w:t>
        </w:r>
      </w:hyperlink>
      <w:r>
        <w:rPr>
          <w:sz w:val="24"/>
        </w:rPr>
        <w:t xml:space="preserve"> должны быть равны сумме данных по </w:t>
      </w:r>
      <w:hyperlink w:history="0" w:anchor="P57969" w:tooltip="2.8.2.1">
        <w:r>
          <w:rPr>
            <w:sz w:val="24"/>
            <w:color w:val="0000ff"/>
          </w:rPr>
          <w:t xml:space="preserve">строкам 2.8.2.1</w:t>
        </w:r>
      </w:hyperlink>
      <w:r>
        <w:rPr>
          <w:sz w:val="24"/>
        </w:rPr>
        <w:t xml:space="preserve"> и </w:t>
      </w:r>
      <w:hyperlink w:history="0" w:anchor="P57973" w:tooltip="2.8.2.2">
        <w:r>
          <w:rPr>
            <w:sz w:val="24"/>
            <w:color w:val="0000ff"/>
          </w:rPr>
          <w:t xml:space="preserve">2.8.2.2</w:t>
        </w:r>
      </w:hyperlink>
      <w:r>
        <w:rPr>
          <w:sz w:val="24"/>
        </w:rPr>
        <w:t xml:space="preserve">;</w:t>
      </w:r>
    </w:p>
    <w:p>
      <w:pPr>
        <w:pStyle w:val="0"/>
        <w:spacing w:before="240" w:lineRule="auto"/>
        <w:ind w:firstLine="540"/>
        <w:jc w:val="both"/>
      </w:pPr>
      <w:r>
        <w:rPr>
          <w:sz w:val="24"/>
        </w:rPr>
        <w:t xml:space="preserve">данные по </w:t>
      </w:r>
      <w:hyperlink w:history="0" w:anchor="P57981" w:tooltip="2.8.4">
        <w:r>
          <w:rPr>
            <w:sz w:val="24"/>
            <w:color w:val="0000ff"/>
          </w:rPr>
          <w:t xml:space="preserve">строке 2.8.4</w:t>
        </w:r>
      </w:hyperlink>
      <w:r>
        <w:rPr>
          <w:sz w:val="24"/>
        </w:rPr>
        <w:t xml:space="preserve"> должны быть равны сумме данных по </w:t>
      </w:r>
      <w:hyperlink w:history="0" w:anchor="P57985" w:tooltip="2.8.4.1">
        <w:r>
          <w:rPr>
            <w:sz w:val="24"/>
            <w:color w:val="0000ff"/>
          </w:rPr>
          <w:t xml:space="preserve">строкам 2.8.4.1</w:t>
        </w:r>
      </w:hyperlink>
      <w:r>
        <w:rPr>
          <w:sz w:val="24"/>
        </w:rPr>
        <w:t xml:space="preserve"> и </w:t>
      </w:r>
      <w:hyperlink w:history="0" w:anchor="P57989" w:tooltip="2.8.4.2">
        <w:r>
          <w:rPr>
            <w:sz w:val="24"/>
            <w:color w:val="0000ff"/>
          </w:rPr>
          <w:t xml:space="preserve">2.8.4.2</w:t>
        </w:r>
      </w:hyperlink>
      <w:r>
        <w:rPr>
          <w:sz w:val="24"/>
        </w:rPr>
        <w:t xml:space="preserve">;</w:t>
      </w:r>
    </w:p>
    <w:p>
      <w:pPr>
        <w:pStyle w:val="0"/>
        <w:spacing w:before="240" w:lineRule="auto"/>
        <w:ind w:firstLine="540"/>
        <w:jc w:val="both"/>
      </w:pPr>
      <w:r>
        <w:rPr>
          <w:sz w:val="24"/>
        </w:rPr>
        <w:t xml:space="preserve">данные по </w:t>
      </w:r>
      <w:hyperlink w:history="0" w:anchor="P57993" w:tooltip="2.8.5">
        <w:r>
          <w:rPr>
            <w:sz w:val="24"/>
            <w:color w:val="0000ff"/>
          </w:rPr>
          <w:t xml:space="preserve">строке 2.8.5</w:t>
        </w:r>
      </w:hyperlink>
      <w:r>
        <w:rPr>
          <w:sz w:val="24"/>
        </w:rPr>
        <w:t xml:space="preserve"> должны быть равны сумме данных по </w:t>
      </w:r>
      <w:hyperlink w:history="0" w:anchor="P57997" w:tooltip="2.8.5.1">
        <w:r>
          <w:rPr>
            <w:sz w:val="24"/>
            <w:color w:val="0000ff"/>
          </w:rPr>
          <w:t xml:space="preserve">строкам 2.8.5.1</w:t>
        </w:r>
      </w:hyperlink>
      <w:r>
        <w:rPr>
          <w:sz w:val="24"/>
        </w:rPr>
        <w:t xml:space="preserve"> - </w:t>
      </w:r>
      <w:hyperlink w:history="0" w:anchor="P58013" w:tooltip="2.8.5.5">
        <w:r>
          <w:rPr>
            <w:sz w:val="24"/>
            <w:color w:val="0000ff"/>
          </w:rPr>
          <w:t xml:space="preserve">2.8.5.5</w:t>
        </w:r>
      </w:hyperlink>
      <w:r>
        <w:rPr>
          <w:sz w:val="24"/>
        </w:rPr>
        <w:t xml:space="preserve">.</w:t>
      </w:r>
    </w:p>
    <w:p>
      <w:pPr>
        <w:pStyle w:val="0"/>
        <w:spacing w:before="240" w:lineRule="auto"/>
        <w:ind w:firstLine="540"/>
        <w:jc w:val="both"/>
      </w:pPr>
      <w:r>
        <w:rPr>
          <w:sz w:val="24"/>
        </w:rPr>
        <w:t xml:space="preserve">8.9. Значения показателей </w:t>
      </w:r>
      <w:hyperlink w:history="0" w:anchor="P54370" w:tooltip="Раздел 1. Страхование">
        <w:r>
          <w:rPr>
            <w:sz w:val="24"/>
            <w:color w:val="0000ff"/>
          </w:rPr>
          <w:t xml:space="preserve">раздела 1</w:t>
        </w:r>
      </w:hyperlink>
      <w:r>
        <w:rPr>
          <w:sz w:val="24"/>
        </w:rPr>
        <w:t xml:space="preserve"> отчетности по форме 0420162 по аналитическим признакам группы аналитических признаков "Виды страхования (справочно)" (</w:t>
      </w:r>
      <w:hyperlink w:history="0" w:anchor="P58033" w:tooltip="3">
        <w:r>
          <w:rPr>
            <w:sz w:val="24"/>
            <w:color w:val="0000ff"/>
          </w:rPr>
          <w:t xml:space="preserve">строка 3 подраздела 1.1 раздела 1 части II</w:t>
        </w:r>
      </w:hyperlink>
      <w:r>
        <w:rPr>
          <w:sz w:val="24"/>
        </w:rPr>
        <w:t xml:space="preserve"> настоящего приложения) определяются следующим образом:</w:t>
      </w:r>
    </w:p>
    <w:p>
      <w:pPr>
        <w:pStyle w:val="0"/>
        <w:spacing w:before="240" w:lineRule="auto"/>
        <w:ind w:firstLine="540"/>
        <w:jc w:val="both"/>
      </w:pPr>
      <w:r>
        <w:rPr>
          <w:sz w:val="24"/>
        </w:rPr>
        <w:t xml:space="preserve">данные по </w:t>
      </w:r>
      <w:hyperlink w:history="0" w:anchor="P58037" w:tooltip="3.1">
        <w:r>
          <w:rPr>
            <w:sz w:val="24"/>
            <w:color w:val="0000ff"/>
          </w:rPr>
          <w:t xml:space="preserve">строке 3.1</w:t>
        </w:r>
      </w:hyperlink>
      <w:r>
        <w:rPr>
          <w:sz w:val="24"/>
        </w:rPr>
        <w:t xml:space="preserve"> должны быть больше или равны данным по </w:t>
      </w:r>
      <w:hyperlink w:history="0" w:anchor="P58041" w:tooltip="3.1.1">
        <w:r>
          <w:rPr>
            <w:sz w:val="24"/>
            <w:color w:val="0000ff"/>
          </w:rPr>
          <w:t xml:space="preserve">строке 3.1.1</w:t>
        </w:r>
      </w:hyperlink>
      <w:r>
        <w:rPr>
          <w:sz w:val="24"/>
        </w:rPr>
        <w:t xml:space="preserve">;</w:t>
      </w:r>
    </w:p>
    <w:p>
      <w:pPr>
        <w:pStyle w:val="0"/>
        <w:spacing w:before="240" w:lineRule="auto"/>
        <w:ind w:firstLine="540"/>
        <w:jc w:val="both"/>
      </w:pPr>
      <w:r>
        <w:rPr>
          <w:sz w:val="24"/>
        </w:rPr>
        <w:t xml:space="preserve">данные по </w:t>
      </w:r>
      <w:hyperlink w:history="0" w:anchor="P58045" w:tooltip="3.2">
        <w:r>
          <w:rPr>
            <w:sz w:val="24"/>
            <w:color w:val="0000ff"/>
          </w:rPr>
          <w:t xml:space="preserve">строке 3.2</w:t>
        </w:r>
      </w:hyperlink>
      <w:r>
        <w:rPr>
          <w:sz w:val="24"/>
        </w:rPr>
        <w:t xml:space="preserve"> должны быть равны сумме данных по </w:t>
      </w:r>
      <w:hyperlink w:history="0" w:anchor="P58049" w:tooltip="3.2.1">
        <w:r>
          <w:rPr>
            <w:sz w:val="24"/>
            <w:color w:val="0000ff"/>
          </w:rPr>
          <w:t xml:space="preserve">строкам 3.2.1</w:t>
        </w:r>
      </w:hyperlink>
      <w:r>
        <w:rPr>
          <w:sz w:val="24"/>
        </w:rPr>
        <w:t xml:space="preserve"> - </w:t>
      </w:r>
      <w:hyperlink w:history="0" w:anchor="P58061" w:tooltip="3.2.4">
        <w:r>
          <w:rPr>
            <w:sz w:val="24"/>
            <w:color w:val="0000ff"/>
          </w:rPr>
          <w:t xml:space="preserve">3.2.4</w:t>
        </w:r>
      </w:hyperlink>
      <w:r>
        <w:rPr>
          <w:sz w:val="24"/>
        </w:rPr>
        <w:t xml:space="preserve">.</w:t>
      </w:r>
    </w:p>
    <w:p>
      <w:pPr>
        <w:pStyle w:val="0"/>
        <w:spacing w:before="240" w:lineRule="auto"/>
        <w:ind w:firstLine="540"/>
        <w:jc w:val="both"/>
      </w:pPr>
      <w:r>
        <w:rPr>
          <w:sz w:val="24"/>
        </w:rPr>
        <w:t xml:space="preserve">8.10. Значения показателей </w:t>
      </w:r>
      <w:hyperlink w:history="0" w:anchor="P55703" w:tooltip="Раздел 2.">
        <w:r>
          <w:rPr>
            <w:sz w:val="24"/>
            <w:color w:val="0000ff"/>
          </w:rPr>
          <w:t xml:space="preserve">раздела 2</w:t>
        </w:r>
      </w:hyperlink>
      <w:r>
        <w:rPr>
          <w:sz w:val="24"/>
        </w:rPr>
        <w:t xml:space="preserve"> отчетности по форме 0420162 по аналитическим признакам группы аналитических признаков "Виды страхования" (</w:t>
      </w:r>
      <w:hyperlink w:history="0" w:anchor="P58301" w:tooltip="1">
        <w:r>
          <w:rPr>
            <w:sz w:val="24"/>
            <w:color w:val="0000ff"/>
          </w:rPr>
          <w:t xml:space="preserve">строка 1 подраздела 1.2 раздела 1 части II</w:t>
        </w:r>
      </w:hyperlink>
      <w:r>
        <w:rPr>
          <w:sz w:val="24"/>
        </w:rPr>
        <w:t xml:space="preserve"> настоящего приложения) определяются следующим образом:</w:t>
      </w:r>
    </w:p>
    <w:p>
      <w:pPr>
        <w:pStyle w:val="0"/>
        <w:spacing w:before="240" w:lineRule="auto"/>
        <w:ind w:firstLine="540"/>
        <w:jc w:val="both"/>
      </w:pPr>
      <w:r>
        <w:rPr>
          <w:sz w:val="24"/>
        </w:rPr>
        <w:t xml:space="preserve">данные по </w:t>
      </w:r>
      <w:hyperlink w:history="0" w:anchor="P58313" w:tooltip="1.3">
        <w:r>
          <w:rPr>
            <w:sz w:val="24"/>
            <w:color w:val="0000ff"/>
          </w:rPr>
          <w:t xml:space="preserve">строке 1.3</w:t>
        </w:r>
      </w:hyperlink>
      <w:r>
        <w:rPr>
          <w:sz w:val="24"/>
        </w:rPr>
        <w:t xml:space="preserve"> должны быть равны сумме данных по </w:t>
      </w:r>
      <w:hyperlink w:history="0" w:anchor="P58317" w:tooltip="1.3.1">
        <w:r>
          <w:rPr>
            <w:sz w:val="24"/>
            <w:color w:val="0000ff"/>
          </w:rPr>
          <w:t xml:space="preserve">строкам 1.3.1</w:t>
        </w:r>
      </w:hyperlink>
      <w:r>
        <w:rPr>
          <w:sz w:val="24"/>
        </w:rPr>
        <w:t xml:space="preserve"> и </w:t>
      </w:r>
      <w:hyperlink w:history="0" w:anchor="P58329" w:tooltip="1.3.2">
        <w:r>
          <w:rPr>
            <w:sz w:val="24"/>
            <w:color w:val="0000ff"/>
          </w:rPr>
          <w:t xml:space="preserve">1.3.2</w:t>
        </w:r>
      </w:hyperlink>
      <w:r>
        <w:rPr>
          <w:sz w:val="24"/>
        </w:rPr>
        <w:t xml:space="preserve">;</w:t>
      </w:r>
    </w:p>
    <w:p>
      <w:pPr>
        <w:pStyle w:val="0"/>
        <w:spacing w:before="240" w:lineRule="auto"/>
        <w:ind w:firstLine="540"/>
        <w:jc w:val="both"/>
      </w:pPr>
      <w:r>
        <w:rPr>
          <w:sz w:val="24"/>
        </w:rPr>
        <w:t xml:space="preserve">данные по </w:t>
      </w:r>
      <w:hyperlink w:history="0" w:anchor="P58317" w:tooltip="1.3.1">
        <w:r>
          <w:rPr>
            <w:sz w:val="24"/>
            <w:color w:val="0000ff"/>
          </w:rPr>
          <w:t xml:space="preserve">строке 1.3.1</w:t>
        </w:r>
      </w:hyperlink>
      <w:r>
        <w:rPr>
          <w:sz w:val="24"/>
        </w:rPr>
        <w:t xml:space="preserve"> должны быть больше или равны сумме данных по </w:t>
      </w:r>
      <w:hyperlink w:history="0" w:anchor="P58321" w:tooltip="1.3.1.1">
        <w:r>
          <w:rPr>
            <w:sz w:val="24"/>
            <w:color w:val="0000ff"/>
          </w:rPr>
          <w:t xml:space="preserve">строкам 1.3.1.1</w:t>
        </w:r>
      </w:hyperlink>
      <w:r>
        <w:rPr>
          <w:sz w:val="24"/>
        </w:rPr>
        <w:t xml:space="preserve"> и </w:t>
      </w:r>
      <w:hyperlink w:history="0" w:anchor="P58325" w:tooltip="1.3.1.2">
        <w:r>
          <w:rPr>
            <w:sz w:val="24"/>
            <w:color w:val="0000ff"/>
          </w:rPr>
          <w:t xml:space="preserve">1.3.1.2</w:t>
        </w:r>
      </w:hyperlink>
      <w:r>
        <w:rPr>
          <w:sz w:val="24"/>
        </w:rPr>
        <w:t xml:space="preserve">;</w:t>
      </w:r>
    </w:p>
    <w:p>
      <w:pPr>
        <w:pStyle w:val="0"/>
        <w:spacing w:before="240" w:lineRule="auto"/>
        <w:ind w:firstLine="540"/>
        <w:jc w:val="both"/>
      </w:pPr>
      <w:r>
        <w:rPr>
          <w:sz w:val="24"/>
        </w:rPr>
        <w:t xml:space="preserve">данные по </w:t>
      </w:r>
      <w:hyperlink w:history="0" w:anchor="P58333" w:tooltip="1.4">
        <w:r>
          <w:rPr>
            <w:sz w:val="24"/>
            <w:color w:val="0000ff"/>
          </w:rPr>
          <w:t xml:space="preserve">строке 1.4</w:t>
        </w:r>
      </w:hyperlink>
      <w:r>
        <w:rPr>
          <w:sz w:val="24"/>
        </w:rPr>
        <w:t xml:space="preserve"> должны быть равны сумме данных по </w:t>
      </w:r>
      <w:hyperlink w:history="0" w:anchor="P58337" w:tooltip="1.4.1">
        <w:r>
          <w:rPr>
            <w:sz w:val="24"/>
            <w:color w:val="0000ff"/>
          </w:rPr>
          <w:t xml:space="preserve">строкам 1.4.1</w:t>
        </w:r>
      </w:hyperlink>
      <w:r>
        <w:rPr>
          <w:sz w:val="24"/>
        </w:rPr>
        <w:t xml:space="preserve">, </w:t>
      </w:r>
      <w:hyperlink w:history="0" w:anchor="P58389" w:tooltip="1.4.2">
        <w:r>
          <w:rPr>
            <w:sz w:val="24"/>
            <w:color w:val="0000ff"/>
          </w:rPr>
          <w:t xml:space="preserve">1.4.2</w:t>
        </w:r>
      </w:hyperlink>
      <w:r>
        <w:rPr>
          <w:sz w:val="24"/>
        </w:rPr>
        <w:t xml:space="preserve">, </w:t>
      </w:r>
      <w:hyperlink w:history="0" w:anchor="P58433" w:tooltip="1.4.3">
        <w:r>
          <w:rPr>
            <w:sz w:val="24"/>
            <w:color w:val="0000ff"/>
          </w:rPr>
          <w:t xml:space="preserve">1.4.3</w:t>
        </w:r>
      </w:hyperlink>
      <w:r>
        <w:rPr>
          <w:sz w:val="24"/>
        </w:rPr>
        <w:t xml:space="preserve"> и </w:t>
      </w:r>
      <w:hyperlink w:history="0" w:anchor="P58437" w:tooltip="1.4.4">
        <w:r>
          <w:rPr>
            <w:sz w:val="24"/>
            <w:color w:val="0000ff"/>
          </w:rPr>
          <w:t xml:space="preserve">1.4.4</w:t>
        </w:r>
      </w:hyperlink>
      <w:r>
        <w:rPr>
          <w:sz w:val="24"/>
        </w:rPr>
        <w:t xml:space="preserve">;</w:t>
      </w:r>
    </w:p>
    <w:p>
      <w:pPr>
        <w:pStyle w:val="0"/>
        <w:spacing w:before="240" w:lineRule="auto"/>
        <w:ind w:firstLine="540"/>
        <w:jc w:val="both"/>
      </w:pPr>
      <w:r>
        <w:rPr>
          <w:sz w:val="24"/>
        </w:rPr>
        <w:t xml:space="preserve">данные по </w:t>
      </w:r>
      <w:hyperlink w:history="0" w:anchor="P58337" w:tooltip="1.4.1">
        <w:r>
          <w:rPr>
            <w:sz w:val="24"/>
            <w:color w:val="0000ff"/>
          </w:rPr>
          <w:t xml:space="preserve">строке 1.4.1</w:t>
        </w:r>
      </w:hyperlink>
      <w:r>
        <w:rPr>
          <w:sz w:val="24"/>
        </w:rPr>
        <w:t xml:space="preserve"> должны быть равны сумме данных по </w:t>
      </w:r>
      <w:hyperlink w:history="0" w:anchor="P58341" w:tooltip="1.4.1.1">
        <w:r>
          <w:rPr>
            <w:sz w:val="24"/>
            <w:color w:val="0000ff"/>
          </w:rPr>
          <w:t xml:space="preserve">строкам 1.4.1.1</w:t>
        </w:r>
      </w:hyperlink>
      <w:r>
        <w:rPr>
          <w:sz w:val="24"/>
        </w:rPr>
        <w:t xml:space="preserve"> - </w:t>
      </w:r>
      <w:hyperlink w:history="0" w:anchor="P58361" w:tooltip="1.4.1.6">
        <w:r>
          <w:rPr>
            <w:sz w:val="24"/>
            <w:color w:val="0000ff"/>
          </w:rPr>
          <w:t xml:space="preserve">1.4.1.6</w:t>
        </w:r>
      </w:hyperlink>
      <w:r>
        <w:rPr>
          <w:sz w:val="24"/>
        </w:rPr>
        <w:t xml:space="preserve">, </w:t>
      </w:r>
      <w:hyperlink w:history="0" w:anchor="P58381" w:tooltip="1.4.1.7">
        <w:r>
          <w:rPr>
            <w:sz w:val="24"/>
            <w:color w:val="0000ff"/>
          </w:rPr>
          <w:t xml:space="preserve">1.4.1.7</w:t>
        </w:r>
      </w:hyperlink>
      <w:r>
        <w:rPr>
          <w:sz w:val="24"/>
        </w:rPr>
        <w:t xml:space="preserve">, </w:t>
      </w:r>
      <w:hyperlink w:history="0" w:anchor="P58385" w:tooltip="1.4.1.8">
        <w:r>
          <w:rPr>
            <w:sz w:val="24"/>
            <w:color w:val="0000ff"/>
          </w:rPr>
          <w:t xml:space="preserve">1.4.1.8</w:t>
        </w:r>
      </w:hyperlink>
      <w:r>
        <w:rPr>
          <w:sz w:val="24"/>
        </w:rPr>
        <w:t xml:space="preserve">;</w:t>
      </w:r>
    </w:p>
    <w:p>
      <w:pPr>
        <w:pStyle w:val="0"/>
        <w:spacing w:before="240" w:lineRule="auto"/>
        <w:ind w:firstLine="540"/>
        <w:jc w:val="both"/>
      </w:pPr>
      <w:r>
        <w:rPr>
          <w:sz w:val="24"/>
        </w:rPr>
        <w:t xml:space="preserve">данные по </w:t>
      </w:r>
      <w:hyperlink w:history="0" w:anchor="P58361" w:tooltip="1.4.1.6">
        <w:r>
          <w:rPr>
            <w:sz w:val="24"/>
            <w:color w:val="0000ff"/>
          </w:rPr>
          <w:t xml:space="preserve">строке 1.4.1.6</w:t>
        </w:r>
      </w:hyperlink>
      <w:r>
        <w:rPr>
          <w:sz w:val="24"/>
        </w:rPr>
        <w:t xml:space="preserve"> должны быть больше или равны сумме данных по </w:t>
      </w:r>
      <w:hyperlink w:history="0" w:anchor="P58365" w:tooltip="1.4.1.6.1">
        <w:r>
          <w:rPr>
            <w:sz w:val="24"/>
            <w:color w:val="0000ff"/>
          </w:rPr>
          <w:t xml:space="preserve">строкам 1.4.1.6.1</w:t>
        </w:r>
      </w:hyperlink>
      <w:r>
        <w:rPr>
          <w:sz w:val="24"/>
        </w:rPr>
        <w:t xml:space="preserve"> - </w:t>
      </w:r>
      <w:hyperlink w:history="0" w:anchor="P58377" w:tooltip="1.4.1.6.4">
        <w:r>
          <w:rPr>
            <w:sz w:val="24"/>
            <w:color w:val="0000ff"/>
          </w:rPr>
          <w:t xml:space="preserve">1.4.1.6.4</w:t>
        </w:r>
      </w:hyperlink>
      <w:r>
        <w:rPr>
          <w:sz w:val="24"/>
        </w:rPr>
        <w:t xml:space="preserve">;</w:t>
      </w:r>
    </w:p>
    <w:p>
      <w:pPr>
        <w:pStyle w:val="0"/>
        <w:spacing w:before="240" w:lineRule="auto"/>
        <w:ind w:firstLine="540"/>
        <w:jc w:val="both"/>
      </w:pPr>
      <w:r>
        <w:rPr>
          <w:sz w:val="24"/>
        </w:rPr>
        <w:t xml:space="preserve">данные по </w:t>
      </w:r>
      <w:hyperlink w:history="0" w:anchor="P58389" w:tooltip="1.4.2">
        <w:r>
          <w:rPr>
            <w:sz w:val="24"/>
            <w:color w:val="0000ff"/>
          </w:rPr>
          <w:t xml:space="preserve">строке 1.4.2</w:t>
        </w:r>
      </w:hyperlink>
      <w:r>
        <w:rPr>
          <w:sz w:val="24"/>
        </w:rPr>
        <w:t xml:space="preserve"> должны быть равны сумме данных по </w:t>
      </w:r>
      <w:hyperlink w:history="0" w:anchor="P58393" w:tooltip="1.4.2.1">
        <w:r>
          <w:rPr>
            <w:sz w:val="24"/>
            <w:color w:val="0000ff"/>
          </w:rPr>
          <w:t xml:space="preserve">строкам 1.4.2.1</w:t>
        </w:r>
      </w:hyperlink>
      <w:r>
        <w:rPr>
          <w:sz w:val="24"/>
        </w:rPr>
        <w:t xml:space="preserve">, </w:t>
      </w:r>
      <w:hyperlink w:history="0" w:anchor="P58405" w:tooltip="1.4.2.2">
        <w:r>
          <w:rPr>
            <w:sz w:val="24"/>
            <w:color w:val="0000ff"/>
          </w:rPr>
          <w:t xml:space="preserve">1.4.2.2</w:t>
        </w:r>
      </w:hyperlink>
      <w:r>
        <w:rPr>
          <w:sz w:val="24"/>
        </w:rPr>
        <w:t xml:space="preserve"> - </w:t>
      </w:r>
      <w:hyperlink w:history="0" w:anchor="P58429" w:tooltip="1.4.2.8">
        <w:r>
          <w:rPr>
            <w:sz w:val="24"/>
            <w:color w:val="0000ff"/>
          </w:rPr>
          <w:t xml:space="preserve">1.4.2.8</w:t>
        </w:r>
      </w:hyperlink>
      <w:r>
        <w:rPr>
          <w:sz w:val="24"/>
        </w:rPr>
        <w:t xml:space="preserve">;</w:t>
      </w:r>
    </w:p>
    <w:p>
      <w:pPr>
        <w:pStyle w:val="0"/>
        <w:spacing w:before="240" w:lineRule="auto"/>
        <w:ind w:firstLine="540"/>
        <w:jc w:val="both"/>
      </w:pPr>
      <w:r>
        <w:rPr>
          <w:sz w:val="24"/>
        </w:rPr>
        <w:t xml:space="preserve">данные по </w:t>
      </w:r>
      <w:hyperlink w:history="0" w:anchor="P58393" w:tooltip="1.4.2.1">
        <w:r>
          <w:rPr>
            <w:sz w:val="24"/>
            <w:color w:val="0000ff"/>
          </w:rPr>
          <w:t xml:space="preserve">строке 1.4.2.1</w:t>
        </w:r>
      </w:hyperlink>
      <w:r>
        <w:rPr>
          <w:sz w:val="24"/>
        </w:rPr>
        <w:t xml:space="preserve"> должны быть больше или равны сумме данных по </w:t>
      </w:r>
      <w:hyperlink w:history="0" w:anchor="P58397" w:tooltip="1.4.2.1.1">
        <w:r>
          <w:rPr>
            <w:sz w:val="24"/>
            <w:color w:val="0000ff"/>
          </w:rPr>
          <w:t xml:space="preserve">строкам 1.4.2.1.1</w:t>
        </w:r>
      </w:hyperlink>
      <w:r>
        <w:rPr>
          <w:sz w:val="24"/>
        </w:rPr>
        <w:t xml:space="preserve"> и </w:t>
      </w:r>
      <w:hyperlink w:history="0" w:anchor="P58401" w:tooltip="1.4.2.1.2">
        <w:r>
          <w:rPr>
            <w:sz w:val="24"/>
            <w:color w:val="0000ff"/>
          </w:rPr>
          <w:t xml:space="preserve">1.4.2.1.2</w:t>
        </w:r>
      </w:hyperlink>
      <w:r>
        <w:rPr>
          <w:sz w:val="24"/>
        </w:rPr>
        <w:t xml:space="preserve">.</w:t>
      </w:r>
    </w:p>
    <w:p>
      <w:pPr>
        <w:pStyle w:val="0"/>
        <w:spacing w:before="240" w:lineRule="auto"/>
        <w:ind w:firstLine="540"/>
        <w:jc w:val="both"/>
      </w:pPr>
      <w:r>
        <w:rPr>
          <w:sz w:val="24"/>
        </w:rPr>
        <w:t xml:space="preserve">8.11. Значения показателей </w:t>
      </w:r>
      <w:hyperlink w:history="0" w:anchor="P56617" w:tooltip="Подраздел 7.1.">
        <w:r>
          <w:rPr>
            <w:sz w:val="24"/>
            <w:color w:val="0000ff"/>
          </w:rPr>
          <w:t xml:space="preserve">подразделов 7.1</w:t>
        </w:r>
      </w:hyperlink>
      <w:r>
        <w:rPr>
          <w:sz w:val="24"/>
        </w:rPr>
        <w:t xml:space="preserve">, </w:t>
      </w:r>
      <w:hyperlink w:history="0" w:anchor="P56683" w:tooltip="Подраздел 7.1.1.">
        <w:r>
          <w:rPr>
            <w:sz w:val="24"/>
            <w:color w:val="0000ff"/>
          </w:rPr>
          <w:t xml:space="preserve">7.1.1</w:t>
        </w:r>
      </w:hyperlink>
      <w:r>
        <w:rPr>
          <w:sz w:val="24"/>
        </w:rPr>
        <w:t xml:space="preserve">, </w:t>
      </w:r>
      <w:hyperlink w:history="0" w:anchor="P56781" w:tooltip="Подраздел 7.2.">
        <w:r>
          <w:rPr>
            <w:sz w:val="24"/>
            <w:color w:val="0000ff"/>
          </w:rPr>
          <w:t xml:space="preserve">7.2 раздела 7</w:t>
        </w:r>
      </w:hyperlink>
      <w:r>
        <w:rPr>
          <w:sz w:val="24"/>
        </w:rPr>
        <w:t xml:space="preserve"> отчетности по форме 0420162 по аналитическим признакам группы аналитических признаков "Виды страхования" (</w:t>
      </w:r>
      <w:hyperlink w:history="0" w:anchor="P58705" w:tooltip="2">
        <w:r>
          <w:rPr>
            <w:sz w:val="24"/>
            <w:color w:val="0000ff"/>
          </w:rPr>
          <w:t xml:space="preserve">строка 2 подраздела 1.7 раздела 1 части II</w:t>
        </w:r>
      </w:hyperlink>
      <w:r>
        <w:rPr>
          <w:sz w:val="24"/>
        </w:rPr>
        <w:t xml:space="preserve"> настоящего приложения) определяются следующим образом:</w:t>
      </w:r>
    </w:p>
    <w:p>
      <w:pPr>
        <w:pStyle w:val="0"/>
        <w:spacing w:before="240" w:lineRule="auto"/>
        <w:ind w:firstLine="540"/>
        <w:jc w:val="both"/>
      </w:pPr>
      <w:r>
        <w:rPr>
          <w:sz w:val="24"/>
        </w:rPr>
        <w:t xml:space="preserve">данные по </w:t>
      </w:r>
      <w:hyperlink w:history="0" w:anchor="P58709" w:tooltip="2.1">
        <w:r>
          <w:rPr>
            <w:sz w:val="24"/>
            <w:color w:val="0000ff"/>
          </w:rPr>
          <w:t xml:space="preserve">строке 2.1</w:t>
        </w:r>
      </w:hyperlink>
      <w:r>
        <w:rPr>
          <w:sz w:val="24"/>
        </w:rPr>
        <w:t xml:space="preserve"> должны быть равны сумме данных по </w:t>
      </w:r>
      <w:hyperlink w:history="0" w:anchor="P58713" w:tooltip="2.1.1">
        <w:r>
          <w:rPr>
            <w:sz w:val="24"/>
            <w:color w:val="0000ff"/>
          </w:rPr>
          <w:t xml:space="preserve">строкам 2.1.1</w:t>
        </w:r>
      </w:hyperlink>
      <w:r>
        <w:rPr>
          <w:sz w:val="24"/>
        </w:rPr>
        <w:t xml:space="preserve"> - </w:t>
      </w:r>
      <w:hyperlink w:history="0" w:anchor="P58721" w:tooltip="2.1.3">
        <w:r>
          <w:rPr>
            <w:sz w:val="24"/>
            <w:color w:val="0000ff"/>
          </w:rPr>
          <w:t xml:space="preserve">2.1.3</w:t>
        </w:r>
      </w:hyperlink>
      <w:r>
        <w:rPr>
          <w:sz w:val="24"/>
        </w:rPr>
        <w:t xml:space="preserve">;</w:t>
      </w:r>
    </w:p>
    <w:p>
      <w:pPr>
        <w:pStyle w:val="0"/>
        <w:spacing w:before="240" w:lineRule="auto"/>
        <w:ind w:firstLine="540"/>
        <w:jc w:val="both"/>
      </w:pPr>
      <w:r>
        <w:rPr>
          <w:sz w:val="24"/>
        </w:rPr>
        <w:t xml:space="preserve">данные по </w:t>
      </w:r>
      <w:hyperlink w:history="0" w:anchor="P58729" w:tooltip="2.3">
        <w:r>
          <w:rPr>
            <w:sz w:val="24"/>
            <w:color w:val="0000ff"/>
          </w:rPr>
          <w:t xml:space="preserve">строке 2.3</w:t>
        </w:r>
      </w:hyperlink>
      <w:r>
        <w:rPr>
          <w:sz w:val="24"/>
        </w:rPr>
        <w:t xml:space="preserve"> должны быть равны сумме данных по </w:t>
      </w:r>
      <w:hyperlink w:history="0" w:anchor="P58733" w:tooltip="2.3.1">
        <w:r>
          <w:rPr>
            <w:sz w:val="24"/>
            <w:color w:val="0000ff"/>
          </w:rPr>
          <w:t xml:space="preserve">строкам 2.3.1</w:t>
        </w:r>
      </w:hyperlink>
      <w:r>
        <w:rPr>
          <w:sz w:val="24"/>
        </w:rPr>
        <w:t xml:space="preserve"> и </w:t>
      </w:r>
      <w:hyperlink w:history="0" w:anchor="P58745" w:tooltip="2.3.2">
        <w:r>
          <w:rPr>
            <w:sz w:val="24"/>
            <w:color w:val="0000ff"/>
          </w:rPr>
          <w:t xml:space="preserve">2.3.2</w:t>
        </w:r>
      </w:hyperlink>
      <w:r>
        <w:rPr>
          <w:sz w:val="24"/>
        </w:rPr>
        <w:t xml:space="preserve">;</w:t>
      </w:r>
    </w:p>
    <w:p>
      <w:pPr>
        <w:pStyle w:val="0"/>
        <w:spacing w:before="240" w:lineRule="auto"/>
        <w:ind w:firstLine="540"/>
        <w:jc w:val="both"/>
      </w:pPr>
      <w:r>
        <w:rPr>
          <w:sz w:val="24"/>
        </w:rPr>
        <w:t xml:space="preserve">данные по </w:t>
      </w:r>
      <w:hyperlink w:history="0" w:anchor="P58733" w:tooltip="2.3.1">
        <w:r>
          <w:rPr>
            <w:sz w:val="24"/>
            <w:color w:val="0000ff"/>
          </w:rPr>
          <w:t xml:space="preserve">строке 2.3.1</w:t>
        </w:r>
      </w:hyperlink>
      <w:r>
        <w:rPr>
          <w:sz w:val="24"/>
        </w:rPr>
        <w:t xml:space="preserve"> должны быть больше или равны сумме данных по </w:t>
      </w:r>
      <w:hyperlink w:history="0" w:anchor="P58737" w:tooltip="2.3.1.1">
        <w:r>
          <w:rPr>
            <w:sz w:val="24"/>
            <w:color w:val="0000ff"/>
          </w:rPr>
          <w:t xml:space="preserve">строкам 2.3.1.1</w:t>
        </w:r>
      </w:hyperlink>
      <w:r>
        <w:rPr>
          <w:sz w:val="24"/>
        </w:rPr>
        <w:t xml:space="preserve"> и </w:t>
      </w:r>
      <w:hyperlink w:history="0" w:anchor="P58741" w:tooltip="2.3.1.2">
        <w:r>
          <w:rPr>
            <w:sz w:val="24"/>
            <w:color w:val="0000ff"/>
          </w:rPr>
          <w:t xml:space="preserve">2.3.1.2</w:t>
        </w:r>
      </w:hyperlink>
      <w:r>
        <w:rPr>
          <w:sz w:val="24"/>
        </w:rPr>
        <w:t xml:space="preserve">;</w:t>
      </w:r>
    </w:p>
    <w:p>
      <w:pPr>
        <w:pStyle w:val="0"/>
        <w:spacing w:before="240" w:lineRule="auto"/>
        <w:ind w:firstLine="540"/>
        <w:jc w:val="both"/>
      </w:pPr>
      <w:r>
        <w:rPr>
          <w:sz w:val="24"/>
        </w:rPr>
        <w:t xml:space="preserve">данные по </w:t>
      </w:r>
      <w:hyperlink w:history="0" w:anchor="P58749" w:tooltip="2.4">
        <w:r>
          <w:rPr>
            <w:sz w:val="24"/>
            <w:color w:val="0000ff"/>
          </w:rPr>
          <w:t xml:space="preserve">строке 2.4</w:t>
        </w:r>
      </w:hyperlink>
      <w:r>
        <w:rPr>
          <w:sz w:val="24"/>
        </w:rPr>
        <w:t xml:space="preserve"> должны быть равны сумме данных по </w:t>
      </w:r>
      <w:hyperlink w:history="0" w:anchor="P58753" w:tooltip="2.4.1">
        <w:r>
          <w:rPr>
            <w:sz w:val="24"/>
            <w:color w:val="0000ff"/>
          </w:rPr>
          <w:t xml:space="preserve">строкам 2.4.1</w:t>
        </w:r>
      </w:hyperlink>
      <w:r>
        <w:rPr>
          <w:sz w:val="24"/>
        </w:rPr>
        <w:t xml:space="preserve">, </w:t>
      </w:r>
      <w:hyperlink w:history="0" w:anchor="P58789" w:tooltip="2.4.2">
        <w:r>
          <w:rPr>
            <w:sz w:val="24"/>
            <w:color w:val="0000ff"/>
          </w:rPr>
          <w:t xml:space="preserve">2.4.2</w:t>
        </w:r>
      </w:hyperlink>
      <w:r>
        <w:rPr>
          <w:sz w:val="24"/>
        </w:rPr>
        <w:t xml:space="preserve">, </w:t>
      </w:r>
      <w:hyperlink w:history="0" w:anchor="P58825" w:tooltip="2.4.3">
        <w:r>
          <w:rPr>
            <w:sz w:val="24"/>
            <w:color w:val="0000ff"/>
          </w:rPr>
          <w:t xml:space="preserve">2.4.3</w:t>
        </w:r>
      </w:hyperlink>
      <w:r>
        <w:rPr>
          <w:sz w:val="24"/>
        </w:rPr>
        <w:t xml:space="preserve"> и </w:t>
      </w:r>
      <w:hyperlink w:history="0" w:anchor="P58829" w:tooltip="2.4.4">
        <w:r>
          <w:rPr>
            <w:sz w:val="24"/>
            <w:color w:val="0000ff"/>
          </w:rPr>
          <w:t xml:space="preserve">2.4.4</w:t>
        </w:r>
      </w:hyperlink>
      <w:r>
        <w:rPr>
          <w:sz w:val="24"/>
        </w:rPr>
        <w:t xml:space="preserve">;</w:t>
      </w:r>
    </w:p>
    <w:p>
      <w:pPr>
        <w:pStyle w:val="0"/>
        <w:spacing w:before="240" w:lineRule="auto"/>
        <w:ind w:firstLine="540"/>
        <w:jc w:val="both"/>
      </w:pPr>
      <w:r>
        <w:rPr>
          <w:sz w:val="24"/>
        </w:rPr>
        <w:t xml:space="preserve">данные по </w:t>
      </w:r>
      <w:hyperlink w:history="0" w:anchor="P58753" w:tooltip="2.4.1">
        <w:r>
          <w:rPr>
            <w:sz w:val="24"/>
            <w:color w:val="0000ff"/>
          </w:rPr>
          <w:t xml:space="preserve">строке 2.4.1</w:t>
        </w:r>
      </w:hyperlink>
      <w:r>
        <w:rPr>
          <w:sz w:val="24"/>
        </w:rPr>
        <w:t xml:space="preserve"> должны быть равны сумме данных по </w:t>
      </w:r>
      <w:hyperlink w:history="0" w:anchor="P58757" w:tooltip="2.4.1.1">
        <w:r>
          <w:rPr>
            <w:sz w:val="24"/>
            <w:color w:val="0000ff"/>
          </w:rPr>
          <w:t xml:space="preserve">строкам 2.4.1.1</w:t>
        </w:r>
      </w:hyperlink>
      <w:r>
        <w:rPr>
          <w:sz w:val="24"/>
        </w:rPr>
        <w:t xml:space="preserve"> - </w:t>
      </w:r>
      <w:hyperlink w:history="0" w:anchor="P58785" w:tooltip="2.4.1.8">
        <w:r>
          <w:rPr>
            <w:sz w:val="24"/>
            <w:color w:val="0000ff"/>
          </w:rPr>
          <w:t xml:space="preserve">2.4.1.8</w:t>
        </w:r>
      </w:hyperlink>
      <w:r>
        <w:rPr>
          <w:sz w:val="24"/>
        </w:rPr>
        <w:t xml:space="preserve">;</w:t>
      </w:r>
    </w:p>
    <w:p>
      <w:pPr>
        <w:pStyle w:val="0"/>
        <w:spacing w:before="240" w:lineRule="auto"/>
        <w:ind w:firstLine="540"/>
        <w:jc w:val="both"/>
      </w:pPr>
      <w:r>
        <w:rPr>
          <w:sz w:val="24"/>
        </w:rPr>
        <w:t xml:space="preserve">данные по </w:t>
      </w:r>
      <w:hyperlink w:history="0" w:anchor="P58777" w:tooltip="2.4.1.6">
        <w:r>
          <w:rPr>
            <w:sz w:val="24"/>
            <w:color w:val="0000ff"/>
          </w:rPr>
          <w:t xml:space="preserve">строке 2.4.1.6</w:t>
        </w:r>
      </w:hyperlink>
      <w:r>
        <w:rPr>
          <w:sz w:val="24"/>
        </w:rPr>
        <w:t xml:space="preserve"> должны быть больше или равны данным по </w:t>
      </w:r>
      <w:hyperlink w:history="0" w:anchor="P58873" w:tooltip="4.1">
        <w:r>
          <w:rPr>
            <w:sz w:val="24"/>
            <w:color w:val="0000ff"/>
          </w:rPr>
          <w:t xml:space="preserve">строке 4.1</w:t>
        </w:r>
      </w:hyperlink>
      <w:r>
        <w:rPr>
          <w:sz w:val="24"/>
        </w:rPr>
        <w:t xml:space="preserve"> (группа аналитических признаков "Государственная поддержка");</w:t>
      </w:r>
    </w:p>
    <w:p>
      <w:pPr>
        <w:pStyle w:val="0"/>
        <w:spacing w:before="240" w:lineRule="auto"/>
        <w:ind w:firstLine="540"/>
        <w:jc w:val="both"/>
      </w:pPr>
      <w:r>
        <w:rPr>
          <w:sz w:val="24"/>
        </w:rPr>
        <w:t xml:space="preserve">данные по </w:t>
      </w:r>
      <w:hyperlink w:history="0" w:anchor="P58789" w:tooltip="2.4.2">
        <w:r>
          <w:rPr>
            <w:sz w:val="24"/>
            <w:color w:val="0000ff"/>
          </w:rPr>
          <w:t xml:space="preserve">строке 2.4.2</w:t>
        </w:r>
      </w:hyperlink>
      <w:r>
        <w:rPr>
          <w:sz w:val="24"/>
        </w:rPr>
        <w:t xml:space="preserve"> должны быть равны сумме данных по </w:t>
      </w:r>
      <w:hyperlink w:history="0" w:anchor="P58793" w:tooltip="2.4.2.1">
        <w:r>
          <w:rPr>
            <w:sz w:val="24"/>
            <w:color w:val="0000ff"/>
          </w:rPr>
          <w:t xml:space="preserve">строкам 2.4.2.1</w:t>
        </w:r>
      </w:hyperlink>
      <w:r>
        <w:rPr>
          <w:sz w:val="24"/>
        </w:rPr>
        <w:t xml:space="preserve"> - </w:t>
      </w:r>
      <w:hyperlink w:history="0" w:anchor="P58821" w:tooltip="2.4.2.8">
        <w:r>
          <w:rPr>
            <w:sz w:val="24"/>
            <w:color w:val="0000ff"/>
          </w:rPr>
          <w:t xml:space="preserve">2.4.2.8</w:t>
        </w:r>
      </w:hyperlink>
      <w:r>
        <w:rPr>
          <w:sz w:val="24"/>
        </w:rPr>
        <w:t xml:space="preserve">.</w:t>
      </w:r>
    </w:p>
    <w:p>
      <w:pPr>
        <w:pStyle w:val="0"/>
        <w:spacing w:before="240" w:lineRule="auto"/>
        <w:ind w:firstLine="540"/>
        <w:jc w:val="both"/>
      </w:pPr>
      <w:r>
        <w:rPr>
          <w:sz w:val="24"/>
        </w:rPr>
        <w:t xml:space="preserve">8.12. Значения показателей </w:t>
      </w:r>
      <w:hyperlink w:history="0" w:anchor="P56851" w:tooltip="Подраздел 8.1.">
        <w:r>
          <w:rPr>
            <w:sz w:val="24"/>
            <w:color w:val="0000ff"/>
          </w:rPr>
          <w:t xml:space="preserve">подразделов 8.1</w:t>
        </w:r>
      </w:hyperlink>
      <w:r>
        <w:rPr>
          <w:sz w:val="24"/>
        </w:rPr>
        <w:t xml:space="preserve">, </w:t>
      </w:r>
      <w:hyperlink w:history="0" w:anchor="P56925" w:tooltip="Подраздел 8.1.1.">
        <w:r>
          <w:rPr>
            <w:sz w:val="24"/>
            <w:color w:val="0000ff"/>
          </w:rPr>
          <w:t xml:space="preserve">8.1.1</w:t>
        </w:r>
      </w:hyperlink>
      <w:r>
        <w:rPr>
          <w:sz w:val="24"/>
        </w:rPr>
        <w:t xml:space="preserve">, </w:t>
      </w:r>
      <w:hyperlink w:history="0" w:anchor="P56999" w:tooltip="Подраздел 8.2.">
        <w:r>
          <w:rPr>
            <w:sz w:val="24"/>
            <w:color w:val="0000ff"/>
          </w:rPr>
          <w:t xml:space="preserve">8.2</w:t>
        </w:r>
      </w:hyperlink>
      <w:r>
        <w:rPr>
          <w:sz w:val="24"/>
        </w:rPr>
        <w:t xml:space="preserve">, </w:t>
      </w:r>
      <w:hyperlink w:history="0" w:anchor="P57101" w:tooltip="Подраздел 8.2.1.">
        <w:r>
          <w:rPr>
            <w:sz w:val="24"/>
            <w:color w:val="0000ff"/>
          </w:rPr>
          <w:t xml:space="preserve">8.2.1 раздела 8</w:t>
        </w:r>
      </w:hyperlink>
      <w:r>
        <w:rPr>
          <w:sz w:val="24"/>
        </w:rPr>
        <w:t xml:space="preserve"> отчетности по форме 0420162 по аналитическим признакам группы аналитических признаков "Виды страхования" (</w:t>
      </w:r>
      <w:hyperlink w:history="0" w:anchor="P59001" w:tooltip="2">
        <w:r>
          <w:rPr>
            <w:sz w:val="24"/>
            <w:color w:val="0000ff"/>
          </w:rPr>
          <w:t xml:space="preserve">строка 2 подраздела 1.8 раздела 1 части II</w:t>
        </w:r>
      </w:hyperlink>
      <w:r>
        <w:rPr>
          <w:sz w:val="24"/>
        </w:rPr>
        <w:t xml:space="preserve"> настоящего приложения) определяются следующим образом:</w:t>
      </w:r>
    </w:p>
    <w:p>
      <w:pPr>
        <w:pStyle w:val="0"/>
        <w:spacing w:before="240" w:lineRule="auto"/>
        <w:ind w:firstLine="540"/>
        <w:jc w:val="both"/>
      </w:pPr>
      <w:r>
        <w:rPr>
          <w:sz w:val="24"/>
        </w:rPr>
        <w:t xml:space="preserve">данные по </w:t>
      </w:r>
      <w:hyperlink w:history="0" w:anchor="P59005" w:tooltip="2.1">
        <w:r>
          <w:rPr>
            <w:sz w:val="24"/>
            <w:color w:val="0000ff"/>
          </w:rPr>
          <w:t xml:space="preserve">строке 2.1</w:t>
        </w:r>
      </w:hyperlink>
      <w:r>
        <w:rPr>
          <w:sz w:val="24"/>
        </w:rPr>
        <w:t xml:space="preserve"> должны быть равны сумме данных по </w:t>
      </w:r>
      <w:hyperlink w:history="0" w:anchor="P59009" w:tooltip="2.1.1">
        <w:r>
          <w:rPr>
            <w:sz w:val="24"/>
            <w:color w:val="0000ff"/>
          </w:rPr>
          <w:t xml:space="preserve">строкам 2.1.1</w:t>
        </w:r>
      </w:hyperlink>
      <w:r>
        <w:rPr>
          <w:sz w:val="24"/>
        </w:rPr>
        <w:t xml:space="preserve"> - </w:t>
      </w:r>
      <w:hyperlink w:history="0" w:anchor="P59017" w:tooltip="2.1.3">
        <w:r>
          <w:rPr>
            <w:sz w:val="24"/>
            <w:color w:val="0000ff"/>
          </w:rPr>
          <w:t xml:space="preserve">2.1.3</w:t>
        </w:r>
      </w:hyperlink>
      <w:r>
        <w:rPr>
          <w:sz w:val="24"/>
        </w:rPr>
        <w:t xml:space="preserve">;</w:t>
      </w:r>
    </w:p>
    <w:p>
      <w:pPr>
        <w:pStyle w:val="0"/>
        <w:spacing w:before="240" w:lineRule="auto"/>
        <w:ind w:firstLine="540"/>
        <w:jc w:val="both"/>
      </w:pPr>
      <w:r>
        <w:rPr>
          <w:sz w:val="24"/>
        </w:rPr>
        <w:t xml:space="preserve">данные по </w:t>
      </w:r>
      <w:hyperlink w:history="0" w:anchor="P59025" w:tooltip="2.3">
        <w:r>
          <w:rPr>
            <w:sz w:val="24"/>
            <w:color w:val="0000ff"/>
          </w:rPr>
          <w:t xml:space="preserve">строке 2.3</w:t>
        </w:r>
      </w:hyperlink>
      <w:r>
        <w:rPr>
          <w:sz w:val="24"/>
        </w:rPr>
        <w:t xml:space="preserve"> должны быть равны сумме данных по </w:t>
      </w:r>
      <w:hyperlink w:history="0" w:anchor="P59029" w:tooltip="2.3.1">
        <w:r>
          <w:rPr>
            <w:sz w:val="24"/>
            <w:color w:val="0000ff"/>
          </w:rPr>
          <w:t xml:space="preserve">строкам 2.3.1</w:t>
        </w:r>
      </w:hyperlink>
      <w:r>
        <w:rPr>
          <w:sz w:val="24"/>
        </w:rPr>
        <w:t xml:space="preserve"> и </w:t>
      </w:r>
      <w:hyperlink w:history="0" w:anchor="P59041" w:tooltip="2.3.2">
        <w:r>
          <w:rPr>
            <w:sz w:val="24"/>
            <w:color w:val="0000ff"/>
          </w:rPr>
          <w:t xml:space="preserve">2.3.2</w:t>
        </w:r>
      </w:hyperlink>
      <w:r>
        <w:rPr>
          <w:sz w:val="24"/>
        </w:rPr>
        <w:t xml:space="preserve">;</w:t>
      </w:r>
    </w:p>
    <w:p>
      <w:pPr>
        <w:pStyle w:val="0"/>
        <w:spacing w:before="240" w:lineRule="auto"/>
        <w:ind w:firstLine="540"/>
        <w:jc w:val="both"/>
      </w:pPr>
      <w:r>
        <w:rPr>
          <w:sz w:val="24"/>
        </w:rPr>
        <w:t xml:space="preserve">данные по </w:t>
      </w:r>
      <w:hyperlink w:history="0" w:anchor="P59029" w:tooltip="2.3.1">
        <w:r>
          <w:rPr>
            <w:sz w:val="24"/>
            <w:color w:val="0000ff"/>
          </w:rPr>
          <w:t xml:space="preserve">строке 2.3.1</w:t>
        </w:r>
      </w:hyperlink>
      <w:r>
        <w:rPr>
          <w:sz w:val="24"/>
        </w:rPr>
        <w:t xml:space="preserve"> должны быть больше или равны сумме данных по </w:t>
      </w:r>
      <w:hyperlink w:history="0" w:anchor="P59033" w:tooltip="2.3.1.1">
        <w:r>
          <w:rPr>
            <w:sz w:val="24"/>
            <w:color w:val="0000ff"/>
          </w:rPr>
          <w:t xml:space="preserve">строкам 2.3.1.1</w:t>
        </w:r>
      </w:hyperlink>
      <w:r>
        <w:rPr>
          <w:sz w:val="24"/>
        </w:rPr>
        <w:t xml:space="preserve"> и </w:t>
      </w:r>
      <w:hyperlink w:history="0" w:anchor="P59037" w:tooltip="2.3.1.2">
        <w:r>
          <w:rPr>
            <w:sz w:val="24"/>
            <w:color w:val="0000ff"/>
          </w:rPr>
          <w:t xml:space="preserve">2.3.1.2</w:t>
        </w:r>
      </w:hyperlink>
      <w:r>
        <w:rPr>
          <w:sz w:val="24"/>
        </w:rPr>
        <w:t xml:space="preserve">;</w:t>
      </w:r>
    </w:p>
    <w:p>
      <w:pPr>
        <w:pStyle w:val="0"/>
        <w:spacing w:before="240" w:lineRule="auto"/>
        <w:ind w:firstLine="540"/>
        <w:jc w:val="both"/>
      </w:pPr>
      <w:r>
        <w:rPr>
          <w:sz w:val="24"/>
        </w:rPr>
        <w:t xml:space="preserve">данные по </w:t>
      </w:r>
      <w:hyperlink w:history="0" w:anchor="P59045" w:tooltip="2.4">
        <w:r>
          <w:rPr>
            <w:sz w:val="24"/>
            <w:color w:val="0000ff"/>
          </w:rPr>
          <w:t xml:space="preserve">строке 2.4</w:t>
        </w:r>
      </w:hyperlink>
      <w:r>
        <w:rPr>
          <w:sz w:val="24"/>
        </w:rPr>
        <w:t xml:space="preserve"> должны быть равны сумме данных по </w:t>
      </w:r>
      <w:hyperlink w:history="0" w:anchor="P59049" w:tooltip="2.4.1">
        <w:r>
          <w:rPr>
            <w:sz w:val="24"/>
            <w:color w:val="0000ff"/>
          </w:rPr>
          <w:t xml:space="preserve">строкам 2.4.1</w:t>
        </w:r>
      </w:hyperlink>
      <w:r>
        <w:rPr>
          <w:sz w:val="24"/>
        </w:rPr>
        <w:t xml:space="preserve">, </w:t>
      </w:r>
      <w:hyperlink w:history="0" w:anchor="P59085" w:tooltip="2.4.2">
        <w:r>
          <w:rPr>
            <w:sz w:val="24"/>
            <w:color w:val="0000ff"/>
          </w:rPr>
          <w:t xml:space="preserve">2.4.2</w:t>
        </w:r>
      </w:hyperlink>
      <w:r>
        <w:rPr>
          <w:sz w:val="24"/>
        </w:rPr>
        <w:t xml:space="preserve">, </w:t>
      </w:r>
      <w:hyperlink w:history="0" w:anchor="P59129" w:tooltip="2.4.3">
        <w:r>
          <w:rPr>
            <w:sz w:val="24"/>
            <w:color w:val="0000ff"/>
          </w:rPr>
          <w:t xml:space="preserve">2.4.3</w:t>
        </w:r>
      </w:hyperlink>
      <w:r>
        <w:rPr>
          <w:sz w:val="24"/>
        </w:rPr>
        <w:t xml:space="preserve"> и </w:t>
      </w:r>
      <w:hyperlink w:history="0" w:anchor="P59133" w:tooltip="2.4.4">
        <w:r>
          <w:rPr>
            <w:sz w:val="24"/>
            <w:color w:val="0000ff"/>
          </w:rPr>
          <w:t xml:space="preserve">2.4.4</w:t>
        </w:r>
      </w:hyperlink>
      <w:r>
        <w:rPr>
          <w:sz w:val="24"/>
        </w:rPr>
        <w:t xml:space="preserve">;</w:t>
      </w:r>
    </w:p>
    <w:p>
      <w:pPr>
        <w:pStyle w:val="0"/>
        <w:spacing w:before="240" w:lineRule="auto"/>
        <w:ind w:firstLine="540"/>
        <w:jc w:val="both"/>
      </w:pPr>
      <w:r>
        <w:rPr>
          <w:sz w:val="24"/>
        </w:rPr>
        <w:t xml:space="preserve">данные по </w:t>
      </w:r>
      <w:hyperlink w:history="0" w:anchor="P59049" w:tooltip="2.4.1">
        <w:r>
          <w:rPr>
            <w:sz w:val="24"/>
            <w:color w:val="0000ff"/>
          </w:rPr>
          <w:t xml:space="preserve">строке 2.4.1</w:t>
        </w:r>
      </w:hyperlink>
      <w:r>
        <w:rPr>
          <w:sz w:val="24"/>
        </w:rPr>
        <w:t xml:space="preserve"> должны быть равны сумме данных по </w:t>
      </w:r>
      <w:hyperlink w:history="0" w:anchor="P59053" w:tooltip="2.4.1.1">
        <w:r>
          <w:rPr>
            <w:sz w:val="24"/>
            <w:color w:val="0000ff"/>
          </w:rPr>
          <w:t xml:space="preserve">строкам 2.4.1.1</w:t>
        </w:r>
      </w:hyperlink>
      <w:r>
        <w:rPr>
          <w:sz w:val="24"/>
        </w:rPr>
        <w:t xml:space="preserve"> - </w:t>
      </w:r>
      <w:hyperlink w:history="0" w:anchor="P59081" w:tooltip="2.4.1.8">
        <w:r>
          <w:rPr>
            <w:sz w:val="24"/>
            <w:color w:val="0000ff"/>
          </w:rPr>
          <w:t xml:space="preserve">2.4.1.8</w:t>
        </w:r>
      </w:hyperlink>
      <w:r>
        <w:rPr>
          <w:sz w:val="24"/>
        </w:rPr>
        <w:t xml:space="preserve">;</w:t>
      </w:r>
    </w:p>
    <w:p>
      <w:pPr>
        <w:pStyle w:val="0"/>
        <w:spacing w:before="240" w:lineRule="auto"/>
        <w:ind w:firstLine="540"/>
        <w:jc w:val="both"/>
      </w:pPr>
      <w:r>
        <w:rPr>
          <w:sz w:val="24"/>
        </w:rPr>
        <w:t xml:space="preserve">данные по </w:t>
      </w:r>
      <w:hyperlink w:history="0" w:anchor="P59073" w:tooltip="2.4.1.6">
        <w:r>
          <w:rPr>
            <w:sz w:val="24"/>
            <w:color w:val="0000ff"/>
          </w:rPr>
          <w:t xml:space="preserve">строке 2.4.1.6</w:t>
        </w:r>
      </w:hyperlink>
      <w:r>
        <w:rPr>
          <w:sz w:val="24"/>
        </w:rPr>
        <w:t xml:space="preserve"> должны быть больше или равны данным по </w:t>
      </w:r>
      <w:hyperlink w:history="0" w:anchor="P58873" w:tooltip="4.1">
        <w:r>
          <w:rPr>
            <w:sz w:val="24"/>
            <w:color w:val="0000ff"/>
          </w:rPr>
          <w:t xml:space="preserve">строке 4.1</w:t>
        </w:r>
      </w:hyperlink>
      <w:r>
        <w:rPr>
          <w:sz w:val="24"/>
        </w:rPr>
        <w:t xml:space="preserve"> (группа аналитических признаков "Государственная поддержка");</w:t>
      </w:r>
    </w:p>
    <w:p>
      <w:pPr>
        <w:pStyle w:val="0"/>
        <w:spacing w:before="240" w:lineRule="auto"/>
        <w:ind w:firstLine="540"/>
        <w:jc w:val="both"/>
      </w:pPr>
      <w:r>
        <w:rPr>
          <w:sz w:val="24"/>
        </w:rPr>
        <w:t xml:space="preserve">данные по </w:t>
      </w:r>
      <w:hyperlink w:history="0" w:anchor="P59085" w:tooltip="2.4.2">
        <w:r>
          <w:rPr>
            <w:sz w:val="24"/>
            <w:color w:val="0000ff"/>
          </w:rPr>
          <w:t xml:space="preserve">строке 2.4.2</w:t>
        </w:r>
      </w:hyperlink>
      <w:r>
        <w:rPr>
          <w:sz w:val="24"/>
        </w:rPr>
        <w:t xml:space="preserve"> должны быть равны сумме данных по </w:t>
      </w:r>
      <w:hyperlink w:history="0" w:anchor="P59089" w:tooltip="2.4.2.1">
        <w:r>
          <w:rPr>
            <w:sz w:val="24"/>
            <w:color w:val="0000ff"/>
          </w:rPr>
          <w:t xml:space="preserve">строкам 2.4.2.1</w:t>
        </w:r>
      </w:hyperlink>
      <w:r>
        <w:rPr>
          <w:sz w:val="24"/>
        </w:rPr>
        <w:t xml:space="preserve">, </w:t>
      </w:r>
      <w:hyperlink w:history="0" w:anchor="P59101" w:tooltip="2.4.2.2">
        <w:r>
          <w:rPr>
            <w:sz w:val="24"/>
            <w:color w:val="0000ff"/>
          </w:rPr>
          <w:t xml:space="preserve">2.4.2.2</w:t>
        </w:r>
      </w:hyperlink>
      <w:r>
        <w:rPr>
          <w:sz w:val="24"/>
        </w:rPr>
        <w:t xml:space="preserve"> - </w:t>
      </w:r>
      <w:hyperlink w:history="0" w:anchor="P59125" w:tooltip="2.4.2.8">
        <w:r>
          <w:rPr>
            <w:sz w:val="24"/>
            <w:color w:val="0000ff"/>
          </w:rPr>
          <w:t xml:space="preserve">2.4.2.8</w:t>
        </w:r>
      </w:hyperlink>
      <w:r>
        <w:rPr>
          <w:sz w:val="24"/>
        </w:rPr>
        <w:t xml:space="preserve">;</w:t>
      </w:r>
    </w:p>
    <w:p>
      <w:pPr>
        <w:pStyle w:val="0"/>
        <w:spacing w:before="240" w:lineRule="auto"/>
        <w:ind w:firstLine="540"/>
        <w:jc w:val="both"/>
      </w:pPr>
      <w:r>
        <w:rPr>
          <w:sz w:val="24"/>
        </w:rPr>
        <w:t xml:space="preserve">данные по </w:t>
      </w:r>
      <w:hyperlink w:history="0" w:anchor="P59089" w:tooltip="2.4.2.1">
        <w:r>
          <w:rPr>
            <w:sz w:val="24"/>
            <w:color w:val="0000ff"/>
          </w:rPr>
          <w:t xml:space="preserve">строке 2.4.2.1</w:t>
        </w:r>
      </w:hyperlink>
      <w:r>
        <w:rPr>
          <w:sz w:val="24"/>
        </w:rPr>
        <w:t xml:space="preserve"> должны быть больше или равны сумме данных по </w:t>
      </w:r>
      <w:hyperlink w:history="0" w:anchor="P59093" w:tooltip="2.4.2.1.1">
        <w:r>
          <w:rPr>
            <w:sz w:val="24"/>
            <w:color w:val="0000ff"/>
          </w:rPr>
          <w:t xml:space="preserve">строкам 2.4.2.1.1</w:t>
        </w:r>
      </w:hyperlink>
      <w:r>
        <w:rPr>
          <w:sz w:val="24"/>
        </w:rPr>
        <w:t xml:space="preserve"> и </w:t>
      </w:r>
      <w:hyperlink w:history="0" w:anchor="P59097" w:tooltip="2.4.2.1.2">
        <w:r>
          <w:rPr>
            <w:sz w:val="24"/>
            <w:color w:val="0000ff"/>
          </w:rPr>
          <w:t xml:space="preserve">2.4.2.1.2</w:t>
        </w:r>
      </w:hyperlink>
      <w:r>
        <w:rPr>
          <w:sz w:val="24"/>
        </w:rPr>
        <w:t xml:space="preserve">.</w:t>
      </w:r>
    </w:p>
    <w:p>
      <w:pPr>
        <w:pStyle w:val="0"/>
        <w:spacing w:before="240" w:lineRule="auto"/>
        <w:ind w:firstLine="540"/>
        <w:jc w:val="both"/>
      </w:pPr>
      <w:r>
        <w:rPr>
          <w:sz w:val="24"/>
        </w:rPr>
        <w:t xml:space="preserve">8.13. Значения показателей </w:t>
      </w:r>
      <w:hyperlink w:history="0" w:anchor="P56851" w:tooltip="Подраздел 8.1.">
        <w:r>
          <w:rPr>
            <w:sz w:val="24"/>
            <w:color w:val="0000ff"/>
          </w:rPr>
          <w:t xml:space="preserve">подразделов 8.1</w:t>
        </w:r>
      </w:hyperlink>
      <w:r>
        <w:rPr>
          <w:sz w:val="24"/>
        </w:rPr>
        <w:t xml:space="preserve">, </w:t>
      </w:r>
      <w:hyperlink w:history="0" w:anchor="P56925" w:tooltip="Подраздел 8.1.1.">
        <w:r>
          <w:rPr>
            <w:sz w:val="24"/>
            <w:color w:val="0000ff"/>
          </w:rPr>
          <w:t xml:space="preserve">8.1.1</w:t>
        </w:r>
      </w:hyperlink>
      <w:r>
        <w:rPr>
          <w:sz w:val="24"/>
        </w:rPr>
        <w:t xml:space="preserve">, </w:t>
      </w:r>
      <w:hyperlink w:history="0" w:anchor="P56999" w:tooltip="Подраздел 8.2.">
        <w:r>
          <w:rPr>
            <w:sz w:val="24"/>
            <w:color w:val="0000ff"/>
          </w:rPr>
          <w:t xml:space="preserve">8.2</w:t>
        </w:r>
      </w:hyperlink>
      <w:r>
        <w:rPr>
          <w:sz w:val="24"/>
        </w:rPr>
        <w:t xml:space="preserve">, </w:t>
      </w:r>
      <w:hyperlink w:history="0" w:anchor="P57101" w:tooltip="Подраздел 8.2.1.">
        <w:r>
          <w:rPr>
            <w:sz w:val="24"/>
            <w:color w:val="0000ff"/>
          </w:rPr>
          <w:t xml:space="preserve">8.2.1 раздела 8</w:t>
        </w:r>
      </w:hyperlink>
      <w:r>
        <w:rPr>
          <w:sz w:val="24"/>
        </w:rPr>
        <w:t xml:space="preserve"> отчетности по форме 0420162 по аналитическим признакам группы аналитических признаков "Виды страхования (справочно)" (</w:t>
      </w:r>
      <w:hyperlink w:history="0" w:anchor="P59153" w:tooltip="3">
        <w:r>
          <w:rPr>
            <w:sz w:val="24"/>
            <w:color w:val="0000ff"/>
          </w:rPr>
          <w:t xml:space="preserve">строка 3 подраздела 1.8 раздела 1 части II</w:t>
        </w:r>
      </w:hyperlink>
      <w:r>
        <w:rPr>
          <w:sz w:val="24"/>
        </w:rPr>
        <w:t xml:space="preserve"> настоящего приложения) определяются следующим образом: данные по </w:t>
      </w:r>
      <w:hyperlink w:history="0" w:anchor="P59157" w:tooltip="3.1">
        <w:r>
          <w:rPr>
            <w:sz w:val="24"/>
            <w:color w:val="0000ff"/>
          </w:rPr>
          <w:t xml:space="preserve">строке 3.1</w:t>
        </w:r>
      </w:hyperlink>
      <w:r>
        <w:rPr>
          <w:sz w:val="24"/>
        </w:rPr>
        <w:t xml:space="preserve"> должны быть больше или равны данным по </w:t>
      </w:r>
      <w:hyperlink w:history="0" w:anchor="P59161" w:tooltip="3.1.1">
        <w:r>
          <w:rPr>
            <w:sz w:val="24"/>
            <w:color w:val="0000ff"/>
          </w:rPr>
          <w:t xml:space="preserve">строке 3.1.1</w:t>
        </w:r>
      </w:hyperlink>
      <w:r>
        <w:rPr>
          <w:sz w:val="24"/>
        </w:rPr>
        <w:t xml:space="preserve">.</w:t>
      </w:r>
    </w:p>
    <w:p>
      <w:pPr>
        <w:pStyle w:val="0"/>
        <w:spacing w:before="240" w:lineRule="auto"/>
        <w:ind w:firstLine="540"/>
        <w:jc w:val="both"/>
      </w:pPr>
      <w:r>
        <w:rPr>
          <w:sz w:val="24"/>
        </w:rPr>
        <w:t xml:space="preserve">9. По группе аналитических признаков "Тип страхователя" отражаются:</w:t>
      </w:r>
    </w:p>
    <w:p>
      <w:pPr>
        <w:pStyle w:val="0"/>
        <w:spacing w:before="240" w:lineRule="auto"/>
        <w:ind w:firstLine="540"/>
        <w:jc w:val="both"/>
      </w:pPr>
      <w:r>
        <w:rPr>
          <w:sz w:val="24"/>
        </w:rPr>
        <w:t xml:space="preserve">договоры страхования, в которых в качестве страхователей выступают дееспособные граждане, - по аналитическому признаку "ФЛ - физическое лицо";</w:t>
      </w:r>
    </w:p>
    <w:p>
      <w:pPr>
        <w:pStyle w:val="0"/>
        <w:spacing w:before="240" w:lineRule="auto"/>
        <w:ind w:firstLine="540"/>
        <w:jc w:val="both"/>
      </w:pPr>
      <w:r>
        <w:rPr>
          <w:sz w:val="24"/>
        </w:rPr>
        <w:t xml:space="preserve">договоры страхования, в которых в качестве страхователей выступают индивидуальные предприниматели, - по аналитическому признаку "ИП - индивидуальный предприниматель";</w:t>
      </w:r>
    </w:p>
    <w:p>
      <w:pPr>
        <w:pStyle w:val="0"/>
        <w:spacing w:before="240" w:lineRule="auto"/>
        <w:ind w:firstLine="540"/>
        <w:jc w:val="both"/>
      </w:pPr>
      <w:r>
        <w:rPr>
          <w:sz w:val="24"/>
        </w:rPr>
        <w:t xml:space="preserve">договоры страхования, в которых в качестве страхователей выступают юридические лица, - по аналитическому признаку "ЮЛ - юридическое лицо".</w:t>
      </w:r>
    </w:p>
    <w:p>
      <w:pPr>
        <w:pStyle w:val="0"/>
        <w:spacing w:before="240" w:lineRule="auto"/>
        <w:ind w:firstLine="540"/>
        <w:jc w:val="both"/>
      </w:pPr>
      <w:r>
        <w:rPr>
          <w:sz w:val="24"/>
        </w:rPr>
        <w:t xml:space="preserve">Сведения об обязательном страховании гражданской ответственности владельцев транспортных средств указываются в разбивке по договорам страхования, заключенным с физическими лицами, и договорам страхования, заключенным с юридическими лицами (соответственно по аналитическим признакам "ФЛ - физическое лицо" и "ЮЛ - юридическое лицо" группы аналитических признаков "Тип страхователя").</w:t>
      </w:r>
    </w:p>
    <w:p>
      <w:pPr>
        <w:pStyle w:val="0"/>
        <w:spacing w:before="240" w:lineRule="auto"/>
        <w:ind w:firstLine="540"/>
        <w:jc w:val="both"/>
      </w:pPr>
      <w:r>
        <w:rPr>
          <w:sz w:val="24"/>
        </w:rPr>
        <w:t xml:space="preserve">10. По аналитическим признакам группы аналитических признаков "Код по Общероссийскому </w:t>
      </w:r>
      <w:hyperlink w:history="0" r:id="rId826"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 указывается цифровой код субъекта Российской Федерации в соответствии с Общероссийским </w:t>
      </w:r>
      <w:hyperlink w:history="0" r:id="rId827"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классификатором</w:t>
        </w:r>
      </w:hyperlink>
      <w:r>
        <w:rPr>
          <w:sz w:val="24"/>
        </w:rPr>
        <w:t xml:space="preserve"> объектов административно-территориального деления (далее - ОКАТО).</w:t>
      </w:r>
    </w:p>
    <w:p>
      <w:pPr>
        <w:pStyle w:val="0"/>
        <w:spacing w:before="240" w:lineRule="auto"/>
        <w:ind w:firstLine="540"/>
        <w:jc w:val="both"/>
      </w:pPr>
      <w:r>
        <w:rPr>
          <w:sz w:val="24"/>
        </w:rPr>
        <w:t xml:space="preserve">Для субъектов Российской Федерации (за исключением Ненецкого автономного округа, Ханты-Мансийского автономного округа - Югры, Ямало-Ненецкого автономного округа, Архангельской области, Тюменской области) указываются первые два знака кодового обозначения объекта административно-территориального деления, соответствующие объектам первого уровня классификации по </w:t>
      </w:r>
      <w:hyperlink w:history="0" r:id="rId828"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ОКАТО</w:t>
        </w:r>
      </w:hyperlink>
      <w:r>
        <w:rPr>
          <w:sz w:val="24"/>
        </w:rPr>
        <w:t xml:space="preserve">.</w:t>
      </w:r>
    </w:p>
    <w:p>
      <w:pPr>
        <w:pStyle w:val="0"/>
        <w:spacing w:before="240" w:lineRule="auto"/>
        <w:ind w:firstLine="540"/>
        <w:jc w:val="both"/>
      </w:pPr>
      <w:r>
        <w:rPr>
          <w:sz w:val="24"/>
        </w:rPr>
        <w:t xml:space="preserve">Для Ненецкого автономного округа, Ханты-Мансийского автономного округа - Югры, Ямало-Ненецкого автономного округа указываются пять знаков кодового обозначения объекта административно-территориального деления, соответствующие объектам второго уровня классификации по </w:t>
      </w:r>
      <w:hyperlink w:history="0" r:id="rId829"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ОКАТО</w:t>
        </w:r>
      </w:hyperlink>
      <w:r>
        <w:rPr>
          <w:sz w:val="24"/>
        </w:rPr>
        <w:t xml:space="preserve">: 11100 - Ненецкий автономный округ; 71100 - Ханты-Мансийский автономный округ - Югра; 71140 - Ямало-Ненецкий автономный округ.</w:t>
      </w:r>
    </w:p>
    <w:p>
      <w:pPr>
        <w:pStyle w:val="0"/>
        <w:spacing w:before="240" w:lineRule="auto"/>
        <w:ind w:firstLine="540"/>
        <w:jc w:val="both"/>
      </w:pPr>
      <w:r>
        <w:rPr>
          <w:sz w:val="24"/>
        </w:rPr>
        <w:t xml:space="preserve">Для Архангельской области (без Ненецкого автономного округа) указывается код 11, для Тюменской области (без Ханты-Мансийского автономного округа - Югры и Ямало-Ненецкого автономного округа) - код 71.</w:t>
      </w:r>
    </w:p>
    <w:p>
      <w:pPr>
        <w:pStyle w:val="0"/>
        <w:spacing w:before="240" w:lineRule="auto"/>
        <w:ind w:firstLine="540"/>
        <w:jc w:val="both"/>
      </w:pPr>
      <w:r>
        <w:rPr>
          <w:sz w:val="24"/>
        </w:rPr>
        <w:t xml:space="preserve">Для территории города Байконура (Республика Казахстан) по аналитическому признаку группы аналитических признаков "Код по Общероссийскому </w:t>
      </w:r>
      <w:hyperlink w:history="0" r:id="rId830"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1.09.2025) (коды 01 - 32 ОКАТО) {КонсультантПлюс}">
        <w:r>
          <w:rPr>
            <w:sz w:val="24"/>
            <w:color w:val="0000ff"/>
          </w:rPr>
          <w:t xml:space="preserve">классификатору</w:t>
        </w:r>
      </w:hyperlink>
      <w:r>
        <w:rPr>
          <w:sz w:val="24"/>
        </w:rPr>
        <w:t xml:space="preserve"> объектов административно-территориального деления (ОКАТО)" указывается код 55.</w:t>
      </w:r>
    </w:p>
    <w:p>
      <w:pPr>
        <w:pStyle w:val="0"/>
        <w:spacing w:before="240" w:lineRule="auto"/>
        <w:ind w:firstLine="540"/>
        <w:jc w:val="both"/>
      </w:pPr>
      <w:r>
        <w:rPr>
          <w:sz w:val="24"/>
        </w:rPr>
        <w:t xml:space="preserve">11. По аналитическим признакам группы аналитических признаков "Код по Общероссийскому </w:t>
      </w:r>
      <w:hyperlink w:history="0" r:id="rId83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указывается трехзначный цифровой код иностранного государства в соответствии с Общероссийским </w:t>
      </w:r>
      <w:hyperlink w:history="0" r:id="rId832"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классификатором</w:t>
        </w:r>
      </w:hyperlink>
      <w:r>
        <w:rPr>
          <w:sz w:val="24"/>
        </w:rPr>
        <w:t xml:space="preserve"> стран мира.</w:t>
      </w:r>
    </w:p>
    <w:p>
      <w:pPr>
        <w:pStyle w:val="0"/>
        <w:spacing w:before="240" w:lineRule="auto"/>
        <w:ind w:firstLine="540"/>
        <w:jc w:val="both"/>
      </w:pPr>
      <w:r>
        <w:rPr>
          <w:sz w:val="24"/>
        </w:rPr>
        <w:t xml:space="preserve">При наличии в </w:t>
      </w:r>
      <w:hyperlink w:history="0" w:anchor="P55703" w:tooltip="Раздел 2.">
        <w:r>
          <w:rPr>
            <w:sz w:val="24"/>
            <w:color w:val="0000ff"/>
          </w:rPr>
          <w:t xml:space="preserve">разделе 2</w:t>
        </w:r>
      </w:hyperlink>
      <w:r>
        <w:rPr>
          <w:sz w:val="24"/>
        </w:rPr>
        <w:t xml:space="preserve"> отчетности по форме 0420162 данных о договорах страхования, заключенных на территории иностранного государства, по показателю "Разрешение на осуществление страховой деятельности на территории иностранного государства (иностранных государств)" </w:t>
      </w:r>
      <w:hyperlink w:history="0" w:anchor="P57250" w:tooltip="123">
        <w:r>
          <w:rPr>
            <w:sz w:val="24"/>
            <w:color w:val="0000ff"/>
          </w:rPr>
          <w:t xml:space="preserve">(строка 123)</w:t>
        </w:r>
      </w:hyperlink>
      <w:r>
        <w:rPr>
          <w:sz w:val="24"/>
        </w:rPr>
        <w:t xml:space="preserve"> необходимо указать сведения о разрешении, выданном уполномоченным органом, осуществляющим надзор за страховщиками на территории иностранного государства, на основании которого осуществляется страховая деятельность на территории этого иностранного государства.</w:t>
      </w:r>
    </w:p>
    <w:p>
      <w:pPr>
        <w:pStyle w:val="0"/>
        <w:spacing w:before="240" w:lineRule="auto"/>
        <w:ind w:firstLine="540"/>
        <w:jc w:val="both"/>
      </w:pPr>
      <w:r>
        <w:rPr>
          <w:sz w:val="24"/>
        </w:rPr>
        <w:t xml:space="preserve">В </w:t>
      </w:r>
      <w:hyperlink w:history="0" w:anchor="P56925" w:tooltip="Подраздел 8.1.1.">
        <w:r>
          <w:rPr>
            <w:sz w:val="24"/>
            <w:color w:val="0000ff"/>
          </w:rPr>
          <w:t xml:space="preserve">подразделах 8.1.1</w:t>
        </w:r>
      </w:hyperlink>
      <w:r>
        <w:rPr>
          <w:sz w:val="24"/>
        </w:rPr>
        <w:t xml:space="preserve"> и </w:t>
      </w:r>
      <w:hyperlink w:history="0" w:anchor="P57101" w:tooltip="Подраздел 8.2.1.">
        <w:r>
          <w:rPr>
            <w:sz w:val="24"/>
            <w:color w:val="0000ff"/>
          </w:rPr>
          <w:t xml:space="preserve">8.2.1 раздела 8</w:t>
        </w:r>
      </w:hyperlink>
      <w:r>
        <w:rPr>
          <w:sz w:val="24"/>
        </w:rPr>
        <w:t xml:space="preserve"> отчетности по форме 0420162 в случае заключения страховщиком договоров перестрахования с международными финансовыми организациями, осуществляющими деятельность в сфере перестрахования, по аналитическим признакам группы аналитических признаков "Код по Общероссийскому </w:t>
      </w:r>
      <w:hyperlink w:history="0" r:id="rId833"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указывается код 998.</w:t>
      </w:r>
    </w:p>
    <w:p>
      <w:pPr>
        <w:pStyle w:val="0"/>
        <w:spacing w:before="240" w:lineRule="auto"/>
        <w:ind w:firstLine="540"/>
        <w:jc w:val="both"/>
      </w:pPr>
      <w:r>
        <w:rPr>
          <w:sz w:val="24"/>
        </w:rPr>
        <w:t xml:space="preserve">12. По показателям отчетности по </w:t>
      </w:r>
      <w:hyperlink w:history="0" w:anchor="P54356" w:tooltip="Отчетность по форме 0420162">
        <w:r>
          <w:rPr>
            <w:sz w:val="24"/>
            <w:color w:val="0000ff"/>
          </w:rPr>
          <w:t xml:space="preserve">форме 0420162</w:t>
        </w:r>
      </w:hyperlink>
      <w:r>
        <w:rPr>
          <w:sz w:val="24"/>
        </w:rPr>
        <w:t xml:space="preserve"> отражаются данные по договорам страхования, сформированные следующим образом:</w:t>
      </w:r>
    </w:p>
    <w:p>
      <w:pPr>
        <w:pStyle w:val="0"/>
        <w:spacing w:before="240" w:lineRule="auto"/>
        <w:ind w:firstLine="540"/>
        <w:jc w:val="both"/>
      </w:pPr>
      <w:r>
        <w:rPr>
          <w:sz w:val="24"/>
        </w:rPr>
        <w:t xml:space="preserve">12.1. По показателю "Страховые премии (взносы) по договорам страхования" (</w:t>
      </w:r>
      <w:hyperlink w:history="0" w:anchor="P54371" w:tooltip="1">
        <w:r>
          <w:rPr>
            <w:sz w:val="24"/>
            <w:color w:val="0000ff"/>
          </w:rPr>
          <w:t xml:space="preserve">строки 1</w:t>
        </w:r>
      </w:hyperlink>
      <w:r>
        <w:rPr>
          <w:sz w:val="24"/>
        </w:rPr>
        <w:t xml:space="preserve">, </w:t>
      </w:r>
      <w:hyperlink w:history="0" w:anchor="P55705" w:tooltip="39">
        <w:r>
          <w:rPr>
            <w:sz w:val="24"/>
            <w:color w:val="0000ff"/>
          </w:rPr>
          <w:t xml:space="preserve">39</w:t>
        </w:r>
      </w:hyperlink>
      <w:r>
        <w:rPr>
          <w:sz w:val="24"/>
        </w:rPr>
        <w:t xml:space="preserve">, </w:t>
      </w:r>
      <w:hyperlink w:history="0" w:anchor="P55889" w:tooltip="46">
        <w:r>
          <w:rPr>
            <w:sz w:val="24"/>
            <w:color w:val="0000ff"/>
          </w:rPr>
          <w:t xml:space="preserve">46</w:t>
        </w:r>
      </w:hyperlink>
      <w:r>
        <w:rPr>
          <w:sz w:val="24"/>
        </w:rPr>
        <w:t xml:space="preserve">, </w:t>
      </w:r>
      <w:hyperlink w:history="0" w:anchor="P55987" w:tooltip="54">
        <w:r>
          <w:rPr>
            <w:sz w:val="24"/>
            <w:color w:val="0000ff"/>
          </w:rPr>
          <w:t xml:space="preserve">54</w:t>
        </w:r>
      </w:hyperlink>
      <w:r>
        <w:rPr>
          <w:sz w:val="24"/>
        </w:rPr>
        <w:t xml:space="preserve">) указывается сумма страховых премий по договорам страхования, уплата, корректировка (увеличение или уменьшение) или возврат которых согласно условиям соответствующих договоров страхования приходится на отчетный период.</w:t>
      </w:r>
    </w:p>
    <w:p>
      <w:pPr>
        <w:pStyle w:val="0"/>
        <w:spacing w:before="240" w:lineRule="auto"/>
        <w:ind w:firstLine="540"/>
        <w:jc w:val="both"/>
      </w:pPr>
      <w:r>
        <w:rPr>
          <w:sz w:val="24"/>
        </w:rPr>
        <w:t xml:space="preserve">Данные указываются по договорам страхования, заключенным страховщиком со страхователями в отчетном периоде и предыдущих отчетных периодах.</w:t>
      </w:r>
    </w:p>
    <w:p>
      <w:pPr>
        <w:pStyle w:val="0"/>
        <w:spacing w:before="240" w:lineRule="auto"/>
        <w:ind w:firstLine="540"/>
        <w:jc w:val="both"/>
      </w:pPr>
      <w:r>
        <w:rPr>
          <w:sz w:val="24"/>
        </w:rPr>
        <w:t xml:space="preserve">12.2. По показателю "Страховые премии (взносы) по договорам страхования, заключенным в отчетном периоде (с учетом изменений)" (</w:t>
      </w:r>
      <w:hyperlink w:history="0" w:anchor="P54419" w:tooltip="2">
        <w:r>
          <w:rPr>
            <w:sz w:val="24"/>
            <w:color w:val="0000ff"/>
          </w:rPr>
          <w:t xml:space="preserve">строки 2</w:t>
        </w:r>
      </w:hyperlink>
      <w:r>
        <w:rPr>
          <w:sz w:val="24"/>
        </w:rPr>
        <w:t xml:space="preserve">, </w:t>
      </w:r>
      <w:hyperlink w:history="0" w:anchor="P56007" w:tooltip="55">
        <w:r>
          <w:rPr>
            <w:sz w:val="24"/>
            <w:color w:val="0000ff"/>
          </w:rPr>
          <w:t xml:space="preserve">55</w:t>
        </w:r>
      </w:hyperlink>
      <w:r>
        <w:rPr>
          <w:sz w:val="24"/>
        </w:rPr>
        <w:t xml:space="preserve">) указывается сумма страховых премий по договорам страхования, уплата, корректировка (увеличение или уменьшение) или возврат которых согласно условиям соответствующих договоров страхования приходится на отчетный период.</w:t>
      </w:r>
    </w:p>
    <w:p>
      <w:pPr>
        <w:pStyle w:val="0"/>
        <w:spacing w:before="240" w:lineRule="auto"/>
        <w:ind w:firstLine="540"/>
        <w:jc w:val="both"/>
      </w:pPr>
      <w:r>
        <w:rPr>
          <w:sz w:val="24"/>
        </w:rPr>
        <w:t xml:space="preserve">Данные указываются по договорам страхования, заключенным страховщиком со страхователями в отчетном периоде, указанным по показателю "Количество договоров страхования, заключенных в отчетном периоде" (</w:t>
      </w:r>
      <w:hyperlink w:history="0" w:anchor="P54455" w:tooltip="3">
        <w:r>
          <w:rPr>
            <w:sz w:val="24"/>
            <w:color w:val="0000ff"/>
          </w:rPr>
          <w:t xml:space="preserve">строки 3</w:t>
        </w:r>
      </w:hyperlink>
      <w:r>
        <w:rPr>
          <w:sz w:val="24"/>
        </w:rPr>
        <w:t xml:space="preserve">, </w:t>
      </w:r>
      <w:hyperlink w:history="0" w:anchor="P56027" w:tooltip="56">
        <w:r>
          <w:rPr>
            <w:sz w:val="24"/>
            <w:color w:val="0000ff"/>
          </w:rPr>
          <w:t xml:space="preserve">56</w:t>
        </w:r>
      </w:hyperlink>
      <w:r>
        <w:rPr>
          <w:sz w:val="24"/>
        </w:rPr>
        <w:t xml:space="preserve">).</w:t>
      </w:r>
    </w:p>
    <w:p>
      <w:pPr>
        <w:pStyle w:val="0"/>
        <w:spacing w:before="240" w:lineRule="auto"/>
        <w:ind w:firstLine="540"/>
        <w:jc w:val="both"/>
      </w:pPr>
      <w:r>
        <w:rPr>
          <w:sz w:val="24"/>
        </w:rPr>
        <w:t xml:space="preserve">12.3. По показателю "Количество договоров страхования, заключенных в отчетном периоде" (</w:t>
      </w:r>
      <w:hyperlink w:history="0" w:anchor="P54455" w:tooltip="3">
        <w:r>
          <w:rPr>
            <w:sz w:val="24"/>
            <w:color w:val="0000ff"/>
          </w:rPr>
          <w:t xml:space="preserve">строки 3</w:t>
        </w:r>
      </w:hyperlink>
      <w:r>
        <w:rPr>
          <w:sz w:val="24"/>
        </w:rPr>
        <w:t xml:space="preserve">, </w:t>
      </w:r>
      <w:hyperlink w:history="0" w:anchor="P55733" w:tooltip="40">
        <w:r>
          <w:rPr>
            <w:sz w:val="24"/>
            <w:color w:val="0000ff"/>
          </w:rPr>
          <w:t xml:space="preserve">40</w:t>
        </w:r>
      </w:hyperlink>
      <w:r>
        <w:rPr>
          <w:sz w:val="24"/>
        </w:rPr>
        <w:t xml:space="preserve">, </w:t>
      </w:r>
      <w:hyperlink w:history="0" w:anchor="P55901" w:tooltip="47">
        <w:r>
          <w:rPr>
            <w:sz w:val="24"/>
            <w:color w:val="0000ff"/>
          </w:rPr>
          <w:t xml:space="preserve">47</w:t>
        </w:r>
      </w:hyperlink>
      <w:r>
        <w:rPr>
          <w:sz w:val="24"/>
        </w:rPr>
        <w:t xml:space="preserve">, </w:t>
      </w:r>
      <w:hyperlink w:history="0" w:anchor="P56027" w:tooltip="56">
        <w:r>
          <w:rPr>
            <w:sz w:val="24"/>
            <w:color w:val="0000ff"/>
          </w:rPr>
          <w:t xml:space="preserve">56</w:t>
        </w:r>
      </w:hyperlink>
      <w:r>
        <w:rPr>
          <w:sz w:val="24"/>
        </w:rPr>
        <w:t xml:space="preserve">) отражаются данные о количестве заключенных в отчетном периоде договоров страхования. При этом договор страхования, возобновленный с тем же страхователем на новый срок, для составления отчетности по </w:t>
      </w:r>
      <w:hyperlink w:history="0" w:anchor="P54356" w:tooltip="Отчетность по форме 0420162">
        <w:r>
          <w:rPr>
            <w:sz w:val="24"/>
            <w:color w:val="0000ff"/>
          </w:rPr>
          <w:t xml:space="preserve">форме 0420162</w:t>
        </w:r>
      </w:hyperlink>
      <w:r>
        <w:rPr>
          <w:sz w:val="24"/>
        </w:rPr>
        <w:t xml:space="preserve"> признается вновь заключенным договором и отражается как заключенный договор страхования.</w:t>
      </w:r>
    </w:p>
    <w:p>
      <w:pPr>
        <w:pStyle w:val="0"/>
        <w:spacing w:before="240" w:lineRule="auto"/>
        <w:ind w:firstLine="540"/>
        <w:jc w:val="both"/>
      </w:pPr>
      <w:r>
        <w:rPr>
          <w:sz w:val="24"/>
        </w:rPr>
        <w:t xml:space="preserve">12.4. По показателю "Страховая сумма по договорам страхования, заключенным в отчетном периоде (с учетом изменений)" (</w:t>
      </w:r>
      <w:hyperlink w:history="0" w:anchor="P54495" w:tooltip="4">
        <w:r>
          <w:rPr>
            <w:sz w:val="24"/>
            <w:color w:val="0000ff"/>
          </w:rPr>
          <w:t xml:space="preserve">строки 4</w:t>
        </w:r>
      </w:hyperlink>
      <w:r>
        <w:rPr>
          <w:sz w:val="24"/>
        </w:rPr>
        <w:t xml:space="preserve">, </w:t>
      </w:r>
      <w:hyperlink w:history="0" w:anchor="P55761" w:tooltip="41">
        <w:r>
          <w:rPr>
            <w:sz w:val="24"/>
            <w:color w:val="0000ff"/>
          </w:rPr>
          <w:t xml:space="preserve">41</w:t>
        </w:r>
      </w:hyperlink>
      <w:r>
        <w:rPr>
          <w:sz w:val="24"/>
        </w:rPr>
        <w:t xml:space="preserve">, </w:t>
      </w:r>
      <w:hyperlink w:history="0" w:anchor="P55913" w:tooltip="48">
        <w:r>
          <w:rPr>
            <w:sz w:val="24"/>
            <w:color w:val="0000ff"/>
          </w:rPr>
          <w:t xml:space="preserve">48</w:t>
        </w:r>
      </w:hyperlink>
      <w:r>
        <w:rPr>
          <w:sz w:val="24"/>
        </w:rPr>
        <w:t xml:space="preserve">) отражаются данные о совокупной страховой сумме по заключенным в отчетном периоде договорам страхования (с учетом изменений), указанным по показателю "Количество договоров страхования, заключенных в отчетном периоде" (</w:t>
      </w:r>
      <w:hyperlink w:history="0" w:anchor="P54455" w:tooltip="3">
        <w:r>
          <w:rPr>
            <w:sz w:val="24"/>
            <w:color w:val="0000ff"/>
          </w:rPr>
          <w:t xml:space="preserve">строки 3</w:t>
        </w:r>
      </w:hyperlink>
      <w:r>
        <w:rPr>
          <w:sz w:val="24"/>
        </w:rPr>
        <w:t xml:space="preserve">, </w:t>
      </w:r>
      <w:hyperlink w:history="0" w:anchor="P55551" w:tooltip="35">
        <w:r>
          <w:rPr>
            <w:sz w:val="24"/>
            <w:color w:val="0000ff"/>
          </w:rPr>
          <w:t xml:space="preserve">35</w:t>
        </w:r>
      </w:hyperlink>
      <w:r>
        <w:rPr>
          <w:sz w:val="24"/>
        </w:rPr>
        <w:t xml:space="preserve">, </w:t>
      </w:r>
      <w:hyperlink w:history="0" w:anchor="P55949" w:tooltip="51">
        <w:r>
          <w:rPr>
            <w:sz w:val="24"/>
            <w:color w:val="0000ff"/>
          </w:rPr>
          <w:t xml:space="preserve">51</w:t>
        </w:r>
      </w:hyperlink>
      <w:r>
        <w:rPr>
          <w:sz w:val="24"/>
        </w:rPr>
        <w:t xml:space="preserve">).</w:t>
      </w:r>
    </w:p>
    <w:p>
      <w:pPr>
        <w:pStyle w:val="0"/>
        <w:spacing w:before="240" w:lineRule="auto"/>
        <w:ind w:firstLine="540"/>
        <w:jc w:val="both"/>
      </w:pPr>
      <w:r>
        <w:rPr>
          <w:sz w:val="24"/>
        </w:rPr>
        <w:t xml:space="preserve">По договорам пенсионного страхования и договорам страхования жизни с условием выплаты ренты по показателю "Страховая сумма по договорам страхования, заключенным в отчетном периоде (с учетом изменений)" (</w:t>
      </w:r>
      <w:hyperlink w:history="0" w:anchor="P54495" w:tooltip="4">
        <w:r>
          <w:rPr>
            <w:sz w:val="24"/>
            <w:color w:val="0000ff"/>
          </w:rPr>
          <w:t xml:space="preserve">строки 4</w:t>
        </w:r>
      </w:hyperlink>
      <w:r>
        <w:rPr>
          <w:sz w:val="24"/>
        </w:rPr>
        <w:t xml:space="preserve">, </w:t>
      </w:r>
      <w:hyperlink w:history="0" w:anchor="P55761" w:tooltip="41">
        <w:r>
          <w:rPr>
            <w:sz w:val="24"/>
            <w:color w:val="0000ff"/>
          </w:rPr>
          <w:t xml:space="preserve">41</w:t>
        </w:r>
      </w:hyperlink>
      <w:r>
        <w:rPr>
          <w:sz w:val="24"/>
        </w:rPr>
        <w:t xml:space="preserve">) указывается сумма дополнительной пенсии или ренты, которая будет выплачиваться страхователю (застрахованному лицу) в соответствии с условиями договора страхования в течение одного календарного года после достижения им пенсионного или указанного в договоре страхования возраста.</w:t>
      </w:r>
    </w:p>
    <w:p>
      <w:pPr>
        <w:pStyle w:val="0"/>
        <w:spacing w:before="240" w:lineRule="auto"/>
        <w:ind w:firstLine="540"/>
        <w:jc w:val="both"/>
      </w:pPr>
      <w:r>
        <w:rPr>
          <w:sz w:val="24"/>
        </w:rPr>
        <w:t xml:space="preserve">12.5. По показателю "Число застрахованных по договорам страхования, заключенным в отчетном периоде (с учетом изменений)" </w:t>
      </w:r>
      <w:hyperlink w:history="0" w:anchor="P54535" w:tooltip="5">
        <w:r>
          <w:rPr>
            <w:sz w:val="24"/>
            <w:color w:val="0000ff"/>
          </w:rPr>
          <w:t xml:space="preserve">(строка 5)</w:t>
        </w:r>
      </w:hyperlink>
      <w:r>
        <w:rPr>
          <w:sz w:val="24"/>
        </w:rPr>
        <w:t xml:space="preserve"> отражается число застрахованных лиц по договорам личного страхования, заключенным в отчетном периоде (с учетом изменений), указанным по показателю "Количество договоров страхования, заключенных в отчетном периоде" </w:t>
      </w:r>
      <w:hyperlink w:history="0" w:anchor="P54455" w:tooltip="3">
        <w:r>
          <w:rPr>
            <w:sz w:val="24"/>
            <w:color w:val="0000ff"/>
          </w:rPr>
          <w:t xml:space="preserve">(строка 3)</w:t>
        </w:r>
      </w:hyperlink>
      <w:r>
        <w:rPr>
          <w:sz w:val="24"/>
        </w:rPr>
        <w:t xml:space="preserve">.</w:t>
      </w:r>
    </w:p>
    <w:p>
      <w:pPr>
        <w:pStyle w:val="0"/>
        <w:spacing w:before="240" w:lineRule="auto"/>
        <w:ind w:firstLine="540"/>
        <w:jc w:val="both"/>
      </w:pPr>
      <w:r>
        <w:rPr>
          <w:sz w:val="24"/>
        </w:rPr>
        <w:t xml:space="preserve">12.6. По показателям "Сумма возврата страховых премий (взносов)" (</w:t>
      </w:r>
      <w:hyperlink w:history="0" w:anchor="P54563" w:tooltip="6">
        <w:r>
          <w:rPr>
            <w:sz w:val="24"/>
            <w:color w:val="0000ff"/>
          </w:rPr>
          <w:t xml:space="preserve">строки 6</w:t>
        </w:r>
      </w:hyperlink>
      <w:r>
        <w:rPr>
          <w:sz w:val="24"/>
        </w:rPr>
        <w:t xml:space="preserve">, </w:t>
      </w:r>
      <w:hyperlink w:history="0" w:anchor="P56063" w:tooltip="58">
        <w:r>
          <w:rPr>
            <w:sz w:val="24"/>
            <w:color w:val="0000ff"/>
          </w:rPr>
          <w:t xml:space="preserve">58</w:t>
        </w:r>
      </w:hyperlink>
      <w:r>
        <w:rPr>
          <w:sz w:val="24"/>
        </w:rPr>
        <w:t xml:space="preserve">) и "Количество договоров страхования, по которым в отчетном периоде осуществлен возврат страховых премий (взносов)" (</w:t>
      </w:r>
      <w:hyperlink w:history="0" w:anchor="P54599" w:tooltip="7">
        <w:r>
          <w:rPr>
            <w:sz w:val="24"/>
            <w:color w:val="0000ff"/>
          </w:rPr>
          <w:t xml:space="preserve">строки 7</w:t>
        </w:r>
      </w:hyperlink>
      <w:r>
        <w:rPr>
          <w:sz w:val="24"/>
        </w:rPr>
        <w:t xml:space="preserve">, </w:t>
      </w:r>
      <w:hyperlink w:history="0" w:anchor="P56079" w:tooltip="59">
        <w:r>
          <w:rPr>
            <w:sz w:val="24"/>
            <w:color w:val="0000ff"/>
          </w:rPr>
          <w:t xml:space="preserve">59</w:t>
        </w:r>
      </w:hyperlink>
      <w:r>
        <w:rPr>
          <w:sz w:val="24"/>
        </w:rPr>
        <w:t xml:space="preserve">) отражаются сведения о договорах страхования, по которым возврат страховых премий в связи с досрочным прекращением соответствующих договоров страхования либо изменением их условий приходится на отчетный период: суммы, подлежащие выплате, если страховая премия была уплачена, и количество договоров страхования. При этом сведения о договорах страхования, по которым страховщиком в отчетном периоде были осуществлены возвраты уплаченных страховых премий в случае отказа страхователей от договоров добровольного страхования в срок, предусмотренный </w:t>
      </w:r>
      <w:hyperlink w:history="0" r:id="rId834" w:tooltip="Указание Банка России от 20.11.2015 N 3854-У (ред. от 21.08.2017) &quot;О минимальных (стандартных) требованиях к условиям и порядку осуществления отдельных видов добровольного страхования&quot; (Зарегистрировано в Минюсте России 12.02.2016 N 41072) {КонсультантПлюс}">
        <w:r>
          <w:rPr>
            <w:sz w:val="24"/>
            <w:color w:val="0000ff"/>
          </w:rPr>
          <w:t xml:space="preserve">пунктами 1</w:t>
        </w:r>
      </w:hyperlink>
      <w:r>
        <w:rPr>
          <w:sz w:val="24"/>
        </w:rPr>
        <w:t xml:space="preserve"> и </w:t>
      </w:r>
      <w:hyperlink w:history="0" r:id="rId835" w:tooltip="Указание Банка России от 20.11.2015 N 3854-У (ред. от 21.08.2017) &quot;О минимальных (стандартных) требованиях к условиям и порядку осуществления отдельных видов добровольного страхования&quot; (Зарегистрировано в Минюсте России 12.02.2016 N 41072) {КонсультантПлюс}">
        <w:r>
          <w:rPr>
            <w:sz w:val="24"/>
            <w:color w:val="0000ff"/>
          </w:rPr>
          <w:t xml:space="preserve">2</w:t>
        </w:r>
      </w:hyperlink>
      <w:r>
        <w:rPr>
          <w:sz w:val="24"/>
        </w:rPr>
        <w:t xml:space="preserve"> Указания Банка России от 20 ноября 2015 года N 3854-У "О минимальных (стандартных) требованиях к условиям и порядку осуществления отдельных видов добровольного страхования" &lt;2&gt;, также отражаются по показателям "Сумма возврата страховых премий (взносов) в случае отказа страхователя от договора в "период охлаждения" </w:t>
      </w:r>
      <w:hyperlink w:history="0" w:anchor="P54635" w:tooltip="8">
        <w:r>
          <w:rPr>
            <w:sz w:val="24"/>
            <w:color w:val="0000ff"/>
          </w:rPr>
          <w:t xml:space="preserve">(строка 8)</w:t>
        </w:r>
      </w:hyperlink>
      <w:r>
        <w:rPr>
          <w:sz w:val="24"/>
        </w:rPr>
        <w:t xml:space="preserve"> и "Количество договоров страхования, по которым в отчетном периоде осуществлен возврат страховых премий (взносов) в случае отказа страхователя от договора в "период охлаждения" </w:t>
      </w:r>
      <w:hyperlink w:history="0" w:anchor="P54663" w:tooltip="9">
        <w:r>
          <w:rPr>
            <w:sz w:val="24"/>
            <w:color w:val="0000ff"/>
          </w:rPr>
          <w:t xml:space="preserve">(строка 9)</w:t>
        </w:r>
      </w:hyperlink>
      <w:r>
        <w:rPr>
          <w:sz w:val="24"/>
        </w:rPr>
        <w:t xml:space="preserve">.</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Зарегистрировано Минюстом России 12 февраля 2016 года, регистрационный N 41072, с изменениями, внесенными Указаниями Банка России от 1 июня 2016 года N 4032-У (зарегистрировано Минюстом России 27 июня 2016 года, регистрационный N 42648), от 21 августа 2017 года N 4500-У (зарегистрировано Минюстом России 8 сентября 2017 года, регистрационный N 48112).</w:t>
      </w:r>
    </w:p>
    <w:p>
      <w:pPr>
        <w:pStyle w:val="0"/>
        <w:jc w:val="both"/>
      </w:pPr>
      <w:r>
        <w:rPr>
          <w:sz w:val="24"/>
        </w:rPr>
      </w:r>
    </w:p>
    <w:p>
      <w:pPr>
        <w:pStyle w:val="0"/>
        <w:ind w:firstLine="540"/>
        <w:jc w:val="both"/>
      </w:pPr>
      <w:r>
        <w:rPr>
          <w:sz w:val="24"/>
        </w:rPr>
        <w:t xml:space="preserve">12.7. По показателю "Количество договоров страхования, действовавших на конец отчетного периода" (</w:t>
      </w:r>
      <w:hyperlink w:history="0" w:anchor="P54691" w:tooltip="10">
        <w:r>
          <w:rPr>
            <w:sz w:val="24"/>
            <w:color w:val="0000ff"/>
          </w:rPr>
          <w:t xml:space="preserve">строки 10</w:t>
        </w:r>
      </w:hyperlink>
      <w:r>
        <w:rPr>
          <w:sz w:val="24"/>
        </w:rPr>
        <w:t xml:space="preserve">, </w:t>
      </w:r>
      <w:hyperlink w:history="0" w:anchor="P56095" w:tooltip="60">
        <w:r>
          <w:rPr>
            <w:sz w:val="24"/>
            <w:color w:val="0000ff"/>
          </w:rPr>
          <w:t xml:space="preserve">60</w:t>
        </w:r>
      </w:hyperlink>
      <w:r>
        <w:rPr>
          <w:sz w:val="24"/>
        </w:rPr>
        <w:t xml:space="preserve">) отражается количество действовавших на конец отчетного периода договоров страхования.</w:t>
      </w:r>
    </w:p>
    <w:p>
      <w:pPr>
        <w:pStyle w:val="0"/>
        <w:spacing w:before="240" w:lineRule="auto"/>
        <w:ind w:firstLine="540"/>
        <w:jc w:val="both"/>
      </w:pPr>
      <w:r>
        <w:rPr>
          <w:sz w:val="24"/>
        </w:rPr>
        <w:t xml:space="preserve">В случае если окончание срока действия договора страхования приходится на последний календарный день отчетного периода, для составления отчетности по </w:t>
      </w:r>
      <w:hyperlink w:history="0" w:anchor="P54356" w:tooltip="Отчетность по форме 0420162">
        <w:r>
          <w:rPr>
            <w:sz w:val="24"/>
            <w:color w:val="0000ff"/>
          </w:rPr>
          <w:t xml:space="preserve">форме 0420162</w:t>
        </w:r>
      </w:hyperlink>
      <w:r>
        <w:rPr>
          <w:sz w:val="24"/>
        </w:rPr>
        <w:t xml:space="preserve"> такой договор страхования не отражается как действовавший на конец отчетного периода.</w:t>
      </w:r>
    </w:p>
    <w:p>
      <w:pPr>
        <w:pStyle w:val="0"/>
        <w:spacing w:before="240" w:lineRule="auto"/>
        <w:ind w:firstLine="540"/>
        <w:jc w:val="both"/>
      </w:pPr>
      <w:r>
        <w:rPr>
          <w:sz w:val="24"/>
        </w:rPr>
        <w:t xml:space="preserve">12.8. По показателю "Страховая сумма по договорам страхования, действовавшим на конец отчетного периода" </w:t>
      </w:r>
      <w:hyperlink w:history="0" w:anchor="P54731" w:tooltip="11">
        <w:r>
          <w:rPr>
            <w:sz w:val="24"/>
            <w:color w:val="0000ff"/>
          </w:rPr>
          <w:t xml:space="preserve">(строка 11)</w:t>
        </w:r>
      </w:hyperlink>
      <w:r>
        <w:rPr>
          <w:sz w:val="24"/>
        </w:rPr>
        <w:t xml:space="preserve"> отражается совокупная страховая сумма по действовавшим на конец отчетного периода договорам страхования, количество которых указано по показателю "Количество договоров страхования, действовавших на конец отчетного периода" </w:t>
      </w:r>
      <w:hyperlink w:history="0" w:anchor="P54691" w:tooltip="10">
        <w:r>
          <w:rPr>
            <w:sz w:val="24"/>
            <w:color w:val="0000ff"/>
          </w:rPr>
          <w:t xml:space="preserve">(строка 10)</w:t>
        </w:r>
      </w:hyperlink>
      <w:r>
        <w:rPr>
          <w:sz w:val="24"/>
        </w:rPr>
        <w:t xml:space="preserve">. При этом страховая сумма, выраженная в иностранной валюте, по договорам страхования, заключение которых согласно валютному законодательству Российской Федерации разрешается в иностранной валюте, подлежит пересчету в рубли по официальному курсу этой иностранной валюты к российскому рублю, установленному Банком России в соответствии с </w:t>
      </w:r>
      <w:hyperlink w:history="0" r:id="rId836"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пунктом 15 статьи 4</w:t>
        </w:r>
      </w:hyperlink>
      <w:r>
        <w:rPr>
          <w:sz w:val="24"/>
        </w:rPr>
        <w:t xml:space="preserve"> Федерального закона от 10 июля 2002 года N 86-ФЗ "О Центральном банке Российской Федерации (Банке России)" (далее - курс иностранной валюты к рублю), по последней по времени котировке в отчетном периоде.</w:t>
      </w:r>
    </w:p>
    <w:p>
      <w:pPr>
        <w:pStyle w:val="0"/>
        <w:spacing w:before="240" w:lineRule="auto"/>
        <w:ind w:firstLine="540"/>
        <w:jc w:val="both"/>
      </w:pPr>
      <w:r>
        <w:rPr>
          <w:sz w:val="24"/>
        </w:rPr>
        <w:t xml:space="preserve">По показателю "Проведение страхования в иностранной валюте" </w:t>
      </w:r>
      <w:hyperlink w:history="0" w:anchor="P57254" w:tooltip="124">
        <w:r>
          <w:rPr>
            <w:sz w:val="24"/>
            <w:color w:val="0000ff"/>
          </w:rPr>
          <w:t xml:space="preserve">(строка 124)</w:t>
        </w:r>
      </w:hyperlink>
      <w:r>
        <w:rPr>
          <w:sz w:val="24"/>
        </w:rPr>
        <w:t xml:space="preserve"> необходимо указать виды страхования, проводимого страховщиком в отчетном периоде в иностранной валюте, и примененный страховщиком курс иностранной валюты к рублю при составлении отчетности по </w:t>
      </w:r>
      <w:hyperlink w:history="0" w:anchor="P54356" w:tooltip="Отчетность по форме 0420162">
        <w:r>
          <w:rPr>
            <w:sz w:val="24"/>
            <w:color w:val="0000ff"/>
          </w:rPr>
          <w:t xml:space="preserve">форме 0420162</w:t>
        </w:r>
      </w:hyperlink>
      <w:r>
        <w:rPr>
          <w:sz w:val="24"/>
        </w:rPr>
        <w:t xml:space="preserve">.</w:t>
      </w:r>
    </w:p>
    <w:p>
      <w:pPr>
        <w:pStyle w:val="0"/>
        <w:spacing w:before="240" w:lineRule="auto"/>
        <w:ind w:firstLine="540"/>
        <w:jc w:val="both"/>
      </w:pPr>
      <w:r>
        <w:rPr>
          <w:sz w:val="24"/>
        </w:rPr>
        <w:t xml:space="preserve">12.9. По показателю "Число застрахованных по договорам страхования, действовавшим на конец отчетного периода" </w:t>
      </w:r>
      <w:hyperlink w:history="0" w:anchor="P54771" w:tooltip="12">
        <w:r>
          <w:rPr>
            <w:sz w:val="24"/>
            <w:color w:val="0000ff"/>
          </w:rPr>
          <w:t xml:space="preserve">(строка 12)</w:t>
        </w:r>
      </w:hyperlink>
      <w:r>
        <w:rPr>
          <w:sz w:val="24"/>
        </w:rPr>
        <w:t xml:space="preserve"> отражается число застрахованных лиц по действовавшим на конец отчетного периода договорам личного страхования, указанным по показателю "Количество договоров страхования, действовавших на конец отчетного периода" </w:t>
      </w:r>
      <w:hyperlink w:history="0" w:anchor="P54691" w:tooltip="10">
        <w:r>
          <w:rPr>
            <w:sz w:val="24"/>
            <w:color w:val="0000ff"/>
          </w:rPr>
          <w:t xml:space="preserve">(строка 10)</w:t>
        </w:r>
      </w:hyperlink>
      <w:r>
        <w:rPr>
          <w:sz w:val="24"/>
        </w:rPr>
        <w:t xml:space="preserve">.</w:t>
      </w:r>
    </w:p>
    <w:p>
      <w:pPr>
        <w:pStyle w:val="0"/>
        <w:spacing w:before="240" w:lineRule="auto"/>
        <w:ind w:firstLine="540"/>
        <w:jc w:val="both"/>
      </w:pPr>
      <w:r>
        <w:rPr>
          <w:sz w:val="24"/>
        </w:rPr>
        <w:t xml:space="preserve">12.10. По показателю "Количество заявленных страховых случаев" (</w:t>
      </w:r>
      <w:hyperlink w:history="0" w:anchor="P54799" w:tooltip="13">
        <w:r>
          <w:rPr>
            <w:sz w:val="24"/>
            <w:color w:val="0000ff"/>
          </w:rPr>
          <w:t xml:space="preserve">строки 13</w:t>
        </w:r>
      </w:hyperlink>
      <w:r>
        <w:rPr>
          <w:sz w:val="24"/>
        </w:rPr>
        <w:t xml:space="preserve">, </w:t>
      </w:r>
      <w:hyperlink w:history="0" w:anchor="P55925" w:tooltip="49">
        <w:r>
          <w:rPr>
            <w:sz w:val="24"/>
            <w:color w:val="0000ff"/>
          </w:rPr>
          <w:t xml:space="preserve">49</w:t>
        </w:r>
      </w:hyperlink>
      <w:r>
        <w:rPr>
          <w:sz w:val="24"/>
        </w:rPr>
        <w:t xml:space="preserve">, </w:t>
      </w:r>
      <w:hyperlink w:history="0" w:anchor="P56115" w:tooltip="61">
        <w:r>
          <w:rPr>
            <w:sz w:val="24"/>
            <w:color w:val="0000ff"/>
          </w:rPr>
          <w:t xml:space="preserve">61</w:t>
        </w:r>
      </w:hyperlink>
      <w:r>
        <w:rPr>
          <w:sz w:val="24"/>
        </w:rPr>
        <w:t xml:space="preserve">) отражается количество поступивших в отчетном периоде заявлений о страховых случаях. При этом количество заявлений о страховых случаях, поступивших в отчетном периоде в результате взаимодействия страховщика со страхователем, застрахованным лицом, выгодоприобретателем или потерпевшим путем обмена информацией исключительно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&lt;3&gt; либо иных информационных систем, которые обеспечивают взаимодействие (обмен информацией) в электронной форме между страховщиком и указанными лицами посредством информационно-телекоммуникационной сети "Интернет" (далее соответственно - сеть "Интернет", взаимодействие в электронной форме), также отражаются по показателю "Количество заявленных страховых случаев (взаимодействие в электронной форме)" </w:t>
      </w:r>
      <w:hyperlink w:history="0" w:anchor="P54919" w:tooltip="16">
        <w:r>
          <w:rPr>
            <w:sz w:val="24"/>
            <w:color w:val="0000ff"/>
          </w:rPr>
          <w:t xml:space="preserve">(строка 16)</w:t>
        </w:r>
      </w:hyperlink>
      <w:r>
        <w:rPr>
          <w:sz w:val="24"/>
        </w:rPr>
        <w:t xml:space="preserve">.</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w:t>
      </w:r>
      <w:hyperlink w:history="0" r:id="rId837" w:tooltip="Постановление Правительства РФ от 24.10.2011 N 861 (ред. от 17.12.2025) &quo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quot; (вместе с &quot;Положением о федеральной государственной информационной системе &quot;Федеральный реестр государственных и муниципальных услуг (функций)&quot;, &quot;Правилами ведения федеральной государственной информационной системы &quot;Федеральный реестр государственных и муниципальных услу {КонсультантПлюс}">
        <w:r>
          <w:rPr>
            <w:sz w:val="24"/>
            <w:color w:val="0000ff"/>
          </w:rPr>
          <w:t xml:space="preserve">Положение</w:t>
        </w:r>
      </w:hyperlink>
      <w:r>
        <w:rPr>
          <w:sz w:val="24"/>
        </w:rPr>
        <w:t xml:space="preserve"> о федеральной государственной информационной системе "Единый портал государственных и муниципальных услуг (функций)", утвержденное постановлением Правительства Российской Федерации от 24 октября 2011 года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pPr>
        <w:pStyle w:val="0"/>
        <w:jc w:val="both"/>
      </w:pPr>
      <w:r>
        <w:rPr>
          <w:sz w:val="24"/>
        </w:rPr>
      </w:r>
    </w:p>
    <w:p>
      <w:pPr>
        <w:pStyle w:val="0"/>
        <w:ind w:firstLine="540"/>
        <w:jc w:val="both"/>
      </w:pPr>
      <w:r>
        <w:rPr>
          <w:sz w:val="24"/>
        </w:rPr>
        <w:t xml:space="preserve">12.11. По показателю "Количество урегулированных страховых случаев: осуществлены окончательные страховые выплаты" (</w:t>
      </w:r>
      <w:hyperlink w:history="0" w:anchor="P54839" w:tooltip="14">
        <w:r>
          <w:rPr>
            <w:sz w:val="24"/>
            <w:color w:val="0000ff"/>
          </w:rPr>
          <w:t xml:space="preserve">строки 14</w:t>
        </w:r>
      </w:hyperlink>
      <w:r>
        <w:rPr>
          <w:sz w:val="24"/>
        </w:rPr>
        <w:t xml:space="preserve">, </w:t>
      </w:r>
      <w:hyperlink w:history="0" w:anchor="P55817" w:tooltip="43">
        <w:r>
          <w:rPr>
            <w:sz w:val="24"/>
            <w:color w:val="0000ff"/>
          </w:rPr>
          <w:t xml:space="preserve">43</w:t>
        </w:r>
      </w:hyperlink>
      <w:r>
        <w:rPr>
          <w:sz w:val="24"/>
        </w:rPr>
        <w:t xml:space="preserve">, </w:t>
      </w:r>
      <w:hyperlink w:history="0" w:anchor="P55937" w:tooltip="50">
        <w:r>
          <w:rPr>
            <w:sz w:val="24"/>
            <w:color w:val="0000ff"/>
          </w:rPr>
          <w:t xml:space="preserve">50</w:t>
        </w:r>
      </w:hyperlink>
      <w:r>
        <w:rPr>
          <w:sz w:val="24"/>
        </w:rPr>
        <w:t xml:space="preserve">, </w:t>
      </w:r>
      <w:hyperlink w:history="0" w:anchor="P56131" w:tooltip="62">
        <w:r>
          <w:rPr>
            <w:sz w:val="24"/>
            <w:color w:val="0000ff"/>
          </w:rPr>
          <w:t xml:space="preserve">62</w:t>
        </w:r>
      </w:hyperlink>
      <w:r>
        <w:rPr>
          <w:sz w:val="24"/>
        </w:rPr>
        <w:t xml:space="preserve">) отражается количество страховых случаев, по которым в отчетном периоде страховщиком осуществлены окончательные страховые выплаты. При этом сведения об указанном урегулировании страховых случаев в результате взаимодействия в электронной форме также отражаются по показателю "Количество урегулированных страховых случаев: осуществлены окончательные страховые выплаты (взаимодействие в электронной форме)" </w:t>
      </w:r>
      <w:hyperlink w:history="0" w:anchor="P54959" w:tooltip="17">
        <w:r>
          <w:rPr>
            <w:sz w:val="24"/>
            <w:color w:val="0000ff"/>
          </w:rPr>
          <w:t xml:space="preserve">(строка 17)</w:t>
        </w:r>
      </w:hyperlink>
      <w:r>
        <w:rPr>
          <w:sz w:val="24"/>
        </w:rPr>
        <w:t xml:space="preserve">.</w:t>
      </w:r>
    </w:p>
    <w:p>
      <w:pPr>
        <w:pStyle w:val="0"/>
        <w:spacing w:before="240" w:lineRule="auto"/>
        <w:ind w:firstLine="540"/>
        <w:jc w:val="both"/>
      </w:pPr>
      <w:r>
        <w:rPr>
          <w:sz w:val="24"/>
        </w:rPr>
        <w:t xml:space="preserve">12.12. По показателю "Количество урегулированных страховых случаев: даны отказы в страховых выплатах" (</w:t>
      </w:r>
      <w:hyperlink w:history="0" w:anchor="P54879" w:tooltip="15">
        <w:r>
          <w:rPr>
            <w:sz w:val="24"/>
            <w:color w:val="0000ff"/>
          </w:rPr>
          <w:t xml:space="preserve">строки 15</w:t>
        </w:r>
      </w:hyperlink>
      <w:r>
        <w:rPr>
          <w:sz w:val="24"/>
        </w:rPr>
        <w:t xml:space="preserve">, </w:t>
      </w:r>
      <w:hyperlink w:history="0" w:anchor="P55949" w:tooltip="51">
        <w:r>
          <w:rPr>
            <w:sz w:val="24"/>
            <w:color w:val="0000ff"/>
          </w:rPr>
          <w:t xml:space="preserve">51</w:t>
        </w:r>
      </w:hyperlink>
      <w:r>
        <w:rPr>
          <w:sz w:val="24"/>
        </w:rPr>
        <w:t xml:space="preserve">, </w:t>
      </w:r>
      <w:hyperlink w:history="0" w:anchor="P56151" w:tooltip="63">
        <w:r>
          <w:rPr>
            <w:sz w:val="24"/>
            <w:color w:val="0000ff"/>
          </w:rPr>
          <w:t xml:space="preserve">63</w:t>
        </w:r>
      </w:hyperlink>
      <w:r>
        <w:rPr>
          <w:sz w:val="24"/>
        </w:rPr>
        <w:t xml:space="preserve">) отражается количество страховых случаев, по которым в отчетном периоде страховщиком даны отказы в страховых выплатах. При этом сведения об указанном урегулировании страховых случаев в результате взаимодействия в электронной форме также отражаются по показателю "Количество урегулированных страховых случаев: даны отказы в страховых выплатах (взаимодействие в электронной форме)" </w:t>
      </w:r>
      <w:hyperlink w:history="0" w:anchor="P54999" w:tooltip="18">
        <w:r>
          <w:rPr>
            <w:sz w:val="24"/>
            <w:color w:val="0000ff"/>
          </w:rPr>
          <w:t xml:space="preserve">(строка 18)</w:t>
        </w:r>
      </w:hyperlink>
      <w:r>
        <w:rPr>
          <w:sz w:val="24"/>
        </w:rPr>
        <w:t xml:space="preserve">.</w:t>
      </w:r>
    </w:p>
    <w:p>
      <w:pPr>
        <w:pStyle w:val="0"/>
        <w:spacing w:before="240" w:lineRule="auto"/>
        <w:ind w:firstLine="540"/>
        <w:jc w:val="both"/>
      </w:pPr>
      <w:r>
        <w:rPr>
          <w:sz w:val="24"/>
        </w:rPr>
        <w:t xml:space="preserve">12.13. По показателю "Заявленная сумма по отказам в страховой выплате" </w:t>
      </w:r>
      <w:hyperlink w:history="0" w:anchor="P55039" w:tooltip="19">
        <w:r>
          <w:rPr>
            <w:sz w:val="24"/>
            <w:color w:val="0000ff"/>
          </w:rPr>
          <w:t xml:space="preserve">(строка 19)</w:t>
        </w:r>
      </w:hyperlink>
      <w:r>
        <w:rPr>
          <w:sz w:val="24"/>
        </w:rPr>
        <w:t xml:space="preserve">, аналитическому признаку "Добровольное страхование жилых помещений граждан в рамках программы" группы аналитических признаков "Виды страхования (справочно)" отражается размер заявленного убытка на дату отказа в страховой выплате, указанного по показателю "Количество урегулированных страховых случаев: даны отказы в страховых выплатах" </w:t>
      </w:r>
      <w:hyperlink w:history="0" w:anchor="P54879" w:tooltip="15">
        <w:r>
          <w:rPr>
            <w:sz w:val="24"/>
            <w:color w:val="0000ff"/>
          </w:rPr>
          <w:t xml:space="preserve">(строка 15)</w:t>
        </w:r>
      </w:hyperlink>
      <w:r>
        <w:rPr>
          <w:sz w:val="24"/>
        </w:rPr>
        <w:t xml:space="preserve">.</w:t>
      </w:r>
    </w:p>
    <w:p>
      <w:pPr>
        <w:pStyle w:val="0"/>
        <w:spacing w:before="240" w:lineRule="auto"/>
        <w:ind w:firstLine="540"/>
        <w:jc w:val="both"/>
      </w:pPr>
      <w:r>
        <w:rPr>
          <w:sz w:val="24"/>
        </w:rPr>
        <w:t xml:space="preserve">12.14. По показателям "Количество неурегулированных страховых случаев на конец отчетного периода" (</w:t>
      </w:r>
      <w:hyperlink w:history="0" w:anchor="P55087" w:tooltip="21">
        <w:r>
          <w:rPr>
            <w:sz w:val="24"/>
            <w:color w:val="0000ff"/>
          </w:rPr>
          <w:t xml:space="preserve">строки 21</w:t>
        </w:r>
      </w:hyperlink>
      <w:r>
        <w:rPr>
          <w:sz w:val="24"/>
        </w:rPr>
        <w:t xml:space="preserve">, </w:t>
      </w:r>
      <w:hyperlink w:history="0" w:anchor="P56183" w:tooltip="65">
        <w:r>
          <w:rPr>
            <w:sz w:val="24"/>
            <w:color w:val="0000ff"/>
          </w:rPr>
          <w:t xml:space="preserve">65</w:t>
        </w:r>
      </w:hyperlink>
      <w:r>
        <w:rPr>
          <w:sz w:val="24"/>
        </w:rPr>
        <w:t xml:space="preserve">) и "Сумма по неурегулированным страховым случаям на конец отчетного периода" (</w:t>
      </w:r>
      <w:hyperlink w:history="0" w:anchor="P55051" w:tooltip="20">
        <w:r>
          <w:rPr>
            <w:sz w:val="24"/>
            <w:color w:val="0000ff"/>
          </w:rPr>
          <w:t xml:space="preserve">строки 20</w:t>
        </w:r>
      </w:hyperlink>
      <w:r>
        <w:rPr>
          <w:sz w:val="24"/>
        </w:rPr>
        <w:t xml:space="preserve">, </w:t>
      </w:r>
      <w:hyperlink w:history="0" w:anchor="P56131" w:tooltip="62">
        <w:r>
          <w:rPr>
            <w:sz w:val="24"/>
            <w:color w:val="0000ff"/>
          </w:rPr>
          <w:t xml:space="preserve">62</w:t>
        </w:r>
      </w:hyperlink>
      <w:r>
        <w:rPr>
          <w:sz w:val="24"/>
        </w:rPr>
        <w:t xml:space="preserve">) отражаются соответственно количество неурегулированных страховых случаев на конец отчетного периода и суммы по ним.</w:t>
      </w:r>
    </w:p>
    <w:p>
      <w:pPr>
        <w:pStyle w:val="0"/>
        <w:spacing w:before="240" w:lineRule="auto"/>
        <w:ind w:firstLine="540"/>
        <w:jc w:val="both"/>
      </w:pPr>
      <w:r>
        <w:rPr>
          <w:sz w:val="24"/>
        </w:rPr>
        <w:t xml:space="preserve">12.15. По показателям "Количество страховых выплат" (</w:t>
      </w:r>
      <w:hyperlink w:history="0" w:anchor="P55175" w:tooltip="23">
        <w:r>
          <w:rPr>
            <w:sz w:val="24"/>
            <w:color w:val="0000ff"/>
          </w:rPr>
          <w:t xml:space="preserve">строки 23</w:t>
        </w:r>
      </w:hyperlink>
      <w:r>
        <w:rPr>
          <w:sz w:val="24"/>
        </w:rPr>
        <w:t xml:space="preserve">, </w:t>
      </w:r>
      <w:hyperlink w:history="0" w:anchor="P55973" w:tooltip="53">
        <w:r>
          <w:rPr>
            <w:sz w:val="24"/>
            <w:color w:val="0000ff"/>
          </w:rPr>
          <w:t xml:space="preserve">53</w:t>
        </w:r>
      </w:hyperlink>
      <w:r>
        <w:rPr>
          <w:sz w:val="24"/>
        </w:rPr>
        <w:t xml:space="preserve">, </w:t>
      </w:r>
      <w:hyperlink w:history="0" w:anchor="P56227" w:tooltip="67">
        <w:r>
          <w:rPr>
            <w:sz w:val="24"/>
            <w:color w:val="0000ff"/>
          </w:rPr>
          <w:t xml:space="preserve">67</w:t>
        </w:r>
      </w:hyperlink>
      <w:r>
        <w:rPr>
          <w:sz w:val="24"/>
        </w:rPr>
        <w:t xml:space="preserve">) и "Сумма страховых выплат" (</w:t>
      </w:r>
      <w:hyperlink w:history="0" w:anchor="P55123" w:tooltip="22">
        <w:r>
          <w:rPr>
            <w:sz w:val="24"/>
            <w:color w:val="0000ff"/>
          </w:rPr>
          <w:t xml:space="preserve">строки 22</w:t>
        </w:r>
      </w:hyperlink>
      <w:r>
        <w:rPr>
          <w:sz w:val="24"/>
        </w:rPr>
        <w:t xml:space="preserve">, </w:t>
      </w:r>
      <w:hyperlink w:history="0" w:anchor="P55961" w:tooltip="52">
        <w:r>
          <w:rPr>
            <w:sz w:val="24"/>
            <w:color w:val="0000ff"/>
          </w:rPr>
          <w:t xml:space="preserve">52</w:t>
        </w:r>
      </w:hyperlink>
      <w:r>
        <w:rPr>
          <w:sz w:val="24"/>
        </w:rPr>
        <w:t xml:space="preserve">, </w:t>
      </w:r>
      <w:hyperlink w:history="0" w:anchor="P56199" w:tooltip="66">
        <w:r>
          <w:rPr>
            <w:sz w:val="24"/>
            <w:color w:val="0000ff"/>
          </w:rPr>
          <w:t xml:space="preserve">66</w:t>
        </w:r>
      </w:hyperlink>
      <w:r>
        <w:rPr>
          <w:sz w:val="24"/>
        </w:rPr>
        <w:t xml:space="preserve">) отражаются соответственно количество страховых выплат, фактически осуществленных страховщиком за отчетный период в связи с наступлением страховых случаев по договорам страхования, и суммы по ним. При этом сведения об осуществлении страховых выплат в результате взаимодействия в электронной форме также отражаются по показателям "Количество страховых выплат (взаимодействие в электронной форме)" </w:t>
      </w:r>
      <w:hyperlink w:history="0" w:anchor="P55307" w:tooltip="26">
        <w:r>
          <w:rPr>
            <w:sz w:val="24"/>
            <w:color w:val="0000ff"/>
          </w:rPr>
          <w:t xml:space="preserve">(строка 26)</w:t>
        </w:r>
      </w:hyperlink>
      <w:r>
        <w:rPr>
          <w:sz w:val="24"/>
        </w:rPr>
        <w:t xml:space="preserve"> и "Сумма страховых выплат (взаимодействие в электронной форме)" </w:t>
      </w:r>
      <w:hyperlink w:history="0" w:anchor="P55263" w:tooltip="25">
        <w:r>
          <w:rPr>
            <w:sz w:val="24"/>
            <w:color w:val="0000ff"/>
          </w:rPr>
          <w:t xml:space="preserve">(строка 25)</w:t>
        </w:r>
      </w:hyperlink>
      <w:r>
        <w:rPr>
          <w:sz w:val="24"/>
        </w:rPr>
        <w:t xml:space="preserve">.</w:t>
      </w:r>
    </w:p>
    <w:p>
      <w:pPr>
        <w:pStyle w:val="0"/>
        <w:spacing w:before="240" w:lineRule="auto"/>
        <w:ind w:firstLine="540"/>
        <w:jc w:val="both"/>
      </w:pPr>
      <w:r>
        <w:rPr>
          <w:sz w:val="24"/>
        </w:rPr>
        <w:t xml:space="preserve">По показателям "Количество страховых выплат" </w:t>
      </w:r>
      <w:hyperlink w:history="0" w:anchor="P55175" w:tooltip="23">
        <w:r>
          <w:rPr>
            <w:sz w:val="24"/>
            <w:color w:val="0000ff"/>
          </w:rPr>
          <w:t xml:space="preserve">(строка 23)</w:t>
        </w:r>
      </w:hyperlink>
      <w:r>
        <w:rPr>
          <w:sz w:val="24"/>
        </w:rPr>
        <w:t xml:space="preserve">, "Сумма страховых выплат" </w:t>
      </w:r>
      <w:hyperlink w:history="0" w:anchor="P55123" w:tooltip="22">
        <w:r>
          <w:rPr>
            <w:sz w:val="24"/>
            <w:color w:val="0000ff"/>
          </w:rPr>
          <w:t xml:space="preserve">(строка 22)</w:t>
        </w:r>
      </w:hyperlink>
      <w:r>
        <w:rPr>
          <w:sz w:val="24"/>
        </w:rPr>
        <w:t xml:space="preserve">, "Количество страховых выплат (взаимодействие в электронной форме)" </w:t>
      </w:r>
      <w:hyperlink w:history="0" w:anchor="P55307" w:tooltip="26">
        <w:r>
          <w:rPr>
            <w:sz w:val="24"/>
            <w:color w:val="0000ff"/>
          </w:rPr>
          <w:t xml:space="preserve">(строка 26)</w:t>
        </w:r>
      </w:hyperlink>
      <w:r>
        <w:rPr>
          <w:sz w:val="24"/>
        </w:rPr>
        <w:t xml:space="preserve"> и "Сумма страховых выплат (взаимодействие в электронной форме)" </w:t>
      </w:r>
      <w:hyperlink w:history="0" w:anchor="P55263" w:tooltip="25">
        <w:r>
          <w:rPr>
            <w:sz w:val="24"/>
            <w:color w:val="0000ff"/>
          </w:rPr>
          <w:t xml:space="preserve">(строка 25)</w:t>
        </w:r>
      </w:hyperlink>
      <w:r>
        <w:rPr>
          <w:sz w:val="24"/>
        </w:rPr>
        <w:t xml:space="preserve"> отдельно отражаются сведения об организации и (или) оплате страховщиком восстановительного ремонта поврежденного транспортного средства потерпевшего на станции технического обслуживания (возмещение причиненного вреда в натуре) по аналитическому признаку "Возмещение причиненного вреда в натуре" группы аналитических признаков "Тип возмещения" по видам страхования - добровольное страхование автотранспортных средств, добровольное страхование иных средств наземного транспорта (кроме средств железнодорожного транспорта) и обязательное страхование гражданской ответственности владельцев транспортных средств.</w:t>
      </w:r>
    </w:p>
    <w:p>
      <w:pPr>
        <w:pStyle w:val="0"/>
        <w:spacing w:before="240" w:lineRule="auto"/>
        <w:ind w:firstLine="540"/>
        <w:jc w:val="both"/>
      </w:pPr>
      <w:r>
        <w:rPr>
          <w:sz w:val="24"/>
        </w:rPr>
        <w:t xml:space="preserve">По каждому типу страхователей данные по обязательному страхованию гражданской ответственности владельцев транспортных средств, указанные по показателю "Сумма страховых выплат" </w:t>
      </w:r>
      <w:hyperlink w:history="0" w:anchor="P55123" w:tooltip="22">
        <w:r>
          <w:rPr>
            <w:sz w:val="24"/>
            <w:color w:val="0000ff"/>
          </w:rPr>
          <w:t xml:space="preserve">(строка 22)</w:t>
        </w:r>
      </w:hyperlink>
      <w:r>
        <w:rPr>
          <w:sz w:val="24"/>
        </w:rPr>
        <w:t xml:space="preserve">, аналитическому признаку "Возмещение причиненного вреда в натуре" группы аналитических признаков "Тип возмещения", должны соответствовать данным, указанным по показателю "Сумма выплат на возмещение причиненного вреда в натуре" </w:t>
      </w:r>
      <w:hyperlink w:history="0" w:anchor="P56267" w:tooltip="69">
        <w:r>
          <w:rPr>
            <w:sz w:val="24"/>
            <w:color w:val="0000ff"/>
          </w:rPr>
          <w:t xml:space="preserve">(строка 69)</w:t>
        </w:r>
      </w:hyperlink>
      <w:r>
        <w:rPr>
          <w:sz w:val="24"/>
        </w:rPr>
        <w:t xml:space="preserve"> (сумма по всем субъектам Российской Федерации, иностранным государствам и видам страховых случаев).</w:t>
      </w:r>
    </w:p>
    <w:p>
      <w:pPr>
        <w:pStyle w:val="0"/>
        <w:spacing w:before="240" w:lineRule="auto"/>
        <w:ind w:firstLine="540"/>
        <w:jc w:val="both"/>
      </w:pPr>
      <w:r>
        <w:rPr>
          <w:sz w:val="24"/>
        </w:rPr>
        <w:t xml:space="preserve">По каждому типу страхователей данные по обязательному страхованию гражданской ответственности владельцев транспортных средств, указанные по показателю "Количество страховых выплат" </w:t>
      </w:r>
      <w:hyperlink w:history="0" w:anchor="P55175" w:tooltip="23">
        <w:r>
          <w:rPr>
            <w:sz w:val="24"/>
            <w:color w:val="0000ff"/>
          </w:rPr>
          <w:t xml:space="preserve">(строка 23)</w:t>
        </w:r>
      </w:hyperlink>
      <w:r>
        <w:rPr>
          <w:sz w:val="24"/>
        </w:rPr>
        <w:t xml:space="preserve">, аналитическому признаку "Возмещение причиненного вреда в натуре" группы аналитических признаков "Тип возмещения", должны соответствовать данным, указанным по показателю "Количество выплат на возмещение причиненного вреда в натуре" </w:t>
      </w:r>
      <w:hyperlink w:history="0" w:anchor="P56287" w:tooltip="70">
        <w:r>
          <w:rPr>
            <w:sz w:val="24"/>
            <w:color w:val="0000ff"/>
          </w:rPr>
          <w:t xml:space="preserve">(строка 70)</w:t>
        </w:r>
      </w:hyperlink>
      <w:r>
        <w:rPr>
          <w:sz w:val="24"/>
        </w:rPr>
        <w:t xml:space="preserve"> (сумма по всем субъектам Российской Федерации, иностранным государствам и видам страховых случаев).</w:t>
      </w:r>
    </w:p>
    <w:p>
      <w:pPr>
        <w:pStyle w:val="0"/>
        <w:spacing w:before="240" w:lineRule="auto"/>
        <w:ind w:firstLine="540"/>
        <w:jc w:val="both"/>
      </w:pPr>
      <w:r>
        <w:rPr>
          <w:sz w:val="24"/>
        </w:rPr>
        <w:t xml:space="preserve">По показателям "Количество страховых выплат" </w:t>
      </w:r>
      <w:hyperlink w:history="0" w:anchor="P55175" w:tooltip="23">
        <w:r>
          <w:rPr>
            <w:sz w:val="24"/>
            <w:color w:val="0000ff"/>
          </w:rPr>
          <w:t xml:space="preserve">(строка 23)</w:t>
        </w:r>
      </w:hyperlink>
      <w:r>
        <w:rPr>
          <w:sz w:val="24"/>
        </w:rPr>
        <w:t xml:space="preserve"> и "Сумма страховых выплат" </w:t>
      </w:r>
      <w:hyperlink w:history="0" w:anchor="P55123" w:tooltip="22">
        <w:r>
          <w:rPr>
            <w:sz w:val="24"/>
            <w:color w:val="0000ff"/>
          </w:rPr>
          <w:t xml:space="preserve">(строка 22)</w:t>
        </w:r>
      </w:hyperlink>
      <w:r>
        <w:rPr>
          <w:sz w:val="24"/>
        </w:rPr>
        <w:t xml:space="preserve"> сведения о количестве страховых выплат и суммах по ним отражаются в разрезе типов взаимодействия, указанных по аналитическим признакам группы аналитических признаков "Тип взаимодействия", и видов страховых случаев, указанных по аналитическим признакам группы аналитических признаков "Виды страховых случаев", следующим образом:</w:t>
      </w:r>
    </w:p>
    <w:p>
      <w:pPr>
        <w:pStyle w:val="0"/>
        <w:spacing w:before="240" w:lineRule="auto"/>
        <w:ind w:firstLine="540"/>
        <w:jc w:val="both"/>
      </w:pPr>
      <w:r>
        <w:rPr>
          <w:sz w:val="24"/>
        </w:rPr>
        <w:t xml:space="preserve">12.15.1. Данные по аналитическому признаку "Смерть" указываются по видам добровольного и обязательного личного страхования (кроме добровольного медицинского страхования).</w:t>
      </w:r>
    </w:p>
    <w:p>
      <w:pPr>
        <w:pStyle w:val="0"/>
        <w:spacing w:before="240" w:lineRule="auto"/>
        <w:ind w:firstLine="540"/>
        <w:jc w:val="both"/>
      </w:pPr>
      <w:r>
        <w:rPr>
          <w:sz w:val="24"/>
        </w:rPr>
        <w:t xml:space="preserve">12.15.2. Данные по аналитическому признаку "Дожитие до определенного возраста или срока" указываются по видам добровольного страхования жизни.</w:t>
      </w:r>
    </w:p>
    <w:p>
      <w:pPr>
        <w:pStyle w:val="0"/>
        <w:spacing w:before="240" w:lineRule="auto"/>
        <w:ind w:firstLine="540"/>
        <w:jc w:val="both"/>
      </w:pPr>
      <w:r>
        <w:rPr>
          <w:sz w:val="24"/>
        </w:rPr>
        <w:t xml:space="preserve">12.15.3. Данные по аналитическому признаку "Наступление иного события в жизни застрахованного" указываются по видам добровольного страхования жизни (кроме пенсионного страхования).</w:t>
      </w:r>
    </w:p>
    <w:p>
      <w:pPr>
        <w:pStyle w:val="0"/>
        <w:spacing w:before="240" w:lineRule="auto"/>
        <w:ind w:firstLine="540"/>
        <w:jc w:val="both"/>
      </w:pPr>
      <w:r>
        <w:rPr>
          <w:sz w:val="24"/>
        </w:rPr>
        <w:t xml:space="preserve">12.15.4. Данные по аналитическому признаку "Утрата трудоспособности (инвалидность)" указываются по видам добровольного страхования жизни (кроме пенсионного страхования) и видам обязательного личного страхования, указанным по аналитическим признакам группы аналитических признаков "Иные виды обязательного страхования".</w:t>
      </w:r>
    </w:p>
    <w:p>
      <w:pPr>
        <w:pStyle w:val="0"/>
        <w:spacing w:before="240" w:lineRule="auto"/>
        <w:ind w:firstLine="540"/>
        <w:jc w:val="both"/>
      </w:pPr>
      <w:r>
        <w:rPr>
          <w:sz w:val="24"/>
        </w:rPr>
        <w:t xml:space="preserve">12.15.5. Данные по аналитическим признакам "Утрата общей трудоспособности постоянная" и "Утрата общей трудоспособности временная" указываются по видам добровольного страхования от несчастных случаев и болезней.</w:t>
      </w:r>
    </w:p>
    <w:p>
      <w:pPr>
        <w:pStyle w:val="0"/>
        <w:spacing w:before="240" w:lineRule="auto"/>
        <w:ind w:firstLine="540"/>
        <w:jc w:val="both"/>
      </w:pPr>
      <w:r>
        <w:rPr>
          <w:sz w:val="24"/>
        </w:rPr>
        <w:t xml:space="preserve">12.15.6. Данные по аналитическому признаку "Заболевание" указываются по видам добровольного личного страхования (кроме страхования жизни) и видам обязательного личного страхования, указанным по аналитическим признакам группы аналитических признаков "Иные виды обязательного страхования".</w:t>
      </w:r>
    </w:p>
    <w:p>
      <w:pPr>
        <w:pStyle w:val="0"/>
        <w:spacing w:before="240" w:lineRule="auto"/>
        <w:ind w:firstLine="540"/>
        <w:jc w:val="both"/>
      </w:pPr>
      <w:r>
        <w:rPr>
          <w:sz w:val="24"/>
        </w:rPr>
        <w:t xml:space="preserve">12.15.7. Данные по аналитическим признакам "Инвалидность (I группа) вследствие увечья или заболевания", "Инвалидность (II группа) вследствие увечья или заболевания", "Инвалидность (III группа) вследствие увечья или заболевания", "Тяжелое увечье", "Легкое увечье" и "Увольнение вследствие увечья или заболевания" указываются по видам обязательного государственного страхования жизни и здоровья военнослужащих и приравненных к ним в обязательном государственном страховании лиц.</w:t>
      </w:r>
    </w:p>
    <w:p>
      <w:pPr>
        <w:pStyle w:val="0"/>
        <w:spacing w:before="240" w:lineRule="auto"/>
        <w:ind w:firstLine="540"/>
        <w:jc w:val="both"/>
      </w:pPr>
      <w:r>
        <w:rPr>
          <w:sz w:val="24"/>
        </w:rPr>
        <w:t xml:space="preserve">12.15.8. Данные по аналитическим признакам "Пожар" и "Стихийные бедствия" указываются по видам добровольного страхования имущества и видам обязательного страхования имущества, указанным по аналитическим признакам группы аналитических признаков "Иные виды обязательного страхования".</w:t>
      </w:r>
    </w:p>
    <w:p>
      <w:pPr>
        <w:pStyle w:val="0"/>
        <w:spacing w:before="240" w:lineRule="auto"/>
        <w:ind w:firstLine="540"/>
        <w:jc w:val="both"/>
      </w:pPr>
      <w:r>
        <w:rPr>
          <w:sz w:val="24"/>
        </w:rPr>
        <w:t xml:space="preserve">12.15.9. Данные по аналитическим признакам "Аварии транспортных средств", "Кража, угон", "Иные противоправные действия третьих лиц" и "Аварии отопительных систем, канализационных и водопроводных сетей" указываются по видам добровольного страхования имущества (кроме сельскохозяйственного страхования) и видам обязательного страхования имущества, указанным по аналитическим признакам группы аналитических признаков "Иные виды обязательного страхования".</w:t>
      </w:r>
    </w:p>
    <w:p>
      <w:pPr>
        <w:pStyle w:val="0"/>
        <w:spacing w:before="240" w:lineRule="auto"/>
        <w:ind w:firstLine="540"/>
        <w:jc w:val="both"/>
      </w:pPr>
      <w:r>
        <w:rPr>
          <w:sz w:val="24"/>
        </w:rPr>
        <w:t xml:space="preserve">12.15.10. Данные по аналитическим признакам "Опасные природные явления (кроме стихийных бедствий и природного пожара)" и "Проникновение и (или) распространение вредных организмов, заразные болезни, массовые отравления" указываются по видам добровольного сельскохозяйственного страхования.</w:t>
      </w:r>
    </w:p>
    <w:p>
      <w:pPr>
        <w:pStyle w:val="0"/>
        <w:spacing w:before="240" w:lineRule="auto"/>
        <w:ind w:firstLine="540"/>
        <w:jc w:val="both"/>
      </w:pPr>
      <w:r>
        <w:rPr>
          <w:sz w:val="24"/>
        </w:rPr>
        <w:t xml:space="preserve">12.15.11. Данные по аналитическим признакам "Причинение вреда жизни третьих лиц", "Причинение вреда здоровью третьих лиц", "Причинение вреда имуществу физических лиц" и "Причинение вреда имуществу юридических лиц" указываются по видам добровольного и обязательного страхования гражданской ответственности.</w:t>
      </w:r>
    </w:p>
    <w:p>
      <w:pPr>
        <w:pStyle w:val="0"/>
        <w:spacing w:before="240" w:lineRule="auto"/>
        <w:ind w:firstLine="540"/>
        <w:jc w:val="both"/>
      </w:pPr>
      <w:r>
        <w:rPr>
          <w:sz w:val="24"/>
        </w:rPr>
        <w:t xml:space="preserve">12.15.12. Данные по аналитическому признаку "Нарушение условий жизнедеятельности" указываются по видам обязательного страхования гражданской ответственности владельца опасного объекта за причинение вреда в результате аварии на опасном объекте.</w:t>
      </w:r>
    </w:p>
    <w:p>
      <w:pPr>
        <w:pStyle w:val="0"/>
        <w:spacing w:before="240" w:lineRule="auto"/>
        <w:ind w:firstLine="540"/>
        <w:jc w:val="both"/>
      </w:pPr>
      <w:r>
        <w:rPr>
          <w:sz w:val="24"/>
        </w:rPr>
        <w:t xml:space="preserve">12.15.13. Данные по аналитическим признакам "Банкротство, потеря дохода (работы)", "Непредвиденные расходы", "Остановка производства или сокращение объемов производства", "Неисполнение договорных обязательств контрагентом по сделке" и "Судебные расходы" указываются по добровольному страхованию предпринимательских рисков и видам добровольного страхования финансовых рисков.</w:t>
      </w:r>
    </w:p>
    <w:p>
      <w:pPr>
        <w:pStyle w:val="0"/>
        <w:spacing w:before="240" w:lineRule="auto"/>
        <w:ind w:firstLine="540"/>
        <w:jc w:val="both"/>
      </w:pPr>
      <w:r>
        <w:rPr>
          <w:sz w:val="24"/>
        </w:rPr>
        <w:t xml:space="preserve">12.15.14. Данные по аналитическому признаку "Прочие" указываются по видам добровольного личного страхования (кроме страхования жизни), видам добровольного имущественного страхования (кроме сельскохозяйственного страхования, осуществляемого с государственной поддержкой) и видам обязательного страхования, указанным по аналитическим признакам группы аналитических признаков "Иные виды обязательного страхования".</w:t>
      </w:r>
    </w:p>
    <w:p>
      <w:pPr>
        <w:pStyle w:val="0"/>
        <w:spacing w:before="240" w:lineRule="auto"/>
        <w:ind w:firstLine="540"/>
        <w:jc w:val="both"/>
      </w:pPr>
      <w:r>
        <w:rPr>
          <w:sz w:val="24"/>
        </w:rPr>
        <w:t xml:space="preserve">12.16. По показателю "Страховые выплаты на основании решения суда" (</w:t>
      </w:r>
      <w:hyperlink w:history="0" w:anchor="P55223" w:tooltip="24">
        <w:r>
          <w:rPr>
            <w:sz w:val="24"/>
            <w:color w:val="0000ff"/>
          </w:rPr>
          <w:t xml:space="preserve">строки 24</w:t>
        </w:r>
      </w:hyperlink>
      <w:r>
        <w:rPr>
          <w:sz w:val="24"/>
        </w:rPr>
        <w:t xml:space="preserve">, </w:t>
      </w:r>
      <w:hyperlink w:history="0" w:anchor="P56251" w:tooltip="68">
        <w:r>
          <w:rPr>
            <w:sz w:val="24"/>
            <w:color w:val="0000ff"/>
          </w:rPr>
          <w:t xml:space="preserve">68</w:t>
        </w:r>
      </w:hyperlink>
      <w:r>
        <w:rPr>
          <w:sz w:val="24"/>
        </w:rPr>
        <w:t xml:space="preserve">) отражается сумма страховых выплат страхователям (выгодоприобретателям, застрахованным лицам или их наследникам), фактически осуществленных страховщиком за отчетный период на основании решений суда, из общей суммы, указанной по показателю "Сумма страховых выплат" (</w:t>
      </w:r>
      <w:hyperlink w:history="0" w:anchor="P55123" w:tooltip="22">
        <w:r>
          <w:rPr>
            <w:sz w:val="24"/>
            <w:color w:val="0000ff"/>
          </w:rPr>
          <w:t xml:space="preserve">строки 22</w:t>
        </w:r>
      </w:hyperlink>
      <w:r>
        <w:rPr>
          <w:sz w:val="24"/>
        </w:rPr>
        <w:t xml:space="preserve">, </w:t>
      </w:r>
      <w:hyperlink w:history="0" w:anchor="P56199" w:tooltip="66">
        <w:r>
          <w:rPr>
            <w:sz w:val="24"/>
            <w:color w:val="0000ff"/>
          </w:rPr>
          <w:t xml:space="preserve">66</w:t>
        </w:r>
      </w:hyperlink>
      <w:r>
        <w:rPr>
          <w:sz w:val="24"/>
        </w:rPr>
        <w:t xml:space="preserve">).</w:t>
      </w:r>
    </w:p>
    <w:p>
      <w:pPr>
        <w:pStyle w:val="0"/>
        <w:spacing w:before="240" w:lineRule="auto"/>
        <w:ind w:firstLine="540"/>
        <w:jc w:val="both"/>
      </w:pPr>
      <w:r>
        <w:rPr>
          <w:sz w:val="24"/>
        </w:rPr>
        <w:t xml:space="preserve">12.17. По показателям "Количество договоров, по которым в отчетном периоде осуществлены выплаты выкупных сумм" </w:t>
      </w:r>
      <w:hyperlink w:history="0" w:anchor="P55375" w:tooltip="28">
        <w:r>
          <w:rPr>
            <w:sz w:val="24"/>
            <w:color w:val="0000ff"/>
          </w:rPr>
          <w:t xml:space="preserve">(строка 28)</w:t>
        </w:r>
      </w:hyperlink>
      <w:r>
        <w:rPr>
          <w:sz w:val="24"/>
        </w:rPr>
        <w:t xml:space="preserve"> и "Выкупные суммы" </w:t>
      </w:r>
      <w:hyperlink w:history="0" w:anchor="P55347" w:tooltip="27">
        <w:r>
          <w:rPr>
            <w:sz w:val="24"/>
            <w:color w:val="0000ff"/>
          </w:rPr>
          <w:t xml:space="preserve">(строка 27)</w:t>
        </w:r>
      </w:hyperlink>
      <w:r>
        <w:rPr>
          <w:sz w:val="24"/>
        </w:rPr>
        <w:t xml:space="preserve"> отражаются выплаты выкупных сумм по договорам страхования жизни, фактически осуществленные страховщиком за отчетный период.</w:t>
      </w:r>
    </w:p>
    <w:p>
      <w:pPr>
        <w:pStyle w:val="0"/>
        <w:spacing w:before="240" w:lineRule="auto"/>
        <w:ind w:firstLine="540"/>
        <w:jc w:val="both"/>
      </w:pPr>
      <w:r>
        <w:rPr>
          <w:sz w:val="24"/>
        </w:rPr>
        <w:t xml:space="preserve">12.18. По показателям "Количество негарантированных выплат" </w:t>
      </w:r>
      <w:hyperlink w:history="0" w:anchor="P55427" w:tooltip="30">
        <w:r>
          <w:rPr>
            <w:sz w:val="24"/>
            <w:color w:val="0000ff"/>
          </w:rPr>
          <w:t xml:space="preserve">(строка 30)</w:t>
        </w:r>
      </w:hyperlink>
      <w:r>
        <w:rPr>
          <w:sz w:val="24"/>
        </w:rPr>
        <w:t xml:space="preserve"> и "Сумма негарантированных выплат" </w:t>
      </w:r>
      <w:hyperlink w:history="0" w:anchor="P55399" w:tooltip="29">
        <w:r>
          <w:rPr>
            <w:sz w:val="24"/>
            <w:color w:val="0000ff"/>
          </w:rPr>
          <w:t xml:space="preserve">(строка 29)</w:t>
        </w:r>
      </w:hyperlink>
      <w:r>
        <w:rPr>
          <w:sz w:val="24"/>
        </w:rPr>
        <w:t xml:space="preserve"> отражаются негарантированные выплаты по договорам страхования жизни, указанные в </w:t>
      </w:r>
      <w:hyperlink w:history="0" r:id="rId838"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третьем подпункта 5.4.3.2 пункта 5.4</w:t>
        </w:r>
      </w:hyperlink>
      <w:r>
        <w:rPr>
          <w:sz w:val="24"/>
        </w:rPr>
        <w:t xml:space="preserve"> Положения Банка России N 858-П, фактически осуществленные страховщиком за отчетный период.</w:t>
      </w:r>
    </w:p>
    <w:p>
      <w:pPr>
        <w:pStyle w:val="0"/>
        <w:spacing w:before="240" w:lineRule="auto"/>
        <w:ind w:firstLine="540"/>
        <w:jc w:val="both"/>
      </w:pPr>
      <w:r>
        <w:rPr>
          <w:sz w:val="24"/>
        </w:rPr>
        <w:t xml:space="preserve">12.19. По показателям "Количество дополнительных выплат" </w:t>
      </w:r>
      <w:hyperlink w:history="0" w:anchor="P55479" w:tooltip="32">
        <w:r>
          <w:rPr>
            <w:sz w:val="24"/>
            <w:color w:val="0000ff"/>
          </w:rPr>
          <w:t xml:space="preserve">(строка 32)</w:t>
        </w:r>
      </w:hyperlink>
      <w:r>
        <w:rPr>
          <w:sz w:val="24"/>
        </w:rPr>
        <w:t xml:space="preserve"> и "Сумма дополнительных выплат" </w:t>
      </w:r>
      <w:hyperlink w:history="0" w:anchor="P55451" w:tooltip="31">
        <w:r>
          <w:rPr>
            <w:sz w:val="24"/>
            <w:color w:val="0000ff"/>
          </w:rPr>
          <w:t xml:space="preserve">(строка 31)</w:t>
        </w:r>
      </w:hyperlink>
      <w:r>
        <w:rPr>
          <w:sz w:val="24"/>
        </w:rPr>
        <w:t xml:space="preserve"> отражаются дополнительные выплаты по договорам страхования жизни, указанные в </w:t>
      </w:r>
      <w:hyperlink w:history="0" r:id="rId839"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абзаце втором подпункта 5.1.4 пункта 5.1</w:t>
        </w:r>
      </w:hyperlink>
      <w:r>
        <w:rPr>
          <w:sz w:val="24"/>
        </w:rPr>
        <w:t xml:space="preserve"> Положения Банка России N 858-П, фактически осуществленные страховщиком за отчетный период.</w:t>
      </w:r>
    </w:p>
    <w:p>
      <w:pPr>
        <w:pStyle w:val="0"/>
        <w:spacing w:before="240" w:lineRule="auto"/>
        <w:ind w:firstLine="540"/>
        <w:jc w:val="both"/>
      </w:pPr>
      <w:r>
        <w:rPr>
          <w:sz w:val="24"/>
        </w:rPr>
        <w:t xml:space="preserve">12.20. По показателям "Количество выплат по возмещению расходов страхователей в целях уменьшения убытков" (</w:t>
      </w:r>
      <w:hyperlink w:history="0" w:anchor="P55527" w:tooltip="34">
        <w:r>
          <w:rPr>
            <w:sz w:val="24"/>
            <w:color w:val="0000ff"/>
          </w:rPr>
          <w:t xml:space="preserve">строки 34</w:t>
        </w:r>
      </w:hyperlink>
      <w:r>
        <w:rPr>
          <w:sz w:val="24"/>
        </w:rPr>
        <w:t xml:space="preserve">, </w:t>
      </w:r>
      <w:hyperlink w:history="0" w:anchor="P56323" w:tooltip="72">
        <w:r>
          <w:rPr>
            <w:sz w:val="24"/>
            <w:color w:val="0000ff"/>
          </w:rPr>
          <w:t xml:space="preserve">72</w:t>
        </w:r>
      </w:hyperlink>
      <w:r>
        <w:rPr>
          <w:sz w:val="24"/>
        </w:rPr>
        <w:t xml:space="preserve">) и "Сумма выплат по возмещению расходов страхователей в целях уменьшения убытков" (</w:t>
      </w:r>
      <w:hyperlink w:history="0" w:anchor="P55503" w:tooltip="33">
        <w:r>
          <w:rPr>
            <w:sz w:val="24"/>
            <w:color w:val="0000ff"/>
          </w:rPr>
          <w:t xml:space="preserve">строки 33</w:t>
        </w:r>
      </w:hyperlink>
      <w:r>
        <w:rPr>
          <w:sz w:val="24"/>
        </w:rPr>
        <w:t xml:space="preserve">, </w:t>
      </w:r>
      <w:hyperlink w:history="0" w:anchor="P56307" w:tooltip="71">
        <w:r>
          <w:rPr>
            <w:sz w:val="24"/>
            <w:color w:val="0000ff"/>
          </w:rPr>
          <w:t xml:space="preserve">71</w:t>
        </w:r>
      </w:hyperlink>
      <w:r>
        <w:rPr>
          <w:sz w:val="24"/>
        </w:rPr>
        <w:t xml:space="preserve">) отражаются соответственно количество выплат по возмещению расходов страхователей в целях уменьшения убытков, фактически осуществленных страховщиком за отчетный период, и их суммы.</w:t>
      </w:r>
    </w:p>
    <w:p>
      <w:pPr>
        <w:pStyle w:val="0"/>
        <w:spacing w:before="240" w:lineRule="auto"/>
        <w:ind w:firstLine="540"/>
        <w:jc w:val="both"/>
      </w:pPr>
      <w:r>
        <w:rPr>
          <w:sz w:val="24"/>
        </w:rPr>
        <w:t xml:space="preserve">12.21. По показателям "Количество выплат по неустойкам за несоблюдение сроков осуществления страховой выплаты" (</w:t>
      </w:r>
      <w:hyperlink w:history="0" w:anchor="P55587" w:tooltip="36">
        <w:r>
          <w:rPr>
            <w:sz w:val="24"/>
            <w:color w:val="0000ff"/>
          </w:rPr>
          <w:t xml:space="preserve">строки 36</w:t>
        </w:r>
      </w:hyperlink>
      <w:r>
        <w:rPr>
          <w:sz w:val="24"/>
        </w:rPr>
        <w:t xml:space="preserve">, </w:t>
      </w:r>
      <w:hyperlink w:history="0" w:anchor="P56387" w:tooltip="76">
        <w:r>
          <w:rPr>
            <w:sz w:val="24"/>
            <w:color w:val="0000ff"/>
          </w:rPr>
          <w:t xml:space="preserve">76</w:t>
        </w:r>
      </w:hyperlink>
      <w:r>
        <w:rPr>
          <w:sz w:val="24"/>
        </w:rPr>
        <w:t xml:space="preserve">) и "Сумма выплат по неустойкам за несоблюдение сроков осуществления страховой выплаты" (</w:t>
      </w:r>
      <w:hyperlink w:history="0" w:anchor="P55551" w:tooltip="35">
        <w:r>
          <w:rPr>
            <w:sz w:val="24"/>
            <w:color w:val="0000ff"/>
          </w:rPr>
          <w:t xml:space="preserve">строки 35</w:t>
        </w:r>
      </w:hyperlink>
      <w:r>
        <w:rPr>
          <w:sz w:val="24"/>
        </w:rPr>
        <w:t xml:space="preserve">, </w:t>
      </w:r>
      <w:hyperlink w:history="0" w:anchor="P56371" w:tooltip="75">
        <w:r>
          <w:rPr>
            <w:sz w:val="24"/>
            <w:color w:val="0000ff"/>
          </w:rPr>
          <w:t xml:space="preserve">75</w:t>
        </w:r>
      </w:hyperlink>
      <w:r>
        <w:rPr>
          <w:sz w:val="24"/>
        </w:rPr>
        <w:t xml:space="preserve">) отражаются соответственно количество выплат по неустойкам, фактически осуществленных страховщиком за отчетный период, и их суммы.</w:t>
      </w:r>
    </w:p>
    <w:p>
      <w:pPr>
        <w:pStyle w:val="0"/>
        <w:spacing w:before="240" w:lineRule="auto"/>
        <w:ind w:firstLine="540"/>
        <w:jc w:val="both"/>
      </w:pPr>
      <w:r>
        <w:rPr>
          <w:sz w:val="24"/>
        </w:rPr>
        <w:t xml:space="preserve">12.22. По показателям "Сумма страховых выплат" </w:t>
      </w:r>
      <w:hyperlink w:history="0" w:anchor="P55123" w:tooltip="22">
        <w:r>
          <w:rPr>
            <w:sz w:val="24"/>
            <w:color w:val="0000ff"/>
          </w:rPr>
          <w:t xml:space="preserve">(строка 22)</w:t>
        </w:r>
      </w:hyperlink>
      <w:r>
        <w:rPr>
          <w:sz w:val="24"/>
        </w:rPr>
        <w:t xml:space="preserve"> и "Страховые выплаты на основании решения суда" </w:t>
      </w:r>
      <w:hyperlink w:history="0" w:anchor="P55223" w:tooltip="24">
        <w:r>
          <w:rPr>
            <w:sz w:val="24"/>
            <w:color w:val="0000ff"/>
          </w:rPr>
          <w:t xml:space="preserve">(строка 24)</w:t>
        </w:r>
      </w:hyperlink>
      <w:r>
        <w:rPr>
          <w:sz w:val="24"/>
        </w:rPr>
        <w:t xml:space="preserve">, аналитическому признаку "Списания по инкассо по судебным решениям" группы аналитических признаков "Виды страхования" отражаются не идентифицированные на конец отчетного периода суммы фактически осуществленных списаний по инкассо с расчетных счетов страховщика на основании решения суда (в случае отсутствия возможности отнести указанные суммы к конкретным договорам страхования, видам страхования, страховым случаям, территориям).</w:t>
      </w:r>
    </w:p>
    <w:p>
      <w:pPr>
        <w:pStyle w:val="0"/>
        <w:spacing w:before="240" w:lineRule="auto"/>
        <w:ind w:firstLine="540"/>
        <w:jc w:val="both"/>
      </w:pPr>
      <w:r>
        <w:rPr>
          <w:sz w:val="24"/>
        </w:rPr>
        <w:t xml:space="preserve">12.23. По показателям "Справочно: страховые премии (доходы) по договорам, не признанным договорами страхования" </w:t>
      </w:r>
      <w:hyperlink w:history="0" w:anchor="P55623" w:tooltip="37">
        <w:r>
          <w:rPr>
            <w:sz w:val="24"/>
            <w:color w:val="0000ff"/>
          </w:rPr>
          <w:t xml:space="preserve">(строка 37)</w:t>
        </w:r>
      </w:hyperlink>
      <w:r>
        <w:rPr>
          <w:sz w:val="24"/>
        </w:rPr>
        <w:t xml:space="preserve"> и "Справочно: страховые выплаты (расходы) по договорам, не признанным договорами страхования" </w:t>
      </w:r>
      <w:hyperlink w:history="0" w:anchor="P55663" w:tooltip="38">
        <w:r>
          <w:rPr>
            <w:sz w:val="24"/>
            <w:color w:val="0000ff"/>
          </w:rPr>
          <w:t xml:space="preserve">(строка 38)</w:t>
        </w:r>
      </w:hyperlink>
      <w:r>
        <w:rPr>
          <w:sz w:val="24"/>
        </w:rPr>
        <w:t xml:space="preserve"> справочно отражаются суммы страховых премий (доходов) и страховых выплат (расходов) по договорам страхования жизни, классифицированным как инвестиционные договоры, и договорам страхования иного, чем страхование жизни, классифицированным как договоры без значительного страхового риска.</w:t>
      </w:r>
    </w:p>
    <w:p>
      <w:pPr>
        <w:pStyle w:val="0"/>
        <w:spacing w:before="240" w:lineRule="auto"/>
        <w:ind w:firstLine="540"/>
        <w:jc w:val="both"/>
      </w:pPr>
      <w:r>
        <w:rPr>
          <w:sz w:val="24"/>
        </w:rPr>
        <w:t xml:space="preserve">13. По показателям </w:t>
      </w:r>
      <w:hyperlink w:history="0" w:anchor="P55703" w:tooltip="Раздел 2.">
        <w:r>
          <w:rPr>
            <w:sz w:val="24"/>
            <w:color w:val="0000ff"/>
          </w:rPr>
          <w:t xml:space="preserve">раздела 2</w:t>
        </w:r>
      </w:hyperlink>
      <w:r>
        <w:rPr>
          <w:sz w:val="24"/>
        </w:rPr>
        <w:t xml:space="preserve"> отчетности по форме 0420162 отражаются сведения о договорах страхования, указанные в </w:t>
      </w:r>
      <w:hyperlink w:history="0" w:anchor="P54370" w:tooltip="Раздел 1. Страхование">
        <w:r>
          <w:rPr>
            <w:sz w:val="24"/>
            <w:color w:val="0000ff"/>
          </w:rPr>
          <w:t xml:space="preserve">разделе 1</w:t>
        </w:r>
      </w:hyperlink>
      <w:r>
        <w:rPr>
          <w:sz w:val="24"/>
        </w:rPr>
        <w:t xml:space="preserve"> отчетности по форме 0420162, в разрезе субъектов Российской Федерации и иностранных государств в зависимости от места заключения договора страхования.</w:t>
      </w:r>
    </w:p>
    <w:p>
      <w:pPr>
        <w:pStyle w:val="0"/>
        <w:spacing w:before="240" w:lineRule="auto"/>
        <w:ind w:firstLine="540"/>
        <w:jc w:val="both"/>
      </w:pPr>
      <w:r>
        <w:rPr>
          <w:sz w:val="24"/>
        </w:rPr>
        <w:t xml:space="preserve">По аналитическому признаку "ФЛ - физическое лицо" группы аналитических признаков "Тип страхователя" отражаются сведения по договорам страхования, заключенным с физическими лицами, из итоговых данных по показателям </w:t>
      </w:r>
      <w:hyperlink w:history="0" w:anchor="P55703" w:tooltip="Раздел 2.">
        <w:r>
          <w:rPr>
            <w:sz w:val="24"/>
            <w:color w:val="0000ff"/>
          </w:rPr>
          <w:t xml:space="preserve">раздела 2</w:t>
        </w:r>
      </w:hyperlink>
      <w:r>
        <w:rPr>
          <w:sz w:val="24"/>
        </w:rPr>
        <w:t xml:space="preserve"> отчетности по форме 0420162.</w:t>
      </w:r>
    </w:p>
    <w:p>
      <w:pPr>
        <w:pStyle w:val="0"/>
        <w:spacing w:before="240" w:lineRule="auto"/>
        <w:ind w:firstLine="540"/>
        <w:jc w:val="both"/>
      </w:pPr>
      <w:r>
        <w:rPr>
          <w:sz w:val="24"/>
        </w:rPr>
        <w:t xml:space="preserve">14. По показателям </w:t>
      </w:r>
      <w:hyperlink w:history="0" w:anchor="P55845" w:tooltip="Раздел 3.">
        <w:r>
          <w:rPr>
            <w:sz w:val="24"/>
            <w:color w:val="0000ff"/>
          </w:rPr>
          <w:t xml:space="preserve">раздела 3</w:t>
        </w:r>
      </w:hyperlink>
      <w:r>
        <w:rPr>
          <w:sz w:val="24"/>
        </w:rPr>
        <w:t xml:space="preserve"> отчетности по форме 0420162 отражаются сведения о добровольном сельскохозяйственном страховании, осуществляемом с государственной поддержкой, отраженные в </w:t>
      </w:r>
      <w:hyperlink w:history="0" w:anchor="P54370" w:tooltip="Раздел 1. Страхование">
        <w:r>
          <w:rPr>
            <w:sz w:val="24"/>
            <w:color w:val="0000ff"/>
          </w:rPr>
          <w:t xml:space="preserve">разделе 1</w:t>
        </w:r>
      </w:hyperlink>
      <w:r>
        <w:rPr>
          <w:sz w:val="24"/>
        </w:rPr>
        <w:t xml:space="preserve"> отчетности по форме 0420162, в разрезе субъектов Российской Федерации.</w:t>
      </w:r>
    </w:p>
    <w:p>
      <w:pPr>
        <w:pStyle w:val="0"/>
        <w:spacing w:before="240" w:lineRule="auto"/>
        <w:ind w:firstLine="540"/>
        <w:jc w:val="both"/>
      </w:pPr>
      <w:r>
        <w:rPr>
          <w:sz w:val="24"/>
        </w:rPr>
        <w:t xml:space="preserve">15. По показателям </w:t>
      </w:r>
      <w:hyperlink w:history="0" w:anchor="P55887" w:tooltip="Раздел 4.">
        <w:r>
          <w:rPr>
            <w:sz w:val="24"/>
            <w:color w:val="0000ff"/>
          </w:rPr>
          <w:t xml:space="preserve">раздела 4</w:t>
        </w:r>
      </w:hyperlink>
      <w:r>
        <w:rPr>
          <w:sz w:val="24"/>
        </w:rPr>
        <w:t xml:space="preserve"> отчетности по форме 0420162 отражаются сведения о добровольном страховании жилых помещений граждан в рамках программы, отраженные в </w:t>
      </w:r>
      <w:hyperlink w:history="0" w:anchor="P54370" w:tooltip="Раздел 1. Страхование">
        <w:r>
          <w:rPr>
            <w:sz w:val="24"/>
            <w:color w:val="0000ff"/>
          </w:rPr>
          <w:t xml:space="preserve">разделе 1</w:t>
        </w:r>
      </w:hyperlink>
      <w:r>
        <w:rPr>
          <w:sz w:val="24"/>
        </w:rPr>
        <w:t xml:space="preserve"> отчетности по форме 0420162, в разрезе субъектов Российской Федерации.</w:t>
      </w:r>
    </w:p>
    <w:p>
      <w:pPr>
        <w:pStyle w:val="0"/>
        <w:spacing w:before="240" w:lineRule="auto"/>
        <w:ind w:firstLine="540"/>
        <w:jc w:val="both"/>
      </w:pPr>
      <w:r>
        <w:rPr>
          <w:sz w:val="24"/>
        </w:rPr>
        <w:t xml:space="preserve">16. По показателям </w:t>
      </w:r>
      <w:hyperlink w:history="0" w:anchor="P55985" w:tooltip="Раздел 5.">
        <w:r>
          <w:rPr>
            <w:sz w:val="24"/>
            <w:color w:val="0000ff"/>
          </w:rPr>
          <w:t xml:space="preserve">раздела 5</w:t>
        </w:r>
      </w:hyperlink>
      <w:r>
        <w:rPr>
          <w:sz w:val="24"/>
        </w:rPr>
        <w:t xml:space="preserve"> отчетности по форме 0420162 отражаются сведения об обязательном страховании гражданской ответственности владельцев транспортных средств, отраженные в </w:t>
      </w:r>
      <w:hyperlink w:history="0" w:anchor="P54370" w:tooltip="Раздел 1. Страхование">
        <w:r>
          <w:rPr>
            <w:sz w:val="24"/>
            <w:color w:val="0000ff"/>
          </w:rPr>
          <w:t xml:space="preserve">разделе 1</w:t>
        </w:r>
      </w:hyperlink>
      <w:r>
        <w:rPr>
          <w:sz w:val="24"/>
        </w:rPr>
        <w:t xml:space="preserve"> отчетности по форме 0420162, в разрезе субъектов Российской Федерации и иностранных государств в зависимости от территории преимущественного использования транспортного средства, определяемой согласно </w:t>
      </w:r>
      <w:hyperlink w:history="0" r:id="rId840"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подпункту "а" пункта 3 статьи 9</w:t>
        </w:r>
      </w:hyperlink>
      <w:r>
        <w:rPr>
          <w:sz w:val="24"/>
        </w:rPr>
        <w:t xml:space="preserve"> Федерального закона N 40-ФЗ при заключении договора страхования.</w:t>
      </w:r>
    </w:p>
    <w:p>
      <w:pPr>
        <w:pStyle w:val="0"/>
        <w:spacing w:before="240" w:lineRule="auto"/>
        <w:ind w:firstLine="540"/>
        <w:jc w:val="both"/>
      </w:pPr>
      <w:r>
        <w:rPr>
          <w:sz w:val="24"/>
        </w:rPr>
        <w:t xml:space="preserve">16.1. По показателям "Страховые премии (взносы) по договорам страхования" </w:t>
      </w:r>
      <w:hyperlink w:history="0" w:anchor="P55987" w:tooltip="54">
        <w:r>
          <w:rPr>
            <w:sz w:val="24"/>
            <w:color w:val="0000ff"/>
          </w:rPr>
          <w:t xml:space="preserve">(строка 54)</w:t>
        </w:r>
      </w:hyperlink>
      <w:r>
        <w:rPr>
          <w:sz w:val="24"/>
        </w:rPr>
        <w:t xml:space="preserve">, "Страховые премии (взносы) по договорам страхования, заключенным в отчетном периоде (с учетом изменений)" </w:t>
      </w:r>
      <w:hyperlink w:history="0" w:anchor="P56007" w:tooltip="55">
        <w:r>
          <w:rPr>
            <w:sz w:val="24"/>
            <w:color w:val="0000ff"/>
          </w:rPr>
          <w:t xml:space="preserve">(строка 55)</w:t>
        </w:r>
      </w:hyperlink>
      <w:r>
        <w:rPr>
          <w:sz w:val="24"/>
        </w:rPr>
        <w:t xml:space="preserve">, "Количество договоров страхования, заключенных в отчетном периоде" </w:t>
      </w:r>
      <w:hyperlink w:history="0" w:anchor="P56027" w:tooltip="56">
        <w:r>
          <w:rPr>
            <w:sz w:val="24"/>
            <w:color w:val="0000ff"/>
          </w:rPr>
          <w:t xml:space="preserve">(строка 56)</w:t>
        </w:r>
      </w:hyperlink>
      <w:r>
        <w:rPr>
          <w:sz w:val="24"/>
        </w:rPr>
        <w:t xml:space="preserve">, "Количество договоров страхования, действовавших на конец отчетного периода" </w:t>
      </w:r>
      <w:hyperlink w:history="0" w:anchor="P56095" w:tooltip="60">
        <w:r>
          <w:rPr>
            <w:sz w:val="24"/>
            <w:color w:val="0000ff"/>
          </w:rPr>
          <w:t xml:space="preserve">(строка 60)</w:t>
        </w:r>
      </w:hyperlink>
      <w:r>
        <w:rPr>
          <w:sz w:val="24"/>
        </w:rPr>
        <w:t xml:space="preserve">, "Сумма страховых выплат" </w:t>
      </w:r>
      <w:hyperlink w:history="0" w:anchor="P56199" w:tooltip="66">
        <w:r>
          <w:rPr>
            <w:sz w:val="24"/>
            <w:color w:val="0000ff"/>
          </w:rPr>
          <w:t xml:space="preserve">(строка 66)</w:t>
        </w:r>
      </w:hyperlink>
      <w:r>
        <w:rPr>
          <w:sz w:val="24"/>
        </w:rPr>
        <w:t xml:space="preserve">, "Количество страховых выплат" </w:t>
      </w:r>
      <w:hyperlink w:history="0" w:anchor="P56227" w:tooltip="67">
        <w:r>
          <w:rPr>
            <w:sz w:val="24"/>
            <w:color w:val="0000ff"/>
          </w:rPr>
          <w:t xml:space="preserve">(строка 67)</w:t>
        </w:r>
      </w:hyperlink>
      <w:r>
        <w:rPr>
          <w:sz w:val="24"/>
        </w:rPr>
        <w:t xml:space="preserve"> данные отражаются в разбивке по способам заключения договора страхования:</w:t>
      </w:r>
    </w:p>
    <w:p>
      <w:pPr>
        <w:pStyle w:val="0"/>
        <w:spacing w:before="240" w:lineRule="auto"/>
        <w:ind w:firstLine="540"/>
        <w:jc w:val="both"/>
      </w:pPr>
      <w:r>
        <w:rPr>
          <w:sz w:val="24"/>
        </w:rPr>
        <w:t xml:space="preserve">путем оформления страховщиком страхового полиса обязательного страхования гражданской ответственности владельцев транспортных средств на бумажном носителе - по аналитическому признаку "По договорам страхования, заключенным на бумажном носителе" группы аналитических признаков "Способы заключения договора";</w:t>
      </w:r>
    </w:p>
    <w:p>
      <w:pPr>
        <w:pStyle w:val="0"/>
        <w:spacing w:before="240" w:lineRule="auto"/>
        <w:ind w:firstLine="540"/>
        <w:jc w:val="both"/>
      </w:pPr>
      <w:r>
        <w:rPr>
          <w:sz w:val="24"/>
        </w:rPr>
        <w:t xml:space="preserve">путем оформления страховщиком страхового полиса обязательного страхования гражданской ответственности владельцев транспортных средств в виде электронного документа - по аналитическому признаку "По договорам страхования, заключенным в виде электронного документа" группы аналитических признаков "Способы заключения договора";</w:t>
      </w:r>
    </w:p>
    <w:p>
      <w:pPr>
        <w:pStyle w:val="0"/>
        <w:spacing w:before="240" w:lineRule="auto"/>
        <w:ind w:firstLine="540"/>
        <w:jc w:val="both"/>
      </w:pPr>
      <w:r>
        <w:rPr>
          <w:sz w:val="24"/>
        </w:rPr>
        <w:t xml:space="preserve">путем оформления страховщиком в качестве замещающего страховщика страхового полиса обязательного страхования гражданской ответственности владельцев транспортных средств в виде электронного документа в случаях, предусмотренных правилами профессиональной деятельности профессионального объединения страховщиков, разработанными в соответствии со </w:t>
      </w:r>
      <w:hyperlink w:history="0" r:id="rId841"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статьей 26</w:t>
        </w:r>
      </w:hyperlink>
      <w:r>
        <w:rPr>
          <w:sz w:val="24"/>
        </w:rPr>
        <w:t xml:space="preserve"> Федерального закона N 40-ФЗ и согласованными с Банком России, с использованием официального сайта профессионального объединения страховщиков в сети "Интернет" - по аналитическому признаку "По договорам страхования, заключенным в рамках системы "Е-Гарант" группы аналитических признаков "Способы заключения договора".</w:t>
      </w:r>
    </w:p>
    <w:p>
      <w:pPr>
        <w:pStyle w:val="0"/>
        <w:spacing w:before="240" w:lineRule="auto"/>
        <w:ind w:firstLine="540"/>
        <w:jc w:val="both"/>
      </w:pPr>
      <w:r>
        <w:rPr>
          <w:sz w:val="24"/>
        </w:rPr>
        <w:t xml:space="preserve">По аналитическим признакам группы аналитических признаков "Способы заключения договора" указывается первоначальный способ заключения договора обязательного страхования гражданской ответственности владельцев транспортных средств.</w:t>
      </w:r>
    </w:p>
    <w:p>
      <w:pPr>
        <w:pStyle w:val="0"/>
        <w:spacing w:before="240" w:lineRule="auto"/>
        <w:ind w:firstLine="540"/>
        <w:jc w:val="both"/>
      </w:pPr>
      <w:r>
        <w:rPr>
          <w:sz w:val="24"/>
        </w:rPr>
        <w:t xml:space="preserve">Данные, отраженные по аналитическому признаку "По договорам страхования, заключенным в рамках системы "Е-Гарант", также отражаются по аналитическому признаку "По договорам страхования, заключенным в виде электронного документа" группы аналитических признаков "Способы заключения договора".</w:t>
      </w:r>
    </w:p>
    <w:p>
      <w:pPr>
        <w:pStyle w:val="0"/>
        <w:spacing w:before="240" w:lineRule="auto"/>
        <w:ind w:firstLine="540"/>
        <w:jc w:val="both"/>
      </w:pPr>
      <w:r>
        <w:rPr>
          <w:sz w:val="24"/>
        </w:rPr>
        <w:t xml:space="preserve">16.2. По показателю "Экспозиция риска, количество полисолет" </w:t>
      </w:r>
      <w:hyperlink w:history="0" w:anchor="P56047" w:tooltip="57">
        <w:r>
          <w:rPr>
            <w:sz w:val="24"/>
            <w:color w:val="0000ff"/>
          </w:rPr>
          <w:t xml:space="preserve">(строка 57)</w:t>
        </w:r>
      </w:hyperlink>
      <w:r>
        <w:rPr>
          <w:sz w:val="24"/>
        </w:rPr>
        <w:t xml:space="preserve"> указывается количество истекших в отчетном периоде полисолет по действовавшим в отчетном периоде договорам страхования, определенное путем суммирования количества полисолет по договорам страхования.</w:t>
      </w:r>
    </w:p>
    <w:p>
      <w:pPr>
        <w:pStyle w:val="0"/>
        <w:spacing w:before="240" w:lineRule="auto"/>
        <w:ind w:firstLine="540"/>
        <w:jc w:val="both"/>
      </w:pPr>
      <w:r>
        <w:rPr>
          <w:sz w:val="24"/>
        </w:rPr>
        <w:t xml:space="preserve">Количество полисолет по договору страхования определяется как отношение количества календарных дней действия этого договора страхования в отчетном периоде к количеству календарных дней в году, к которому относится отчетный период. При этом учитывается изменение срока действия договора страхования (изменение количества календарных дней действия договора страхования в отчетном периоде) в связи с заключением дополнительного соглашения к нему либо в связи с его расторжением или досрочным прекращением.</w:t>
      </w:r>
    </w:p>
    <w:p>
      <w:pPr>
        <w:pStyle w:val="0"/>
        <w:spacing w:before="240" w:lineRule="auto"/>
        <w:ind w:firstLine="540"/>
        <w:jc w:val="both"/>
      </w:pPr>
      <w:r>
        <w:rPr>
          <w:sz w:val="24"/>
        </w:rPr>
        <w:t xml:space="preserve">16.3. По показателям "Сумма выплат на возмещение причиненного вреда в натуре" </w:t>
      </w:r>
      <w:hyperlink w:history="0" w:anchor="P56267" w:tooltip="69">
        <w:r>
          <w:rPr>
            <w:sz w:val="24"/>
            <w:color w:val="0000ff"/>
          </w:rPr>
          <w:t xml:space="preserve">(строка 69)</w:t>
        </w:r>
      </w:hyperlink>
      <w:r>
        <w:rPr>
          <w:sz w:val="24"/>
        </w:rPr>
        <w:t xml:space="preserve"> и "Количество выплат на возмещение причиненного вреда в натуре" </w:t>
      </w:r>
      <w:hyperlink w:history="0" w:anchor="P56287" w:tooltip="70">
        <w:r>
          <w:rPr>
            <w:sz w:val="24"/>
            <w:color w:val="0000ff"/>
          </w:rPr>
          <w:t xml:space="preserve">(строка 70)</w:t>
        </w:r>
      </w:hyperlink>
      <w:r>
        <w:rPr>
          <w:sz w:val="24"/>
        </w:rPr>
        <w:t xml:space="preserve"> отражаются сведения об организации и (или) оплате страховщиком восстановительного ремонта поврежденного транспортного средства потерпевшего на станции технического обслуживания (возмещение причиненного вреда в натуре) (соответственно из общей суммы по показателю "Сумма страховых выплат" </w:t>
      </w:r>
      <w:hyperlink w:history="0" w:anchor="P56199" w:tooltip="66">
        <w:r>
          <w:rPr>
            <w:sz w:val="24"/>
            <w:color w:val="0000ff"/>
          </w:rPr>
          <w:t xml:space="preserve">(строка 66)</w:t>
        </w:r>
      </w:hyperlink>
      <w:r>
        <w:rPr>
          <w:sz w:val="24"/>
        </w:rPr>
        <w:t xml:space="preserve"> и общего количества по показателю "Количество страховых выплат" </w:t>
      </w:r>
      <w:hyperlink w:history="0" w:anchor="P56227" w:tooltip="67">
        <w:r>
          <w:rPr>
            <w:sz w:val="24"/>
            <w:color w:val="0000ff"/>
          </w:rPr>
          <w:t xml:space="preserve">(строка 67)</w:t>
        </w:r>
      </w:hyperlink>
      <w:r>
        <w:rPr>
          <w:sz w:val="24"/>
        </w:rPr>
        <w:t xml:space="preserve">.</w:t>
      </w:r>
    </w:p>
    <w:p>
      <w:pPr>
        <w:pStyle w:val="0"/>
        <w:spacing w:before="240" w:lineRule="auto"/>
        <w:ind w:firstLine="540"/>
        <w:jc w:val="both"/>
      </w:pPr>
      <w:r>
        <w:rPr>
          <w:sz w:val="24"/>
        </w:rPr>
        <w:t xml:space="preserve">16.4. По показателям "Сумма страховых выплат" </w:t>
      </w:r>
      <w:hyperlink w:history="0" w:anchor="P56199" w:tooltip="66">
        <w:r>
          <w:rPr>
            <w:sz w:val="24"/>
            <w:color w:val="0000ff"/>
          </w:rPr>
          <w:t xml:space="preserve">(строка 66)</w:t>
        </w:r>
      </w:hyperlink>
      <w:r>
        <w:rPr>
          <w:sz w:val="24"/>
        </w:rPr>
        <w:t xml:space="preserve">, "Количество страховых выплат" </w:t>
      </w:r>
      <w:hyperlink w:history="0" w:anchor="P56227" w:tooltip="67">
        <w:r>
          <w:rPr>
            <w:sz w:val="24"/>
            <w:color w:val="0000ff"/>
          </w:rPr>
          <w:t xml:space="preserve">(строка 67)</w:t>
        </w:r>
      </w:hyperlink>
      <w:r>
        <w:rPr>
          <w:sz w:val="24"/>
        </w:rPr>
        <w:t xml:space="preserve">, "Сумма выплат на возмещение причиненного вреда в натуре" </w:t>
      </w:r>
      <w:hyperlink w:history="0" w:anchor="P56267" w:tooltip="69">
        <w:r>
          <w:rPr>
            <w:sz w:val="24"/>
            <w:color w:val="0000ff"/>
          </w:rPr>
          <w:t xml:space="preserve">(строка 69)</w:t>
        </w:r>
      </w:hyperlink>
      <w:r>
        <w:rPr>
          <w:sz w:val="24"/>
        </w:rPr>
        <w:t xml:space="preserve"> и "Количество выплат на возмещение причиненного вреда в натуре" </w:t>
      </w:r>
      <w:hyperlink w:history="0" w:anchor="P56287" w:tooltip="70">
        <w:r>
          <w:rPr>
            <w:sz w:val="24"/>
            <w:color w:val="0000ff"/>
          </w:rPr>
          <w:t xml:space="preserve">(строка 70)</w:t>
        </w:r>
      </w:hyperlink>
      <w:r>
        <w:rPr>
          <w:sz w:val="24"/>
        </w:rPr>
        <w:t xml:space="preserve"> сведения о количестве страховых выплат и суммах по ним отражаются в разрезе видов страховых случаев, указанных по аналитическим признакам группы аналитических признаков "Виды страховых случаев".</w:t>
      </w:r>
    </w:p>
    <w:p>
      <w:pPr>
        <w:pStyle w:val="0"/>
        <w:spacing w:before="240" w:lineRule="auto"/>
        <w:ind w:firstLine="540"/>
        <w:jc w:val="both"/>
      </w:pPr>
      <w:r>
        <w:rPr>
          <w:sz w:val="24"/>
        </w:rPr>
        <w:t xml:space="preserve">16.5. По показателям "Сумма выплат по возмещению расходов по независимой экспертизе (оценке), организованной потерпевшим" </w:t>
      </w:r>
      <w:hyperlink w:history="0" w:anchor="P56339" w:tooltip="73">
        <w:r>
          <w:rPr>
            <w:sz w:val="24"/>
            <w:color w:val="0000ff"/>
          </w:rPr>
          <w:t xml:space="preserve">(строка 73)</w:t>
        </w:r>
      </w:hyperlink>
      <w:r>
        <w:rPr>
          <w:sz w:val="24"/>
        </w:rPr>
        <w:t xml:space="preserve"> и "Количество выплат по возмещению расходов по независимой экспертизе (оценке), организованной потерпевшим" </w:t>
      </w:r>
      <w:hyperlink w:history="0" w:anchor="P56355" w:tooltip="74">
        <w:r>
          <w:rPr>
            <w:sz w:val="24"/>
            <w:color w:val="0000ff"/>
          </w:rPr>
          <w:t xml:space="preserve">(строка 74)</w:t>
        </w:r>
      </w:hyperlink>
      <w:r>
        <w:rPr>
          <w:sz w:val="24"/>
        </w:rPr>
        <w:t xml:space="preserve"> отражаются сведения об оплате расходов по проведению независимых экспертиз (оценок) при причинении вреда имуществу потерпевших, организованных потерпевшим, и количестве таких независимых экспертиз (оценок).</w:t>
      </w:r>
    </w:p>
    <w:p>
      <w:pPr>
        <w:pStyle w:val="0"/>
        <w:spacing w:before="240" w:lineRule="auto"/>
        <w:ind w:firstLine="540"/>
        <w:jc w:val="both"/>
      </w:pPr>
      <w:r>
        <w:rPr>
          <w:sz w:val="24"/>
        </w:rPr>
        <w:t xml:space="preserve">16.6. По показателям </w:t>
      </w:r>
      <w:hyperlink w:history="0" w:anchor="P56403" w:tooltip="Подраздел 5.1.">
        <w:r>
          <w:rPr>
            <w:sz w:val="24"/>
            <w:color w:val="0000ff"/>
          </w:rPr>
          <w:t xml:space="preserve">подраздела 5.1 раздела 5</w:t>
        </w:r>
      </w:hyperlink>
      <w:r>
        <w:rPr>
          <w:sz w:val="24"/>
        </w:rPr>
        <w:t xml:space="preserve"> отчетности по форме 0420162 отражаются данные о прямом возмещении убытков по обязательному страхованию гражданской ответственности владельцев транспортных средств, осуществленном страховщиком в соответствии с Федеральным </w:t>
      </w:r>
      <w:hyperlink w:history="0" r:id="rId842" w:tooltip="Федеральный закон от 25.04.2002 N 40-ФЗ (ред. от 31.07.2025)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N 40-ФЗ, за отчетный период в разбивке по договорам страхования, заключенным с физическими лицами, и договорам страхования, заключенным с юридическими лицами (по соответствующим аналитическим признакам группы аналитических признаков "Тип страхователя").</w:t>
      </w:r>
    </w:p>
    <w:p>
      <w:pPr>
        <w:pStyle w:val="0"/>
        <w:spacing w:before="240" w:lineRule="auto"/>
        <w:ind w:firstLine="540"/>
        <w:jc w:val="both"/>
      </w:pPr>
      <w:r>
        <w:rPr>
          <w:sz w:val="24"/>
        </w:rPr>
        <w:t xml:space="preserve">16.6.1. По показателю "Количество предъявленных потерпевшими требований о прямом возмещении убытков" </w:t>
      </w:r>
      <w:hyperlink w:history="0" w:anchor="P56405" w:tooltip="77">
        <w:r>
          <w:rPr>
            <w:sz w:val="24"/>
            <w:color w:val="0000ff"/>
          </w:rPr>
          <w:t xml:space="preserve">(строка 77)</w:t>
        </w:r>
      </w:hyperlink>
      <w:r>
        <w:rPr>
          <w:sz w:val="24"/>
        </w:rPr>
        <w:t xml:space="preserve"> страховщиком, который застраховал гражданскую ответственность потерпевшего (далее - страховщик потерпевшего), отражается количество поступивших в отчетном периоде от потерпевших требований о возмещении вреда, причиненного их имуществу.</w:t>
      </w:r>
    </w:p>
    <w:p>
      <w:pPr>
        <w:pStyle w:val="0"/>
        <w:spacing w:before="240" w:lineRule="auto"/>
        <w:ind w:firstLine="540"/>
        <w:jc w:val="both"/>
      </w:pPr>
      <w:r>
        <w:rPr>
          <w:sz w:val="24"/>
        </w:rPr>
        <w:t xml:space="preserve">16.6.2. По показателю "Сумма предполагаемых выплат по прямому возмещению убытков в соответствии с направленными предварительными уведомлениями" </w:t>
      </w:r>
      <w:hyperlink w:history="0" w:anchor="P56413" w:tooltip="78">
        <w:r>
          <w:rPr>
            <w:sz w:val="24"/>
            <w:color w:val="0000ff"/>
          </w:rPr>
          <w:t xml:space="preserve">(строка 78)</w:t>
        </w:r>
      </w:hyperlink>
      <w:r>
        <w:rPr>
          <w:sz w:val="24"/>
        </w:rPr>
        <w:t xml:space="preserve"> страховщиком потерпевшего указывается сумма предполагаемых выплат по прямому возмещению убытков по поступившим в отчетном периоде требованиям о возмещении причиненного вреда имуществу потерпевших в соответствии с предварительными уведомлениями, направленными страховщикам, которые застраховали гражданскую ответственность лица, причинившего вред имуществу потерпевшего (далее - страховщик причинителя вреда), либо профессиональному объединению страховщиков.</w:t>
      </w:r>
    </w:p>
    <w:p>
      <w:pPr>
        <w:pStyle w:val="0"/>
        <w:spacing w:before="240" w:lineRule="auto"/>
        <w:ind w:firstLine="540"/>
        <w:jc w:val="both"/>
      </w:pPr>
      <w:r>
        <w:rPr>
          <w:sz w:val="24"/>
        </w:rPr>
        <w:t xml:space="preserve">16.6.3. По показателю "Количество мотивированных отказов потерпевшим по их требованиям о прямом возмещении убытков" </w:t>
      </w:r>
      <w:hyperlink w:history="0" w:anchor="P56425" w:tooltip="79">
        <w:r>
          <w:rPr>
            <w:sz w:val="24"/>
            <w:color w:val="0000ff"/>
          </w:rPr>
          <w:t xml:space="preserve">(строка 79)</w:t>
        </w:r>
      </w:hyperlink>
      <w:r>
        <w:rPr>
          <w:sz w:val="24"/>
        </w:rPr>
        <w:t xml:space="preserve"> страховщиком потерпевшего отражается количество мотивированных отказов потерпевшим по их требованиям о прямом возмещении убытков, направленных в отчетном периоде потерпевшим, имуществу которых причинен вред.</w:t>
      </w:r>
    </w:p>
    <w:p>
      <w:pPr>
        <w:pStyle w:val="0"/>
        <w:spacing w:before="240" w:lineRule="auto"/>
        <w:ind w:firstLine="540"/>
        <w:jc w:val="both"/>
      </w:pPr>
      <w:r>
        <w:rPr>
          <w:sz w:val="24"/>
        </w:rPr>
        <w:t xml:space="preserve">16.6.4. По показателю "Количество оплаченных требований потерпевших о прямом возмещении убытков (без учета дополнительного возмещения убытков потерпевшим)" </w:t>
      </w:r>
      <w:hyperlink w:history="0" w:anchor="P56433" w:tooltip="80">
        <w:r>
          <w:rPr>
            <w:sz w:val="24"/>
            <w:color w:val="0000ff"/>
          </w:rPr>
          <w:t xml:space="preserve">(строка 80)</w:t>
        </w:r>
      </w:hyperlink>
      <w:r>
        <w:rPr>
          <w:sz w:val="24"/>
        </w:rPr>
        <w:t xml:space="preserve"> страховщиком потерпевшего отражается количество оплаченных в отчетном периоде требований потерпевших о прямом возмещении убытков (без учета дополнительного возмещения убытков потерпевшим, которое не требует осуществления расчетов страховщика причинителя вреда либо профессионального объединения страховщиков со страховщиком потерпевшего в соответствии с соглашением о прямом возмещении убытков (далее - дополнительное возмещение убытков потерпевшим).</w:t>
      </w:r>
    </w:p>
    <w:p>
      <w:pPr>
        <w:pStyle w:val="0"/>
        <w:spacing w:before="240" w:lineRule="auto"/>
        <w:ind w:firstLine="540"/>
        <w:jc w:val="both"/>
      </w:pPr>
      <w:r>
        <w:rPr>
          <w:sz w:val="24"/>
        </w:rPr>
        <w:t xml:space="preserve">16.6.5. По показателю "Количество оплаченных требований потерпевших о прямом возмещении убытков (дополнительное возмещение убытков потерпевшим)" </w:t>
      </w:r>
      <w:hyperlink w:history="0" w:anchor="P56441" w:tooltip="81">
        <w:r>
          <w:rPr>
            <w:sz w:val="24"/>
            <w:color w:val="0000ff"/>
          </w:rPr>
          <w:t xml:space="preserve">(строка 81)</w:t>
        </w:r>
      </w:hyperlink>
      <w:r>
        <w:rPr>
          <w:sz w:val="24"/>
        </w:rPr>
        <w:t xml:space="preserve"> страховщиком потерпевшего отражается количество оплаченных в отчетном периоде требований потерпевших о прямом возмещении убытков в рамках дополнительного возмещения убытков потерпевшим.</w:t>
      </w:r>
    </w:p>
    <w:p>
      <w:pPr>
        <w:pStyle w:val="0"/>
        <w:spacing w:before="240" w:lineRule="auto"/>
        <w:ind w:firstLine="540"/>
        <w:jc w:val="both"/>
      </w:pPr>
      <w:r>
        <w:rPr>
          <w:sz w:val="24"/>
        </w:rPr>
        <w:t xml:space="preserve">16.6.6. По показателю "Сумма выплат потерпевшим по их требованиям о прямом возмещении убытков (без учета дополнительного возмещения убытков потерпевшим)" </w:t>
      </w:r>
      <w:hyperlink w:history="0" w:anchor="P56449" w:tooltip="82">
        <w:r>
          <w:rPr>
            <w:sz w:val="24"/>
            <w:color w:val="0000ff"/>
          </w:rPr>
          <w:t xml:space="preserve">(строка 82)</w:t>
        </w:r>
      </w:hyperlink>
      <w:r>
        <w:rPr>
          <w:sz w:val="24"/>
        </w:rPr>
        <w:t xml:space="preserve"> страховщиком потерпевшего указывается сумма выплат в отчетном периоде, осуществленных потерпевшим по их требованиям о прямом возмещении убытков (без учета дополнительного возмещения убытков потерпевшим).</w:t>
      </w:r>
    </w:p>
    <w:p>
      <w:pPr>
        <w:pStyle w:val="0"/>
        <w:spacing w:before="240" w:lineRule="auto"/>
        <w:ind w:firstLine="540"/>
        <w:jc w:val="both"/>
      </w:pPr>
      <w:r>
        <w:rPr>
          <w:sz w:val="24"/>
        </w:rPr>
        <w:t xml:space="preserve">16.6.7. По показателю "Сумма выплат потерпевшим по их требованиям о прямом возмещении убытков (дополнительное возмещение убытков потерпевшим)" </w:t>
      </w:r>
      <w:hyperlink w:history="0" w:anchor="P56457" w:tooltip="83">
        <w:r>
          <w:rPr>
            <w:sz w:val="24"/>
            <w:color w:val="0000ff"/>
          </w:rPr>
          <w:t xml:space="preserve">(строка 83)</w:t>
        </w:r>
      </w:hyperlink>
      <w:r>
        <w:rPr>
          <w:sz w:val="24"/>
        </w:rPr>
        <w:t xml:space="preserve"> страховщиком потерпевшего отражается сумма выплат в отчетном периоде, осуществленных потерпевшим по их требованиям о прямом возмещении убытков в рамках дополнительного возмещения убытков потерпевшим.</w:t>
      </w:r>
    </w:p>
    <w:p>
      <w:pPr>
        <w:pStyle w:val="0"/>
        <w:spacing w:before="240" w:lineRule="auto"/>
        <w:ind w:firstLine="540"/>
        <w:jc w:val="both"/>
      </w:pPr>
      <w:r>
        <w:rPr>
          <w:sz w:val="24"/>
        </w:rPr>
        <w:t xml:space="preserve">16.6.8. По показателю "Количество направленных требований об оплате возмещенного вреда" </w:t>
      </w:r>
      <w:hyperlink w:history="0" w:anchor="P56465" w:tooltip="84">
        <w:r>
          <w:rPr>
            <w:sz w:val="24"/>
            <w:color w:val="0000ff"/>
          </w:rPr>
          <w:t xml:space="preserve">(строка 84)</w:t>
        </w:r>
      </w:hyperlink>
      <w:r>
        <w:rPr>
          <w:sz w:val="24"/>
        </w:rPr>
        <w:t xml:space="preserve"> страховщиком потерпевшего указывается количество направленных в отчетном периоде требований об оплате возмещенного вреда страховщикам причинителей вреда либо профессиональному объединению страховщиков.</w:t>
      </w:r>
    </w:p>
    <w:p>
      <w:pPr>
        <w:pStyle w:val="0"/>
        <w:spacing w:before="240" w:lineRule="auto"/>
        <w:ind w:firstLine="540"/>
        <w:jc w:val="both"/>
      </w:pPr>
      <w:r>
        <w:rPr>
          <w:sz w:val="24"/>
        </w:rPr>
        <w:t xml:space="preserve">16.6.9. По показателю "Количество требований об оплате возмещенного вреда, по которым поступили денежные средства" </w:t>
      </w:r>
      <w:hyperlink w:history="0" w:anchor="P56477" w:tooltip="85">
        <w:r>
          <w:rPr>
            <w:sz w:val="24"/>
            <w:color w:val="0000ff"/>
          </w:rPr>
          <w:t xml:space="preserve">(строка 85)</w:t>
        </w:r>
      </w:hyperlink>
      <w:r>
        <w:rPr>
          <w:sz w:val="24"/>
        </w:rPr>
        <w:t xml:space="preserve"> страховщиком потерпевшего указывается количество требований об оплате возмещенного вреда, по которым в отчетном периоде поступили денежные средства от страховщиков причинителей вреда либо профессионального объединения страховщиков.</w:t>
      </w:r>
    </w:p>
    <w:p>
      <w:pPr>
        <w:pStyle w:val="0"/>
        <w:spacing w:before="240" w:lineRule="auto"/>
        <w:ind w:firstLine="540"/>
        <w:jc w:val="both"/>
      </w:pPr>
      <w:r>
        <w:rPr>
          <w:sz w:val="24"/>
        </w:rPr>
        <w:t xml:space="preserve">16.6.10. По показателю "Сумма поступивших денежных средств по требованиям об оплате возмещенного вреда" </w:t>
      </w:r>
      <w:hyperlink w:history="0" w:anchor="P56489" w:tooltip="86">
        <w:r>
          <w:rPr>
            <w:sz w:val="24"/>
            <w:color w:val="0000ff"/>
          </w:rPr>
          <w:t xml:space="preserve">(строка 86)</w:t>
        </w:r>
      </w:hyperlink>
      <w:r>
        <w:rPr>
          <w:sz w:val="24"/>
        </w:rPr>
        <w:t xml:space="preserve"> страховщиком потерпевшего указывается сумма поступивших в отчетном периоде денежных средств от страховщиков причинителей вреда либо профессионального объединения страховщиков по требованиям об оплате возмещенного вреда.</w:t>
      </w:r>
    </w:p>
    <w:p>
      <w:pPr>
        <w:pStyle w:val="0"/>
        <w:spacing w:before="240" w:lineRule="auto"/>
        <w:ind w:firstLine="540"/>
        <w:jc w:val="both"/>
      </w:pPr>
      <w:r>
        <w:rPr>
          <w:sz w:val="24"/>
        </w:rPr>
        <w:t xml:space="preserve">16.6.11. По показателю "Количество поступивших предварительных уведомлений от страховщиков потерпевших" </w:t>
      </w:r>
      <w:hyperlink w:history="0" w:anchor="P56501" w:tooltip="87">
        <w:r>
          <w:rPr>
            <w:sz w:val="24"/>
            <w:color w:val="0000ff"/>
          </w:rPr>
          <w:t xml:space="preserve">(строка 87)</w:t>
        </w:r>
      </w:hyperlink>
      <w:r>
        <w:rPr>
          <w:sz w:val="24"/>
        </w:rPr>
        <w:t xml:space="preserve"> страховщиком причинителя вреда указывается количество поступивших в отчетном периоде от страховщиков потерпевших предварительных уведомлений, содержащих сведения о требованиях потерпевших, обстоятельствах причинения вреда в связи с повреждением имущества потерпевших в результате дорожно-транспортного происшествия, предполагаемых размерах выплат по прямому возмещению убытков.</w:t>
      </w:r>
    </w:p>
    <w:p>
      <w:pPr>
        <w:pStyle w:val="0"/>
        <w:spacing w:before="240" w:lineRule="auto"/>
        <w:ind w:firstLine="540"/>
        <w:jc w:val="both"/>
      </w:pPr>
      <w:r>
        <w:rPr>
          <w:sz w:val="24"/>
        </w:rPr>
        <w:t xml:space="preserve">16.6.12. По показателю "Сумма предполагаемых выплат по прямому возмещению убытков в соответствии с предварительными уведомлениями, поступившими от страховщиков потерпевших" </w:t>
      </w:r>
      <w:hyperlink w:history="0" w:anchor="P56509" w:tooltip="88">
        <w:r>
          <w:rPr>
            <w:sz w:val="24"/>
            <w:color w:val="0000ff"/>
          </w:rPr>
          <w:t xml:space="preserve">(строка 88)</w:t>
        </w:r>
      </w:hyperlink>
      <w:r>
        <w:rPr>
          <w:sz w:val="24"/>
        </w:rPr>
        <w:t xml:space="preserve"> страховщиком причинителя вреда указывается сумма предполагаемых выплат по прямому возмещению убытков в соответствии с поступившими в отчетном периоде от страховщиков потерпевших предварительными уведомлениями.</w:t>
      </w:r>
    </w:p>
    <w:p>
      <w:pPr>
        <w:pStyle w:val="0"/>
        <w:spacing w:before="240" w:lineRule="auto"/>
        <w:ind w:firstLine="540"/>
        <w:jc w:val="both"/>
      </w:pPr>
      <w:r>
        <w:rPr>
          <w:sz w:val="24"/>
        </w:rPr>
        <w:t xml:space="preserve">16.6.13. По показателю "Количество мотивированных отказов потерпевшим по их требованиям о прямом возмещении убытков, поступивших от страховщиков потерпевших" </w:t>
      </w:r>
      <w:hyperlink w:history="0" w:anchor="P56517" w:tooltip="89">
        <w:r>
          <w:rPr>
            <w:sz w:val="24"/>
            <w:color w:val="0000ff"/>
          </w:rPr>
          <w:t xml:space="preserve">(строка 89)</w:t>
        </w:r>
      </w:hyperlink>
      <w:r>
        <w:rPr>
          <w:sz w:val="24"/>
        </w:rPr>
        <w:t xml:space="preserve"> страховщиком причинителя вреда указывается количество поступивших в отчетном периоде от страховщиков потерпевших мотивированных отказов потерпевшим по их требованиям о прямом возмещении убытков.</w:t>
      </w:r>
    </w:p>
    <w:p>
      <w:pPr>
        <w:pStyle w:val="0"/>
        <w:spacing w:before="240" w:lineRule="auto"/>
        <w:ind w:firstLine="540"/>
        <w:jc w:val="both"/>
      </w:pPr>
      <w:r>
        <w:rPr>
          <w:sz w:val="24"/>
        </w:rPr>
        <w:t xml:space="preserve">16.6.14. По показателю "Количество требований об оплате возмещенного вреда, поступивших от страховщиков потерпевших" </w:t>
      </w:r>
      <w:hyperlink w:history="0" w:anchor="P56525" w:tooltip="90">
        <w:r>
          <w:rPr>
            <w:sz w:val="24"/>
            <w:color w:val="0000ff"/>
          </w:rPr>
          <w:t xml:space="preserve">(строка 90)</w:t>
        </w:r>
      </w:hyperlink>
      <w:r>
        <w:rPr>
          <w:sz w:val="24"/>
        </w:rPr>
        <w:t xml:space="preserve"> страховщиком причинителя вреда указывается количество поступивших в отчетном периоде от страховщиков потерпевших требований об оплате возмещенного вреда.</w:t>
      </w:r>
    </w:p>
    <w:p>
      <w:pPr>
        <w:pStyle w:val="0"/>
        <w:spacing w:before="240" w:lineRule="auto"/>
        <w:ind w:firstLine="540"/>
        <w:jc w:val="both"/>
      </w:pPr>
      <w:r>
        <w:rPr>
          <w:sz w:val="24"/>
        </w:rPr>
        <w:t xml:space="preserve">16.6.15. По показателю "Сумма осуществленных страховщиками потерпевших выплат по прямому возмещению убытков в соответствии с требованиями об оплате возмещенного вреда, поступившими от страховщиков потерпевших" </w:t>
      </w:r>
      <w:hyperlink w:history="0" w:anchor="P56533" w:tooltip="91">
        <w:r>
          <w:rPr>
            <w:sz w:val="24"/>
            <w:color w:val="0000ff"/>
          </w:rPr>
          <w:t xml:space="preserve">(строка 91)</w:t>
        </w:r>
      </w:hyperlink>
      <w:r>
        <w:rPr>
          <w:sz w:val="24"/>
        </w:rPr>
        <w:t xml:space="preserve"> страховщиком причинителя вреда указывается сумма осуществленных страховщиками потерпевших выплат по прямому возмещению убытков в соответствии с поступившими в отчетном периоде от страховщиков потерпевших требованиями об оплате возмещенного вреда.</w:t>
      </w:r>
    </w:p>
    <w:p>
      <w:pPr>
        <w:pStyle w:val="0"/>
        <w:spacing w:before="240" w:lineRule="auto"/>
        <w:ind w:firstLine="540"/>
        <w:jc w:val="both"/>
      </w:pPr>
      <w:r>
        <w:rPr>
          <w:sz w:val="24"/>
        </w:rPr>
        <w:t xml:space="preserve">16.6.16. По показателю "Количество требований об оплате возмещенного вреда, на основании которых признана сумма страховых выплат по договорам обязательного страхования гражданской ответственности владельцев транспортных средств" </w:t>
      </w:r>
      <w:hyperlink w:history="0" w:anchor="P56541" w:tooltip="92">
        <w:r>
          <w:rPr>
            <w:sz w:val="24"/>
            <w:color w:val="0000ff"/>
          </w:rPr>
          <w:t xml:space="preserve">(строка 92)</w:t>
        </w:r>
      </w:hyperlink>
      <w:r>
        <w:rPr>
          <w:sz w:val="24"/>
        </w:rPr>
        <w:t xml:space="preserve"> страховщиком причинителя вреда указывается количество требований об оплате возмещенного вреда, на основании которых в отчетном периоде признана сумма страховых выплат по договорам обязательного страхования гражданской ответственности владельцев транспортных средств.</w:t>
      </w:r>
    </w:p>
    <w:p>
      <w:pPr>
        <w:pStyle w:val="0"/>
        <w:spacing w:before="240" w:lineRule="auto"/>
        <w:ind w:firstLine="540"/>
        <w:jc w:val="both"/>
      </w:pPr>
      <w:r>
        <w:rPr>
          <w:sz w:val="24"/>
        </w:rPr>
        <w:t xml:space="preserve">16.6.17. По показателю "Сумма страховых выплат по договорам обязательного страхования гражданской ответственности владельцев транспортных средств, признанных на основании представленных страховщиками потерпевших требований об оплате возмещенного вреда" </w:t>
      </w:r>
      <w:hyperlink w:history="0" w:anchor="P56549" w:tooltip="93">
        <w:r>
          <w:rPr>
            <w:sz w:val="24"/>
            <w:color w:val="0000ff"/>
          </w:rPr>
          <w:t xml:space="preserve">(строка 93)</w:t>
        </w:r>
      </w:hyperlink>
      <w:r>
        <w:rPr>
          <w:sz w:val="24"/>
        </w:rPr>
        <w:t xml:space="preserve"> страховщиком причинителя вреда указывается сумма страховых выплат по договорам обязательного страхования гражданской ответственности владельцев транспортных средств (в том числе выплат на возмещение причиненного вреда в натуре), признанных в отчетном периоде на основании представленных страховщиками потерпевших требований об оплате возмещенного вреда.</w:t>
      </w:r>
    </w:p>
    <w:p>
      <w:pPr>
        <w:pStyle w:val="0"/>
        <w:spacing w:before="240" w:lineRule="auto"/>
        <w:ind w:firstLine="540"/>
        <w:jc w:val="both"/>
      </w:pPr>
      <w:r>
        <w:rPr>
          <w:sz w:val="24"/>
        </w:rPr>
        <w:t xml:space="preserve">Данные по показателю "Сумма страховых выплат по договорам обязательного страхования гражданской ответственности владельцев транспортных средств, признанных на основании представленных страховщиками потерпевших требований об оплате возмещенного вреда" </w:t>
      </w:r>
      <w:hyperlink w:history="0" w:anchor="P56549" w:tooltip="93">
        <w:r>
          <w:rPr>
            <w:sz w:val="24"/>
            <w:color w:val="0000ff"/>
          </w:rPr>
          <w:t xml:space="preserve">(строка 93)</w:t>
        </w:r>
      </w:hyperlink>
      <w:r>
        <w:rPr>
          <w:sz w:val="24"/>
        </w:rPr>
        <w:t xml:space="preserve"> отражаются страховщиком причинителя вреда в общей сумме по показателю "Сумма страховых выплат" </w:t>
      </w:r>
      <w:hyperlink w:history="0" w:anchor="P56199" w:tooltip="66">
        <w:r>
          <w:rPr>
            <w:sz w:val="24"/>
            <w:color w:val="0000ff"/>
          </w:rPr>
          <w:t xml:space="preserve">(строка 66)</w:t>
        </w:r>
      </w:hyperlink>
      <w:r>
        <w:rPr>
          <w:sz w:val="24"/>
        </w:rPr>
        <w:t xml:space="preserve">.</w:t>
      </w:r>
    </w:p>
    <w:p>
      <w:pPr>
        <w:pStyle w:val="0"/>
        <w:spacing w:before="240" w:lineRule="auto"/>
        <w:ind w:firstLine="540"/>
        <w:jc w:val="both"/>
      </w:pPr>
      <w:r>
        <w:rPr>
          <w:sz w:val="24"/>
        </w:rPr>
        <w:t xml:space="preserve">16.6.18. По показателю "Сумма осуществленных выплат страховщикам потерпевших в счет осуществленного ими прямого возмещения убытков потерпевшим" </w:t>
      </w:r>
      <w:hyperlink w:history="0" w:anchor="P56557" w:tooltip="94">
        <w:r>
          <w:rPr>
            <w:sz w:val="24"/>
            <w:color w:val="0000ff"/>
          </w:rPr>
          <w:t xml:space="preserve">(строка 94)</w:t>
        </w:r>
      </w:hyperlink>
      <w:r>
        <w:rPr>
          <w:sz w:val="24"/>
        </w:rPr>
        <w:t xml:space="preserve"> страховщиком причинителя вреда указывается сумма перечисленных в отчетном периоде денежных средств страховщикам потерпевших в счет осуществленного ими прямого возмещения убытков.</w:t>
      </w:r>
    </w:p>
    <w:p>
      <w:pPr>
        <w:pStyle w:val="0"/>
        <w:spacing w:before="240" w:lineRule="auto"/>
        <w:ind w:firstLine="540"/>
        <w:jc w:val="both"/>
      </w:pPr>
      <w:r>
        <w:rPr>
          <w:sz w:val="24"/>
        </w:rPr>
        <w:t xml:space="preserve">16.6.19. Сведения по требованиям о дополнительном возмещении убытков потерпевшим приводятся страховщиком причинителя вреда по показателю "Дополнительное возмещение страховщиком потерпевшего убытков потерпевшему при осуществлении прямого возмещения убытков (указывается страховщиком причинителя вреда)" </w:t>
      </w:r>
      <w:hyperlink w:history="0" w:anchor="P57258" w:tooltip="125">
        <w:r>
          <w:rPr>
            <w:sz w:val="24"/>
            <w:color w:val="0000ff"/>
          </w:rPr>
          <w:t xml:space="preserve">(строка 125)</w:t>
        </w:r>
      </w:hyperlink>
      <w:r>
        <w:rPr>
          <w:sz w:val="24"/>
        </w:rPr>
        <w:t xml:space="preserve"> (с указанием количества указанных требований и сумм по ним). По показателям "Сумма страховых выплат" </w:t>
      </w:r>
      <w:hyperlink w:history="0" w:anchor="P56199" w:tooltip="66">
        <w:r>
          <w:rPr>
            <w:sz w:val="24"/>
            <w:color w:val="0000ff"/>
          </w:rPr>
          <w:t xml:space="preserve">(строка 66)</w:t>
        </w:r>
      </w:hyperlink>
      <w:r>
        <w:rPr>
          <w:sz w:val="24"/>
        </w:rPr>
        <w:t xml:space="preserve">, "Количество требований об оплате возмещенного вреда, на основании которых признана сумма страховых выплат по договорам обязательного страхования гражданской ответственности владельцев транспортных средств" </w:t>
      </w:r>
      <w:hyperlink w:history="0" w:anchor="P56541" w:tooltip="92">
        <w:r>
          <w:rPr>
            <w:sz w:val="24"/>
            <w:color w:val="0000ff"/>
          </w:rPr>
          <w:t xml:space="preserve">(строка 92)</w:t>
        </w:r>
      </w:hyperlink>
      <w:r>
        <w:rPr>
          <w:sz w:val="24"/>
        </w:rPr>
        <w:t xml:space="preserve"> и "Сумма страховых выплат по договорам обязательного страхования гражданской ответственности владельцев транспортных средств, признанных на основании представленных страховщиками потерпевших требований об оплате возмещенного вреда" </w:t>
      </w:r>
      <w:hyperlink w:history="0" w:anchor="P56549" w:tooltip="93">
        <w:r>
          <w:rPr>
            <w:sz w:val="24"/>
            <w:color w:val="0000ff"/>
          </w:rPr>
          <w:t xml:space="preserve">(строка 93)</w:t>
        </w:r>
      </w:hyperlink>
      <w:r>
        <w:rPr>
          <w:sz w:val="24"/>
        </w:rPr>
        <w:t xml:space="preserve"> указанные сведения не отражаются.</w:t>
      </w:r>
    </w:p>
    <w:p>
      <w:pPr>
        <w:pStyle w:val="0"/>
        <w:spacing w:before="240" w:lineRule="auto"/>
        <w:ind w:firstLine="540"/>
        <w:jc w:val="both"/>
      </w:pPr>
      <w:r>
        <w:rPr>
          <w:sz w:val="24"/>
        </w:rPr>
        <w:t xml:space="preserve">17. По показателям </w:t>
      </w:r>
      <w:hyperlink w:history="0" w:anchor="P56565" w:tooltip="Раздел 6.">
        <w:r>
          <w:rPr>
            <w:sz w:val="24"/>
            <w:color w:val="0000ff"/>
          </w:rPr>
          <w:t xml:space="preserve">раздела 6</w:t>
        </w:r>
      </w:hyperlink>
      <w:r>
        <w:rPr>
          <w:sz w:val="24"/>
        </w:rPr>
        <w:t xml:space="preserve"> отчетности по форме 0420162 отражаются данные о деятельности страховой медицинской организации в сфере обязательного медицинского страхования в соответствии с Федеральным </w:t>
      </w:r>
      <w:hyperlink w:history="0" r:id="rId843"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законом</w:t>
        </w:r>
      </w:hyperlink>
      <w:r>
        <w:rPr>
          <w:sz w:val="24"/>
        </w:rPr>
        <w:t xml:space="preserve"> от 29 ноября 2010 года N 326-ФЗ "Об обязательном медицинском страховании в Российской Федерации".</w:t>
      </w:r>
    </w:p>
    <w:p>
      <w:pPr>
        <w:pStyle w:val="0"/>
        <w:spacing w:before="240" w:lineRule="auto"/>
        <w:ind w:firstLine="540"/>
        <w:jc w:val="both"/>
      </w:pPr>
      <w:r>
        <w:rPr>
          <w:sz w:val="24"/>
        </w:rPr>
        <w:t xml:space="preserve">Данные о деятельности страховой медицинской организации указываются в разбивке по территориям (субъекты Российской Федерации, город Байконур (Республика Казахстан) в зависимости от места нахождения территориального фонда обязательного медицинского страхования.</w:t>
      </w:r>
    </w:p>
    <w:p>
      <w:pPr>
        <w:pStyle w:val="0"/>
        <w:spacing w:before="240" w:lineRule="auto"/>
        <w:ind w:firstLine="540"/>
        <w:jc w:val="both"/>
      </w:pPr>
      <w:r>
        <w:rPr>
          <w:sz w:val="24"/>
        </w:rPr>
        <w:t xml:space="preserve">17.1. По показателю "Средства страховой медицинской организации, предназначенные для оплаты медицинской помощи" </w:t>
      </w:r>
      <w:hyperlink w:history="0" w:anchor="P56567" w:tooltip="95">
        <w:r>
          <w:rPr>
            <w:sz w:val="24"/>
            <w:color w:val="0000ff"/>
          </w:rPr>
          <w:t xml:space="preserve">(строка 95)</w:t>
        </w:r>
      </w:hyperlink>
      <w:r>
        <w:rPr>
          <w:sz w:val="24"/>
        </w:rPr>
        <w:t xml:space="preserve"> отражаются:</w:t>
      </w:r>
    </w:p>
    <w:p>
      <w:pPr>
        <w:pStyle w:val="0"/>
        <w:spacing w:before="240" w:lineRule="auto"/>
        <w:ind w:firstLine="540"/>
        <w:jc w:val="both"/>
      </w:pPr>
      <w:r>
        <w:rPr>
          <w:sz w:val="24"/>
        </w:rPr>
        <w:t xml:space="preserve">сумма средств, поступивших (начисленных как причитающиеся к получению) в отчетном периоде от территориального фонда обязательного медицинского страхования на финансовое обеспечение обязательного медицинского страхования в соответствии с договором о финансовом обеспечении обязательного медицинского страхования и предназначенных для оплаты медицинской помощи (в том числе в порядке авансирования), - по аналитическому признаку "Средства от территориального фонда обязательного медицинского страхования" группы аналитических признаков "Структура средств, предназначенных для оплаты медицинской помощи";</w:t>
      </w:r>
    </w:p>
    <w:p>
      <w:pPr>
        <w:pStyle w:val="0"/>
        <w:spacing w:before="240" w:lineRule="auto"/>
        <w:ind w:firstLine="540"/>
        <w:jc w:val="both"/>
      </w:pPr>
      <w:r>
        <w:rPr>
          <w:sz w:val="24"/>
        </w:rPr>
        <w:t xml:space="preserve">сумма средств, поступивших (начисленных как причитающиеся к получению) в отчетном периоде из медицинских организаций в результате применения к ним санкций за нарушения, выявленные при проведении контроля объемов, сроков, качества и условий предоставления медицинской помощи, и предназначенных для оплаты медицинской помощи (в том числе удержанных при оплате счетов на оплату медицинской помощи), - по аналитическому признаку "Средства из медицинских организаций" группы аналитических признаков "Структура средств, предназначенных для оплаты медицинской помощи";</w:t>
      </w:r>
    </w:p>
    <w:p>
      <w:pPr>
        <w:pStyle w:val="0"/>
        <w:spacing w:before="240" w:lineRule="auto"/>
        <w:ind w:firstLine="540"/>
        <w:jc w:val="both"/>
      </w:pPr>
      <w:r>
        <w:rPr>
          <w:sz w:val="24"/>
        </w:rPr>
        <w:t xml:space="preserve">сумма средств, поступивших (начисленных как причитающиеся к получению) в отчетном периоде от юридических или физических лиц, причинивших вред здоровью застрахованных лиц, и предназначенных для оплаты медицинской помощи, - по аналитическому признаку "Средства от юридических или физических лиц" группы аналитических признаков "Структура средств, предназначенных для оплаты медицинской помощи".</w:t>
      </w:r>
    </w:p>
    <w:p>
      <w:pPr>
        <w:pStyle w:val="0"/>
        <w:spacing w:before="240" w:lineRule="auto"/>
        <w:ind w:firstLine="540"/>
        <w:jc w:val="both"/>
      </w:pPr>
      <w:r>
        <w:rPr>
          <w:sz w:val="24"/>
        </w:rPr>
        <w:t xml:space="preserve">17.2. По показателю "Оплата страховой медицинской организацией медицинской помощи, оказанной застрахованным лицам" </w:t>
      </w:r>
      <w:hyperlink w:history="0" w:anchor="P56579" w:tooltip="96">
        <w:r>
          <w:rPr>
            <w:sz w:val="24"/>
            <w:color w:val="0000ff"/>
          </w:rPr>
          <w:t xml:space="preserve">(строка 96)</w:t>
        </w:r>
      </w:hyperlink>
      <w:r>
        <w:rPr>
          <w:sz w:val="24"/>
        </w:rPr>
        <w:t xml:space="preserve"> отражаются:</w:t>
      </w:r>
    </w:p>
    <w:p>
      <w:pPr>
        <w:pStyle w:val="0"/>
        <w:spacing w:before="240" w:lineRule="auto"/>
        <w:ind w:firstLine="540"/>
        <w:jc w:val="both"/>
      </w:pPr>
      <w:r>
        <w:rPr>
          <w:sz w:val="24"/>
        </w:rPr>
        <w:t xml:space="preserve">сумма средств на оплату медицинской помощи, оказанной застрахованным лицам, по счетам медицинских организаций, предъявленным к оплате в соответствии с договорами на оказание и оплату медицинской помощи по обязательному медицинскому страхованию, - по аналитическому признаку "Всего" группы аналитических признаков "Структура оплаты медицинской помощи, оказанной застрахованным лицам";</w:t>
      </w:r>
    </w:p>
    <w:p>
      <w:pPr>
        <w:pStyle w:val="0"/>
        <w:spacing w:before="240" w:lineRule="auto"/>
        <w:ind w:firstLine="540"/>
        <w:jc w:val="both"/>
      </w:pPr>
      <w:r>
        <w:rPr>
          <w:sz w:val="24"/>
        </w:rPr>
        <w:t xml:space="preserve">в части суммы средств, подлежащих уплате медицинской организации по результатам повторного медико-экономического контроля, - по аналитическому признаку "Оплата по результатам повторного медико-экономического контроля" группы аналитических признаков "Структура оплаты медицинской помощи, оказанной застрахованным лицам";</w:t>
      </w:r>
    </w:p>
    <w:p>
      <w:pPr>
        <w:pStyle w:val="0"/>
        <w:spacing w:before="240" w:lineRule="auto"/>
        <w:ind w:firstLine="540"/>
        <w:jc w:val="both"/>
      </w:pPr>
      <w:r>
        <w:rPr>
          <w:sz w:val="24"/>
        </w:rPr>
        <w:t xml:space="preserve">в части суммы средств, подлежащих уплате медицинской организации по результатам реэкспертизы (повторной медико-экономической экспертизы или экспертизы качества медицинской помощи), - по аналитическому признаку "Оплата по результатам реэкспертизы" группы аналитических признаков "Структура оплаты медицинской помощи, оказанной застрахованным лицам".</w:t>
      </w:r>
    </w:p>
    <w:p>
      <w:pPr>
        <w:pStyle w:val="0"/>
        <w:spacing w:before="240" w:lineRule="auto"/>
        <w:ind w:firstLine="540"/>
        <w:jc w:val="both"/>
      </w:pPr>
      <w:r>
        <w:rPr>
          <w:sz w:val="24"/>
        </w:rPr>
        <w:t xml:space="preserve">17.3. По показателю "Число застрахованных страховой медицинской организацией лиц" </w:t>
      </w:r>
      <w:hyperlink w:history="0" w:anchor="P56591" w:tooltip="97">
        <w:r>
          <w:rPr>
            <w:sz w:val="24"/>
            <w:color w:val="0000ff"/>
          </w:rPr>
          <w:t xml:space="preserve">(строка 97)</w:t>
        </w:r>
      </w:hyperlink>
      <w:r>
        <w:rPr>
          <w:sz w:val="24"/>
        </w:rPr>
        <w:t xml:space="preserve"> указывается число лиц, застрахованных по обязательному медицинскому страхованию в страховой медицинской организации, на начало и конец отчетного периода.</w:t>
      </w:r>
    </w:p>
    <w:p>
      <w:pPr>
        <w:pStyle w:val="0"/>
        <w:spacing w:before="240" w:lineRule="auto"/>
        <w:ind w:firstLine="540"/>
        <w:jc w:val="both"/>
      </w:pPr>
      <w:r>
        <w:rPr>
          <w:sz w:val="24"/>
        </w:rPr>
        <w:t xml:space="preserve">Значение показателя "Число застрахованных страховой медицинской организацией лиц" </w:t>
      </w:r>
      <w:hyperlink w:history="0" w:anchor="P56591" w:tooltip="97">
        <w:r>
          <w:rPr>
            <w:sz w:val="24"/>
            <w:color w:val="0000ff"/>
          </w:rPr>
          <w:t xml:space="preserve">(строка 97)</w:t>
        </w:r>
      </w:hyperlink>
      <w:r>
        <w:rPr>
          <w:sz w:val="24"/>
        </w:rPr>
        <w:t xml:space="preserve"> на начало отчетного периода отчетности по форме 0420162, составленной за отчетный период, должно соответствовать значению показателя "Число застрахованных страховой медицинской организацией лиц" </w:t>
      </w:r>
      <w:hyperlink w:history="0" w:anchor="P56591" w:tooltip="97">
        <w:r>
          <w:rPr>
            <w:sz w:val="24"/>
            <w:color w:val="0000ff"/>
          </w:rPr>
          <w:t xml:space="preserve">(строка 97)</w:t>
        </w:r>
      </w:hyperlink>
      <w:r>
        <w:rPr>
          <w:sz w:val="24"/>
        </w:rPr>
        <w:t xml:space="preserve"> на конец отчетного периода отчетности по форме 0420162, составленной за предыдущий год.</w:t>
      </w:r>
    </w:p>
    <w:p>
      <w:pPr>
        <w:pStyle w:val="0"/>
        <w:spacing w:before="240" w:lineRule="auto"/>
        <w:ind w:firstLine="540"/>
        <w:jc w:val="both"/>
      </w:pPr>
      <w:r>
        <w:rPr>
          <w:sz w:val="24"/>
        </w:rPr>
        <w:t xml:space="preserve">Значение показателя "Число застрахованных страховой медицинской организацией лиц" </w:t>
      </w:r>
      <w:hyperlink w:history="0" w:anchor="P56591" w:tooltip="97">
        <w:r>
          <w:rPr>
            <w:sz w:val="24"/>
            <w:color w:val="0000ff"/>
          </w:rPr>
          <w:t xml:space="preserve">(строка 97)</w:t>
        </w:r>
      </w:hyperlink>
      <w:r>
        <w:rPr>
          <w:sz w:val="24"/>
        </w:rPr>
        <w:t xml:space="preserve"> на конец отчетного периода определяется путем суммирования значений показателей "Число застрахованных страховой медицинской организацией лиц" </w:t>
      </w:r>
      <w:hyperlink w:history="0" w:anchor="P56591" w:tooltip="97">
        <w:r>
          <w:rPr>
            <w:sz w:val="24"/>
            <w:color w:val="0000ff"/>
          </w:rPr>
          <w:t xml:space="preserve">(строка 97)</w:t>
        </w:r>
      </w:hyperlink>
      <w:r>
        <w:rPr>
          <w:sz w:val="24"/>
        </w:rPr>
        <w:t xml:space="preserve"> на начало отчетного периода и "Увеличение числа застрахованных страховой медицинской организацией лиц" </w:t>
      </w:r>
      <w:hyperlink w:history="0" w:anchor="P56599" w:tooltip="98">
        <w:r>
          <w:rPr>
            <w:sz w:val="24"/>
            <w:color w:val="0000ff"/>
          </w:rPr>
          <w:t xml:space="preserve">(строка 98)</w:t>
        </w:r>
      </w:hyperlink>
      <w:r>
        <w:rPr>
          <w:sz w:val="24"/>
        </w:rPr>
        <w:t xml:space="preserve"> за вычетом значения показателя "Уменьшение числа застрахованных страховой медицинской организацией лиц" </w:t>
      </w:r>
      <w:hyperlink w:history="0" w:anchor="P56607" w:tooltip="99">
        <w:r>
          <w:rPr>
            <w:sz w:val="24"/>
            <w:color w:val="0000ff"/>
          </w:rPr>
          <w:t xml:space="preserve">(строка 99)</w:t>
        </w:r>
      </w:hyperlink>
      <w:r>
        <w:rPr>
          <w:sz w:val="24"/>
        </w:rPr>
        <w:t xml:space="preserve">.</w:t>
      </w:r>
    </w:p>
    <w:p>
      <w:pPr>
        <w:pStyle w:val="0"/>
        <w:spacing w:before="240" w:lineRule="auto"/>
        <w:ind w:firstLine="540"/>
        <w:jc w:val="both"/>
      </w:pPr>
      <w:r>
        <w:rPr>
          <w:sz w:val="24"/>
        </w:rPr>
        <w:t xml:space="preserve">17.4. По показателям "Увеличение числа застрахованных страховой медицинской организацией лиц" </w:t>
      </w:r>
      <w:hyperlink w:history="0" w:anchor="P56599" w:tooltip="98">
        <w:r>
          <w:rPr>
            <w:sz w:val="24"/>
            <w:color w:val="0000ff"/>
          </w:rPr>
          <w:t xml:space="preserve">(строка 98)</w:t>
        </w:r>
      </w:hyperlink>
      <w:r>
        <w:rPr>
          <w:sz w:val="24"/>
        </w:rPr>
        <w:t xml:space="preserve"> и "Уменьшение числа застрахованных страховой медицинской организацией лиц" </w:t>
      </w:r>
      <w:hyperlink w:history="0" w:anchor="P56607" w:tooltip="99">
        <w:r>
          <w:rPr>
            <w:sz w:val="24"/>
            <w:color w:val="0000ff"/>
          </w:rPr>
          <w:t xml:space="preserve">(строка 99)</w:t>
        </w:r>
      </w:hyperlink>
      <w:r>
        <w:rPr>
          <w:sz w:val="24"/>
        </w:rPr>
        <w:t xml:space="preserve"> отражаются данные об изменении числа застрахованных по обязательному медицинскому страхованию в страховой медицинской организации в течение отчетного периода.</w:t>
      </w:r>
    </w:p>
    <w:p>
      <w:pPr>
        <w:pStyle w:val="0"/>
        <w:spacing w:before="240" w:lineRule="auto"/>
        <w:ind w:firstLine="540"/>
        <w:jc w:val="both"/>
      </w:pPr>
      <w:r>
        <w:rPr>
          <w:sz w:val="24"/>
        </w:rPr>
        <w:t xml:space="preserve">18. По показателям </w:t>
      </w:r>
      <w:hyperlink w:history="0" w:anchor="P56617" w:tooltip="Подраздел 7.1.">
        <w:r>
          <w:rPr>
            <w:sz w:val="24"/>
            <w:color w:val="0000ff"/>
          </w:rPr>
          <w:t xml:space="preserve">подраздела 7.1 раздела 7</w:t>
        </w:r>
      </w:hyperlink>
      <w:r>
        <w:rPr>
          <w:sz w:val="24"/>
        </w:rPr>
        <w:t xml:space="preserve"> отчетности по форме 0420162 отражаются сведения о договорах страхования, заключенных без участия посредников либо при их участии, кроме договоров страхования, заключенных путем обмена информацией в электронной форме (аналитический признак "Нет" группы аналитических признаков "Заключение договора путем обмена информацией в электронной форме").</w:t>
      </w:r>
    </w:p>
    <w:p>
      <w:pPr>
        <w:pStyle w:val="0"/>
        <w:spacing w:before="240" w:lineRule="auto"/>
        <w:ind w:firstLine="540"/>
        <w:jc w:val="both"/>
      </w:pPr>
      <w:r>
        <w:rPr>
          <w:sz w:val="24"/>
        </w:rPr>
        <w:t xml:space="preserve">По показателю "Страховые премии (взносы)" </w:t>
      </w:r>
      <w:hyperlink w:history="0" w:anchor="P56619" w:tooltip="100">
        <w:r>
          <w:rPr>
            <w:sz w:val="24"/>
            <w:color w:val="0000ff"/>
          </w:rPr>
          <w:t xml:space="preserve">(строка 100)</w:t>
        </w:r>
      </w:hyperlink>
      <w:r>
        <w:rPr>
          <w:sz w:val="24"/>
        </w:rPr>
        <w:t xml:space="preserve"> указывается сумма страховых премий по договорам страхования, уплата, корректировка (увеличение или уменьшение) или возврат которых согласно условиям соответствующих договоров страхования приходится на отчетный период. Данные указываются по договорам страхования, заключенным в отчетном периоде и предыдущих отчетных периодах.</w:t>
      </w:r>
    </w:p>
    <w:p>
      <w:pPr>
        <w:pStyle w:val="0"/>
        <w:spacing w:before="240" w:lineRule="auto"/>
        <w:ind w:firstLine="540"/>
        <w:jc w:val="both"/>
      </w:pPr>
      <w:r>
        <w:rPr>
          <w:sz w:val="24"/>
        </w:rPr>
        <w:t xml:space="preserve">Сумма данных по показателям "Страховые премии (взносы)" </w:t>
      </w:r>
      <w:hyperlink w:history="0" w:anchor="P56619" w:tooltip="100">
        <w:r>
          <w:rPr>
            <w:sz w:val="24"/>
            <w:color w:val="0000ff"/>
          </w:rPr>
          <w:t xml:space="preserve">(строка 100)</w:t>
        </w:r>
      </w:hyperlink>
      <w:r>
        <w:rPr>
          <w:sz w:val="24"/>
        </w:rPr>
        <w:t xml:space="preserve"> и "Страховые премии (взносы)" </w:t>
      </w:r>
      <w:hyperlink w:history="0" w:anchor="P56685" w:tooltip="102">
        <w:r>
          <w:rPr>
            <w:sz w:val="24"/>
            <w:color w:val="0000ff"/>
          </w:rPr>
          <w:t xml:space="preserve">(строка 102)</w:t>
        </w:r>
      </w:hyperlink>
      <w:r>
        <w:rPr>
          <w:sz w:val="24"/>
        </w:rPr>
        <w:t xml:space="preserve"> должна соответствовать сумме страховых премий (взносов), указанной по показателю "Страховые премии (взносы) по договорам страхования" </w:t>
      </w:r>
      <w:hyperlink w:history="0" w:anchor="P54371" w:tooltip="1">
        <w:r>
          <w:rPr>
            <w:sz w:val="24"/>
            <w:color w:val="0000ff"/>
          </w:rPr>
          <w:t xml:space="preserve">(строка 1)</w:t>
        </w:r>
      </w:hyperlink>
      <w:r>
        <w:rPr>
          <w:sz w:val="24"/>
        </w:rPr>
        <w:t xml:space="preserve">.</w:t>
      </w:r>
    </w:p>
    <w:p>
      <w:pPr>
        <w:pStyle w:val="0"/>
        <w:spacing w:before="240" w:lineRule="auto"/>
        <w:ind w:firstLine="540"/>
        <w:jc w:val="both"/>
      </w:pPr>
      <w:r>
        <w:rPr>
          <w:sz w:val="24"/>
        </w:rPr>
        <w:t xml:space="preserve">По показателю "Вознаграждение посредникам" </w:t>
      </w:r>
      <w:hyperlink w:history="0" w:anchor="P56651" w:tooltip="101">
        <w:r>
          <w:rPr>
            <w:sz w:val="24"/>
            <w:color w:val="0000ff"/>
          </w:rPr>
          <w:t xml:space="preserve">(строка 101)</w:t>
        </w:r>
      </w:hyperlink>
      <w:r>
        <w:rPr>
          <w:sz w:val="24"/>
        </w:rPr>
        <w:t xml:space="preserve"> указывается сумма вознаграждения посредникам за заключение в отчетном периоде договоров страхования и (или) оказание в отчетном периоде услуг, связанных с заключением договоров страхования, уплата или корректировка которого согласно условиям договоров с посредниками приходится на отчетный период.</w:t>
      </w:r>
    </w:p>
    <w:p>
      <w:pPr>
        <w:pStyle w:val="0"/>
        <w:spacing w:before="240" w:lineRule="auto"/>
        <w:ind w:firstLine="540"/>
        <w:jc w:val="both"/>
      </w:pPr>
      <w:r>
        <w:rPr>
          <w:sz w:val="24"/>
        </w:rPr>
        <w:t xml:space="preserve">Сведения о сумме страховых премий (взносов) приводятся в разбивке по аналитическим признакам группы аналитических признаков "Тип посредника". Отражение страховых премий по договорам страхования осуществляется в зависимости от места заключения договора страхования, а также от того, кто выступает в качестве посредника.</w:t>
      </w:r>
    </w:p>
    <w:p>
      <w:pPr>
        <w:pStyle w:val="0"/>
        <w:spacing w:before="240" w:lineRule="auto"/>
        <w:ind w:firstLine="540"/>
        <w:jc w:val="both"/>
      </w:pPr>
      <w:r>
        <w:rPr>
          <w:sz w:val="24"/>
        </w:rPr>
        <w:t xml:space="preserve">По аналитическому признаку "Договоры страхования, заключенные без участия посредников" группы аналитических признаков "Тип посредника" отражается сумма страховых премий (взносов) по договорам страхования, заключенным без участия посредников, - в структурных или обособленных подразделениях страховой организации. При этом по аналитическому признаку "Филиалы" группы аналитических признаков "Тип посредника" отражаются отдельно страховые премии по договорам страхования, заключенным в филиалах страховой организации.</w:t>
      </w:r>
    </w:p>
    <w:bookmarkStart w:id="57491" w:name="P57491"/>
    <w:bookmarkEnd w:id="57491"/>
    <w:p>
      <w:pPr>
        <w:pStyle w:val="0"/>
        <w:spacing w:before="240" w:lineRule="auto"/>
        <w:ind w:firstLine="540"/>
        <w:jc w:val="both"/>
      </w:pPr>
      <w:r>
        <w:rPr>
          <w:sz w:val="24"/>
        </w:rPr>
        <w:t xml:space="preserve">Среди посредников, действующих на основании гражданско-правовых договоров с отчитывающейся страховой организацией, отдельно выделяются страховые организации (аналитический признак "Страховые организации"), страховые брокеры (аналитический признак "Страховые брокеры"), кредитные организации (аналитический признак "Кредитные организации"), организации, осуществляющие деятельность по торговле транспортными средствами, а также их техническое обслуживание и ремонт (аналитический признак "Организации, осуществляющие деятельность по торговле транспортными средствами, а также их техническое обслуживание и ремонт"), туроператоры, турагенты (аналитический признак "Туроператоры, турагентства"), организации почтовой связи (аналитический признак "Объекты почтовой связи"), медицинские организации, а также приравненные к ним в соответствии с </w:t>
      </w:r>
      <w:hyperlink w:history="0" r:id="rId844"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пунктом 11 статьи 2</w:t>
        </w:r>
      </w:hyperlink>
      <w:r>
        <w:rPr>
          <w:sz w:val="24"/>
        </w:rPr>
        <w:t xml:space="preserve"> Федерального закона от 21 ноября 2011 года N 323-ФЗ "Об основах охраны здоровья граждан в Российской Федерации" индивидуальные предприниматели, осуществляющие медицинскую деятельность (аналитический признак "Медицинские организации"), лизинговые компании (аналитический признак "Лизинговые компании"), юридические лица, основным видом экономической деятельности которых является деятельность страховых агентов (аналитический признак "Юридические лица, основным видом экономической деятельности которых является деятельность страховых агентов").</w:t>
      </w:r>
    </w:p>
    <w:p>
      <w:pPr>
        <w:pStyle w:val="0"/>
        <w:spacing w:before="240" w:lineRule="auto"/>
        <w:ind w:firstLine="540"/>
        <w:jc w:val="both"/>
      </w:pPr>
      <w:r>
        <w:rPr>
          <w:sz w:val="24"/>
        </w:rPr>
        <w:t xml:space="preserve">По показателю "Страховые премии (взносы)" </w:t>
      </w:r>
      <w:hyperlink w:history="0" w:anchor="P56619" w:tooltip="100">
        <w:r>
          <w:rPr>
            <w:sz w:val="24"/>
            <w:color w:val="0000ff"/>
          </w:rPr>
          <w:t xml:space="preserve">(строка 100)</w:t>
        </w:r>
      </w:hyperlink>
      <w:r>
        <w:rPr>
          <w:sz w:val="24"/>
        </w:rPr>
        <w:t xml:space="preserve">, аналитическому признаку "Другие юридические лица" и показателю "Вознаграждение посредникам" </w:t>
      </w:r>
      <w:hyperlink w:history="0" w:anchor="P56651" w:tooltip="101">
        <w:r>
          <w:rPr>
            <w:sz w:val="24"/>
            <w:color w:val="0000ff"/>
          </w:rPr>
          <w:t xml:space="preserve">(строка 101)</w:t>
        </w:r>
      </w:hyperlink>
      <w:r>
        <w:rPr>
          <w:sz w:val="24"/>
        </w:rPr>
        <w:t xml:space="preserve">, аналитическому признаку "Другие юридические лица" отражаются соответственно сумма страховых премий (взносов) по договорам страхования, заключенным при участии посредников - других юридических лиц, не относящихся к указанным в </w:t>
      </w:r>
      <w:hyperlink w:history="0" w:anchor="P57491" w:tooltip="Среди посредников, действующих на основании гражданско-правовых договоров с отчитывающейся страховой организацией, отдельно выделяются страховые организации (аналитический признак &quot;Страховые организации&quot;), страховые брокеры (аналитический признак &quot;Страховые брокеры&quot;), кредитные организации (аналитический признак &quot;Кредитные организации&quot;), организации, осуществляющие деятельность по торговле транспортными средствами, а также их техническое обслуживание и ремонт (аналитический признак &quot;Организации, осуществ...">
        <w:r>
          <w:rPr>
            <w:sz w:val="24"/>
            <w:color w:val="0000ff"/>
          </w:rPr>
          <w:t xml:space="preserve">абзаце седьмом</w:t>
        </w:r>
      </w:hyperlink>
      <w:r>
        <w:rPr>
          <w:sz w:val="24"/>
        </w:rPr>
        <w:t xml:space="preserve"> настоящего пункта посредникам, и сумма вознаграждений посредникам - другим юридическим лицам, не относящимся к указанным в </w:t>
      </w:r>
      <w:hyperlink w:history="0" w:anchor="P57491" w:tooltip="Среди посредников, действующих на основании гражданско-правовых договоров с отчитывающейся страховой организацией, отдельно выделяются страховые организации (аналитический признак &quot;Страховые организации&quot;), страховые брокеры (аналитический признак &quot;Страховые брокеры&quot;), кредитные организации (аналитический признак &quot;Кредитные организации&quot;), организации, осуществляющие деятельность по торговле транспортными средствами, а также их техническое обслуживание и ремонт (аналитический признак &quot;Организации, осуществ...">
        <w:r>
          <w:rPr>
            <w:sz w:val="24"/>
            <w:color w:val="0000ff"/>
          </w:rPr>
          <w:t xml:space="preserve">абзаце седьмом</w:t>
        </w:r>
      </w:hyperlink>
      <w:r>
        <w:rPr>
          <w:sz w:val="24"/>
        </w:rPr>
        <w:t xml:space="preserve"> настоящего пункта посредникам.</w:t>
      </w:r>
    </w:p>
    <w:p>
      <w:pPr>
        <w:pStyle w:val="0"/>
        <w:spacing w:before="240" w:lineRule="auto"/>
        <w:ind w:firstLine="540"/>
        <w:jc w:val="both"/>
      </w:pPr>
      <w:r>
        <w:rPr>
          <w:sz w:val="24"/>
        </w:rPr>
        <w:t xml:space="preserve">Сведения о сумме страховых премий (взносов) по договорам страхования, заключенным при участии посредников - физических лиц (в том числе индивидуальных предпринимателей), являющихся страховыми агентами отчитывающейся страховой организации, отражаются по аналитическим признакам "Договоры страхования, заключенные без участия посредников", "Филиалы", "Страховые организации", "Страховые брокеры", "Кредитные организации", "Организации, осуществляющие деятельность по торговле транспортными средствами, а также их техническое обслуживание и ремонт", "Туроператоры, турагентства", "Объекты почтовой связи", "Медицинские организации", "Лизинговые компании", "Юридические лица, основным видом экономической деятельности которых является деятельность страховых агентов", "Другие юридические лица" группы аналитических признаков "Тип посредника" в случае, когда местом заключения договора страхования является место нахождения юридического лица либо его обособленного подразделения, относящегося к одному из указанных аналитических признаков группы аналитических признаков "Тип посредника". При этом сумма вознаграждения посредникам - физическим лицам (в том числе индивидуальным предпринимателям), являющимся страховыми агентами отчитывающейся страховой организации, отражается по показателю "Вознаграждение посредникам" </w:t>
      </w:r>
      <w:hyperlink w:history="0" w:anchor="P56651" w:tooltip="101">
        <w:r>
          <w:rPr>
            <w:sz w:val="24"/>
            <w:color w:val="0000ff"/>
          </w:rPr>
          <w:t xml:space="preserve">(строка 101)</w:t>
        </w:r>
      </w:hyperlink>
      <w:r>
        <w:rPr>
          <w:sz w:val="24"/>
        </w:rPr>
        <w:t xml:space="preserve">, аналитическому признаку "Физические лица (в том числе индивидуальные предприниматели)".</w:t>
      </w:r>
    </w:p>
    <w:p>
      <w:pPr>
        <w:pStyle w:val="0"/>
        <w:spacing w:before="240" w:lineRule="auto"/>
        <w:ind w:firstLine="540"/>
        <w:jc w:val="both"/>
      </w:pPr>
      <w:r>
        <w:rPr>
          <w:sz w:val="24"/>
        </w:rPr>
        <w:t xml:space="preserve">По показателю "Страховые премии (взносы)" </w:t>
      </w:r>
      <w:hyperlink w:history="0" w:anchor="P56619" w:tooltip="100">
        <w:r>
          <w:rPr>
            <w:sz w:val="24"/>
            <w:color w:val="0000ff"/>
          </w:rPr>
          <w:t xml:space="preserve">(строка 100)</w:t>
        </w:r>
      </w:hyperlink>
      <w:r>
        <w:rPr>
          <w:sz w:val="24"/>
        </w:rPr>
        <w:t xml:space="preserve">, аналитическому признаку "Физические лица (в том числе индивидуальные предприниматели)" отражается сумма страховых премий (взносов) по договорам страхования, заключенным при участии посредников - физических лиц (в том числе индивидуальных предпринимателей), являющихся страховыми агентами отчитывающейся страховой организации, не отраженных по указанным в </w:t>
      </w:r>
      <w:hyperlink w:history="0" w:anchor="P57491" w:tooltip="Среди посредников, действующих на основании гражданско-правовых договоров с отчитывающейся страховой организацией, отдельно выделяются страховые организации (аналитический признак &quot;Страховые организации&quot;), страховые брокеры (аналитический признак &quot;Страховые брокеры&quot;), кредитные организации (аналитический признак &quot;Кредитные организации&quot;), организации, осуществляющие деятельность по торговле транспортными средствами, а также их техническое обслуживание и ремонт (аналитический признак &quot;Организации, осуществ...">
        <w:r>
          <w:rPr>
            <w:sz w:val="24"/>
            <w:color w:val="0000ff"/>
          </w:rPr>
          <w:t xml:space="preserve">абзаце седьмом</w:t>
        </w:r>
      </w:hyperlink>
      <w:r>
        <w:rPr>
          <w:sz w:val="24"/>
        </w:rPr>
        <w:t xml:space="preserve"> настоящего пункта аналитическим признакам. При этом по показателю "Вознаграждение посредникам" </w:t>
      </w:r>
      <w:hyperlink w:history="0" w:anchor="P56651" w:tooltip="101">
        <w:r>
          <w:rPr>
            <w:sz w:val="24"/>
            <w:color w:val="0000ff"/>
          </w:rPr>
          <w:t xml:space="preserve">(строка 101)</w:t>
        </w:r>
      </w:hyperlink>
      <w:r>
        <w:rPr>
          <w:sz w:val="24"/>
        </w:rPr>
        <w:t xml:space="preserve">, аналитическому признаку "Посредников - физических лиц (в том числе индивидуальных предпринимателей)" обособленно отражается сумма вознаграждения по данным договорам.</w:t>
      </w:r>
    </w:p>
    <w:p>
      <w:pPr>
        <w:pStyle w:val="0"/>
        <w:spacing w:before="240" w:lineRule="auto"/>
        <w:ind w:firstLine="540"/>
        <w:jc w:val="both"/>
      </w:pPr>
      <w:r>
        <w:rPr>
          <w:sz w:val="24"/>
        </w:rPr>
        <w:t xml:space="preserve">Сведения о сумме страховых премий (взносов) по договорам страхования, заключенным при участии работников посредников - юридических лиц, являющихся страховыми агентами отчитывающейся страховой организации, отражаются по аналитическим признакам "Договоры страхования, заключенные без участия посредников", "Филиалы", "Страховые организации", "Страховые брокеры", "Кредитные организации", "Организации, осуществляющие деятельность по торговле транспортными средствами, а также их техническое обслуживание и ремонт", "Туроператоры, турагентства", "Объекты почтовой связи", "Медицинские организации", "Лизинговые компании", "Юридические лица, основным видом экономической деятельности которых является деятельность страховых агентов", "Другие юридические лица" группы аналитических признаков "Тип посредника" в случае, когда местом заключения договора страхования является место нахождения юридического лица либо его обособленного подразделения, относящегося к одному из указанных аналитических признаков группы аналитических признаков "Тип посредника".</w:t>
      </w:r>
    </w:p>
    <w:p>
      <w:pPr>
        <w:pStyle w:val="0"/>
        <w:spacing w:before="240" w:lineRule="auto"/>
        <w:ind w:firstLine="540"/>
        <w:jc w:val="both"/>
      </w:pPr>
      <w:r>
        <w:rPr>
          <w:sz w:val="24"/>
        </w:rPr>
        <w:t xml:space="preserve">19. По показателям </w:t>
      </w:r>
      <w:hyperlink w:history="0" w:anchor="P56683" w:tooltip="Подраздел 7.1.1.">
        <w:r>
          <w:rPr>
            <w:sz w:val="24"/>
            <w:color w:val="0000ff"/>
          </w:rPr>
          <w:t xml:space="preserve">подраздела 7.1.1 раздела 7</w:t>
        </w:r>
      </w:hyperlink>
      <w:r>
        <w:rPr>
          <w:sz w:val="24"/>
        </w:rPr>
        <w:t xml:space="preserve"> отчетности по форме 0420162, аналитическому признаку "Да" группы аналитических признаков "Заключение договора путем обмена информацией в электронной форме" отражаются сведения о договорах страхования, заключенных путем обмена информацией в электронной форме в соответствии со </w:t>
      </w:r>
      <w:hyperlink w:history="0" r:id="rId84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статьей 6.1</w:t>
        </w:r>
      </w:hyperlink>
      <w:r>
        <w:rPr>
          <w:sz w:val="24"/>
        </w:rPr>
        <w:t xml:space="preserve"> Закона Российской Федерации N 4015-I с использованием:</w:t>
      </w:r>
    </w:p>
    <w:p>
      <w:pPr>
        <w:pStyle w:val="0"/>
        <w:spacing w:before="240" w:lineRule="auto"/>
        <w:ind w:firstLine="540"/>
        <w:jc w:val="both"/>
      </w:pPr>
      <w:r>
        <w:rPr>
          <w:sz w:val="24"/>
        </w:rPr>
        <w:t xml:space="preserve">официального сайта отчитывающейся страховой организации сети "Интернет" и (или) ее мобильного приложения (данные указываются по аналитическому признаку "Договоры страхования, заключенные без участия посредников" группы аналитических признаков "Тип посредника");</w:t>
      </w:r>
    </w:p>
    <w:p>
      <w:pPr>
        <w:pStyle w:val="0"/>
        <w:spacing w:before="240" w:lineRule="auto"/>
        <w:ind w:firstLine="540"/>
        <w:jc w:val="both"/>
      </w:pPr>
      <w:r>
        <w:rPr>
          <w:sz w:val="24"/>
        </w:rPr>
        <w:t xml:space="preserve">официальных сайтов страховых агентов в сети "Интернет" и (или) их мобильных приложений (данные указываются по аналитическим признакам "Страховые организации", "Кредитные организации", "Организации, осуществляющие деятельность по торговле транспортными средствами, а также их техническое обслуживание и ремонт", "Туроператоры, турагентства", "Объекты почтовой связи", "Медицинские организации", "Лизинговые компании", "Юридические лица, основным видом экономической деятельности которых является деятельность страховых агентов", "Другие юридические лица", "Физические лица (в том числе индивидуальные предприниматели)" группы аналитических признаков "Тип посредника");</w:t>
      </w:r>
    </w:p>
    <w:p>
      <w:pPr>
        <w:pStyle w:val="0"/>
        <w:spacing w:before="240" w:lineRule="auto"/>
        <w:ind w:firstLine="540"/>
        <w:jc w:val="both"/>
      </w:pPr>
      <w:r>
        <w:rPr>
          <w:sz w:val="24"/>
        </w:rPr>
        <w:t xml:space="preserve">официальных сайтов страховых брокеров в сети "Интернет" и (или) их мобильных приложений (данные указываются по аналитическому признаку "Страховые брокеры" группы аналитических признаков "Тип посредника");</w:t>
      </w:r>
    </w:p>
    <w:p>
      <w:pPr>
        <w:pStyle w:val="0"/>
        <w:spacing w:before="240" w:lineRule="auto"/>
        <w:ind w:firstLine="540"/>
        <w:jc w:val="both"/>
      </w:pPr>
      <w:r>
        <w:rPr>
          <w:sz w:val="24"/>
        </w:rPr>
        <w:t xml:space="preserve">финансовой платформы (данные указываются по аналитическому признаку "Операторы финансовых платформ" группы аналитических признаков "Тип посредника").</w:t>
      </w:r>
    </w:p>
    <w:p>
      <w:pPr>
        <w:pStyle w:val="0"/>
        <w:spacing w:before="240" w:lineRule="auto"/>
        <w:ind w:firstLine="540"/>
        <w:jc w:val="both"/>
      </w:pPr>
      <w:r>
        <w:rPr>
          <w:sz w:val="24"/>
        </w:rPr>
        <w:t xml:space="preserve">По показателю "Страховые премии (взносы)" </w:t>
      </w:r>
      <w:hyperlink w:history="0" w:anchor="P56685" w:tooltip="102">
        <w:r>
          <w:rPr>
            <w:sz w:val="24"/>
            <w:color w:val="0000ff"/>
          </w:rPr>
          <w:t xml:space="preserve">(строка 102)</w:t>
        </w:r>
      </w:hyperlink>
      <w:r>
        <w:rPr>
          <w:sz w:val="24"/>
        </w:rPr>
        <w:t xml:space="preserve"> отражается сумма страховых премий по договорам страхования, уплата, корректировка (увеличение или уменьшение) или возврат которых согласно условиям соответствующих договоров страхования приходится на отчетный период, заключенным в отчетном периоде и предыдущих отчетных периодах с использованием официальных сайтов в сети "Интернет" и (или) мобильных приложений отчитывающейся страховой организации, страховых агентов, страховых брокеров, финансовых платформ.</w:t>
      </w:r>
    </w:p>
    <w:p>
      <w:pPr>
        <w:pStyle w:val="0"/>
        <w:spacing w:before="240" w:lineRule="auto"/>
        <w:ind w:firstLine="540"/>
        <w:jc w:val="both"/>
      </w:pPr>
      <w:r>
        <w:rPr>
          <w:sz w:val="24"/>
        </w:rPr>
        <w:t xml:space="preserve">По показателю "Количество заключенных договоров страхования" </w:t>
      </w:r>
      <w:hyperlink w:history="0" w:anchor="P56717" w:tooltip="103">
        <w:r>
          <w:rPr>
            <w:sz w:val="24"/>
            <w:color w:val="0000ff"/>
          </w:rPr>
          <w:t xml:space="preserve">(строка 103)</w:t>
        </w:r>
      </w:hyperlink>
      <w:r>
        <w:rPr>
          <w:sz w:val="24"/>
        </w:rPr>
        <w:t xml:space="preserve"> отражается количество договоров страхования, заключенных в отчетном периоде с использованием официальных сайтов в сети "Интернет" и (или) мобильных приложений отчитывающейся страховой организации, страховых агентов, страховых брокеров, финансовых платформ.</w:t>
      </w:r>
    </w:p>
    <w:p>
      <w:pPr>
        <w:pStyle w:val="0"/>
        <w:spacing w:before="240" w:lineRule="auto"/>
        <w:ind w:firstLine="540"/>
        <w:jc w:val="both"/>
      </w:pPr>
      <w:r>
        <w:rPr>
          <w:sz w:val="24"/>
        </w:rPr>
        <w:t xml:space="preserve">По показателю "Вознаграждение посредникам" </w:t>
      </w:r>
      <w:hyperlink w:history="0" w:anchor="P56749" w:tooltip="104">
        <w:r>
          <w:rPr>
            <w:sz w:val="24"/>
            <w:color w:val="0000ff"/>
          </w:rPr>
          <w:t xml:space="preserve">(строка 104)</w:t>
        </w:r>
      </w:hyperlink>
      <w:r>
        <w:rPr>
          <w:sz w:val="24"/>
        </w:rPr>
        <w:t xml:space="preserve"> отражается сумма вознаграждения страховым агентам, страховым брокерам, операторам финансовых платформ за заключение договоров страхования, уплата или корректировка которого согласно условиям договоров страхования приходится на отчетный период, количество которых указано по показателю "Количество заключенных договоров страхования" </w:t>
      </w:r>
      <w:hyperlink w:history="0" w:anchor="P56717" w:tooltip="103">
        <w:r>
          <w:rPr>
            <w:sz w:val="24"/>
            <w:color w:val="0000ff"/>
          </w:rPr>
          <w:t xml:space="preserve">(строка 103)</w:t>
        </w:r>
      </w:hyperlink>
      <w:r>
        <w:rPr>
          <w:sz w:val="24"/>
        </w:rPr>
        <w:t xml:space="preserve">, с использованием официальных сайтов в сети "Интернет" и (или) мобильных приложений страховых агентов, страховых брокеров и финансовых платформ соответственно.</w:t>
      </w:r>
    </w:p>
    <w:p>
      <w:pPr>
        <w:pStyle w:val="0"/>
        <w:spacing w:before="240" w:lineRule="auto"/>
        <w:ind w:firstLine="540"/>
        <w:jc w:val="both"/>
      </w:pPr>
      <w:r>
        <w:rPr>
          <w:sz w:val="24"/>
        </w:rPr>
        <w:t xml:space="preserve">20. По показателю "Количество договоров страхования, заключенных страховыми агентами" </w:t>
      </w:r>
      <w:hyperlink w:history="0" w:anchor="P56783" w:tooltip="105">
        <w:r>
          <w:rPr>
            <w:sz w:val="24"/>
            <w:color w:val="0000ff"/>
          </w:rPr>
          <w:t xml:space="preserve">(строка 105)</w:t>
        </w:r>
      </w:hyperlink>
      <w:r>
        <w:rPr>
          <w:sz w:val="24"/>
        </w:rPr>
        <w:t xml:space="preserve"> отражается количество заключенных в отчетном периоде страховыми агентами договоров страхования (из общего количества договоров страхования, указанного по показателю "Количество договоров страхования, заключенных в отчетном периоде" </w:t>
      </w:r>
      <w:hyperlink w:history="0" w:anchor="P54455" w:tooltip="3">
        <w:r>
          <w:rPr>
            <w:sz w:val="24"/>
            <w:color w:val="0000ff"/>
          </w:rPr>
          <w:t xml:space="preserve">(строка 3)</w:t>
        </w:r>
      </w:hyperlink>
      <w:r>
        <w:rPr>
          <w:sz w:val="24"/>
        </w:rPr>
        <w:t xml:space="preserve">.</w:t>
      </w:r>
    </w:p>
    <w:p>
      <w:pPr>
        <w:pStyle w:val="0"/>
        <w:spacing w:before="240" w:lineRule="auto"/>
        <w:ind w:firstLine="540"/>
        <w:jc w:val="both"/>
      </w:pPr>
      <w:r>
        <w:rPr>
          <w:sz w:val="24"/>
        </w:rPr>
        <w:t xml:space="preserve">По показателю "Вознаграждение страховым агентам за заключение договоров страхования" </w:t>
      </w:r>
      <w:hyperlink w:history="0" w:anchor="P56811" w:tooltip="106">
        <w:r>
          <w:rPr>
            <w:sz w:val="24"/>
            <w:color w:val="0000ff"/>
          </w:rPr>
          <w:t xml:space="preserve">(строка 106)</w:t>
        </w:r>
      </w:hyperlink>
      <w:r>
        <w:rPr>
          <w:sz w:val="24"/>
        </w:rPr>
        <w:t xml:space="preserve"> отражается сумма вознаграждения страховым агентам за заключение договоров страхования, количество которых указано по показателю "Количество договоров страхования, заключенных страховыми агентами" </w:t>
      </w:r>
      <w:hyperlink w:history="0" w:anchor="P56783" w:tooltip="105">
        <w:r>
          <w:rPr>
            <w:sz w:val="24"/>
            <w:color w:val="0000ff"/>
          </w:rPr>
          <w:t xml:space="preserve">(строка 105)</w:t>
        </w:r>
      </w:hyperlink>
      <w:r>
        <w:rPr>
          <w:sz w:val="24"/>
        </w:rPr>
        <w:t xml:space="preserve">, уплата или корректировка которого согласно условиям соответствующих договоров приходится на отчетный период.</w:t>
      </w:r>
    </w:p>
    <w:p>
      <w:pPr>
        <w:pStyle w:val="0"/>
        <w:spacing w:before="240" w:lineRule="auto"/>
        <w:ind w:firstLine="540"/>
        <w:jc w:val="both"/>
      </w:pPr>
      <w:r>
        <w:rPr>
          <w:sz w:val="24"/>
        </w:rPr>
        <w:t xml:space="preserve">Указанные данные приводятся в разбивке по страховым агентам - физическим лицам, из них индивидуальным предпринимателям, и юридическим лицам, в том числе страховым организациям и другим юридическим лицам (по аналитическим признакам группы аналитических признаков "Виды страховых агентов").</w:t>
      </w:r>
    </w:p>
    <w:p>
      <w:pPr>
        <w:pStyle w:val="0"/>
        <w:spacing w:before="240" w:lineRule="auto"/>
        <w:ind w:firstLine="540"/>
        <w:jc w:val="both"/>
      </w:pPr>
      <w:r>
        <w:rPr>
          <w:sz w:val="24"/>
        </w:rPr>
        <w:t xml:space="preserve">21. В </w:t>
      </w:r>
      <w:hyperlink w:history="0" w:anchor="P56839" w:tooltip="Подраздел 7.3.">
        <w:r>
          <w:rPr>
            <w:sz w:val="24"/>
            <w:color w:val="0000ff"/>
          </w:rPr>
          <w:t xml:space="preserve">подразделе 7.3 раздела 7</w:t>
        </w:r>
      </w:hyperlink>
      <w:r>
        <w:rPr>
          <w:sz w:val="24"/>
        </w:rPr>
        <w:t xml:space="preserve"> отчетности по форме 0420162 отражаются данные о количестве страховых агентов - физических и юридических лиц, действовавших от имени и по поручению страховой организации при заключении договоров страхования в отчетном периоде.</w:t>
      </w:r>
    </w:p>
    <w:p>
      <w:pPr>
        <w:pStyle w:val="0"/>
        <w:spacing w:before="240" w:lineRule="auto"/>
        <w:ind w:firstLine="540"/>
        <w:jc w:val="both"/>
      </w:pPr>
      <w:r>
        <w:rPr>
          <w:sz w:val="24"/>
        </w:rPr>
        <w:t xml:space="preserve">В случае если страховой агент не заключал в отчетном периоде договоры страхования, сведения о нем не включаются в </w:t>
      </w:r>
      <w:hyperlink w:history="0" w:anchor="P56839" w:tooltip="Подраздел 7.3.">
        <w:r>
          <w:rPr>
            <w:sz w:val="24"/>
            <w:color w:val="0000ff"/>
          </w:rPr>
          <w:t xml:space="preserve">подраздел 7.3 раздела 7</w:t>
        </w:r>
      </w:hyperlink>
      <w:r>
        <w:rPr>
          <w:sz w:val="24"/>
        </w:rPr>
        <w:t xml:space="preserve"> отчетности по форме 0420162.</w:t>
      </w:r>
    </w:p>
    <w:p>
      <w:pPr>
        <w:pStyle w:val="0"/>
        <w:spacing w:before="240" w:lineRule="auto"/>
        <w:ind w:firstLine="540"/>
        <w:jc w:val="both"/>
      </w:pPr>
      <w:r>
        <w:rPr>
          <w:sz w:val="24"/>
        </w:rPr>
        <w:t xml:space="preserve">По показателю "Количество или средняя численность страховых агентов" </w:t>
      </w:r>
      <w:hyperlink w:history="0" w:anchor="P56619" w:tooltip="100">
        <w:r>
          <w:rPr>
            <w:sz w:val="24"/>
            <w:color w:val="0000ff"/>
          </w:rPr>
          <w:t xml:space="preserve">(строка 100)</w:t>
        </w:r>
      </w:hyperlink>
      <w:r>
        <w:rPr>
          <w:sz w:val="24"/>
        </w:rPr>
        <w:t xml:space="preserve"> отражаются:</w:t>
      </w:r>
    </w:p>
    <w:p>
      <w:pPr>
        <w:pStyle w:val="0"/>
        <w:spacing w:before="240" w:lineRule="auto"/>
        <w:ind w:firstLine="540"/>
        <w:jc w:val="both"/>
      </w:pPr>
      <w:r>
        <w:rPr>
          <w:sz w:val="24"/>
        </w:rPr>
        <w:t xml:space="preserve">средняя численность страховых агентов - физических лиц (в том числе индивидуальных предпринимателей) - по аналитическому признаку "ФЛ - физическое лицо" группы аналитических признаков "Виды страховых агентов";</w:t>
      </w:r>
    </w:p>
    <w:p>
      <w:pPr>
        <w:pStyle w:val="0"/>
        <w:spacing w:before="240" w:lineRule="auto"/>
        <w:ind w:firstLine="540"/>
        <w:jc w:val="both"/>
      </w:pPr>
      <w:r>
        <w:rPr>
          <w:sz w:val="24"/>
        </w:rPr>
        <w:t xml:space="preserve">средняя численность страховых агентов - индивидуальных предпринимателей - по аналитическому признаку "ИП - индивидуальный предприниматель" группы аналитических признаков "Виды страховых агентов";</w:t>
      </w:r>
    </w:p>
    <w:p>
      <w:pPr>
        <w:pStyle w:val="0"/>
        <w:spacing w:before="240" w:lineRule="auto"/>
        <w:ind w:firstLine="540"/>
        <w:jc w:val="both"/>
      </w:pPr>
      <w:r>
        <w:rPr>
          <w:sz w:val="24"/>
        </w:rPr>
        <w:t xml:space="preserve">количество страховых агентов - юридических лиц, являющихся страховыми организациями, - по аналитическому признаку "Страховые организации" группы аналитических признаков "Виды страховых агентов";</w:t>
      </w:r>
    </w:p>
    <w:p>
      <w:pPr>
        <w:pStyle w:val="0"/>
        <w:spacing w:before="240" w:lineRule="auto"/>
        <w:ind w:firstLine="540"/>
        <w:jc w:val="both"/>
      </w:pPr>
      <w:r>
        <w:rPr>
          <w:sz w:val="24"/>
        </w:rPr>
        <w:t xml:space="preserve">количество страховых агентов - юридических лиц, не являющихся страховыми организациями, - по аналитическому признаку "Другие юридические лица" группы аналитических признаков "Виды страховых агентов".</w:t>
      </w:r>
    </w:p>
    <w:p>
      <w:pPr>
        <w:pStyle w:val="0"/>
        <w:spacing w:before="240" w:lineRule="auto"/>
        <w:ind w:firstLine="540"/>
        <w:jc w:val="both"/>
      </w:pPr>
      <w:r>
        <w:rPr>
          <w:sz w:val="24"/>
        </w:rPr>
        <w:t xml:space="preserve">22. По показателям </w:t>
      </w:r>
      <w:hyperlink w:history="0" w:anchor="P56851" w:tooltip="Подраздел 8.1.">
        <w:r>
          <w:rPr>
            <w:sz w:val="24"/>
            <w:color w:val="0000ff"/>
          </w:rPr>
          <w:t xml:space="preserve">подразделов 8.1</w:t>
        </w:r>
      </w:hyperlink>
      <w:r>
        <w:rPr>
          <w:sz w:val="24"/>
        </w:rPr>
        <w:t xml:space="preserve"> и </w:t>
      </w:r>
      <w:hyperlink w:history="0" w:anchor="P56925" w:tooltip="Подраздел 8.1.1.">
        <w:r>
          <w:rPr>
            <w:sz w:val="24"/>
            <w:color w:val="0000ff"/>
          </w:rPr>
          <w:t xml:space="preserve">8.1.1 раздела 8</w:t>
        </w:r>
      </w:hyperlink>
      <w:r>
        <w:rPr>
          <w:sz w:val="24"/>
        </w:rPr>
        <w:t xml:space="preserve"> отчетности по форме 0420162 отражается сумма страховых премий по договорам перестрахования, в которых страховщик выступает перестраховщиком (далее - договоры входящего перестрахования), уплата, корректировка (увеличение или уменьшение) или возврат которых согласно условиям договоров входящего перестрахования приходится на отчетный период, и сумма фактически осуществленных в отчетном периоде страховых выплат по договорам входящего перестрахования.</w:t>
      </w:r>
    </w:p>
    <w:p>
      <w:pPr>
        <w:pStyle w:val="0"/>
        <w:spacing w:before="240" w:lineRule="auto"/>
        <w:ind w:firstLine="540"/>
        <w:jc w:val="both"/>
      </w:pPr>
      <w:r>
        <w:rPr>
          <w:sz w:val="24"/>
        </w:rPr>
        <w:t xml:space="preserve">По показателям </w:t>
      </w:r>
      <w:hyperlink w:history="0" w:anchor="P56999" w:tooltip="Подраздел 8.2.">
        <w:r>
          <w:rPr>
            <w:sz w:val="24"/>
            <w:color w:val="0000ff"/>
          </w:rPr>
          <w:t xml:space="preserve">подразделов 8.2</w:t>
        </w:r>
      </w:hyperlink>
      <w:r>
        <w:rPr>
          <w:sz w:val="24"/>
        </w:rPr>
        <w:t xml:space="preserve"> и </w:t>
      </w:r>
      <w:hyperlink w:history="0" w:anchor="P57101" w:tooltip="Подраздел 8.2.1.">
        <w:r>
          <w:rPr>
            <w:sz w:val="24"/>
            <w:color w:val="0000ff"/>
          </w:rPr>
          <w:t xml:space="preserve">8.2.1 раздела 8</w:t>
        </w:r>
      </w:hyperlink>
      <w:r>
        <w:rPr>
          <w:sz w:val="24"/>
        </w:rPr>
        <w:t xml:space="preserve"> отчетности по форме 0420162 отражается сумма страховых премий по договорам исходящего перестрахования, уплата, корректировка (увеличение или уменьшение) или возврат которых согласно условиям договоров исходящего перестрахования приходится на отчетный период, и сумма фактически полученных или причитающихся к получению от перестраховщиков в отчетном периоде страховых выплат по договорам исходящего перестрахования, заключенным в отношении обязательств по фактически осуществленным страховщиком в отчетном периоде страховым выплатам по договорам страхования, договорам входящего перестрахования. По показателю "Страховые выплаты по договорам исходящего перестрахования" (</w:t>
      </w:r>
      <w:hyperlink w:history="0" w:anchor="P57065" w:tooltip="114">
        <w:r>
          <w:rPr>
            <w:sz w:val="24"/>
            <w:color w:val="0000ff"/>
          </w:rPr>
          <w:t xml:space="preserve">строки 114</w:t>
        </w:r>
      </w:hyperlink>
      <w:r>
        <w:rPr>
          <w:sz w:val="24"/>
        </w:rPr>
        <w:t xml:space="preserve">, </w:t>
      </w:r>
      <w:hyperlink w:history="0" w:anchor="P57171" w:tooltip="117">
        <w:r>
          <w:rPr>
            <w:sz w:val="24"/>
            <w:color w:val="0000ff"/>
          </w:rPr>
          <w:t xml:space="preserve">117</w:t>
        </w:r>
      </w:hyperlink>
      <w:r>
        <w:rPr>
          <w:sz w:val="24"/>
        </w:rPr>
        <w:t xml:space="preserve">) не указывается сумма фактически полученных от перестраховщиков в отчетном периоде страховых выплат по договорам исходящего перестрахования, отраженных страховщиком в предыдущем отчетном периоде как причитающиеся к получению от перестраховщиков страховые выплаты по договорам исходящего перестрахования.</w:t>
      </w:r>
    </w:p>
    <w:p>
      <w:pPr>
        <w:pStyle w:val="0"/>
        <w:spacing w:before="240" w:lineRule="auto"/>
        <w:ind w:firstLine="540"/>
        <w:jc w:val="both"/>
      </w:pPr>
      <w:r>
        <w:rPr>
          <w:sz w:val="24"/>
        </w:rPr>
        <w:t xml:space="preserve">По показателю "Передано в ретроцессию из страховых премий по договорам исходящего перестрахования" (</w:t>
      </w:r>
      <w:hyperlink w:history="0" w:anchor="P57037" w:tooltip="113">
        <w:r>
          <w:rPr>
            <w:sz w:val="24"/>
            <w:color w:val="0000ff"/>
          </w:rPr>
          <w:t xml:space="preserve">строки 113</w:t>
        </w:r>
      </w:hyperlink>
      <w:r>
        <w:rPr>
          <w:sz w:val="24"/>
        </w:rPr>
        <w:t xml:space="preserve">, </w:t>
      </w:r>
      <w:hyperlink w:history="0" w:anchor="P57139" w:tooltip="116">
        <w:r>
          <w:rPr>
            <w:sz w:val="24"/>
            <w:color w:val="0000ff"/>
          </w:rPr>
          <w:t xml:space="preserve">116</w:t>
        </w:r>
      </w:hyperlink>
      <w:r>
        <w:rPr>
          <w:sz w:val="24"/>
        </w:rPr>
        <w:t xml:space="preserve">) отражается сумма страховых премий по договорам ретроцессии, уплата, корректировка (увеличение или уменьшение) или возврат которых согласно условиям соответствующих договоров ретроцессии приходится на отчетный период.</w:t>
      </w:r>
    </w:p>
    <w:p>
      <w:pPr>
        <w:pStyle w:val="0"/>
        <w:spacing w:before="240" w:lineRule="auto"/>
        <w:ind w:firstLine="540"/>
        <w:jc w:val="both"/>
      </w:pPr>
      <w:r>
        <w:rPr>
          <w:sz w:val="24"/>
        </w:rPr>
        <w:t xml:space="preserve">По аналитическому признаку "На территории Российской Федерации" группы аналитических признаков "Территориальный признак" приводятся сведения по договорам входящего перестрахования и договорам исходящего перестрахования, которые заключены со страховыми организациями, имеющими лицензии на осуществление страховой деятельности на территории Российской Федерации.</w:t>
      </w:r>
    </w:p>
    <w:p>
      <w:pPr>
        <w:pStyle w:val="0"/>
        <w:spacing w:before="240" w:lineRule="auto"/>
        <w:ind w:firstLine="540"/>
        <w:jc w:val="both"/>
      </w:pPr>
      <w:r>
        <w:rPr>
          <w:sz w:val="24"/>
        </w:rPr>
        <w:t xml:space="preserve">По аналитическому признаку "За пределами территории Российской Федерации" группы аналитических признаков "Территориальный признак" приводятся сведения по договорам входящего перестрахования и договорам исходящего перестрахования, которые заключены со страховыми организациями иностранных государств, имеющими разрешения на проведение страховой деятельности, выданные уполномоченным органом, осуществляющим надзор за страховыми организациями на территории иностранного государства, а также с международными финансовыми организациями, осуществляющими деятельность в сфере перестрахования.</w:t>
      </w:r>
    </w:p>
    <w:p>
      <w:pPr>
        <w:pStyle w:val="0"/>
        <w:spacing w:before="240" w:lineRule="auto"/>
        <w:ind w:firstLine="540"/>
        <w:jc w:val="both"/>
      </w:pPr>
      <w:r>
        <w:rPr>
          <w:sz w:val="24"/>
        </w:rPr>
        <w:t xml:space="preserve">Сведения о договорах перестрахования в разрезе иностранных государств отражаются в зависимости от места нахождения иностранной страховой организации, принимающей (передающей) договоры в перестрахование (за исключением международной финансовой организации, осуществляющей деятельность в сфере перестрахования, для договоров перестрахования с которой указывается код 998).</w:t>
      </w:r>
    </w:p>
    <w:p>
      <w:pPr>
        <w:pStyle w:val="0"/>
        <w:spacing w:before="240" w:lineRule="auto"/>
        <w:ind w:firstLine="540"/>
        <w:jc w:val="both"/>
      </w:pPr>
      <w:r>
        <w:rPr>
          <w:sz w:val="24"/>
        </w:rPr>
        <w:t xml:space="preserve">Значения показателей </w:t>
      </w:r>
      <w:hyperlink w:history="0" w:anchor="P56925" w:tooltip="Подраздел 8.1.1.">
        <w:r>
          <w:rPr>
            <w:sz w:val="24"/>
            <w:color w:val="0000ff"/>
          </w:rPr>
          <w:t xml:space="preserve">подразделов 8.1.1</w:t>
        </w:r>
      </w:hyperlink>
      <w:r>
        <w:rPr>
          <w:sz w:val="24"/>
        </w:rPr>
        <w:t xml:space="preserve"> и </w:t>
      </w:r>
      <w:hyperlink w:history="0" w:anchor="P57101" w:tooltip="Подраздел 8.2.1.">
        <w:r>
          <w:rPr>
            <w:sz w:val="24"/>
            <w:color w:val="0000ff"/>
          </w:rPr>
          <w:t xml:space="preserve">8.2.1 раздела 8</w:t>
        </w:r>
      </w:hyperlink>
      <w:r>
        <w:rPr>
          <w:sz w:val="24"/>
        </w:rPr>
        <w:t xml:space="preserve"> отчетности по форме 0420162 (суммарно по всем иностранным государствам) по аналитическим признакам группы аналитических признаков "Формы перестрахования" (</w:t>
      </w:r>
      <w:hyperlink w:history="0" w:anchor="P59197" w:tooltip="7">
        <w:r>
          <w:rPr>
            <w:sz w:val="24"/>
            <w:color w:val="0000ff"/>
          </w:rPr>
          <w:t xml:space="preserve">строка 7 подраздела 1.8 раздела 1 части II</w:t>
        </w:r>
      </w:hyperlink>
      <w:r>
        <w:rPr>
          <w:sz w:val="24"/>
        </w:rPr>
        <w:t xml:space="preserve"> настоящего приложения) соответствуют значениям показателей соответственно </w:t>
      </w:r>
      <w:hyperlink w:history="0" w:anchor="P56851" w:tooltip="Подраздел 8.1.">
        <w:r>
          <w:rPr>
            <w:sz w:val="24"/>
            <w:color w:val="0000ff"/>
          </w:rPr>
          <w:t xml:space="preserve">подразделов 8.1</w:t>
        </w:r>
      </w:hyperlink>
      <w:r>
        <w:rPr>
          <w:sz w:val="24"/>
        </w:rPr>
        <w:t xml:space="preserve"> и </w:t>
      </w:r>
      <w:hyperlink w:history="0" w:anchor="P56999" w:tooltip="Подраздел 8.2.">
        <w:r>
          <w:rPr>
            <w:sz w:val="24"/>
            <w:color w:val="0000ff"/>
          </w:rPr>
          <w:t xml:space="preserve">8.2 раздела 8</w:t>
        </w:r>
      </w:hyperlink>
      <w:r>
        <w:rPr>
          <w:sz w:val="24"/>
        </w:rPr>
        <w:t xml:space="preserve"> отчетности по форме 0420162 следующим образом:</w:t>
      </w:r>
    </w:p>
    <w:p>
      <w:pPr>
        <w:pStyle w:val="0"/>
        <w:spacing w:before="240" w:lineRule="auto"/>
        <w:ind w:firstLine="540"/>
        <w:jc w:val="both"/>
      </w:pPr>
      <w:r>
        <w:rPr>
          <w:sz w:val="24"/>
        </w:rPr>
        <w:t xml:space="preserve">в части соответствия значений показателей </w:t>
      </w:r>
      <w:hyperlink w:history="0" w:anchor="P56925" w:tooltip="Подраздел 8.1.1.">
        <w:r>
          <w:rPr>
            <w:sz w:val="24"/>
            <w:color w:val="0000ff"/>
          </w:rPr>
          <w:t xml:space="preserve">подразделов 8.1.1</w:t>
        </w:r>
      </w:hyperlink>
      <w:r>
        <w:rPr>
          <w:sz w:val="24"/>
        </w:rPr>
        <w:t xml:space="preserve"> и </w:t>
      </w:r>
      <w:hyperlink w:history="0" w:anchor="P56851" w:tooltip="Подраздел 8.1.">
        <w:r>
          <w:rPr>
            <w:sz w:val="24"/>
            <w:color w:val="0000ff"/>
          </w:rPr>
          <w:t xml:space="preserve">8.1 раздела 8</w:t>
        </w:r>
      </w:hyperlink>
      <w:r>
        <w:rPr>
          <w:sz w:val="24"/>
        </w:rPr>
        <w:t xml:space="preserve"> отчетности по форме 0420162 - данные по </w:t>
      </w:r>
      <w:hyperlink w:history="0" w:anchor="P59201" w:tooltip="7.1">
        <w:r>
          <w:rPr>
            <w:sz w:val="24"/>
            <w:color w:val="0000ff"/>
          </w:rPr>
          <w:t xml:space="preserve">строке 7.1</w:t>
        </w:r>
      </w:hyperlink>
      <w:r>
        <w:rPr>
          <w:sz w:val="24"/>
        </w:rPr>
        <w:t xml:space="preserve"> должны быть равны сумме данных по </w:t>
      </w:r>
      <w:hyperlink w:history="0" w:anchor="P59205" w:tooltip="7.1.1">
        <w:r>
          <w:rPr>
            <w:sz w:val="24"/>
            <w:color w:val="0000ff"/>
          </w:rPr>
          <w:t xml:space="preserve">строкам 7.1.1</w:t>
        </w:r>
      </w:hyperlink>
      <w:r>
        <w:rPr>
          <w:sz w:val="24"/>
        </w:rPr>
        <w:t xml:space="preserve"> и </w:t>
      </w:r>
      <w:hyperlink w:history="0" w:anchor="P59209" w:tooltip="7.1.2">
        <w:r>
          <w:rPr>
            <w:sz w:val="24"/>
            <w:color w:val="0000ff"/>
          </w:rPr>
          <w:t xml:space="preserve">7.1.2</w:t>
        </w:r>
      </w:hyperlink>
      <w:r>
        <w:rPr>
          <w:sz w:val="24"/>
        </w:rPr>
        <w:t xml:space="preserve">, данные по </w:t>
      </w:r>
      <w:hyperlink w:history="0" w:anchor="P59213" w:tooltip="7.2">
        <w:r>
          <w:rPr>
            <w:sz w:val="24"/>
            <w:color w:val="0000ff"/>
          </w:rPr>
          <w:t xml:space="preserve">строке 7.2</w:t>
        </w:r>
      </w:hyperlink>
      <w:r>
        <w:rPr>
          <w:sz w:val="24"/>
        </w:rPr>
        <w:t xml:space="preserve"> должны быть равны сумме данных по </w:t>
      </w:r>
      <w:hyperlink w:history="0" w:anchor="P59217" w:tooltip="7.2.1">
        <w:r>
          <w:rPr>
            <w:sz w:val="24"/>
            <w:color w:val="0000ff"/>
          </w:rPr>
          <w:t xml:space="preserve">строкам 7.2.1</w:t>
        </w:r>
      </w:hyperlink>
      <w:r>
        <w:rPr>
          <w:sz w:val="24"/>
        </w:rPr>
        <w:t xml:space="preserve"> и </w:t>
      </w:r>
      <w:hyperlink w:history="0" w:anchor="P59221" w:tooltip="7.2.2">
        <w:r>
          <w:rPr>
            <w:sz w:val="24"/>
            <w:color w:val="0000ff"/>
          </w:rPr>
          <w:t xml:space="preserve">7.2.2</w:t>
        </w:r>
      </w:hyperlink>
      <w:r>
        <w:rPr>
          <w:sz w:val="24"/>
        </w:rPr>
        <w:t xml:space="preserve">, данные по </w:t>
      </w:r>
      <w:hyperlink w:history="0" w:anchor="P59225" w:tooltip="7.3">
        <w:r>
          <w:rPr>
            <w:sz w:val="24"/>
            <w:color w:val="0000ff"/>
          </w:rPr>
          <w:t xml:space="preserve">строке 7.3</w:t>
        </w:r>
      </w:hyperlink>
      <w:r>
        <w:rPr>
          <w:sz w:val="24"/>
        </w:rPr>
        <w:t xml:space="preserve"> должны быть равны сумме данных по </w:t>
      </w:r>
      <w:hyperlink w:history="0" w:anchor="P59229" w:tooltip="7.3.1">
        <w:r>
          <w:rPr>
            <w:sz w:val="24"/>
            <w:color w:val="0000ff"/>
          </w:rPr>
          <w:t xml:space="preserve">строкам 7.3.1</w:t>
        </w:r>
      </w:hyperlink>
      <w:r>
        <w:rPr>
          <w:sz w:val="24"/>
        </w:rPr>
        <w:t xml:space="preserve"> и </w:t>
      </w:r>
      <w:hyperlink w:history="0" w:anchor="P59233" w:tooltip="7.3.2">
        <w:r>
          <w:rPr>
            <w:sz w:val="24"/>
            <w:color w:val="0000ff"/>
          </w:rPr>
          <w:t xml:space="preserve">7.3.2</w:t>
        </w:r>
      </w:hyperlink>
      <w:r>
        <w:rPr>
          <w:sz w:val="24"/>
        </w:rPr>
        <w:t xml:space="preserve">, данные по </w:t>
      </w:r>
      <w:hyperlink w:history="0" w:anchor="P59237" w:tooltip="7.4">
        <w:r>
          <w:rPr>
            <w:sz w:val="24"/>
            <w:color w:val="0000ff"/>
          </w:rPr>
          <w:t xml:space="preserve">строке 7.4</w:t>
        </w:r>
      </w:hyperlink>
      <w:r>
        <w:rPr>
          <w:sz w:val="24"/>
        </w:rPr>
        <w:t xml:space="preserve"> должны быть равны сумме данных по </w:t>
      </w:r>
      <w:hyperlink w:history="0" w:anchor="P59241" w:tooltip="7.4.1">
        <w:r>
          <w:rPr>
            <w:sz w:val="24"/>
            <w:color w:val="0000ff"/>
          </w:rPr>
          <w:t xml:space="preserve">строкам 7.4.1</w:t>
        </w:r>
      </w:hyperlink>
      <w:r>
        <w:rPr>
          <w:sz w:val="24"/>
        </w:rPr>
        <w:t xml:space="preserve"> и </w:t>
      </w:r>
      <w:hyperlink w:history="0" w:anchor="P59245" w:tooltip="7.4.2">
        <w:r>
          <w:rPr>
            <w:sz w:val="24"/>
            <w:color w:val="0000ff"/>
          </w:rPr>
          <w:t xml:space="preserve">7.4.2</w:t>
        </w:r>
      </w:hyperlink>
      <w:r>
        <w:rPr>
          <w:sz w:val="24"/>
        </w:rPr>
        <w:t xml:space="preserve">;</w:t>
      </w:r>
    </w:p>
    <w:p>
      <w:pPr>
        <w:pStyle w:val="0"/>
        <w:spacing w:before="240" w:lineRule="auto"/>
        <w:ind w:firstLine="540"/>
        <w:jc w:val="both"/>
      </w:pPr>
      <w:r>
        <w:rPr>
          <w:sz w:val="24"/>
        </w:rPr>
        <w:t xml:space="preserve">в части соответствия значений показателей </w:t>
      </w:r>
      <w:hyperlink w:history="0" w:anchor="P57101" w:tooltip="Подраздел 8.2.1.">
        <w:r>
          <w:rPr>
            <w:sz w:val="24"/>
            <w:color w:val="0000ff"/>
          </w:rPr>
          <w:t xml:space="preserve">подразделов 8.2.1</w:t>
        </w:r>
      </w:hyperlink>
      <w:r>
        <w:rPr>
          <w:sz w:val="24"/>
        </w:rPr>
        <w:t xml:space="preserve"> и </w:t>
      </w:r>
      <w:hyperlink w:history="0" w:anchor="P56999" w:tooltip="Подраздел 8.2.">
        <w:r>
          <w:rPr>
            <w:sz w:val="24"/>
            <w:color w:val="0000ff"/>
          </w:rPr>
          <w:t xml:space="preserve">8.2 раздела 8</w:t>
        </w:r>
      </w:hyperlink>
      <w:r>
        <w:rPr>
          <w:sz w:val="24"/>
        </w:rPr>
        <w:t xml:space="preserve"> отчетности по форме 0420162 - данные по </w:t>
      </w:r>
      <w:hyperlink w:history="0" w:anchor="P59201" w:tooltip="7.1">
        <w:r>
          <w:rPr>
            <w:sz w:val="24"/>
            <w:color w:val="0000ff"/>
          </w:rPr>
          <w:t xml:space="preserve">строке 7.1</w:t>
        </w:r>
      </w:hyperlink>
      <w:r>
        <w:rPr>
          <w:sz w:val="24"/>
        </w:rPr>
        <w:t xml:space="preserve"> должны быть равны сумме данных по </w:t>
      </w:r>
      <w:hyperlink w:history="0" w:anchor="P59205" w:tooltip="7.1.1">
        <w:r>
          <w:rPr>
            <w:sz w:val="24"/>
            <w:color w:val="0000ff"/>
          </w:rPr>
          <w:t xml:space="preserve">строкам 7.1.1</w:t>
        </w:r>
      </w:hyperlink>
      <w:r>
        <w:rPr>
          <w:sz w:val="24"/>
        </w:rPr>
        <w:t xml:space="preserve"> и </w:t>
      </w:r>
      <w:hyperlink w:history="0" w:anchor="P59209" w:tooltip="7.1.2">
        <w:r>
          <w:rPr>
            <w:sz w:val="24"/>
            <w:color w:val="0000ff"/>
          </w:rPr>
          <w:t xml:space="preserve">7.1.2</w:t>
        </w:r>
      </w:hyperlink>
      <w:r>
        <w:rPr>
          <w:sz w:val="24"/>
        </w:rPr>
        <w:t xml:space="preserve">, данные по </w:t>
      </w:r>
      <w:hyperlink w:history="0" w:anchor="P59213" w:tooltip="7.2">
        <w:r>
          <w:rPr>
            <w:sz w:val="24"/>
            <w:color w:val="0000ff"/>
          </w:rPr>
          <w:t xml:space="preserve">строке 7.2</w:t>
        </w:r>
      </w:hyperlink>
      <w:r>
        <w:rPr>
          <w:sz w:val="24"/>
        </w:rPr>
        <w:t xml:space="preserve"> должны быть равны сумме данных по </w:t>
      </w:r>
      <w:hyperlink w:history="0" w:anchor="P59217" w:tooltip="7.2.1">
        <w:r>
          <w:rPr>
            <w:sz w:val="24"/>
            <w:color w:val="0000ff"/>
          </w:rPr>
          <w:t xml:space="preserve">строкам 7.2.1</w:t>
        </w:r>
      </w:hyperlink>
      <w:r>
        <w:rPr>
          <w:sz w:val="24"/>
        </w:rPr>
        <w:t xml:space="preserve"> и </w:t>
      </w:r>
      <w:hyperlink w:history="0" w:anchor="P59221" w:tooltip="7.2.2">
        <w:r>
          <w:rPr>
            <w:sz w:val="24"/>
            <w:color w:val="0000ff"/>
          </w:rPr>
          <w:t xml:space="preserve">7.2.2</w:t>
        </w:r>
      </w:hyperlink>
      <w:r>
        <w:rPr>
          <w:sz w:val="24"/>
        </w:rPr>
        <w:t xml:space="preserve">, данные по </w:t>
      </w:r>
      <w:hyperlink w:history="0" w:anchor="P59225" w:tooltip="7.3">
        <w:r>
          <w:rPr>
            <w:sz w:val="24"/>
            <w:color w:val="0000ff"/>
          </w:rPr>
          <w:t xml:space="preserve">строке 7.3</w:t>
        </w:r>
      </w:hyperlink>
      <w:r>
        <w:rPr>
          <w:sz w:val="24"/>
        </w:rPr>
        <w:t xml:space="preserve"> должны быть равны сумме данных по </w:t>
      </w:r>
      <w:hyperlink w:history="0" w:anchor="P59229" w:tooltip="7.3.1">
        <w:r>
          <w:rPr>
            <w:sz w:val="24"/>
            <w:color w:val="0000ff"/>
          </w:rPr>
          <w:t xml:space="preserve">строкам 7.3.1</w:t>
        </w:r>
      </w:hyperlink>
      <w:r>
        <w:rPr>
          <w:sz w:val="24"/>
        </w:rPr>
        <w:t xml:space="preserve"> и </w:t>
      </w:r>
      <w:hyperlink w:history="0" w:anchor="P59233" w:tooltip="7.3.2">
        <w:r>
          <w:rPr>
            <w:sz w:val="24"/>
            <w:color w:val="0000ff"/>
          </w:rPr>
          <w:t xml:space="preserve">7.3.2</w:t>
        </w:r>
      </w:hyperlink>
      <w:r>
        <w:rPr>
          <w:sz w:val="24"/>
        </w:rPr>
        <w:t xml:space="preserve">, данные по </w:t>
      </w:r>
      <w:hyperlink w:history="0" w:anchor="P59237" w:tooltip="7.4">
        <w:r>
          <w:rPr>
            <w:sz w:val="24"/>
            <w:color w:val="0000ff"/>
          </w:rPr>
          <w:t xml:space="preserve">строке 7.4</w:t>
        </w:r>
      </w:hyperlink>
      <w:r>
        <w:rPr>
          <w:sz w:val="24"/>
        </w:rPr>
        <w:t xml:space="preserve"> должны быть равны сумме данных по </w:t>
      </w:r>
      <w:hyperlink w:history="0" w:anchor="P59241" w:tooltip="7.4.1">
        <w:r>
          <w:rPr>
            <w:sz w:val="24"/>
            <w:color w:val="0000ff"/>
          </w:rPr>
          <w:t xml:space="preserve">строкам 7.4.1</w:t>
        </w:r>
      </w:hyperlink>
      <w:r>
        <w:rPr>
          <w:sz w:val="24"/>
        </w:rPr>
        <w:t xml:space="preserve"> и </w:t>
      </w:r>
      <w:hyperlink w:history="0" w:anchor="P59245" w:tooltip="7.4.2">
        <w:r>
          <w:rPr>
            <w:sz w:val="24"/>
            <w:color w:val="0000ff"/>
          </w:rPr>
          <w:t xml:space="preserve">7.4.2</w:t>
        </w:r>
      </w:hyperlink>
      <w:r>
        <w:rPr>
          <w:sz w:val="24"/>
        </w:rPr>
        <w:t xml:space="preserve">.</w:t>
      </w:r>
    </w:p>
    <w:p>
      <w:pPr>
        <w:pStyle w:val="0"/>
        <w:spacing w:before="240" w:lineRule="auto"/>
        <w:ind w:firstLine="540"/>
        <w:jc w:val="both"/>
      </w:pPr>
      <w:r>
        <w:rPr>
          <w:sz w:val="24"/>
        </w:rPr>
        <w:t xml:space="preserve">23. По показателям </w:t>
      </w:r>
      <w:hyperlink w:history="0" w:anchor="P57207" w:tooltip="Раздел 9.">
        <w:r>
          <w:rPr>
            <w:sz w:val="24"/>
            <w:color w:val="0000ff"/>
          </w:rPr>
          <w:t xml:space="preserve">раздела 9</w:t>
        </w:r>
      </w:hyperlink>
      <w:r>
        <w:rPr>
          <w:sz w:val="24"/>
        </w:rPr>
        <w:t xml:space="preserve"> отчетности по форме 0420162 отражаются сведения о числе членов общества взаимного страхования (по аналитическим признакам "ФЛ - физическое лицо" и "ЮЛ - юридическое лицо" группы аналитических признаков "Состав членов общества взаимного страхования").</w:t>
      </w:r>
    </w:p>
    <w:p>
      <w:pPr>
        <w:pStyle w:val="0"/>
        <w:spacing w:before="240" w:lineRule="auto"/>
        <w:ind w:firstLine="540"/>
        <w:jc w:val="both"/>
      </w:pPr>
      <w:r>
        <w:rPr>
          <w:sz w:val="24"/>
        </w:rPr>
        <w:t xml:space="preserve">23.1. По показателю "Число членов общества взаимного страхования" </w:t>
      </w:r>
      <w:hyperlink w:history="0" w:anchor="P57209" w:tooltip="118">
        <w:r>
          <w:rPr>
            <w:sz w:val="24"/>
            <w:color w:val="0000ff"/>
          </w:rPr>
          <w:t xml:space="preserve">(строка 118)</w:t>
        </w:r>
      </w:hyperlink>
      <w:r>
        <w:rPr>
          <w:sz w:val="24"/>
        </w:rPr>
        <w:t xml:space="preserve"> указывается число членов общества взаимного страхования на начало и конец отчетного периода в соответствии со списком членов общества взаимного страхования.</w:t>
      </w:r>
    </w:p>
    <w:p>
      <w:pPr>
        <w:pStyle w:val="0"/>
        <w:spacing w:before="240" w:lineRule="auto"/>
        <w:ind w:firstLine="540"/>
        <w:jc w:val="both"/>
      </w:pPr>
      <w:r>
        <w:rPr>
          <w:sz w:val="24"/>
        </w:rPr>
        <w:t xml:space="preserve">Значение показателя "Число членов общества взаимного страхования" </w:t>
      </w:r>
      <w:hyperlink w:history="0" w:anchor="P57209" w:tooltip="118">
        <w:r>
          <w:rPr>
            <w:sz w:val="24"/>
            <w:color w:val="0000ff"/>
          </w:rPr>
          <w:t xml:space="preserve">(строка 118)</w:t>
        </w:r>
      </w:hyperlink>
      <w:r>
        <w:rPr>
          <w:sz w:val="24"/>
        </w:rPr>
        <w:t xml:space="preserve"> на начало отчетного периода отчетности по форме 0420162, составленной за отчетный период, должно соответствовать значению показателя "Число членов общества взаимного страхования" </w:t>
      </w:r>
      <w:hyperlink w:history="0" w:anchor="P57209" w:tooltip="118">
        <w:r>
          <w:rPr>
            <w:sz w:val="24"/>
            <w:color w:val="0000ff"/>
          </w:rPr>
          <w:t xml:space="preserve">(строка 118)</w:t>
        </w:r>
      </w:hyperlink>
      <w:r>
        <w:rPr>
          <w:sz w:val="24"/>
        </w:rPr>
        <w:t xml:space="preserve"> на конец отчетного периода отчетности по форме 0420162, составленной за предыдущий год.</w:t>
      </w:r>
    </w:p>
    <w:p>
      <w:pPr>
        <w:pStyle w:val="0"/>
        <w:spacing w:before="240" w:lineRule="auto"/>
        <w:ind w:firstLine="540"/>
        <w:jc w:val="both"/>
      </w:pPr>
      <w:r>
        <w:rPr>
          <w:sz w:val="24"/>
        </w:rPr>
        <w:t xml:space="preserve">Общества взаимного страхования, получившие лицензию на осуществление взаимного страхования в отчетном периоде, не формируют данные о числе своих членов на начало отчетного периода.</w:t>
      </w:r>
    </w:p>
    <w:p>
      <w:pPr>
        <w:pStyle w:val="0"/>
        <w:spacing w:before="240" w:lineRule="auto"/>
        <w:ind w:firstLine="540"/>
        <w:jc w:val="both"/>
      </w:pPr>
      <w:r>
        <w:rPr>
          <w:sz w:val="24"/>
        </w:rPr>
        <w:t xml:space="preserve">Значение показателя "Число членов общества взаимного страхования" </w:t>
      </w:r>
      <w:hyperlink w:history="0" w:anchor="P57209" w:tooltip="118">
        <w:r>
          <w:rPr>
            <w:sz w:val="24"/>
            <w:color w:val="0000ff"/>
          </w:rPr>
          <w:t xml:space="preserve">(строка 118)</w:t>
        </w:r>
      </w:hyperlink>
      <w:r>
        <w:rPr>
          <w:sz w:val="24"/>
        </w:rPr>
        <w:t xml:space="preserve"> на конец отчетного периода определяется путем суммирования значений показателей "Число членов общества взаимного страхования" </w:t>
      </w:r>
      <w:hyperlink w:history="0" w:anchor="P57209" w:tooltip="118">
        <w:r>
          <w:rPr>
            <w:sz w:val="24"/>
            <w:color w:val="0000ff"/>
          </w:rPr>
          <w:t xml:space="preserve">(строка 118)</w:t>
        </w:r>
      </w:hyperlink>
      <w:r>
        <w:rPr>
          <w:sz w:val="24"/>
        </w:rPr>
        <w:t xml:space="preserve"> на начало отчетного периода и "Число членов, вступивших в общество взаимного страхования" </w:t>
      </w:r>
      <w:hyperlink w:history="0" w:anchor="P57217" w:tooltip="119">
        <w:r>
          <w:rPr>
            <w:sz w:val="24"/>
            <w:color w:val="0000ff"/>
          </w:rPr>
          <w:t xml:space="preserve">(строка 119)</w:t>
        </w:r>
      </w:hyperlink>
      <w:r>
        <w:rPr>
          <w:sz w:val="24"/>
        </w:rPr>
        <w:t xml:space="preserve"> за вычетом значения показателя "Число членов общества взаимного страхования, прекративших членство в обществе взаимного страхования" </w:t>
      </w:r>
      <w:hyperlink w:history="0" w:anchor="P57225" w:tooltip="120">
        <w:r>
          <w:rPr>
            <w:sz w:val="24"/>
            <w:color w:val="0000ff"/>
          </w:rPr>
          <w:t xml:space="preserve">(строка 120)</w:t>
        </w:r>
      </w:hyperlink>
      <w:r>
        <w:rPr>
          <w:sz w:val="24"/>
        </w:rPr>
        <w:t xml:space="preserve">.</w:t>
      </w:r>
    </w:p>
    <w:p>
      <w:pPr>
        <w:pStyle w:val="0"/>
        <w:spacing w:before="240" w:lineRule="auto"/>
        <w:ind w:firstLine="540"/>
        <w:jc w:val="both"/>
      </w:pPr>
      <w:r>
        <w:rPr>
          <w:sz w:val="24"/>
        </w:rPr>
        <w:t xml:space="preserve">23.2. По показателю "Число членов, вступивших в общество взаимного страхования" </w:t>
      </w:r>
      <w:hyperlink w:history="0" w:anchor="P57217" w:tooltip="119">
        <w:r>
          <w:rPr>
            <w:sz w:val="24"/>
            <w:color w:val="0000ff"/>
          </w:rPr>
          <w:t xml:space="preserve">(строка 119)</w:t>
        </w:r>
      </w:hyperlink>
      <w:r>
        <w:rPr>
          <w:sz w:val="24"/>
        </w:rPr>
        <w:t xml:space="preserve"> указывается число членов, вступивших в отчетном периоде в общество взаимного страхования. Данные отражаются нарастающим итогом.</w:t>
      </w:r>
    </w:p>
    <w:p>
      <w:pPr>
        <w:pStyle w:val="0"/>
        <w:spacing w:before="240" w:lineRule="auto"/>
        <w:ind w:firstLine="540"/>
        <w:jc w:val="both"/>
      </w:pPr>
      <w:r>
        <w:rPr>
          <w:sz w:val="24"/>
        </w:rPr>
        <w:t xml:space="preserve">23.3. По показателю "Число членов общества взаимного страхования, прекративших членство в обществе взаимного страхования" </w:t>
      </w:r>
      <w:hyperlink w:history="0" w:anchor="P57225" w:tooltip="120">
        <w:r>
          <w:rPr>
            <w:sz w:val="24"/>
            <w:color w:val="0000ff"/>
          </w:rPr>
          <w:t xml:space="preserve">(строка 120)</w:t>
        </w:r>
      </w:hyperlink>
      <w:r>
        <w:rPr>
          <w:sz w:val="24"/>
        </w:rPr>
        <w:t xml:space="preserve"> указывается число членов общества взаимного страхования, прекративших в отчетном периоде членство в обществе взаимного страхования, в том числе в следующих случаях:</w:t>
      </w:r>
    </w:p>
    <w:p>
      <w:pPr>
        <w:pStyle w:val="0"/>
        <w:spacing w:before="240" w:lineRule="auto"/>
        <w:ind w:firstLine="540"/>
        <w:jc w:val="both"/>
      </w:pPr>
      <w:r>
        <w:rPr>
          <w:sz w:val="24"/>
        </w:rPr>
        <w:t xml:space="preserve">добровольного выхода члена общества взаимного страхования из общества взаимного страхования, в том числе в случае прекращения договора страхования с учетом положений </w:t>
      </w:r>
      <w:hyperlink w:history="0" r:id="rId846" w:tooltip="Федеральный закон от 29.11.2007 N 286-ФЗ (ред. от 08.08.2024) &quot;О взаимном страховании&quot; {КонсультантПлюс}">
        <w:r>
          <w:rPr>
            <w:sz w:val="24"/>
            <w:color w:val="0000ff"/>
          </w:rPr>
          <w:t xml:space="preserve">части 3 статьи 8</w:t>
        </w:r>
      </w:hyperlink>
      <w:r>
        <w:rPr>
          <w:sz w:val="24"/>
        </w:rPr>
        <w:t xml:space="preserve"> Федерального закона от 29 ноября 2007 года N 286-ФЗ "О взаимном страховании" (по аналитическому признаку "Добровольный выход члена общества из общества взаимного страхования, в том числе в случае прекращения договора страхования" группы аналитических признаков "Причины прекращения членства в обществе взаимного страхования");</w:t>
      </w:r>
    </w:p>
    <w:p>
      <w:pPr>
        <w:pStyle w:val="0"/>
        <w:spacing w:before="240" w:lineRule="auto"/>
        <w:ind w:firstLine="540"/>
        <w:jc w:val="both"/>
      </w:pPr>
      <w:r>
        <w:rPr>
          <w:sz w:val="24"/>
        </w:rPr>
        <w:t xml:space="preserve">исключения члена общества взаимного страхования из общества взаимного страхования по решению общего собрания членов общества взаимного страхования (по аналитическому признаку "Исключение члена общества из общества взаимного страхования по решению общего собрания членов общества" группы аналитических признаков "Причины прекращения членства в обществе взаимного страхования");</w:t>
      </w:r>
    </w:p>
    <w:p>
      <w:pPr>
        <w:pStyle w:val="0"/>
        <w:spacing w:before="240" w:lineRule="auto"/>
        <w:ind w:firstLine="540"/>
        <w:jc w:val="both"/>
      </w:pPr>
      <w:r>
        <w:rPr>
          <w:sz w:val="24"/>
        </w:rPr>
        <w:t xml:space="preserve">смерти физического лица - члена общества взаимного страхования или объявления его умершим (по аналитическому признаку "Смерть члена общества взаимного страхования или объявление его умершим (только для физических лиц)" группы аналитических признаков "Причины прекращения членства в обществе взаимного страхования");</w:t>
      </w:r>
    </w:p>
    <w:p>
      <w:pPr>
        <w:pStyle w:val="0"/>
        <w:spacing w:before="240" w:lineRule="auto"/>
        <w:ind w:firstLine="540"/>
        <w:jc w:val="both"/>
      </w:pPr>
      <w:r>
        <w:rPr>
          <w:sz w:val="24"/>
        </w:rPr>
        <w:t xml:space="preserve">прекращения физическим лицом - членом общества взаимного страхования деятельности в качестве индивидуального предпринимателя, в случае если такая деятельность связана с объектом взаимного страхования (по аналитическому признаку "Прекращение членом общества взаимного страхования деятельности в качестве индивидуального предпринимателя (только для физических лиц)" группы аналитических признаков "Причины прекращения членства в обществе взаимного страхования");</w:t>
      </w:r>
    </w:p>
    <w:p>
      <w:pPr>
        <w:pStyle w:val="0"/>
        <w:spacing w:before="240" w:lineRule="auto"/>
        <w:ind w:firstLine="540"/>
        <w:jc w:val="both"/>
      </w:pPr>
      <w:r>
        <w:rPr>
          <w:sz w:val="24"/>
        </w:rPr>
        <w:t xml:space="preserve">ликвидации юридического лица - члена общества взаимного страхования или прекращения его деятельности в результате реорганизации (по аналитическому признаку "Ликвидация члена общества взаимного страхования или прекращение его деятельности в результате реорганизации (только для юридических лиц)" группы аналитических признаков "Причины прекращения членства в обществе взаимного страхования").</w:t>
      </w:r>
    </w:p>
    <w:p>
      <w:pPr>
        <w:pStyle w:val="0"/>
        <w:spacing w:before="240" w:lineRule="auto"/>
        <w:ind w:firstLine="540"/>
        <w:jc w:val="both"/>
      </w:pPr>
      <w:r>
        <w:rPr>
          <w:sz w:val="24"/>
        </w:rPr>
        <w:t xml:space="preserve">23.4. По показателю "Число членов общества взаимного страхования, прекративших членство в обществе взаимного страхования, но несущих субсидиарную ответственность по страховым обязательствам общества взаимного страхования" </w:t>
      </w:r>
      <w:hyperlink w:history="0" w:anchor="P57237" w:tooltip="121">
        <w:r>
          <w:rPr>
            <w:sz w:val="24"/>
            <w:color w:val="0000ff"/>
          </w:rPr>
          <w:t xml:space="preserve">(строка 121)</w:t>
        </w:r>
      </w:hyperlink>
      <w:r>
        <w:rPr>
          <w:sz w:val="24"/>
        </w:rPr>
        <w:t xml:space="preserve"> указывается число членов общества взаимного страхования, прекративших членство в нем, но несущих на конец отчетного периода субсидиарную ответственность по его страховым обязательствам, возникшим до дня прекращения членства в обществе взаимного страхования.</w:t>
      </w:r>
    </w:p>
    <w:p>
      <w:pPr>
        <w:pStyle w:val="0"/>
        <w:jc w:val="both"/>
      </w:pPr>
      <w:r>
        <w:rPr>
          <w:sz w:val="24"/>
        </w:rPr>
      </w:r>
    </w:p>
    <w:tbl>
      <w:tblPr>
        <w:tblInd w:w="0" w:type="dxa"/>
        <w:tblLayout w:type="fixed"/>
        <w:tblCellMar>
          <w:top w:w="102" w:type="dxa"/>
          <w:left w:w="62" w:type="dxa"/>
          <w:bottom w:w="102" w:type="dxa"/>
          <w:right w:w="62" w:type="dxa"/>
        </w:tblCellMar>
      </w:tblPr>
      <w:tblGrid>
        <w:gridCol w:w="1417"/>
        <w:gridCol w:w="7654"/>
      </w:tblGrid>
      <w:tr>
        <w:tc>
          <w:tcPr>
            <w:tcW w:w="1417" w:type="dxa"/>
            <w:tcBorders>
              <w:top w:val="nil"/>
              <w:left w:val="nil"/>
              <w:bottom w:val="nil"/>
              <w:right w:val="nil"/>
            </w:tcBorders>
          </w:tcPr>
          <w:bookmarkStart w:id="57537" w:name="P57537"/>
          <w:bookmarkEnd w:id="57537"/>
          <w:p>
            <w:pPr>
              <w:pStyle w:val="0"/>
              <w:outlineLvl w:val="1"/>
              <w:ind w:firstLine="283"/>
              <w:jc w:val="both"/>
            </w:pPr>
            <w:r>
              <w:rPr>
                <w:sz w:val="24"/>
              </w:rPr>
              <w:t xml:space="preserve">Часть II.</w:t>
            </w:r>
          </w:p>
        </w:tc>
        <w:tc>
          <w:tcPr>
            <w:tcW w:w="7654" w:type="dxa"/>
            <w:tcBorders>
              <w:top w:val="nil"/>
              <w:left w:val="nil"/>
              <w:bottom w:val="nil"/>
              <w:right w:val="nil"/>
            </w:tcBorders>
          </w:tcPr>
          <w:p>
            <w:pPr>
              <w:pStyle w:val="0"/>
              <w:jc w:val="both"/>
            </w:pPr>
            <w:r>
              <w:rPr>
                <w:sz w:val="24"/>
              </w:rPr>
              <w:t xml:space="preserve">Группы аналитических признаков и аналитические признаки для формирования показателей формы статистической отчетности страховщика</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417"/>
        <w:gridCol w:w="511"/>
        <w:gridCol w:w="7143"/>
      </w:tblGrid>
      <w:tr>
        <w:tc>
          <w:tcPr>
            <w:tcW w:w="1417" w:type="dxa"/>
            <w:tcBorders>
              <w:top w:val="nil"/>
              <w:left w:val="nil"/>
              <w:bottom w:val="nil"/>
              <w:right w:val="nil"/>
            </w:tcBorders>
          </w:tcPr>
          <w:p>
            <w:pPr>
              <w:pStyle w:val="0"/>
              <w:outlineLvl w:val="2"/>
              <w:jc w:val="both"/>
            </w:pPr>
            <w:r>
              <w:rPr>
                <w:sz w:val="24"/>
              </w:rPr>
              <w:t xml:space="preserve">Раздел 1.</w:t>
            </w:r>
          </w:p>
        </w:tc>
        <w:tc>
          <w:tcPr>
            <w:gridSpan w:val="2"/>
            <w:tcW w:w="7654" w:type="dxa"/>
            <w:tcBorders>
              <w:top w:val="nil"/>
              <w:left w:val="nil"/>
              <w:bottom w:val="nil"/>
              <w:right w:val="nil"/>
            </w:tcBorders>
          </w:tcPr>
          <w:p>
            <w:pPr>
              <w:pStyle w:val="0"/>
              <w:jc w:val="both"/>
            </w:pPr>
            <w:r>
              <w:rPr>
                <w:sz w:val="24"/>
              </w:rPr>
              <w:t xml:space="preserve">Отчетность по </w:t>
            </w:r>
            <w:hyperlink w:history="0" w:anchor="P54356" w:tooltip="Отчетность по форме 0420162">
              <w:r>
                <w:rPr>
                  <w:sz w:val="24"/>
                  <w:color w:val="0000ff"/>
                </w:rPr>
                <w:t xml:space="preserve">форме 0420162</w:t>
              </w:r>
            </w:hyperlink>
            <w:r>
              <w:rPr>
                <w:sz w:val="24"/>
              </w:rPr>
              <w:t xml:space="preserve"> "Сведения о деятельности страховщика"</w:t>
            </w:r>
          </w:p>
        </w:tc>
      </w:tr>
      <w:tr>
        <w:tc>
          <w:tcPr>
            <w:gridSpan w:val="2"/>
            <w:tcW w:w="1928" w:type="dxa"/>
            <w:tcBorders>
              <w:top w:val="nil"/>
              <w:left w:val="nil"/>
              <w:bottom w:val="nil"/>
              <w:right w:val="nil"/>
            </w:tcBorders>
          </w:tcPr>
          <w:p>
            <w:pPr>
              <w:pStyle w:val="0"/>
              <w:outlineLvl w:val="3"/>
              <w:jc w:val="both"/>
            </w:pPr>
            <w:r>
              <w:rPr>
                <w:sz w:val="24"/>
              </w:rPr>
              <w:t xml:space="preserve">Подраздел 1.1.</w:t>
            </w:r>
          </w:p>
        </w:tc>
        <w:tc>
          <w:tcPr>
            <w:tcW w:w="7143" w:type="dxa"/>
            <w:tcBorders>
              <w:top w:val="nil"/>
              <w:left w:val="nil"/>
              <w:bottom w:val="nil"/>
              <w:right w:val="nil"/>
            </w:tcBorders>
          </w:tcPr>
          <w:p>
            <w:pPr>
              <w:pStyle w:val="0"/>
              <w:jc w:val="both"/>
            </w:pPr>
            <w:hyperlink w:history="0" w:anchor="P54370" w:tooltip="Раздел 1. Страхование">
              <w:r>
                <w:rPr>
                  <w:sz w:val="24"/>
                  <w:color w:val="0000ff"/>
                </w:rPr>
                <w:t xml:space="preserve">Раздел 1</w:t>
              </w:r>
            </w:hyperlink>
            <w:r>
              <w:rPr>
                <w:sz w:val="24"/>
              </w:rPr>
              <w:t xml:space="preserve"> "Страхование"</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Вид добровольного страхования жизни</w:t>
            </w:r>
          </w:p>
        </w:tc>
        <w:tc>
          <w:tcPr>
            <w:tcW w:w="1814" w:type="dxa"/>
          </w:tcPr>
          <w:p>
            <w:pPr>
              <w:pStyle w:val="0"/>
            </w:pPr>
            <w:r>
              <w:rPr>
                <w:sz w:val="24"/>
              </w:rPr>
            </w:r>
          </w:p>
        </w:tc>
        <w:tc>
          <w:tcPr>
            <w:tcW w:w="3402" w:type="dxa"/>
          </w:tcPr>
          <w:p>
            <w:pPr>
              <w:pStyle w:val="0"/>
            </w:pPr>
            <w:r>
              <w:rPr>
                <w:sz w:val="24"/>
              </w:rPr>
              <w:t xml:space="preserve">dim-int:TipDobrStrZhAxis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Инвестиционное страхование жизни</w:t>
            </w:r>
          </w:p>
        </w:tc>
        <w:tc>
          <w:tcPr>
            <w:tcW w:w="3402" w:type="dxa"/>
          </w:tcPr>
          <w:p>
            <w:pPr>
              <w:pStyle w:val="0"/>
            </w:pPr>
            <w:r>
              <w:rPr>
                <w:sz w:val="24"/>
              </w:rPr>
              <w:t xml:space="preserve">mem-int:InvStrZhMember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r>
              <w:rPr>
                <w:sz w:val="24"/>
              </w:rPr>
              <w:t xml:space="preserve">Кредитное страхование жизни</w:t>
            </w:r>
          </w:p>
        </w:tc>
        <w:tc>
          <w:tcPr>
            <w:tcW w:w="3402" w:type="dxa"/>
          </w:tcPr>
          <w:p>
            <w:pPr>
              <w:pStyle w:val="0"/>
            </w:pPr>
            <w:r>
              <w:rPr>
                <w:sz w:val="24"/>
              </w:rPr>
              <w:t xml:space="preserve">mem-int:KredStrZhMember</w:t>
            </w:r>
          </w:p>
        </w:tc>
      </w:tr>
      <w:tr>
        <w:tc>
          <w:tcPr>
            <w:tcW w:w="964" w:type="dxa"/>
          </w:tcPr>
          <w:p>
            <w:pPr>
              <w:pStyle w:val="0"/>
            </w:pPr>
            <w:r>
              <w:rPr>
                <w:sz w:val="24"/>
              </w:rPr>
              <w:t xml:space="preserve">1.3</w:t>
            </w:r>
          </w:p>
        </w:tc>
        <w:tc>
          <w:tcPr>
            <w:tcW w:w="2891" w:type="dxa"/>
          </w:tcPr>
          <w:p>
            <w:pPr>
              <w:pStyle w:val="0"/>
            </w:pPr>
            <w:r>
              <w:rPr>
                <w:sz w:val="24"/>
              </w:rPr>
            </w:r>
          </w:p>
        </w:tc>
        <w:tc>
          <w:tcPr>
            <w:tcW w:w="1814" w:type="dxa"/>
          </w:tcPr>
          <w:p>
            <w:pPr>
              <w:pStyle w:val="0"/>
            </w:pPr>
            <w:r>
              <w:rPr>
                <w:sz w:val="24"/>
              </w:rPr>
              <w:t xml:space="preserve">Накопительное страхование жизни</w:t>
            </w:r>
          </w:p>
        </w:tc>
        <w:tc>
          <w:tcPr>
            <w:tcW w:w="3402" w:type="dxa"/>
          </w:tcPr>
          <w:p>
            <w:pPr>
              <w:pStyle w:val="0"/>
            </w:pPr>
            <w:r>
              <w:rPr>
                <w:sz w:val="24"/>
              </w:rPr>
              <w:t xml:space="preserve">mem-int:NakopStrZhMember</w:t>
            </w:r>
          </w:p>
        </w:tc>
      </w:tr>
      <w:tr>
        <w:tc>
          <w:tcPr>
            <w:tcW w:w="964" w:type="dxa"/>
          </w:tcPr>
          <w:p>
            <w:pPr>
              <w:pStyle w:val="0"/>
            </w:pPr>
            <w:r>
              <w:rPr>
                <w:sz w:val="24"/>
              </w:rPr>
              <w:t xml:space="preserve">1.4</w:t>
            </w:r>
          </w:p>
        </w:tc>
        <w:tc>
          <w:tcPr>
            <w:tcW w:w="2891" w:type="dxa"/>
          </w:tcPr>
          <w:p>
            <w:pPr>
              <w:pStyle w:val="0"/>
            </w:pPr>
            <w:r>
              <w:rPr>
                <w:sz w:val="24"/>
              </w:rPr>
            </w:r>
          </w:p>
        </w:tc>
        <w:tc>
          <w:tcPr>
            <w:tcW w:w="1814" w:type="dxa"/>
          </w:tcPr>
          <w:p>
            <w:pPr>
              <w:pStyle w:val="0"/>
            </w:pPr>
            <w:r>
              <w:rPr>
                <w:sz w:val="24"/>
              </w:rPr>
              <w:t xml:space="preserve">Рисковое страхование жизни</w:t>
            </w:r>
          </w:p>
        </w:tc>
        <w:tc>
          <w:tcPr>
            <w:tcW w:w="3402" w:type="dxa"/>
          </w:tcPr>
          <w:p>
            <w:pPr>
              <w:pStyle w:val="0"/>
            </w:pPr>
            <w:r>
              <w:rPr>
                <w:sz w:val="24"/>
              </w:rPr>
              <w:t xml:space="preserve">mem-int:RiskStrZhMember</w:t>
            </w:r>
          </w:p>
        </w:tc>
      </w:tr>
      <w:tr>
        <w:tc>
          <w:tcPr>
            <w:tcW w:w="964" w:type="dxa"/>
          </w:tcPr>
          <w:p>
            <w:pPr>
              <w:pStyle w:val="0"/>
            </w:pPr>
            <w:r>
              <w:rPr>
                <w:sz w:val="24"/>
              </w:rPr>
              <w:t xml:space="preserve">1.5</w:t>
            </w:r>
          </w:p>
        </w:tc>
        <w:tc>
          <w:tcPr>
            <w:tcW w:w="2891" w:type="dxa"/>
          </w:tcPr>
          <w:p>
            <w:pPr>
              <w:pStyle w:val="0"/>
            </w:pPr>
            <w:r>
              <w:rPr>
                <w:sz w:val="24"/>
              </w:rPr>
            </w:r>
          </w:p>
        </w:tc>
        <w:tc>
          <w:tcPr>
            <w:tcW w:w="1814" w:type="dxa"/>
          </w:tcPr>
          <w:p>
            <w:pPr>
              <w:pStyle w:val="0"/>
            </w:pPr>
            <w:r>
              <w:rPr>
                <w:sz w:val="24"/>
              </w:rPr>
              <w:t xml:space="preserve">Прочее страхование жизни</w:t>
            </w:r>
          </w:p>
        </w:tc>
        <w:tc>
          <w:tcPr>
            <w:tcW w:w="3402" w:type="dxa"/>
          </w:tcPr>
          <w:p>
            <w:pPr>
              <w:pStyle w:val="0"/>
            </w:pPr>
            <w:r>
              <w:rPr>
                <w:sz w:val="24"/>
              </w:rPr>
              <w:t xml:space="preserve">mem-int:ProchStrZhMember</w:t>
            </w:r>
          </w:p>
        </w:tc>
      </w:tr>
      <w:tr>
        <w:tc>
          <w:tcPr>
            <w:tcW w:w="964" w:type="dxa"/>
          </w:tcPr>
          <w:bookmarkStart w:id="57577" w:name="P57577"/>
          <w:bookmarkEnd w:id="57577"/>
          <w:p>
            <w:pPr>
              <w:pStyle w:val="0"/>
            </w:pPr>
            <w:r>
              <w:rPr>
                <w:sz w:val="24"/>
              </w:rPr>
              <w:t xml:space="preserve">2</w:t>
            </w:r>
          </w:p>
        </w:tc>
        <w:tc>
          <w:tcPr>
            <w:tcW w:w="2891" w:type="dxa"/>
          </w:tcPr>
          <w:p>
            <w:pPr>
              <w:pStyle w:val="0"/>
            </w:pPr>
            <w:r>
              <w:rPr>
                <w:sz w:val="24"/>
              </w:rPr>
              <w:t xml:space="preserve">Виды страхования</w:t>
            </w:r>
          </w:p>
        </w:tc>
        <w:tc>
          <w:tcPr>
            <w:tcW w:w="1814" w:type="dxa"/>
          </w:tcPr>
          <w:p>
            <w:pPr>
              <w:pStyle w:val="0"/>
            </w:pPr>
            <w:r>
              <w:rPr>
                <w:sz w:val="24"/>
              </w:rPr>
            </w:r>
          </w:p>
        </w:tc>
        <w:tc>
          <w:tcPr>
            <w:tcW w:w="3402" w:type="dxa"/>
          </w:tcPr>
          <w:p>
            <w:pPr>
              <w:pStyle w:val="0"/>
            </w:pPr>
            <w:r>
              <w:rPr>
                <w:sz w:val="24"/>
              </w:rPr>
              <w:t xml:space="preserve">dim-int:Vidy_straxovaniyaAxis</w:t>
            </w:r>
          </w:p>
        </w:tc>
      </w:tr>
      <w:tr>
        <w:tc>
          <w:tcPr>
            <w:tcW w:w="964" w:type="dxa"/>
          </w:tcPr>
          <w:bookmarkStart w:id="57581" w:name="P57581"/>
          <w:bookmarkEnd w:id="57581"/>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Добровольное страхование жизни (кроме пенсионного страхования)</w:t>
            </w:r>
          </w:p>
        </w:tc>
        <w:tc>
          <w:tcPr>
            <w:tcW w:w="3402" w:type="dxa"/>
          </w:tcPr>
          <w:p>
            <w:pPr>
              <w:pStyle w:val="0"/>
            </w:pPr>
            <w:r>
              <w:rPr>
                <w:sz w:val="24"/>
              </w:rPr>
              <w:t xml:space="preserve">mem-int:DobrStrZhKrPensStrMember</w:t>
            </w:r>
          </w:p>
        </w:tc>
      </w:tr>
      <w:tr>
        <w:tc>
          <w:tcPr>
            <w:tcW w:w="964" w:type="dxa"/>
          </w:tcPr>
          <w:bookmarkStart w:id="57585" w:name="P57585"/>
          <w:bookmarkEnd w:id="57585"/>
          <w:p>
            <w:pPr>
              <w:pStyle w:val="0"/>
            </w:pPr>
            <w:r>
              <w:rPr>
                <w:sz w:val="24"/>
              </w:rPr>
              <w:t xml:space="preserve">2.1.1</w:t>
            </w:r>
          </w:p>
        </w:tc>
        <w:tc>
          <w:tcPr>
            <w:tcW w:w="2891" w:type="dxa"/>
          </w:tcPr>
          <w:p>
            <w:pPr>
              <w:pStyle w:val="0"/>
            </w:pPr>
            <w:r>
              <w:rPr>
                <w:sz w:val="24"/>
              </w:rPr>
            </w:r>
          </w:p>
        </w:tc>
        <w:tc>
          <w:tcPr>
            <w:tcW w:w="1814" w:type="dxa"/>
          </w:tcPr>
          <w:p>
            <w:pPr>
              <w:pStyle w:val="0"/>
            </w:pPr>
            <w:r>
              <w:rPr>
                <w:sz w:val="24"/>
              </w:rPr>
              <w:t xml:space="preserve">Добровольное страхование жизни на случай смерти, дожития до определенного возраста или срока либо наступления иного события</w:t>
            </w:r>
          </w:p>
        </w:tc>
        <w:tc>
          <w:tcPr>
            <w:tcW w:w="3402" w:type="dxa"/>
          </w:tcPr>
          <w:p>
            <w:pPr>
              <w:pStyle w:val="0"/>
            </w:pPr>
            <w:r>
              <w:rPr>
                <w:sz w:val="24"/>
              </w:rPr>
              <w:t xml:space="preserve">mem-int:DobrStrZhSmDozhInSobMember</w:t>
            </w:r>
          </w:p>
        </w:tc>
      </w:tr>
      <w:tr>
        <w:tc>
          <w:tcPr>
            <w:tcW w:w="964" w:type="dxa"/>
          </w:tcPr>
          <w:p>
            <w:pPr>
              <w:pStyle w:val="0"/>
            </w:pPr>
            <w:r>
              <w:rPr>
                <w:sz w:val="24"/>
              </w:rPr>
              <w:t xml:space="preserve">2.1.2</w:t>
            </w:r>
          </w:p>
        </w:tc>
        <w:tc>
          <w:tcPr>
            <w:tcW w:w="2891" w:type="dxa"/>
          </w:tcPr>
          <w:p>
            <w:pPr>
              <w:pStyle w:val="0"/>
            </w:pPr>
            <w:r>
              <w:rPr>
                <w:sz w:val="24"/>
              </w:rPr>
            </w:r>
          </w:p>
        </w:tc>
        <w:tc>
          <w:tcPr>
            <w:tcW w:w="1814" w:type="dxa"/>
          </w:tcPr>
          <w:p>
            <w:pPr>
              <w:pStyle w:val="0"/>
            </w:pPr>
            <w:r>
              <w:rPr>
                <w:sz w:val="24"/>
              </w:rPr>
              <w:t xml:space="preserve">Добровольное страхование жизни с условием периодических страховых выплат (ренты, аннуитетов) и (или) с участием страхователя в инвестиционном доходе страховщика</w:t>
            </w:r>
          </w:p>
        </w:tc>
        <w:tc>
          <w:tcPr>
            <w:tcW w:w="3402" w:type="dxa"/>
          </w:tcPr>
          <w:p>
            <w:pPr>
              <w:pStyle w:val="0"/>
            </w:pPr>
            <w:r>
              <w:rPr>
                <w:sz w:val="24"/>
              </w:rPr>
              <w:t xml:space="preserve">mem-int:DobrStrZhPerStrVyplUchSlInvDokhMember</w:t>
            </w:r>
          </w:p>
        </w:tc>
      </w:tr>
      <w:tr>
        <w:tc>
          <w:tcPr>
            <w:tcW w:w="964" w:type="dxa"/>
          </w:tcPr>
          <w:bookmarkStart w:id="57593" w:name="P57593"/>
          <w:bookmarkEnd w:id="57593"/>
          <w:p>
            <w:pPr>
              <w:pStyle w:val="0"/>
            </w:pPr>
            <w:r>
              <w:rPr>
                <w:sz w:val="24"/>
              </w:rPr>
              <w:t xml:space="preserve">2.1.3</w:t>
            </w:r>
          </w:p>
        </w:tc>
        <w:tc>
          <w:tcPr>
            <w:tcW w:w="2891" w:type="dxa"/>
          </w:tcPr>
          <w:p>
            <w:pPr>
              <w:pStyle w:val="0"/>
            </w:pPr>
            <w:r>
              <w:rPr>
                <w:sz w:val="24"/>
              </w:rPr>
            </w:r>
          </w:p>
        </w:tc>
        <w:tc>
          <w:tcPr>
            <w:tcW w:w="1814" w:type="dxa"/>
          </w:tcPr>
          <w:p>
            <w:pPr>
              <w:pStyle w:val="0"/>
            </w:pPr>
            <w:r>
              <w:rPr>
                <w:sz w:val="24"/>
              </w:rPr>
              <w:t xml:space="preserve">Добровольное долевое страхование жизни</w:t>
            </w:r>
          </w:p>
        </w:tc>
        <w:tc>
          <w:tcPr>
            <w:tcW w:w="3402" w:type="dxa"/>
          </w:tcPr>
          <w:p>
            <w:pPr>
              <w:pStyle w:val="0"/>
            </w:pPr>
            <w:r>
              <w:rPr>
                <w:sz w:val="24"/>
              </w:rPr>
              <w:t xml:space="preserve">mem-int:DobrDolevoeStraxZHizniMember</w:t>
            </w:r>
          </w:p>
        </w:tc>
      </w:tr>
      <w:tr>
        <w:tc>
          <w:tcPr>
            <w:tcW w:w="964" w:type="dxa"/>
          </w:tcPr>
          <w:bookmarkStart w:id="57597" w:name="P57597"/>
          <w:bookmarkEnd w:id="57597"/>
          <w:p>
            <w:pPr>
              <w:pStyle w:val="0"/>
            </w:pPr>
            <w:r>
              <w:rPr>
                <w:sz w:val="24"/>
              </w:rPr>
              <w:t xml:space="preserve">2.2</w:t>
            </w:r>
          </w:p>
        </w:tc>
        <w:tc>
          <w:tcPr>
            <w:tcW w:w="2891" w:type="dxa"/>
          </w:tcPr>
          <w:p>
            <w:pPr>
              <w:pStyle w:val="0"/>
            </w:pPr>
            <w:r>
              <w:rPr>
                <w:sz w:val="24"/>
              </w:rPr>
            </w:r>
          </w:p>
        </w:tc>
        <w:tc>
          <w:tcPr>
            <w:tcW w:w="1814" w:type="dxa"/>
          </w:tcPr>
          <w:p>
            <w:pPr>
              <w:pStyle w:val="0"/>
            </w:pPr>
            <w:r>
              <w:rPr>
                <w:sz w:val="24"/>
              </w:rPr>
              <w:t xml:space="preserve">Добровольное пенсионное страхование</w:t>
            </w:r>
          </w:p>
        </w:tc>
        <w:tc>
          <w:tcPr>
            <w:tcW w:w="3402" w:type="dxa"/>
          </w:tcPr>
          <w:p>
            <w:pPr>
              <w:pStyle w:val="0"/>
            </w:pPr>
            <w:r>
              <w:rPr>
                <w:sz w:val="24"/>
              </w:rPr>
              <w:t xml:space="preserve">mem-int:DobrPensStrMember</w:t>
            </w:r>
          </w:p>
        </w:tc>
      </w:tr>
      <w:tr>
        <w:tc>
          <w:tcPr>
            <w:tcW w:w="964" w:type="dxa"/>
          </w:tcPr>
          <w:bookmarkStart w:id="57601" w:name="P57601"/>
          <w:bookmarkEnd w:id="57601"/>
          <w:p>
            <w:pPr>
              <w:pStyle w:val="0"/>
            </w:pPr>
            <w:r>
              <w:rPr>
                <w:sz w:val="24"/>
              </w:rPr>
              <w:t xml:space="preserve">2.3</w:t>
            </w:r>
          </w:p>
        </w:tc>
        <w:tc>
          <w:tcPr>
            <w:tcW w:w="2891" w:type="dxa"/>
          </w:tcPr>
          <w:p>
            <w:pPr>
              <w:pStyle w:val="0"/>
            </w:pPr>
            <w:r>
              <w:rPr>
                <w:sz w:val="24"/>
              </w:rPr>
            </w:r>
          </w:p>
        </w:tc>
        <w:tc>
          <w:tcPr>
            <w:tcW w:w="1814" w:type="dxa"/>
          </w:tcPr>
          <w:p>
            <w:pPr>
              <w:pStyle w:val="0"/>
            </w:pPr>
            <w:r>
              <w:rPr>
                <w:sz w:val="24"/>
              </w:rPr>
              <w:t xml:space="preserve">Добровольное личное страхование (кроме страхования жизни)</w:t>
            </w:r>
          </w:p>
        </w:tc>
        <w:tc>
          <w:tcPr>
            <w:tcW w:w="3402" w:type="dxa"/>
          </w:tcPr>
          <w:p>
            <w:pPr>
              <w:pStyle w:val="0"/>
            </w:pPr>
            <w:r>
              <w:rPr>
                <w:sz w:val="24"/>
              </w:rPr>
              <w:t xml:space="preserve">mem-int:DobrLichStrKrStrZhMember</w:t>
            </w:r>
          </w:p>
        </w:tc>
      </w:tr>
      <w:tr>
        <w:tc>
          <w:tcPr>
            <w:tcW w:w="964" w:type="dxa"/>
          </w:tcPr>
          <w:bookmarkStart w:id="57605" w:name="P57605"/>
          <w:bookmarkEnd w:id="57605"/>
          <w:p>
            <w:pPr>
              <w:pStyle w:val="0"/>
            </w:pPr>
            <w:r>
              <w:rPr>
                <w:sz w:val="24"/>
              </w:rPr>
              <w:t xml:space="preserve">2.3.1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w:t>
            </w:r>
          </w:p>
        </w:tc>
        <w:tc>
          <w:tcPr>
            <w:tcW w:w="3402" w:type="dxa"/>
          </w:tcPr>
          <w:p>
            <w:pPr>
              <w:pStyle w:val="0"/>
            </w:pPr>
            <w:r>
              <w:rPr>
                <w:sz w:val="24"/>
              </w:rPr>
              <w:t xml:space="preserve">mem-int:DobrStrNeschSlBolMember</w:t>
            </w:r>
          </w:p>
        </w:tc>
      </w:tr>
      <w:tr>
        <w:tc>
          <w:tcPr>
            <w:tcW w:w="964" w:type="dxa"/>
          </w:tcPr>
          <w:bookmarkStart w:id="57609" w:name="P57609"/>
          <w:bookmarkEnd w:id="57609"/>
          <w:p>
            <w:pPr>
              <w:pStyle w:val="0"/>
            </w:pPr>
            <w:r>
              <w:rPr>
                <w:sz w:val="24"/>
              </w:rPr>
              <w:t xml:space="preserve">2.3.1.1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граждан, выезжающих за рубеж</w:t>
            </w:r>
          </w:p>
        </w:tc>
        <w:tc>
          <w:tcPr>
            <w:tcW w:w="3402" w:type="dxa"/>
          </w:tcPr>
          <w:p>
            <w:pPr>
              <w:pStyle w:val="0"/>
            </w:pPr>
            <w:r>
              <w:rPr>
                <w:sz w:val="24"/>
              </w:rPr>
              <w:t xml:space="preserve">mem-int:DobrStrNeschSlBol_GrazhdanVyezzhZarubezhMember</w:t>
            </w:r>
          </w:p>
        </w:tc>
      </w:tr>
      <w:tr>
        <w:tc>
          <w:tcPr>
            <w:tcW w:w="964" w:type="dxa"/>
          </w:tcPr>
          <w:p>
            <w:pPr>
              <w:pStyle w:val="0"/>
            </w:pPr>
            <w:r>
              <w:rPr>
                <w:sz w:val="24"/>
              </w:rPr>
              <w:t xml:space="preserve">2.3.1.2</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пассажиров</w:t>
            </w:r>
          </w:p>
        </w:tc>
        <w:tc>
          <w:tcPr>
            <w:tcW w:w="3402" w:type="dxa"/>
          </w:tcPr>
          <w:p>
            <w:pPr>
              <w:pStyle w:val="0"/>
            </w:pPr>
            <w:r>
              <w:rPr>
                <w:sz w:val="24"/>
              </w:rPr>
              <w:t xml:space="preserve">mem-int:DobrStrNeschSlBol_PassazhirovMember</w:t>
            </w:r>
          </w:p>
        </w:tc>
      </w:tr>
      <w:tr>
        <w:tc>
          <w:tcPr>
            <w:tcW w:w="964" w:type="dxa"/>
          </w:tcPr>
          <w:p>
            <w:pPr>
              <w:pStyle w:val="0"/>
            </w:pPr>
            <w:r>
              <w:rPr>
                <w:sz w:val="24"/>
              </w:rPr>
              <w:t xml:space="preserve">2.3.1.3</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пациентов, участвующих в клинических исследованиях лекарственного препарата для медицинского применения</w:t>
            </w:r>
          </w:p>
        </w:tc>
        <w:tc>
          <w:tcPr>
            <w:tcW w:w="3402" w:type="dxa"/>
          </w:tcPr>
          <w:p>
            <w:pPr>
              <w:pStyle w:val="0"/>
            </w:pPr>
            <w:r>
              <w:rPr>
                <w:sz w:val="24"/>
              </w:rPr>
              <w:t xml:space="preserve">mem-int:DobrStrNeschSlBol_PaczUchastKlinIssledMember</w:t>
            </w:r>
          </w:p>
        </w:tc>
      </w:tr>
      <w:tr>
        <w:tc>
          <w:tcPr>
            <w:tcW w:w="964" w:type="dxa"/>
          </w:tcPr>
          <w:p>
            <w:pPr>
              <w:pStyle w:val="0"/>
            </w:pPr>
            <w:r>
              <w:rPr>
                <w:sz w:val="24"/>
              </w:rPr>
              <w:t xml:space="preserve">2.3.1.4</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работодателем своих работников (кроме работников налоговых органов)</w:t>
            </w:r>
          </w:p>
        </w:tc>
        <w:tc>
          <w:tcPr>
            <w:tcW w:w="3402" w:type="dxa"/>
          </w:tcPr>
          <w:p>
            <w:pPr>
              <w:pStyle w:val="0"/>
            </w:pPr>
            <w:r>
              <w:rPr>
                <w:sz w:val="24"/>
              </w:rPr>
              <w:t xml:space="preserve">mem-int:DobrStrNeschSlBol_RabotodatSvoixRabKromeNalogOrgMember</w:t>
            </w:r>
          </w:p>
        </w:tc>
      </w:tr>
      <w:tr>
        <w:tc>
          <w:tcPr>
            <w:tcW w:w="964" w:type="dxa"/>
          </w:tcPr>
          <w:p>
            <w:pPr>
              <w:pStyle w:val="0"/>
            </w:pPr>
            <w:r>
              <w:rPr>
                <w:sz w:val="24"/>
              </w:rPr>
              <w:t xml:space="preserve">2.3.1.5</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работников налоговых органов</w:t>
            </w:r>
          </w:p>
        </w:tc>
        <w:tc>
          <w:tcPr>
            <w:tcW w:w="3402" w:type="dxa"/>
          </w:tcPr>
          <w:p>
            <w:pPr>
              <w:pStyle w:val="0"/>
            </w:pPr>
            <w:r>
              <w:rPr>
                <w:sz w:val="24"/>
              </w:rPr>
              <w:t xml:space="preserve">mem-int:DobrStrNeschSlBol_RabNalogOrgMember</w:t>
            </w:r>
          </w:p>
        </w:tc>
      </w:tr>
      <w:tr>
        <w:tc>
          <w:tcPr>
            <w:tcW w:w="964" w:type="dxa"/>
          </w:tcPr>
          <w:bookmarkStart w:id="57629" w:name="P57629"/>
          <w:bookmarkEnd w:id="57629"/>
          <w:p>
            <w:pPr>
              <w:pStyle w:val="0"/>
            </w:pPr>
            <w:r>
              <w:rPr>
                <w:sz w:val="24"/>
              </w:rPr>
              <w:t xml:space="preserve">2.3.1.6</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иных граждан</w:t>
            </w:r>
          </w:p>
        </w:tc>
        <w:tc>
          <w:tcPr>
            <w:tcW w:w="3402" w:type="dxa"/>
          </w:tcPr>
          <w:p>
            <w:pPr>
              <w:pStyle w:val="0"/>
            </w:pPr>
            <w:r>
              <w:rPr>
                <w:sz w:val="24"/>
              </w:rPr>
              <w:t xml:space="preserve">mem-int:DobrStrNeschSlBol_InyxGrazhdanMember</w:t>
            </w:r>
          </w:p>
        </w:tc>
      </w:tr>
      <w:tr>
        <w:tc>
          <w:tcPr>
            <w:tcW w:w="964" w:type="dxa"/>
          </w:tcPr>
          <w:bookmarkStart w:id="57633" w:name="P57633"/>
          <w:bookmarkEnd w:id="57633"/>
          <w:p>
            <w:pPr>
              <w:pStyle w:val="0"/>
            </w:pPr>
            <w:r>
              <w:rPr>
                <w:sz w:val="24"/>
              </w:rPr>
              <w:t xml:space="preserve">2.3.2</w:t>
            </w:r>
          </w:p>
        </w:tc>
        <w:tc>
          <w:tcPr>
            <w:tcW w:w="2891" w:type="dxa"/>
          </w:tcPr>
          <w:p>
            <w:pPr>
              <w:pStyle w:val="0"/>
            </w:pPr>
            <w:r>
              <w:rPr>
                <w:sz w:val="24"/>
              </w:rPr>
            </w:r>
          </w:p>
        </w:tc>
        <w:tc>
          <w:tcPr>
            <w:tcW w:w="1814" w:type="dxa"/>
          </w:tcPr>
          <w:p>
            <w:pPr>
              <w:pStyle w:val="0"/>
            </w:pPr>
            <w:r>
              <w:rPr>
                <w:sz w:val="24"/>
              </w:rPr>
              <w:t xml:space="preserve">Добровольное медицинское страхование</w:t>
            </w:r>
          </w:p>
        </w:tc>
        <w:tc>
          <w:tcPr>
            <w:tcW w:w="3402" w:type="dxa"/>
          </w:tcPr>
          <w:p>
            <w:pPr>
              <w:pStyle w:val="0"/>
            </w:pPr>
            <w:r>
              <w:rPr>
                <w:sz w:val="24"/>
              </w:rPr>
              <w:t xml:space="preserve">mem-int:DobrMedStrMember</w:t>
            </w:r>
          </w:p>
        </w:tc>
      </w:tr>
      <w:tr>
        <w:tc>
          <w:tcPr>
            <w:tcW w:w="964" w:type="dxa"/>
          </w:tcPr>
          <w:bookmarkStart w:id="57637" w:name="P57637"/>
          <w:bookmarkEnd w:id="57637"/>
          <w:p>
            <w:pPr>
              <w:pStyle w:val="0"/>
            </w:pPr>
            <w:r>
              <w:rPr>
                <w:sz w:val="24"/>
              </w:rPr>
              <w:t xml:space="preserve">2.3.2.1</w:t>
            </w:r>
          </w:p>
        </w:tc>
        <w:tc>
          <w:tcPr>
            <w:tcW w:w="2891" w:type="dxa"/>
          </w:tcPr>
          <w:p>
            <w:pPr>
              <w:pStyle w:val="0"/>
            </w:pPr>
            <w:r>
              <w:rPr>
                <w:sz w:val="24"/>
              </w:rPr>
            </w:r>
          </w:p>
        </w:tc>
        <w:tc>
          <w:tcPr>
            <w:tcW w:w="1814" w:type="dxa"/>
          </w:tcPr>
          <w:p>
            <w:pPr>
              <w:pStyle w:val="0"/>
            </w:pPr>
            <w:r>
              <w:rPr>
                <w:sz w:val="24"/>
              </w:rPr>
              <w:t xml:space="preserve">Добровольное медицинское страхование граждан, выезжающих за рубеж</w:t>
            </w:r>
          </w:p>
        </w:tc>
        <w:tc>
          <w:tcPr>
            <w:tcW w:w="3402" w:type="dxa"/>
          </w:tcPr>
          <w:p>
            <w:pPr>
              <w:pStyle w:val="0"/>
            </w:pPr>
            <w:r>
              <w:rPr>
                <w:sz w:val="24"/>
              </w:rPr>
              <w:t xml:space="preserve">mem-int:DobrMedStr_GrazhdanVyezzhZarubezhMember</w:t>
            </w:r>
          </w:p>
        </w:tc>
      </w:tr>
      <w:tr>
        <w:tc>
          <w:tcPr>
            <w:tcW w:w="964" w:type="dxa"/>
          </w:tcPr>
          <w:p>
            <w:pPr>
              <w:pStyle w:val="0"/>
            </w:pPr>
            <w:r>
              <w:rPr>
                <w:sz w:val="24"/>
              </w:rPr>
              <w:t xml:space="preserve">2.3.2.2</w:t>
            </w:r>
          </w:p>
        </w:tc>
        <w:tc>
          <w:tcPr>
            <w:tcW w:w="2891" w:type="dxa"/>
          </w:tcPr>
          <w:p>
            <w:pPr>
              <w:pStyle w:val="0"/>
            </w:pPr>
            <w:r>
              <w:rPr>
                <w:sz w:val="24"/>
              </w:rPr>
            </w:r>
          </w:p>
        </w:tc>
        <w:tc>
          <w:tcPr>
            <w:tcW w:w="1814" w:type="dxa"/>
          </w:tcPr>
          <w:p>
            <w:pPr>
              <w:pStyle w:val="0"/>
            </w:pPr>
            <w:r>
              <w:rPr>
                <w:sz w:val="24"/>
              </w:rPr>
              <w:t xml:space="preserve">Добровольное медицинское страхование работодателем своих работников</w:t>
            </w:r>
          </w:p>
        </w:tc>
        <w:tc>
          <w:tcPr>
            <w:tcW w:w="3402" w:type="dxa"/>
          </w:tcPr>
          <w:p>
            <w:pPr>
              <w:pStyle w:val="0"/>
            </w:pPr>
            <w:r>
              <w:rPr>
                <w:sz w:val="24"/>
              </w:rPr>
              <w:t xml:space="preserve">mem-int:DobrMedStr_RabotodatSvoixRabMember</w:t>
            </w:r>
          </w:p>
        </w:tc>
      </w:tr>
      <w:tr>
        <w:tc>
          <w:tcPr>
            <w:tcW w:w="964" w:type="dxa"/>
          </w:tcPr>
          <w:bookmarkStart w:id="57645" w:name="P57645"/>
          <w:bookmarkEnd w:id="57645"/>
          <w:p>
            <w:pPr>
              <w:pStyle w:val="0"/>
            </w:pPr>
            <w:r>
              <w:rPr>
                <w:sz w:val="24"/>
              </w:rPr>
              <w:t xml:space="preserve">2.3.2.3</w:t>
            </w:r>
          </w:p>
        </w:tc>
        <w:tc>
          <w:tcPr>
            <w:tcW w:w="2891" w:type="dxa"/>
          </w:tcPr>
          <w:p>
            <w:pPr>
              <w:pStyle w:val="0"/>
            </w:pPr>
            <w:r>
              <w:rPr>
                <w:sz w:val="24"/>
              </w:rPr>
            </w:r>
          </w:p>
        </w:tc>
        <w:tc>
          <w:tcPr>
            <w:tcW w:w="1814" w:type="dxa"/>
          </w:tcPr>
          <w:p>
            <w:pPr>
              <w:pStyle w:val="0"/>
            </w:pPr>
            <w:r>
              <w:rPr>
                <w:sz w:val="24"/>
              </w:rPr>
              <w:t xml:space="preserve">Добровольное медицинское страхование иных граждан</w:t>
            </w:r>
          </w:p>
        </w:tc>
        <w:tc>
          <w:tcPr>
            <w:tcW w:w="3402" w:type="dxa"/>
          </w:tcPr>
          <w:p>
            <w:pPr>
              <w:pStyle w:val="0"/>
            </w:pPr>
            <w:r>
              <w:rPr>
                <w:sz w:val="24"/>
              </w:rPr>
              <w:t xml:space="preserve">mem-int:DobrMedStr_InyxGrazhdanMember</w:t>
            </w:r>
          </w:p>
        </w:tc>
      </w:tr>
      <w:tr>
        <w:tc>
          <w:tcPr>
            <w:tcW w:w="964" w:type="dxa"/>
          </w:tcPr>
          <w:bookmarkStart w:id="57649" w:name="P57649"/>
          <w:bookmarkEnd w:id="57649"/>
          <w:p>
            <w:pPr>
              <w:pStyle w:val="0"/>
            </w:pPr>
            <w:r>
              <w:rPr>
                <w:sz w:val="24"/>
              </w:rPr>
              <w:t xml:space="preserve">2.4</w:t>
            </w:r>
          </w:p>
        </w:tc>
        <w:tc>
          <w:tcPr>
            <w:tcW w:w="2891" w:type="dxa"/>
          </w:tcPr>
          <w:p>
            <w:pPr>
              <w:pStyle w:val="0"/>
            </w:pPr>
            <w:r>
              <w:rPr>
                <w:sz w:val="24"/>
              </w:rPr>
            </w:r>
          </w:p>
        </w:tc>
        <w:tc>
          <w:tcPr>
            <w:tcW w:w="1814" w:type="dxa"/>
          </w:tcPr>
          <w:p>
            <w:pPr>
              <w:pStyle w:val="0"/>
            </w:pPr>
            <w:r>
              <w:rPr>
                <w:sz w:val="24"/>
              </w:rPr>
              <w:t xml:space="preserve">Добровольное имущественное страхование</w:t>
            </w:r>
          </w:p>
        </w:tc>
        <w:tc>
          <w:tcPr>
            <w:tcW w:w="3402" w:type="dxa"/>
          </w:tcPr>
          <w:p>
            <w:pPr>
              <w:pStyle w:val="0"/>
            </w:pPr>
            <w:r>
              <w:rPr>
                <w:sz w:val="24"/>
              </w:rPr>
              <w:t xml:space="preserve">mem-int:DobrImushStrMember</w:t>
            </w:r>
          </w:p>
        </w:tc>
      </w:tr>
      <w:tr>
        <w:tc>
          <w:tcPr>
            <w:tcW w:w="964" w:type="dxa"/>
          </w:tcPr>
          <w:bookmarkStart w:id="57653" w:name="P57653"/>
          <w:bookmarkEnd w:id="57653"/>
          <w:p>
            <w:pPr>
              <w:pStyle w:val="0"/>
            </w:pPr>
            <w:r>
              <w:rPr>
                <w:sz w:val="24"/>
              </w:rPr>
              <w:t xml:space="preserve">2.4.1</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w:t>
            </w:r>
          </w:p>
        </w:tc>
        <w:tc>
          <w:tcPr>
            <w:tcW w:w="3402" w:type="dxa"/>
          </w:tcPr>
          <w:p>
            <w:pPr>
              <w:pStyle w:val="0"/>
            </w:pPr>
            <w:r>
              <w:rPr>
                <w:sz w:val="24"/>
              </w:rPr>
              <w:t xml:space="preserve">mem-int:DobrStrImushMember</w:t>
            </w:r>
          </w:p>
        </w:tc>
      </w:tr>
      <w:tr>
        <w:tc>
          <w:tcPr>
            <w:tcW w:w="964" w:type="dxa"/>
          </w:tcPr>
          <w:bookmarkStart w:id="57657" w:name="P57657"/>
          <w:bookmarkEnd w:id="57657"/>
          <w:p>
            <w:pPr>
              <w:pStyle w:val="0"/>
            </w:pPr>
            <w:r>
              <w:rPr>
                <w:sz w:val="24"/>
              </w:rPr>
              <w:t xml:space="preserve">2.4.1.1</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наземного транспорта (кроме средств железнодорожного транспорта)</w:t>
            </w:r>
          </w:p>
        </w:tc>
        <w:tc>
          <w:tcPr>
            <w:tcW w:w="3402" w:type="dxa"/>
          </w:tcPr>
          <w:p>
            <w:pPr>
              <w:pStyle w:val="0"/>
            </w:pPr>
            <w:r>
              <w:rPr>
                <w:sz w:val="24"/>
              </w:rPr>
              <w:t xml:space="preserve">mem-int:DobrStrSrNazTrKrZhdMember</w:t>
            </w:r>
          </w:p>
        </w:tc>
      </w:tr>
      <w:tr>
        <w:tc>
          <w:tcPr>
            <w:tcW w:w="964" w:type="dxa"/>
          </w:tcPr>
          <w:bookmarkStart w:id="57661" w:name="P57661"/>
          <w:bookmarkEnd w:id="57661"/>
          <w:p>
            <w:pPr>
              <w:pStyle w:val="0"/>
            </w:pPr>
            <w:r>
              <w:rPr>
                <w:sz w:val="24"/>
              </w:rPr>
              <w:t xml:space="preserve">2.4.1.1.1</w:t>
            </w:r>
          </w:p>
        </w:tc>
        <w:tc>
          <w:tcPr>
            <w:tcW w:w="2891" w:type="dxa"/>
          </w:tcPr>
          <w:p>
            <w:pPr>
              <w:pStyle w:val="0"/>
            </w:pPr>
            <w:r>
              <w:rPr>
                <w:sz w:val="24"/>
              </w:rPr>
            </w:r>
          </w:p>
        </w:tc>
        <w:tc>
          <w:tcPr>
            <w:tcW w:w="1814" w:type="dxa"/>
          </w:tcPr>
          <w:p>
            <w:pPr>
              <w:pStyle w:val="0"/>
            </w:pPr>
            <w:r>
              <w:rPr>
                <w:sz w:val="24"/>
              </w:rPr>
              <w:t xml:space="preserve">Добровольное страхование автотранспортных средств</w:t>
            </w:r>
          </w:p>
        </w:tc>
        <w:tc>
          <w:tcPr>
            <w:tcW w:w="3402" w:type="dxa"/>
          </w:tcPr>
          <w:p>
            <w:pPr>
              <w:pStyle w:val="0"/>
            </w:pPr>
            <w:r>
              <w:rPr>
                <w:sz w:val="24"/>
              </w:rPr>
              <w:t xml:space="preserve">mem-int:DobrStrSrNazTrKrZhd_AvtoMember</w:t>
            </w:r>
          </w:p>
        </w:tc>
      </w:tr>
      <w:tr>
        <w:tc>
          <w:tcPr>
            <w:tcW w:w="964" w:type="dxa"/>
          </w:tcPr>
          <w:bookmarkStart w:id="57665" w:name="P57665"/>
          <w:bookmarkEnd w:id="57665"/>
          <w:p>
            <w:pPr>
              <w:pStyle w:val="0"/>
            </w:pPr>
            <w:r>
              <w:rPr>
                <w:sz w:val="24"/>
              </w:rPr>
              <w:t xml:space="preserve">2.4.1.1.2</w:t>
            </w:r>
          </w:p>
        </w:tc>
        <w:tc>
          <w:tcPr>
            <w:tcW w:w="2891" w:type="dxa"/>
          </w:tcPr>
          <w:p>
            <w:pPr>
              <w:pStyle w:val="0"/>
            </w:pPr>
            <w:r>
              <w:rPr>
                <w:sz w:val="24"/>
              </w:rPr>
            </w:r>
          </w:p>
        </w:tc>
        <w:tc>
          <w:tcPr>
            <w:tcW w:w="1814" w:type="dxa"/>
          </w:tcPr>
          <w:p>
            <w:pPr>
              <w:pStyle w:val="0"/>
            </w:pPr>
            <w:r>
              <w:rPr>
                <w:sz w:val="24"/>
              </w:rPr>
              <w:t xml:space="preserve">Добровольное страхование иных средств наземного транспорта (кроме средств железнодорожного транспорта)</w:t>
            </w:r>
          </w:p>
        </w:tc>
        <w:tc>
          <w:tcPr>
            <w:tcW w:w="3402" w:type="dxa"/>
          </w:tcPr>
          <w:p>
            <w:pPr>
              <w:pStyle w:val="0"/>
            </w:pPr>
            <w:r>
              <w:rPr>
                <w:sz w:val="24"/>
              </w:rPr>
              <w:t xml:space="preserve">mem-int:DobrStrSrNazTrKrZhd_InyeNazTsMember</w:t>
            </w:r>
          </w:p>
        </w:tc>
      </w:tr>
      <w:tr>
        <w:tc>
          <w:tcPr>
            <w:tcW w:w="964" w:type="dxa"/>
          </w:tcPr>
          <w:bookmarkStart w:id="57669" w:name="P57669"/>
          <w:bookmarkEnd w:id="57669"/>
          <w:p>
            <w:pPr>
              <w:pStyle w:val="0"/>
            </w:pPr>
            <w:r>
              <w:rPr>
                <w:sz w:val="24"/>
              </w:rPr>
              <w:t xml:space="preserve">2.4.1.2</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железнодорожного транспорта</w:t>
            </w:r>
          </w:p>
        </w:tc>
        <w:tc>
          <w:tcPr>
            <w:tcW w:w="3402" w:type="dxa"/>
          </w:tcPr>
          <w:p>
            <w:pPr>
              <w:pStyle w:val="0"/>
            </w:pPr>
            <w:r>
              <w:rPr>
                <w:sz w:val="24"/>
              </w:rPr>
              <w:t xml:space="preserve">mem-int:DobrStrSrZhdTrMember</w:t>
            </w:r>
          </w:p>
        </w:tc>
      </w:tr>
      <w:tr>
        <w:tc>
          <w:tcPr>
            <w:tcW w:w="964" w:type="dxa"/>
          </w:tcPr>
          <w:p>
            <w:pPr>
              <w:pStyle w:val="0"/>
            </w:pPr>
            <w:r>
              <w:rPr>
                <w:sz w:val="24"/>
              </w:rPr>
              <w:t xml:space="preserve">2.4.1.3</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воздушного транспорта</w:t>
            </w:r>
          </w:p>
        </w:tc>
        <w:tc>
          <w:tcPr>
            <w:tcW w:w="3402" w:type="dxa"/>
          </w:tcPr>
          <w:p>
            <w:pPr>
              <w:pStyle w:val="0"/>
            </w:pPr>
            <w:r>
              <w:rPr>
                <w:sz w:val="24"/>
              </w:rPr>
              <w:t xml:space="preserve">mem-int:DobrStrSrVozdTrMember</w:t>
            </w:r>
          </w:p>
        </w:tc>
      </w:tr>
      <w:tr>
        <w:tc>
          <w:tcPr>
            <w:tcW w:w="964" w:type="dxa"/>
          </w:tcPr>
          <w:bookmarkStart w:id="57677" w:name="P57677"/>
          <w:bookmarkEnd w:id="57677"/>
          <w:p>
            <w:pPr>
              <w:pStyle w:val="0"/>
            </w:pPr>
            <w:r>
              <w:rPr>
                <w:sz w:val="24"/>
              </w:rPr>
              <w:t xml:space="preserve">2.4.1.4</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водного транспорта</w:t>
            </w:r>
          </w:p>
        </w:tc>
        <w:tc>
          <w:tcPr>
            <w:tcW w:w="3402" w:type="dxa"/>
          </w:tcPr>
          <w:p>
            <w:pPr>
              <w:pStyle w:val="0"/>
            </w:pPr>
            <w:r>
              <w:rPr>
                <w:sz w:val="24"/>
              </w:rPr>
              <w:t xml:space="preserve">mem-int:DobrStrSrVodTrMember</w:t>
            </w:r>
          </w:p>
        </w:tc>
      </w:tr>
      <w:tr>
        <w:tc>
          <w:tcPr>
            <w:tcW w:w="964" w:type="dxa"/>
          </w:tcPr>
          <w:bookmarkStart w:id="57681" w:name="P57681"/>
          <w:bookmarkEnd w:id="57681"/>
          <w:p>
            <w:pPr>
              <w:pStyle w:val="0"/>
            </w:pPr>
            <w:r>
              <w:rPr>
                <w:sz w:val="24"/>
              </w:rPr>
              <w:t xml:space="preserve">2.4.1.4.1</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морского транспорта</w:t>
            </w:r>
          </w:p>
        </w:tc>
        <w:tc>
          <w:tcPr>
            <w:tcW w:w="3402" w:type="dxa"/>
          </w:tcPr>
          <w:p>
            <w:pPr>
              <w:pStyle w:val="0"/>
            </w:pPr>
            <w:r>
              <w:rPr>
                <w:sz w:val="24"/>
              </w:rPr>
              <w:t xml:space="preserve">mem-int:DobrStrSrVodTr_MorTsMember</w:t>
            </w:r>
          </w:p>
        </w:tc>
      </w:tr>
      <w:tr>
        <w:tc>
          <w:tcPr>
            <w:tcW w:w="964" w:type="dxa"/>
          </w:tcPr>
          <w:bookmarkStart w:id="57685" w:name="P57685"/>
          <w:bookmarkEnd w:id="57685"/>
          <w:p>
            <w:pPr>
              <w:pStyle w:val="0"/>
            </w:pPr>
            <w:r>
              <w:rPr>
                <w:sz w:val="24"/>
              </w:rPr>
              <w:t xml:space="preserve">2.4.1.4.2</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внутреннего водного транспорта</w:t>
            </w:r>
          </w:p>
        </w:tc>
        <w:tc>
          <w:tcPr>
            <w:tcW w:w="3402" w:type="dxa"/>
          </w:tcPr>
          <w:p>
            <w:pPr>
              <w:pStyle w:val="0"/>
            </w:pPr>
            <w:r>
              <w:rPr>
                <w:sz w:val="24"/>
              </w:rPr>
              <w:t xml:space="preserve">mem-int:DobrStrSrVodTr_VnutrVodTsMember</w:t>
            </w:r>
          </w:p>
        </w:tc>
      </w:tr>
      <w:tr>
        <w:tc>
          <w:tcPr>
            <w:tcW w:w="964" w:type="dxa"/>
          </w:tcPr>
          <w:bookmarkStart w:id="57689" w:name="P57689"/>
          <w:bookmarkEnd w:id="57689"/>
          <w:p>
            <w:pPr>
              <w:pStyle w:val="0"/>
            </w:pPr>
            <w:r>
              <w:rPr>
                <w:sz w:val="24"/>
              </w:rPr>
              <w:t xml:space="preserve">2.4.1.5</w:t>
            </w:r>
          </w:p>
        </w:tc>
        <w:tc>
          <w:tcPr>
            <w:tcW w:w="2891" w:type="dxa"/>
          </w:tcPr>
          <w:p>
            <w:pPr>
              <w:pStyle w:val="0"/>
            </w:pPr>
            <w:r>
              <w:rPr>
                <w:sz w:val="24"/>
              </w:rPr>
            </w:r>
          </w:p>
        </w:tc>
        <w:tc>
          <w:tcPr>
            <w:tcW w:w="1814" w:type="dxa"/>
          </w:tcPr>
          <w:p>
            <w:pPr>
              <w:pStyle w:val="0"/>
            </w:pPr>
            <w:r>
              <w:rPr>
                <w:sz w:val="24"/>
              </w:rPr>
              <w:t xml:space="preserve">Добровольное страхование грузов</w:t>
            </w:r>
          </w:p>
        </w:tc>
        <w:tc>
          <w:tcPr>
            <w:tcW w:w="3402" w:type="dxa"/>
          </w:tcPr>
          <w:p>
            <w:pPr>
              <w:pStyle w:val="0"/>
            </w:pPr>
            <w:r>
              <w:rPr>
                <w:sz w:val="24"/>
              </w:rPr>
              <w:t xml:space="preserve">mem-int:DobrStrGruzMember</w:t>
            </w:r>
          </w:p>
        </w:tc>
      </w:tr>
      <w:tr>
        <w:tc>
          <w:tcPr>
            <w:tcW w:w="964" w:type="dxa"/>
          </w:tcPr>
          <w:bookmarkStart w:id="57693" w:name="P57693"/>
          <w:bookmarkEnd w:id="57693"/>
          <w:p>
            <w:pPr>
              <w:pStyle w:val="0"/>
            </w:pPr>
            <w:r>
              <w:rPr>
                <w:sz w:val="24"/>
              </w:rPr>
              <w:t xml:space="preserve">2.4.1.6</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w:t>
            </w:r>
          </w:p>
        </w:tc>
        <w:tc>
          <w:tcPr>
            <w:tcW w:w="3402" w:type="dxa"/>
          </w:tcPr>
          <w:p>
            <w:pPr>
              <w:pStyle w:val="0"/>
            </w:pPr>
            <w:r>
              <w:rPr>
                <w:sz w:val="24"/>
              </w:rPr>
              <w:t xml:space="preserve">mem-int:DobrSxStrMember</w:t>
            </w:r>
          </w:p>
        </w:tc>
      </w:tr>
      <w:tr>
        <w:tc>
          <w:tcPr>
            <w:tcW w:w="964" w:type="dxa"/>
          </w:tcPr>
          <w:bookmarkStart w:id="57697" w:name="P57697"/>
          <w:bookmarkEnd w:id="57697"/>
          <w:p>
            <w:pPr>
              <w:pStyle w:val="0"/>
            </w:pPr>
            <w:r>
              <w:rPr>
                <w:sz w:val="24"/>
              </w:rPr>
              <w:t xml:space="preserve">2.4.1.6.1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урожая сельскохозяйственных культур</w:t>
            </w:r>
          </w:p>
        </w:tc>
        <w:tc>
          <w:tcPr>
            <w:tcW w:w="3402" w:type="dxa"/>
          </w:tcPr>
          <w:p>
            <w:pPr>
              <w:pStyle w:val="0"/>
            </w:pPr>
            <w:r>
              <w:rPr>
                <w:sz w:val="24"/>
              </w:rPr>
              <w:t xml:space="preserve">mem-int:DobrSxStr_UrozhajSxKulturMember</w:t>
            </w:r>
          </w:p>
        </w:tc>
      </w:tr>
      <w:tr>
        <w:tc>
          <w:tcPr>
            <w:tcW w:w="964" w:type="dxa"/>
          </w:tcPr>
          <w:p>
            <w:pPr>
              <w:pStyle w:val="0"/>
            </w:pPr>
            <w:r>
              <w:rPr>
                <w:sz w:val="24"/>
              </w:rPr>
              <w:t xml:space="preserve">2.4.1.6.2</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посадок многолетних насаждений</w:t>
            </w:r>
          </w:p>
        </w:tc>
        <w:tc>
          <w:tcPr>
            <w:tcW w:w="3402" w:type="dxa"/>
          </w:tcPr>
          <w:p>
            <w:pPr>
              <w:pStyle w:val="0"/>
            </w:pPr>
            <w:r>
              <w:rPr>
                <w:sz w:val="24"/>
              </w:rPr>
              <w:t xml:space="preserve">mem-int:DobrSxStr_PosadMnogoletNasazhdMember</w:t>
            </w:r>
          </w:p>
        </w:tc>
      </w:tr>
      <w:tr>
        <w:tc>
          <w:tcPr>
            <w:tcW w:w="964" w:type="dxa"/>
          </w:tcPr>
          <w:p>
            <w:pPr>
              <w:pStyle w:val="0"/>
            </w:pPr>
            <w:r>
              <w:rPr>
                <w:sz w:val="24"/>
              </w:rPr>
              <w:t xml:space="preserve">2.4.1.6.3</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сельскохозяйственных животных</w:t>
            </w:r>
          </w:p>
        </w:tc>
        <w:tc>
          <w:tcPr>
            <w:tcW w:w="3402" w:type="dxa"/>
          </w:tcPr>
          <w:p>
            <w:pPr>
              <w:pStyle w:val="0"/>
            </w:pPr>
            <w:r>
              <w:rPr>
                <w:sz w:val="24"/>
              </w:rPr>
              <w:t xml:space="preserve">mem-int:DobrSxStr_SxZhivotnyxMember</w:t>
            </w:r>
          </w:p>
        </w:tc>
      </w:tr>
      <w:tr>
        <w:tc>
          <w:tcPr>
            <w:tcW w:w="964" w:type="dxa"/>
          </w:tcPr>
          <w:bookmarkStart w:id="57709" w:name="P57709"/>
          <w:bookmarkEnd w:id="57709"/>
          <w:p>
            <w:pPr>
              <w:pStyle w:val="0"/>
            </w:pPr>
            <w:r>
              <w:rPr>
                <w:sz w:val="24"/>
              </w:rPr>
              <w:t xml:space="preserve">2.4.1.6.4</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объектов товарной аквакультуры (товарного рыбоводства)</w:t>
            </w:r>
          </w:p>
        </w:tc>
        <w:tc>
          <w:tcPr>
            <w:tcW w:w="3402" w:type="dxa"/>
          </w:tcPr>
          <w:p>
            <w:pPr>
              <w:pStyle w:val="0"/>
            </w:pPr>
            <w:r>
              <w:rPr>
                <w:sz w:val="24"/>
              </w:rPr>
              <w:t xml:space="preserve">mem-int:DobrSxStr_ObTovAkvKultMember</w:t>
            </w:r>
          </w:p>
        </w:tc>
      </w:tr>
      <w:tr>
        <w:tc>
          <w:tcPr>
            <w:tcW w:w="964" w:type="dxa"/>
          </w:tcPr>
          <w:bookmarkStart w:id="57713" w:name="P57713"/>
          <w:bookmarkEnd w:id="57713"/>
          <w:p>
            <w:pPr>
              <w:pStyle w:val="0"/>
            </w:pPr>
            <w:r>
              <w:rPr>
                <w:sz w:val="24"/>
              </w:rPr>
              <w:t xml:space="preserve">2.4.1.7</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юридических лиц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mem-int:DobrStrImYurLiczMember</w:t>
            </w:r>
          </w:p>
        </w:tc>
      </w:tr>
      <w:tr>
        <w:tc>
          <w:tcPr>
            <w:tcW w:w="964" w:type="dxa"/>
          </w:tcPr>
          <w:bookmarkStart w:id="57717" w:name="P57717"/>
          <w:bookmarkEnd w:id="57717"/>
          <w:p>
            <w:pPr>
              <w:pStyle w:val="0"/>
            </w:pPr>
            <w:r>
              <w:rPr>
                <w:sz w:val="24"/>
              </w:rPr>
              <w:t xml:space="preserve">2.4.1.7.1</w:t>
            </w:r>
          </w:p>
        </w:tc>
        <w:tc>
          <w:tcPr>
            <w:tcW w:w="2891" w:type="dxa"/>
          </w:tcPr>
          <w:p>
            <w:pPr>
              <w:pStyle w:val="0"/>
            </w:pPr>
            <w:r>
              <w:rPr>
                <w:sz w:val="24"/>
              </w:rPr>
            </w:r>
          </w:p>
        </w:tc>
        <w:tc>
          <w:tcPr>
            <w:tcW w:w="1814" w:type="dxa"/>
          </w:tcPr>
          <w:p>
            <w:pPr>
              <w:pStyle w:val="0"/>
            </w:pPr>
            <w:r>
              <w:rPr>
                <w:sz w:val="24"/>
              </w:rPr>
              <w:t xml:space="preserve">Добровольное страхование товаров на складе</w:t>
            </w:r>
          </w:p>
        </w:tc>
        <w:tc>
          <w:tcPr>
            <w:tcW w:w="3402" w:type="dxa"/>
          </w:tcPr>
          <w:p>
            <w:pPr>
              <w:pStyle w:val="0"/>
            </w:pPr>
            <w:r>
              <w:rPr>
                <w:sz w:val="24"/>
              </w:rPr>
              <w:t xml:space="preserve">mem-int:DobrStrImYurLicz_TovarySkladMember</w:t>
            </w:r>
          </w:p>
        </w:tc>
      </w:tr>
      <w:tr>
        <w:tc>
          <w:tcPr>
            <w:tcW w:w="964" w:type="dxa"/>
          </w:tcPr>
          <w:p>
            <w:pPr>
              <w:pStyle w:val="0"/>
            </w:pPr>
            <w:r>
              <w:rPr>
                <w:sz w:val="24"/>
              </w:rPr>
              <w:t xml:space="preserve">2.4.1.7.2</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используемого при проведении строительно-монтажных работ</w:t>
            </w:r>
          </w:p>
        </w:tc>
        <w:tc>
          <w:tcPr>
            <w:tcW w:w="3402" w:type="dxa"/>
          </w:tcPr>
          <w:p>
            <w:pPr>
              <w:pStyle w:val="0"/>
            </w:pPr>
            <w:r>
              <w:rPr>
                <w:sz w:val="24"/>
              </w:rPr>
              <w:t xml:space="preserve">mem-int:DobrStrImYurLicz_ImushhSmRabMember</w:t>
            </w:r>
          </w:p>
        </w:tc>
      </w:tr>
      <w:tr>
        <w:tc>
          <w:tcPr>
            <w:tcW w:w="964" w:type="dxa"/>
          </w:tcPr>
          <w:bookmarkStart w:id="57725" w:name="P57725"/>
          <w:bookmarkEnd w:id="57725"/>
          <w:p>
            <w:pPr>
              <w:pStyle w:val="0"/>
            </w:pPr>
            <w:r>
              <w:rPr>
                <w:sz w:val="24"/>
              </w:rPr>
              <w:t xml:space="preserve">2.4.1.7.3</w:t>
            </w:r>
          </w:p>
        </w:tc>
        <w:tc>
          <w:tcPr>
            <w:tcW w:w="2891" w:type="dxa"/>
          </w:tcPr>
          <w:p>
            <w:pPr>
              <w:pStyle w:val="0"/>
            </w:pPr>
            <w:r>
              <w:rPr>
                <w:sz w:val="24"/>
              </w:rPr>
            </w:r>
          </w:p>
        </w:tc>
        <w:tc>
          <w:tcPr>
            <w:tcW w:w="1814" w:type="dxa"/>
          </w:tcPr>
          <w:p>
            <w:pPr>
              <w:pStyle w:val="0"/>
            </w:pPr>
            <w:r>
              <w:rPr>
                <w:sz w:val="24"/>
              </w:rPr>
              <w:t xml:space="preserve">Добровольное страхование прочего имущества юридических лиц</w:t>
            </w:r>
          </w:p>
        </w:tc>
        <w:tc>
          <w:tcPr>
            <w:tcW w:w="3402" w:type="dxa"/>
          </w:tcPr>
          <w:p>
            <w:pPr>
              <w:pStyle w:val="0"/>
            </w:pPr>
            <w:r>
              <w:rPr>
                <w:sz w:val="24"/>
              </w:rPr>
              <w:t xml:space="preserve">mem-int:DobrStrImYurLicz_ProchImushhYulMember</w:t>
            </w:r>
          </w:p>
        </w:tc>
      </w:tr>
      <w:tr>
        <w:tc>
          <w:tcPr>
            <w:tcW w:w="964" w:type="dxa"/>
          </w:tcPr>
          <w:bookmarkStart w:id="57729" w:name="P57729"/>
          <w:bookmarkEnd w:id="57729"/>
          <w:p>
            <w:pPr>
              <w:pStyle w:val="0"/>
            </w:pPr>
            <w:r>
              <w:rPr>
                <w:sz w:val="24"/>
              </w:rPr>
              <w:t xml:space="preserve">2.4.1.8</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граждан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mem-int:DobrStrImGrazhdMember</w:t>
            </w:r>
          </w:p>
        </w:tc>
      </w:tr>
      <w:tr>
        <w:tc>
          <w:tcPr>
            <w:tcW w:w="964" w:type="dxa"/>
          </w:tcPr>
          <w:bookmarkStart w:id="57733" w:name="P57733"/>
          <w:bookmarkEnd w:id="57733"/>
          <w:p>
            <w:pPr>
              <w:pStyle w:val="0"/>
            </w:pPr>
            <w:r>
              <w:rPr>
                <w:sz w:val="24"/>
              </w:rPr>
              <w:t xml:space="preserve">2.4.1.8.1</w:t>
            </w:r>
          </w:p>
        </w:tc>
        <w:tc>
          <w:tcPr>
            <w:tcW w:w="2891" w:type="dxa"/>
          </w:tcPr>
          <w:p>
            <w:pPr>
              <w:pStyle w:val="0"/>
            </w:pPr>
            <w:r>
              <w:rPr>
                <w:sz w:val="24"/>
              </w:rPr>
            </w:r>
          </w:p>
        </w:tc>
        <w:tc>
          <w:tcPr>
            <w:tcW w:w="1814" w:type="dxa"/>
          </w:tcPr>
          <w:p>
            <w:pPr>
              <w:pStyle w:val="0"/>
            </w:pPr>
            <w:r>
              <w:rPr>
                <w:sz w:val="24"/>
              </w:rPr>
              <w:t xml:space="preserve">Добровольное страхование строений граждан</w:t>
            </w:r>
          </w:p>
        </w:tc>
        <w:tc>
          <w:tcPr>
            <w:tcW w:w="3402" w:type="dxa"/>
          </w:tcPr>
          <w:p>
            <w:pPr>
              <w:pStyle w:val="0"/>
            </w:pPr>
            <w:r>
              <w:rPr>
                <w:sz w:val="24"/>
              </w:rPr>
              <w:t xml:space="preserve">mem-int:DobrStrImGrazhd_StrGrazhdanMember</w:t>
            </w:r>
          </w:p>
        </w:tc>
      </w:tr>
      <w:tr>
        <w:tc>
          <w:tcPr>
            <w:tcW w:w="964" w:type="dxa"/>
          </w:tcPr>
          <w:p>
            <w:pPr>
              <w:pStyle w:val="0"/>
            </w:pPr>
            <w:r>
              <w:rPr>
                <w:sz w:val="24"/>
              </w:rPr>
              <w:t xml:space="preserve">2.4.1.8.2</w:t>
            </w:r>
          </w:p>
        </w:tc>
        <w:tc>
          <w:tcPr>
            <w:tcW w:w="2891" w:type="dxa"/>
          </w:tcPr>
          <w:p>
            <w:pPr>
              <w:pStyle w:val="0"/>
            </w:pPr>
            <w:r>
              <w:rPr>
                <w:sz w:val="24"/>
              </w:rPr>
            </w:r>
          </w:p>
        </w:tc>
        <w:tc>
          <w:tcPr>
            <w:tcW w:w="1814" w:type="dxa"/>
          </w:tcPr>
          <w:p>
            <w:pPr>
              <w:pStyle w:val="0"/>
            </w:pPr>
            <w:r>
              <w:rPr>
                <w:sz w:val="24"/>
              </w:rPr>
              <w:t xml:space="preserve">Добровольное страхование домашнего имущества</w:t>
            </w:r>
          </w:p>
        </w:tc>
        <w:tc>
          <w:tcPr>
            <w:tcW w:w="3402" w:type="dxa"/>
          </w:tcPr>
          <w:p>
            <w:pPr>
              <w:pStyle w:val="0"/>
            </w:pPr>
            <w:r>
              <w:rPr>
                <w:sz w:val="24"/>
              </w:rPr>
              <w:t xml:space="preserve">mem-int:DobrStrImGrazhd_DomImushhMember</w:t>
            </w:r>
          </w:p>
        </w:tc>
      </w:tr>
      <w:tr>
        <w:tc>
          <w:tcPr>
            <w:tcW w:w="964" w:type="dxa"/>
          </w:tcPr>
          <w:bookmarkStart w:id="57741" w:name="P57741"/>
          <w:bookmarkEnd w:id="57741"/>
          <w:p>
            <w:pPr>
              <w:pStyle w:val="0"/>
            </w:pPr>
            <w:r>
              <w:rPr>
                <w:sz w:val="24"/>
              </w:rPr>
              <w:t xml:space="preserve">2.4.1.8.3</w:t>
            </w:r>
          </w:p>
        </w:tc>
        <w:tc>
          <w:tcPr>
            <w:tcW w:w="2891" w:type="dxa"/>
          </w:tcPr>
          <w:p>
            <w:pPr>
              <w:pStyle w:val="0"/>
            </w:pPr>
            <w:r>
              <w:rPr>
                <w:sz w:val="24"/>
              </w:rPr>
            </w:r>
          </w:p>
        </w:tc>
        <w:tc>
          <w:tcPr>
            <w:tcW w:w="1814" w:type="dxa"/>
          </w:tcPr>
          <w:p>
            <w:pPr>
              <w:pStyle w:val="0"/>
            </w:pPr>
            <w:r>
              <w:rPr>
                <w:sz w:val="24"/>
              </w:rPr>
              <w:t xml:space="preserve">Добровольное страхование прочего имущества граждан</w:t>
            </w:r>
          </w:p>
        </w:tc>
        <w:tc>
          <w:tcPr>
            <w:tcW w:w="3402" w:type="dxa"/>
          </w:tcPr>
          <w:p>
            <w:pPr>
              <w:pStyle w:val="0"/>
            </w:pPr>
            <w:r>
              <w:rPr>
                <w:sz w:val="24"/>
              </w:rPr>
              <w:t xml:space="preserve">mem-int:DobrStrImGrazhd_ProchImushhGrazhdanMember</w:t>
            </w:r>
          </w:p>
        </w:tc>
      </w:tr>
      <w:tr>
        <w:tc>
          <w:tcPr>
            <w:tcW w:w="964" w:type="dxa"/>
          </w:tcPr>
          <w:bookmarkStart w:id="57745" w:name="P57745"/>
          <w:bookmarkEnd w:id="57745"/>
          <w:p>
            <w:pPr>
              <w:pStyle w:val="0"/>
            </w:pPr>
            <w:r>
              <w:rPr>
                <w:sz w:val="24"/>
              </w:rPr>
              <w:t xml:space="preserve">2.4.2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w:t>
            </w:r>
          </w:p>
        </w:tc>
        <w:tc>
          <w:tcPr>
            <w:tcW w:w="3402" w:type="dxa"/>
          </w:tcPr>
          <w:p>
            <w:pPr>
              <w:pStyle w:val="0"/>
            </w:pPr>
            <w:r>
              <w:rPr>
                <w:sz w:val="24"/>
              </w:rPr>
              <w:t xml:space="preserve">mem-int:DobrStrGrazhdOtvMember</w:t>
            </w:r>
          </w:p>
        </w:tc>
      </w:tr>
      <w:tr>
        <w:tc>
          <w:tcPr>
            <w:tcW w:w="964" w:type="dxa"/>
          </w:tcPr>
          <w:bookmarkStart w:id="57749" w:name="P57749"/>
          <w:bookmarkEnd w:id="57749"/>
          <w:p>
            <w:pPr>
              <w:pStyle w:val="0"/>
            </w:pPr>
            <w:r>
              <w:rPr>
                <w:sz w:val="24"/>
              </w:rPr>
              <w:t xml:space="preserve">2.4.2.1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наземного транспорта (кроме средств железнодорожного транспорта)</w:t>
            </w:r>
          </w:p>
        </w:tc>
        <w:tc>
          <w:tcPr>
            <w:tcW w:w="3402" w:type="dxa"/>
          </w:tcPr>
          <w:p>
            <w:pPr>
              <w:pStyle w:val="0"/>
            </w:pPr>
            <w:r>
              <w:rPr>
                <w:sz w:val="24"/>
              </w:rPr>
              <w:t xml:space="preserve">mem-int:DobrStrGrOtvVladSrNazTrKrZhdMember</w:t>
            </w:r>
          </w:p>
        </w:tc>
      </w:tr>
      <w:tr>
        <w:tc>
          <w:tcPr>
            <w:tcW w:w="964" w:type="dxa"/>
          </w:tcPr>
          <w:bookmarkStart w:id="57753" w:name="P57753"/>
          <w:bookmarkEnd w:id="57753"/>
          <w:p>
            <w:pPr>
              <w:pStyle w:val="0"/>
            </w:pPr>
            <w:r>
              <w:rPr>
                <w:sz w:val="24"/>
              </w:rPr>
              <w:t xml:space="preserve">2.4.2.1.1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автотранспортных средств (кроме страхования, осуществляемого в рамках международных систем страхования)</w:t>
            </w:r>
          </w:p>
        </w:tc>
        <w:tc>
          <w:tcPr>
            <w:tcW w:w="3402" w:type="dxa"/>
          </w:tcPr>
          <w:p>
            <w:pPr>
              <w:pStyle w:val="0"/>
            </w:pPr>
            <w:r>
              <w:rPr>
                <w:sz w:val="24"/>
              </w:rPr>
              <w:t xml:space="preserve">mem-int:DobrStrGrOtvVladSrNazTrKrZhd_StraxGoAvtoKromeZkMember</w:t>
            </w:r>
          </w:p>
        </w:tc>
      </w:tr>
      <w:tr>
        <w:tc>
          <w:tcPr>
            <w:tcW w:w="964" w:type="dxa"/>
          </w:tcPr>
          <w:p>
            <w:pPr>
              <w:pStyle w:val="0"/>
            </w:pPr>
            <w:r>
              <w:rPr>
                <w:sz w:val="24"/>
              </w:rPr>
              <w:t xml:space="preserve">2.4.2.1.2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автотранспортных средств (страхование, осуществляемое в рамках международных систем страхования)</w:t>
            </w:r>
          </w:p>
        </w:tc>
        <w:tc>
          <w:tcPr>
            <w:tcW w:w="3402" w:type="dxa"/>
          </w:tcPr>
          <w:p>
            <w:pPr>
              <w:pStyle w:val="0"/>
            </w:pPr>
            <w:r>
              <w:rPr>
                <w:sz w:val="24"/>
              </w:rPr>
              <w:t xml:space="preserve">mem-int:DobrStrGrOtvVladSrNazTrKrZhd_StraxGoAvtoZkMember</w:t>
            </w:r>
          </w:p>
        </w:tc>
      </w:tr>
      <w:tr>
        <w:tc>
          <w:tcPr>
            <w:tcW w:w="964" w:type="dxa"/>
          </w:tcPr>
          <w:bookmarkStart w:id="57761" w:name="P57761"/>
          <w:bookmarkEnd w:id="57761"/>
          <w:p>
            <w:pPr>
              <w:pStyle w:val="0"/>
            </w:pPr>
            <w:r>
              <w:rPr>
                <w:sz w:val="24"/>
              </w:rPr>
              <w:t xml:space="preserve">2.4.2.1.3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иных средств наземного транспорта (кроме средств железнодорожного транспорта)</w:t>
            </w:r>
          </w:p>
        </w:tc>
        <w:tc>
          <w:tcPr>
            <w:tcW w:w="3402" w:type="dxa"/>
          </w:tcPr>
          <w:p>
            <w:pPr>
              <w:pStyle w:val="0"/>
            </w:pPr>
            <w:r>
              <w:rPr>
                <w:sz w:val="24"/>
              </w:rPr>
              <w:t xml:space="preserve">mem-int:DobrStrGrOtvVladSrNazTrKrZhd_StraxGoInyxNazTsMember</w:t>
            </w:r>
          </w:p>
        </w:tc>
      </w:tr>
      <w:tr>
        <w:tc>
          <w:tcPr>
            <w:tcW w:w="964" w:type="dxa"/>
          </w:tcPr>
          <w:bookmarkStart w:id="57765" w:name="P57765"/>
          <w:bookmarkEnd w:id="57765"/>
          <w:p>
            <w:pPr>
              <w:pStyle w:val="0"/>
            </w:pPr>
            <w:r>
              <w:rPr>
                <w:sz w:val="24"/>
              </w:rPr>
              <w:t xml:space="preserve">2.4.2.2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железнодорожного транспорта</w:t>
            </w:r>
          </w:p>
        </w:tc>
        <w:tc>
          <w:tcPr>
            <w:tcW w:w="3402" w:type="dxa"/>
          </w:tcPr>
          <w:p>
            <w:pPr>
              <w:pStyle w:val="0"/>
            </w:pPr>
            <w:r>
              <w:rPr>
                <w:sz w:val="24"/>
              </w:rPr>
              <w:t xml:space="preserve">mem-int:DobrStrGrOtvVladSrZhdTrMember</w:t>
            </w:r>
          </w:p>
        </w:tc>
      </w:tr>
      <w:tr>
        <w:tc>
          <w:tcPr>
            <w:tcW w:w="964" w:type="dxa"/>
          </w:tcPr>
          <w:p>
            <w:pPr>
              <w:pStyle w:val="0"/>
            </w:pPr>
            <w:r>
              <w:rPr>
                <w:sz w:val="24"/>
              </w:rPr>
              <w:t xml:space="preserve">2.4.2.3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воздушного транспорта</w:t>
            </w:r>
          </w:p>
        </w:tc>
        <w:tc>
          <w:tcPr>
            <w:tcW w:w="3402" w:type="dxa"/>
          </w:tcPr>
          <w:p>
            <w:pPr>
              <w:pStyle w:val="0"/>
            </w:pPr>
            <w:r>
              <w:rPr>
                <w:sz w:val="24"/>
              </w:rPr>
              <w:t xml:space="preserve">mem-int:DobrStrGrOtvVladSrVozdTrMember</w:t>
            </w:r>
          </w:p>
        </w:tc>
      </w:tr>
      <w:tr>
        <w:tc>
          <w:tcPr>
            <w:tcW w:w="964" w:type="dxa"/>
          </w:tcPr>
          <w:bookmarkStart w:id="57773" w:name="P57773"/>
          <w:bookmarkEnd w:id="57773"/>
          <w:p>
            <w:pPr>
              <w:pStyle w:val="0"/>
            </w:pPr>
            <w:r>
              <w:rPr>
                <w:sz w:val="24"/>
              </w:rPr>
              <w:t xml:space="preserve">2.4.2.4</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водного транспорта</w:t>
            </w:r>
          </w:p>
        </w:tc>
        <w:tc>
          <w:tcPr>
            <w:tcW w:w="3402" w:type="dxa"/>
          </w:tcPr>
          <w:p>
            <w:pPr>
              <w:pStyle w:val="0"/>
            </w:pPr>
            <w:r>
              <w:rPr>
                <w:sz w:val="24"/>
              </w:rPr>
              <w:t xml:space="preserve">mem-int:DobrStrGrOtvVladSrVodTrMember</w:t>
            </w:r>
          </w:p>
        </w:tc>
      </w:tr>
      <w:tr>
        <w:tc>
          <w:tcPr>
            <w:tcW w:w="964" w:type="dxa"/>
          </w:tcPr>
          <w:bookmarkStart w:id="57777" w:name="P57777"/>
          <w:bookmarkEnd w:id="57777"/>
          <w:p>
            <w:pPr>
              <w:pStyle w:val="0"/>
            </w:pPr>
            <w:r>
              <w:rPr>
                <w:sz w:val="24"/>
              </w:rPr>
              <w:t xml:space="preserve">2.4.2.4.1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морского транспорта</w:t>
            </w:r>
          </w:p>
        </w:tc>
        <w:tc>
          <w:tcPr>
            <w:tcW w:w="3402" w:type="dxa"/>
          </w:tcPr>
          <w:p>
            <w:pPr>
              <w:pStyle w:val="0"/>
            </w:pPr>
            <w:r>
              <w:rPr>
                <w:sz w:val="24"/>
              </w:rPr>
              <w:t xml:space="preserve">mem-int:DobrStrGrOtvVladSrVodTr_MorTsMember</w:t>
            </w:r>
          </w:p>
        </w:tc>
      </w:tr>
      <w:tr>
        <w:tc>
          <w:tcPr>
            <w:tcW w:w="964" w:type="dxa"/>
          </w:tcPr>
          <w:bookmarkStart w:id="57781" w:name="P57781"/>
          <w:bookmarkEnd w:id="57781"/>
          <w:p>
            <w:pPr>
              <w:pStyle w:val="0"/>
            </w:pPr>
            <w:r>
              <w:rPr>
                <w:sz w:val="24"/>
              </w:rPr>
              <w:t xml:space="preserve">2.4.2.4.2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внутреннего водного транспорта</w:t>
            </w:r>
          </w:p>
        </w:tc>
        <w:tc>
          <w:tcPr>
            <w:tcW w:w="3402" w:type="dxa"/>
          </w:tcPr>
          <w:p>
            <w:pPr>
              <w:pStyle w:val="0"/>
            </w:pPr>
            <w:r>
              <w:rPr>
                <w:sz w:val="24"/>
              </w:rPr>
              <w:t xml:space="preserve">mem-int:DobrStrGrOtvVladSrVodTr_VnutrVodTsMember</w:t>
            </w:r>
          </w:p>
        </w:tc>
      </w:tr>
      <w:tr>
        <w:tc>
          <w:tcPr>
            <w:tcW w:w="964" w:type="dxa"/>
          </w:tcPr>
          <w:bookmarkStart w:id="57785" w:name="P57785"/>
          <w:bookmarkEnd w:id="57785"/>
          <w:p>
            <w:pPr>
              <w:pStyle w:val="0"/>
            </w:pPr>
            <w:r>
              <w:rPr>
                <w:sz w:val="24"/>
              </w:rPr>
              <w:t xml:space="preserve">2.4.2.5</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эксплуатирующих опасные объекты</w:t>
            </w:r>
          </w:p>
        </w:tc>
        <w:tc>
          <w:tcPr>
            <w:tcW w:w="3402" w:type="dxa"/>
          </w:tcPr>
          <w:p>
            <w:pPr>
              <w:pStyle w:val="0"/>
            </w:pPr>
            <w:r>
              <w:rPr>
                <w:sz w:val="24"/>
              </w:rPr>
              <w:t xml:space="preserve">mem-int:DobrStrGrOtvOrgEkspOpObMember</w:t>
            </w:r>
          </w:p>
        </w:tc>
      </w:tr>
      <w:tr>
        <w:tc>
          <w:tcPr>
            <w:tcW w:w="964" w:type="dxa"/>
          </w:tcPr>
          <w:bookmarkStart w:id="57789" w:name="P57789"/>
          <w:bookmarkEnd w:id="57789"/>
          <w:p>
            <w:pPr>
              <w:pStyle w:val="0"/>
            </w:pPr>
            <w:r>
              <w:rPr>
                <w:sz w:val="24"/>
              </w:rPr>
              <w:t xml:space="preserve">2.4.2.5.1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эксплуатирующих опасные производственные объекты</w:t>
            </w:r>
          </w:p>
        </w:tc>
        <w:tc>
          <w:tcPr>
            <w:tcW w:w="3402" w:type="dxa"/>
          </w:tcPr>
          <w:p>
            <w:pPr>
              <w:pStyle w:val="0"/>
            </w:pPr>
            <w:r>
              <w:rPr>
                <w:sz w:val="24"/>
              </w:rPr>
              <w:t xml:space="preserve">mem-int:DobrStrGrOtvOrgEkspOpOb_OpasnProizvObektyMember</w:t>
            </w:r>
          </w:p>
        </w:tc>
      </w:tr>
      <w:tr>
        <w:tc>
          <w:tcPr>
            <w:tcW w:w="964" w:type="dxa"/>
          </w:tcPr>
          <w:p>
            <w:pPr>
              <w:pStyle w:val="0"/>
            </w:pPr>
            <w:r>
              <w:rPr>
                <w:sz w:val="24"/>
              </w:rPr>
              <w:t xml:space="preserve">2.4.2.5.2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эксплуатирующих гидротехнические сооружения</w:t>
            </w:r>
          </w:p>
        </w:tc>
        <w:tc>
          <w:tcPr>
            <w:tcW w:w="3402" w:type="dxa"/>
          </w:tcPr>
          <w:p>
            <w:pPr>
              <w:pStyle w:val="0"/>
            </w:pPr>
            <w:r>
              <w:rPr>
                <w:sz w:val="24"/>
              </w:rPr>
              <w:t xml:space="preserve">mem-int:DobrStrGrOtvOrgEkspOpOb_GidrotexSooruzhMember</w:t>
            </w:r>
          </w:p>
        </w:tc>
      </w:tr>
      <w:tr>
        <w:tc>
          <w:tcPr>
            <w:tcW w:w="964" w:type="dxa"/>
          </w:tcPr>
          <w:bookmarkStart w:id="57797" w:name="P57797"/>
          <w:bookmarkEnd w:id="57797"/>
          <w:p>
            <w:pPr>
              <w:pStyle w:val="0"/>
            </w:pPr>
            <w:r>
              <w:rPr>
                <w:sz w:val="24"/>
              </w:rPr>
              <w:t xml:space="preserve">2.4.2.5.3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эксплуатирующих иные опасные объекты</w:t>
            </w:r>
          </w:p>
        </w:tc>
        <w:tc>
          <w:tcPr>
            <w:tcW w:w="3402" w:type="dxa"/>
          </w:tcPr>
          <w:p>
            <w:pPr>
              <w:pStyle w:val="0"/>
            </w:pPr>
            <w:r>
              <w:rPr>
                <w:sz w:val="24"/>
              </w:rPr>
              <w:t xml:space="preserve">mem-int:DobrStrGrOtvOrgEkspOpOb_InyeOpasnObektyMember</w:t>
            </w:r>
          </w:p>
        </w:tc>
      </w:tr>
      <w:tr>
        <w:tc>
          <w:tcPr>
            <w:tcW w:w="964" w:type="dxa"/>
          </w:tcPr>
          <w:bookmarkStart w:id="57801" w:name="P57801"/>
          <w:bookmarkEnd w:id="57801"/>
          <w:p>
            <w:pPr>
              <w:pStyle w:val="0"/>
            </w:pPr>
            <w:r>
              <w:rPr>
                <w:sz w:val="24"/>
              </w:rPr>
              <w:t xml:space="preserve">2.4.2.6</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вследствие недостатков товаров, работ, услуг</w:t>
            </w:r>
          </w:p>
        </w:tc>
        <w:tc>
          <w:tcPr>
            <w:tcW w:w="3402" w:type="dxa"/>
          </w:tcPr>
          <w:p>
            <w:pPr>
              <w:pStyle w:val="0"/>
            </w:pPr>
            <w:r>
              <w:rPr>
                <w:sz w:val="24"/>
              </w:rPr>
              <w:t xml:space="preserve">mem-int:DobrStrGrOtvPrichVredNedTovUslRabMember</w:t>
            </w:r>
          </w:p>
        </w:tc>
      </w:tr>
      <w:tr>
        <w:tc>
          <w:tcPr>
            <w:tcW w:w="964" w:type="dxa"/>
          </w:tcPr>
          <w:bookmarkStart w:id="57805" w:name="P57805"/>
          <w:bookmarkEnd w:id="57805"/>
          <w:p>
            <w:pPr>
              <w:pStyle w:val="0"/>
            </w:pPr>
            <w:r>
              <w:rPr>
                <w:sz w:val="24"/>
              </w:rPr>
              <w:t xml:space="preserve">2.4.2.6.1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изготовителей и продавцов товаров за причинение вреда вследствие недостатков товаров, работ, услуг</w:t>
            </w:r>
          </w:p>
        </w:tc>
        <w:tc>
          <w:tcPr>
            <w:tcW w:w="3402" w:type="dxa"/>
          </w:tcPr>
          <w:p>
            <w:pPr>
              <w:pStyle w:val="0"/>
            </w:pPr>
            <w:r>
              <w:rPr>
                <w:sz w:val="24"/>
              </w:rPr>
              <w:t xml:space="preserve">mem-int:DobrStrGrOtvPrichVredNedTovUslRab_StraxGoIzgotProdavTovMember</w:t>
            </w:r>
          </w:p>
        </w:tc>
      </w:tr>
      <w:tr>
        <w:tc>
          <w:tcPr>
            <w:tcW w:w="964" w:type="dxa"/>
          </w:tcPr>
          <w:bookmarkStart w:id="57809" w:name="P57809"/>
          <w:bookmarkEnd w:id="57809"/>
          <w:p>
            <w:pPr>
              <w:pStyle w:val="0"/>
            </w:pPr>
            <w:r>
              <w:rPr>
                <w:sz w:val="24"/>
              </w:rPr>
              <w:t xml:space="preserve">2.4.2.6.2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исполнителей работ, услуг за причинение вреда вследствие недостатков товаров, работ, услуг</w:t>
            </w:r>
          </w:p>
        </w:tc>
        <w:tc>
          <w:tcPr>
            <w:tcW w:w="3402" w:type="dxa"/>
          </w:tcPr>
          <w:p>
            <w:pPr>
              <w:pStyle w:val="0"/>
            </w:pPr>
            <w:r>
              <w:rPr>
                <w:sz w:val="24"/>
              </w:rPr>
              <w:t xml:space="preserve">mem-int:DobrStrGrOtvPrichVredNedTovUslRab_StraxGoIspolnRabotUslugMember</w:t>
            </w:r>
          </w:p>
        </w:tc>
      </w:tr>
      <w:tr>
        <w:tc>
          <w:tcPr>
            <w:tcW w:w="964" w:type="dxa"/>
          </w:tcPr>
          <w:bookmarkStart w:id="57813" w:name="P57813"/>
          <w:bookmarkEnd w:id="57813"/>
          <w:p>
            <w:pPr>
              <w:pStyle w:val="0"/>
            </w:pPr>
            <w:r>
              <w:rPr>
                <w:sz w:val="24"/>
              </w:rPr>
              <w:t xml:space="preserve">2.4.2.7</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третьим лицам</w:t>
            </w:r>
          </w:p>
        </w:tc>
        <w:tc>
          <w:tcPr>
            <w:tcW w:w="3402" w:type="dxa"/>
          </w:tcPr>
          <w:p>
            <w:pPr>
              <w:pStyle w:val="0"/>
            </w:pPr>
            <w:r>
              <w:rPr>
                <w:sz w:val="24"/>
              </w:rPr>
              <w:t xml:space="preserve">mem-int:DobrStrGrOtvPrichVredTrLiczMember</w:t>
            </w:r>
          </w:p>
        </w:tc>
      </w:tr>
      <w:tr>
        <w:tc>
          <w:tcPr>
            <w:tcW w:w="964" w:type="dxa"/>
          </w:tcPr>
          <w:bookmarkStart w:id="57817" w:name="P57817"/>
          <w:bookmarkEnd w:id="57817"/>
          <w:p>
            <w:pPr>
              <w:pStyle w:val="0"/>
            </w:pPr>
            <w:r>
              <w:rPr>
                <w:sz w:val="24"/>
              </w:rPr>
              <w:t xml:space="preserve">2.4.2.7.1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осуществляющих строительно-монтажные работы, за причинение вреда третьим лицам</w:t>
            </w:r>
          </w:p>
        </w:tc>
        <w:tc>
          <w:tcPr>
            <w:tcW w:w="3402" w:type="dxa"/>
          </w:tcPr>
          <w:p>
            <w:pPr>
              <w:pStyle w:val="0"/>
            </w:pPr>
            <w:r>
              <w:rPr>
                <w:sz w:val="24"/>
              </w:rPr>
              <w:t xml:space="preserve">mem-int:DobrStrGrOtvPrichVredTrLicz_OrgOsushhSmRabMember</w:t>
            </w:r>
          </w:p>
        </w:tc>
      </w:tr>
      <w:tr>
        <w:tc>
          <w:tcPr>
            <w:tcW w:w="964" w:type="dxa"/>
          </w:tcPr>
          <w:p>
            <w:pPr>
              <w:pStyle w:val="0"/>
            </w:pPr>
            <w:r>
              <w:rPr>
                <w:sz w:val="24"/>
              </w:rPr>
              <w:t xml:space="preserve">2.4.2.7.2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нотариусов за причинение вреда третьим лицам</w:t>
            </w:r>
          </w:p>
        </w:tc>
        <w:tc>
          <w:tcPr>
            <w:tcW w:w="3402" w:type="dxa"/>
          </w:tcPr>
          <w:p>
            <w:pPr>
              <w:pStyle w:val="0"/>
            </w:pPr>
            <w:r>
              <w:rPr>
                <w:sz w:val="24"/>
              </w:rPr>
              <w:t xml:space="preserve">mem-int:DobrStrGrOtvPrichVredTrLicz_NotariusovMember</w:t>
            </w:r>
          </w:p>
        </w:tc>
      </w:tr>
      <w:tr>
        <w:tc>
          <w:tcPr>
            <w:tcW w:w="964" w:type="dxa"/>
          </w:tcPr>
          <w:p>
            <w:pPr>
              <w:pStyle w:val="0"/>
            </w:pPr>
            <w:r>
              <w:rPr>
                <w:sz w:val="24"/>
              </w:rPr>
              <w:t xml:space="preserve">2.4.2.7.3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оценщиков за причинение вреда третьим лицам</w:t>
            </w:r>
          </w:p>
        </w:tc>
        <w:tc>
          <w:tcPr>
            <w:tcW w:w="3402" w:type="dxa"/>
          </w:tcPr>
          <w:p>
            <w:pPr>
              <w:pStyle w:val="0"/>
            </w:pPr>
            <w:r>
              <w:rPr>
                <w:sz w:val="24"/>
              </w:rPr>
              <w:t xml:space="preserve">mem-int:DobrStrOtvPrichVredTrLicz_OczenshhikovMember</w:t>
            </w:r>
          </w:p>
        </w:tc>
      </w:tr>
      <w:tr>
        <w:tc>
          <w:tcPr>
            <w:tcW w:w="964" w:type="dxa"/>
          </w:tcPr>
          <w:p>
            <w:pPr>
              <w:pStyle w:val="0"/>
            </w:pPr>
            <w:r>
              <w:rPr>
                <w:sz w:val="24"/>
              </w:rPr>
              <w:t xml:space="preserve">2.4.2.7.4</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аудиторских организаций и индивидуальных аудиторов за причинение вреда третьим лицам</w:t>
            </w:r>
          </w:p>
        </w:tc>
        <w:tc>
          <w:tcPr>
            <w:tcW w:w="3402" w:type="dxa"/>
          </w:tcPr>
          <w:p>
            <w:pPr>
              <w:pStyle w:val="0"/>
            </w:pPr>
            <w:r>
              <w:rPr>
                <w:sz w:val="24"/>
              </w:rPr>
              <w:t xml:space="preserve">mem-int:DobrStrGrOtvPrichVredTrLicz_AudorgIndaudMember</w:t>
            </w:r>
          </w:p>
        </w:tc>
      </w:tr>
      <w:tr>
        <w:tc>
          <w:tcPr>
            <w:tcW w:w="964" w:type="dxa"/>
          </w:tcPr>
          <w:bookmarkStart w:id="57833" w:name="P57833"/>
          <w:bookmarkEnd w:id="57833"/>
          <w:p>
            <w:pPr>
              <w:pStyle w:val="0"/>
            </w:pPr>
            <w:r>
              <w:rPr>
                <w:sz w:val="24"/>
              </w:rPr>
              <w:t xml:space="preserve">2.4.2.7.5</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иных лиц за причинение вреда третьим лицам</w:t>
            </w:r>
          </w:p>
        </w:tc>
        <w:tc>
          <w:tcPr>
            <w:tcW w:w="3402" w:type="dxa"/>
          </w:tcPr>
          <w:p>
            <w:pPr>
              <w:pStyle w:val="0"/>
            </w:pPr>
            <w:r>
              <w:rPr>
                <w:sz w:val="24"/>
              </w:rPr>
              <w:t xml:space="preserve">mem-int:DobrStrGrOtvPrichVredTrLicz_InyxLiczMember</w:t>
            </w:r>
          </w:p>
        </w:tc>
      </w:tr>
      <w:tr>
        <w:tc>
          <w:tcPr>
            <w:tcW w:w="964" w:type="dxa"/>
          </w:tcPr>
          <w:bookmarkStart w:id="57837" w:name="P57837"/>
          <w:bookmarkEnd w:id="57837"/>
          <w:p>
            <w:pPr>
              <w:pStyle w:val="0"/>
            </w:pPr>
            <w:r>
              <w:rPr>
                <w:sz w:val="24"/>
              </w:rPr>
              <w:t xml:space="preserve">2.4.2.8</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неисполнение или ненадлежащее исполнение обязательств по договору</w:t>
            </w:r>
          </w:p>
        </w:tc>
        <w:tc>
          <w:tcPr>
            <w:tcW w:w="3402" w:type="dxa"/>
          </w:tcPr>
          <w:p>
            <w:pPr>
              <w:pStyle w:val="0"/>
            </w:pPr>
            <w:r>
              <w:rPr>
                <w:sz w:val="24"/>
              </w:rPr>
              <w:t xml:space="preserve">mem-int:DobrStrGrOtvNeispObMember</w:t>
            </w:r>
          </w:p>
        </w:tc>
      </w:tr>
      <w:tr>
        <w:tc>
          <w:tcPr>
            <w:tcW w:w="964" w:type="dxa"/>
          </w:tcPr>
          <w:bookmarkStart w:id="57841" w:name="P57841"/>
          <w:bookmarkEnd w:id="57841"/>
          <w:p>
            <w:pPr>
              <w:pStyle w:val="0"/>
            </w:pPr>
            <w:r>
              <w:rPr>
                <w:sz w:val="24"/>
              </w:rPr>
              <w:t xml:space="preserve">2.4.2.8.1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специализированных депозитариев за неисполнение или ненадлежащее исполнение обязательств по договору</w:t>
            </w:r>
          </w:p>
        </w:tc>
        <w:tc>
          <w:tcPr>
            <w:tcW w:w="3402" w:type="dxa"/>
          </w:tcPr>
          <w:p>
            <w:pPr>
              <w:pStyle w:val="0"/>
            </w:pPr>
            <w:r>
              <w:rPr>
                <w:sz w:val="24"/>
              </w:rPr>
              <w:t xml:space="preserve">mem-int:DobrStrGrOtvNeispOb_SdMember</w:t>
            </w:r>
          </w:p>
        </w:tc>
      </w:tr>
      <w:tr>
        <w:tc>
          <w:tcPr>
            <w:tcW w:w="964" w:type="dxa"/>
          </w:tcPr>
          <w:p>
            <w:pPr>
              <w:pStyle w:val="0"/>
            </w:pPr>
            <w:r>
              <w:rPr>
                <w:sz w:val="24"/>
              </w:rPr>
              <w:t xml:space="preserve">2.4.2.8.2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управляющих компаний за неисполнение или ненадлежащее исполнение обязательств по договору</w:t>
            </w:r>
          </w:p>
        </w:tc>
        <w:tc>
          <w:tcPr>
            <w:tcW w:w="3402" w:type="dxa"/>
          </w:tcPr>
          <w:p>
            <w:pPr>
              <w:pStyle w:val="0"/>
            </w:pPr>
            <w:r>
              <w:rPr>
                <w:sz w:val="24"/>
              </w:rPr>
              <w:t xml:space="preserve">mem-int:DobrStrGrOtvNeispOb_UkMember</w:t>
            </w:r>
          </w:p>
        </w:tc>
      </w:tr>
      <w:tr>
        <w:tc>
          <w:tcPr>
            <w:tcW w:w="964" w:type="dxa"/>
          </w:tcPr>
          <w:p>
            <w:pPr>
              <w:pStyle w:val="0"/>
            </w:pPr>
            <w:r>
              <w:rPr>
                <w:sz w:val="24"/>
              </w:rPr>
              <w:t xml:space="preserve">2.4.2.8.3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таможенных представителей за неисполнение или ненадлежащее исполнение обязательств по договору</w:t>
            </w:r>
          </w:p>
        </w:tc>
        <w:tc>
          <w:tcPr>
            <w:tcW w:w="3402" w:type="dxa"/>
          </w:tcPr>
          <w:p>
            <w:pPr>
              <w:pStyle w:val="0"/>
            </w:pPr>
            <w:r>
              <w:rPr>
                <w:sz w:val="24"/>
              </w:rPr>
              <w:t xml:space="preserve">mem-int:DobrStrGrOtvNeispOb_TamozhPredMember</w:t>
            </w:r>
          </w:p>
        </w:tc>
      </w:tr>
      <w:tr>
        <w:tc>
          <w:tcPr>
            <w:tcW w:w="964" w:type="dxa"/>
          </w:tcPr>
          <w:p>
            <w:pPr>
              <w:pStyle w:val="0"/>
            </w:pPr>
            <w:r>
              <w:rPr>
                <w:sz w:val="24"/>
              </w:rPr>
              <w:t xml:space="preserve">2.4.2.8.4</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оценщиков за неисполнение или ненадлежащее исполнение обязательств по договору</w:t>
            </w:r>
          </w:p>
        </w:tc>
        <w:tc>
          <w:tcPr>
            <w:tcW w:w="3402" w:type="dxa"/>
          </w:tcPr>
          <w:p>
            <w:pPr>
              <w:pStyle w:val="0"/>
            </w:pPr>
            <w:r>
              <w:rPr>
                <w:sz w:val="24"/>
              </w:rPr>
              <w:t xml:space="preserve">mem-int:DobrStrGrOtvNeispOb_OczenshhikovMember</w:t>
            </w:r>
          </w:p>
        </w:tc>
      </w:tr>
      <w:tr>
        <w:tc>
          <w:tcPr>
            <w:tcW w:w="964" w:type="dxa"/>
          </w:tcPr>
          <w:p>
            <w:pPr>
              <w:pStyle w:val="0"/>
            </w:pPr>
            <w:r>
              <w:rPr>
                <w:sz w:val="24"/>
              </w:rPr>
              <w:t xml:space="preserve">2.4.2.8.5</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аудиторских организаций и индивидуальных аудиторов за неисполнение или ненадлежащее исполнение обязательств по договору</w:t>
            </w:r>
          </w:p>
        </w:tc>
        <w:tc>
          <w:tcPr>
            <w:tcW w:w="3402" w:type="dxa"/>
          </w:tcPr>
          <w:p>
            <w:pPr>
              <w:pStyle w:val="0"/>
            </w:pPr>
            <w:r>
              <w:rPr>
                <w:sz w:val="24"/>
              </w:rPr>
              <w:t xml:space="preserve">mem-int:DobrStrGrOtvNeispOb_AudorgIndaudMember</w:t>
            </w:r>
          </w:p>
        </w:tc>
      </w:tr>
      <w:tr>
        <w:tc>
          <w:tcPr>
            <w:tcW w:w="964" w:type="dxa"/>
          </w:tcPr>
          <w:p>
            <w:pPr>
              <w:pStyle w:val="0"/>
            </w:pPr>
            <w:r>
              <w:rPr>
                <w:sz w:val="24"/>
              </w:rPr>
              <w:t xml:space="preserve">2.4.2.8.6</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заемщиков по кредитным договорам (договорам займа) за неисполнение или ненадлежащее исполнение обязательств по договору</w:t>
            </w:r>
          </w:p>
        </w:tc>
        <w:tc>
          <w:tcPr>
            <w:tcW w:w="3402" w:type="dxa"/>
          </w:tcPr>
          <w:p>
            <w:pPr>
              <w:pStyle w:val="0"/>
            </w:pPr>
            <w:r>
              <w:rPr>
                <w:sz w:val="24"/>
              </w:rPr>
              <w:t xml:space="preserve">mem-int:DobrStrGrOtvNeispOb_ZaemshhKredDogMember</w:t>
            </w:r>
          </w:p>
        </w:tc>
      </w:tr>
      <w:tr>
        <w:tc>
          <w:tcPr>
            <w:tcW w:w="964" w:type="dxa"/>
          </w:tcPr>
          <w:p>
            <w:pPr>
              <w:pStyle w:val="0"/>
            </w:pPr>
            <w:r>
              <w:rPr>
                <w:sz w:val="24"/>
              </w:rPr>
              <w:t xml:space="preserve">2.4.2.8.7</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застройщиков по передаче жилых помещений участникам долевого строительства по договорам участия в долевом строительстве за неисполнение или ненадлежащее исполнение обязательств по договору</w:t>
            </w:r>
          </w:p>
        </w:tc>
        <w:tc>
          <w:tcPr>
            <w:tcW w:w="3402" w:type="dxa"/>
          </w:tcPr>
          <w:p>
            <w:pPr>
              <w:pStyle w:val="0"/>
            </w:pPr>
            <w:r>
              <w:rPr>
                <w:sz w:val="24"/>
              </w:rPr>
              <w:t xml:space="preserve">mem-int:DobrStrGrOtvNeispOb_ZastrPerZhilPomeshhMember</w:t>
            </w:r>
          </w:p>
        </w:tc>
      </w:tr>
      <w:tr>
        <w:tc>
          <w:tcPr>
            <w:tcW w:w="964" w:type="dxa"/>
          </w:tcPr>
          <w:p>
            <w:pPr>
              <w:pStyle w:val="0"/>
            </w:pPr>
            <w:r>
              <w:rPr>
                <w:sz w:val="24"/>
              </w:rPr>
              <w:t xml:space="preserve">2.4.2.8.8</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туроператоров по договорам о реализации туристского продукта за неисполнение или ненадлежащее исполнение обязательств по договору</w:t>
            </w:r>
          </w:p>
        </w:tc>
        <w:tc>
          <w:tcPr>
            <w:tcW w:w="3402" w:type="dxa"/>
          </w:tcPr>
          <w:p>
            <w:pPr>
              <w:pStyle w:val="0"/>
            </w:pPr>
            <w:r>
              <w:rPr>
                <w:sz w:val="24"/>
              </w:rPr>
              <w:t xml:space="preserve">mem-int:DobrStrGrOtvNeispOb_TuropDogRealizTurProdMember</w:t>
            </w:r>
          </w:p>
        </w:tc>
      </w:tr>
      <w:tr>
        <w:tc>
          <w:tcPr>
            <w:tcW w:w="964" w:type="dxa"/>
          </w:tcPr>
          <w:bookmarkStart w:id="57873" w:name="P57873"/>
          <w:bookmarkEnd w:id="57873"/>
          <w:p>
            <w:pPr>
              <w:pStyle w:val="0"/>
            </w:pPr>
            <w:r>
              <w:rPr>
                <w:sz w:val="24"/>
              </w:rPr>
              <w:t xml:space="preserve">2.4.2.8.9</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иных лиц за неисполнение или ненадлежащее исполнение обязательств по договору</w:t>
            </w:r>
          </w:p>
        </w:tc>
        <w:tc>
          <w:tcPr>
            <w:tcW w:w="3402" w:type="dxa"/>
          </w:tcPr>
          <w:p>
            <w:pPr>
              <w:pStyle w:val="0"/>
            </w:pPr>
            <w:r>
              <w:rPr>
                <w:sz w:val="24"/>
              </w:rPr>
              <w:t xml:space="preserve">mem-int:DobrStrGrOtvNeispOb_InyxLiczMember</w:t>
            </w:r>
          </w:p>
        </w:tc>
      </w:tr>
      <w:tr>
        <w:tc>
          <w:tcPr>
            <w:tcW w:w="964" w:type="dxa"/>
          </w:tcPr>
          <w:bookmarkStart w:id="57877" w:name="P57877"/>
          <w:bookmarkEnd w:id="57877"/>
          <w:p>
            <w:pPr>
              <w:pStyle w:val="0"/>
            </w:pPr>
            <w:r>
              <w:rPr>
                <w:sz w:val="24"/>
              </w:rPr>
              <w:t xml:space="preserve">2.4.3</w:t>
            </w:r>
          </w:p>
        </w:tc>
        <w:tc>
          <w:tcPr>
            <w:tcW w:w="2891" w:type="dxa"/>
          </w:tcPr>
          <w:p>
            <w:pPr>
              <w:pStyle w:val="0"/>
            </w:pPr>
            <w:r>
              <w:rPr>
                <w:sz w:val="24"/>
              </w:rPr>
            </w:r>
          </w:p>
        </w:tc>
        <w:tc>
          <w:tcPr>
            <w:tcW w:w="1814" w:type="dxa"/>
          </w:tcPr>
          <w:p>
            <w:pPr>
              <w:pStyle w:val="0"/>
            </w:pPr>
            <w:r>
              <w:rPr>
                <w:sz w:val="24"/>
              </w:rPr>
              <w:t xml:space="preserve">Добровольное страхование предпринимательских рисков</w:t>
            </w:r>
          </w:p>
        </w:tc>
        <w:tc>
          <w:tcPr>
            <w:tcW w:w="3402" w:type="dxa"/>
          </w:tcPr>
          <w:p>
            <w:pPr>
              <w:pStyle w:val="0"/>
            </w:pPr>
            <w:r>
              <w:rPr>
                <w:sz w:val="24"/>
              </w:rPr>
              <w:t xml:space="preserve">mem-int:DobrStrPredRiskMember</w:t>
            </w:r>
          </w:p>
        </w:tc>
      </w:tr>
      <w:tr>
        <w:tc>
          <w:tcPr>
            <w:tcW w:w="964" w:type="dxa"/>
          </w:tcPr>
          <w:bookmarkStart w:id="57881" w:name="P57881"/>
          <w:bookmarkEnd w:id="57881"/>
          <w:p>
            <w:pPr>
              <w:pStyle w:val="0"/>
            </w:pPr>
            <w:r>
              <w:rPr>
                <w:sz w:val="24"/>
              </w:rPr>
              <w:t xml:space="preserve">2.4.4</w:t>
            </w:r>
          </w:p>
        </w:tc>
        <w:tc>
          <w:tcPr>
            <w:tcW w:w="2891" w:type="dxa"/>
          </w:tcPr>
          <w:p>
            <w:pPr>
              <w:pStyle w:val="0"/>
            </w:pPr>
            <w:r>
              <w:rPr>
                <w:sz w:val="24"/>
              </w:rPr>
            </w:r>
          </w:p>
        </w:tc>
        <w:tc>
          <w:tcPr>
            <w:tcW w:w="1814" w:type="dxa"/>
          </w:tcPr>
          <w:p>
            <w:pPr>
              <w:pStyle w:val="0"/>
            </w:pPr>
            <w:r>
              <w:rPr>
                <w:sz w:val="24"/>
              </w:rPr>
              <w:t xml:space="preserve">Добровольное страхование финансовых рисков</w:t>
            </w:r>
          </w:p>
        </w:tc>
        <w:tc>
          <w:tcPr>
            <w:tcW w:w="3402" w:type="dxa"/>
          </w:tcPr>
          <w:p>
            <w:pPr>
              <w:pStyle w:val="0"/>
            </w:pPr>
            <w:r>
              <w:rPr>
                <w:sz w:val="24"/>
              </w:rPr>
              <w:t xml:space="preserve">mem-int:DobrStrFinRiskMember</w:t>
            </w:r>
          </w:p>
        </w:tc>
      </w:tr>
      <w:tr>
        <w:tc>
          <w:tcPr>
            <w:tcW w:w="964" w:type="dxa"/>
          </w:tcPr>
          <w:bookmarkStart w:id="57885" w:name="P57885"/>
          <w:bookmarkEnd w:id="57885"/>
          <w:p>
            <w:pPr>
              <w:pStyle w:val="0"/>
            </w:pPr>
            <w:r>
              <w:rPr>
                <w:sz w:val="24"/>
              </w:rPr>
              <w:t xml:space="preserve">2.4.4.1</w:t>
            </w:r>
          </w:p>
        </w:tc>
        <w:tc>
          <w:tcPr>
            <w:tcW w:w="2891" w:type="dxa"/>
          </w:tcPr>
          <w:p>
            <w:pPr>
              <w:pStyle w:val="0"/>
            </w:pPr>
            <w:r>
              <w:rPr>
                <w:sz w:val="24"/>
              </w:rPr>
            </w:r>
          </w:p>
        </w:tc>
        <w:tc>
          <w:tcPr>
            <w:tcW w:w="1814" w:type="dxa"/>
          </w:tcPr>
          <w:p>
            <w:pPr>
              <w:pStyle w:val="0"/>
            </w:pPr>
            <w:r>
              <w:rPr>
                <w:sz w:val="24"/>
              </w:rPr>
              <w:t xml:space="preserve">Добровольное страхование финансовых рисков граждан, выезжающих за рубеж</w:t>
            </w:r>
          </w:p>
        </w:tc>
        <w:tc>
          <w:tcPr>
            <w:tcW w:w="3402" w:type="dxa"/>
          </w:tcPr>
          <w:p>
            <w:pPr>
              <w:pStyle w:val="0"/>
            </w:pPr>
            <w:r>
              <w:rPr>
                <w:sz w:val="24"/>
              </w:rPr>
              <w:t xml:space="preserve">mem-int:DobrStrFinRisk_GrazhdanVyezzhZarubezhMember</w:t>
            </w:r>
          </w:p>
        </w:tc>
      </w:tr>
      <w:tr>
        <w:tc>
          <w:tcPr>
            <w:tcW w:w="964" w:type="dxa"/>
          </w:tcPr>
          <w:p>
            <w:pPr>
              <w:pStyle w:val="0"/>
            </w:pPr>
            <w:r>
              <w:rPr>
                <w:sz w:val="24"/>
              </w:rPr>
              <w:t xml:space="preserve">2.4.4.2</w:t>
            </w:r>
          </w:p>
        </w:tc>
        <w:tc>
          <w:tcPr>
            <w:tcW w:w="2891" w:type="dxa"/>
          </w:tcPr>
          <w:p>
            <w:pPr>
              <w:pStyle w:val="0"/>
            </w:pPr>
            <w:r>
              <w:rPr>
                <w:sz w:val="24"/>
              </w:rPr>
            </w:r>
          </w:p>
        </w:tc>
        <w:tc>
          <w:tcPr>
            <w:tcW w:w="1814" w:type="dxa"/>
          </w:tcPr>
          <w:p>
            <w:pPr>
              <w:pStyle w:val="0"/>
            </w:pPr>
            <w:r>
              <w:rPr>
                <w:sz w:val="24"/>
              </w:rPr>
              <w:t xml:space="preserve">Добровольное страхование финансовых рисков кредиторов</w:t>
            </w:r>
          </w:p>
        </w:tc>
        <w:tc>
          <w:tcPr>
            <w:tcW w:w="3402" w:type="dxa"/>
          </w:tcPr>
          <w:p>
            <w:pPr>
              <w:pStyle w:val="0"/>
            </w:pPr>
            <w:r>
              <w:rPr>
                <w:sz w:val="24"/>
              </w:rPr>
              <w:t xml:space="preserve">mem-int:DobrStrFinRisk_KreditorovMember</w:t>
            </w:r>
          </w:p>
        </w:tc>
      </w:tr>
      <w:tr>
        <w:tc>
          <w:tcPr>
            <w:tcW w:w="964" w:type="dxa"/>
          </w:tcPr>
          <w:bookmarkStart w:id="57893" w:name="P57893"/>
          <w:bookmarkEnd w:id="57893"/>
          <w:p>
            <w:pPr>
              <w:pStyle w:val="0"/>
            </w:pPr>
            <w:r>
              <w:rPr>
                <w:sz w:val="24"/>
              </w:rPr>
              <w:t xml:space="preserve">2.4.4.3</w:t>
            </w:r>
          </w:p>
        </w:tc>
        <w:tc>
          <w:tcPr>
            <w:tcW w:w="2891" w:type="dxa"/>
          </w:tcPr>
          <w:p>
            <w:pPr>
              <w:pStyle w:val="0"/>
            </w:pPr>
            <w:r>
              <w:rPr>
                <w:sz w:val="24"/>
              </w:rPr>
            </w:r>
          </w:p>
        </w:tc>
        <w:tc>
          <w:tcPr>
            <w:tcW w:w="1814" w:type="dxa"/>
          </w:tcPr>
          <w:p>
            <w:pPr>
              <w:pStyle w:val="0"/>
            </w:pPr>
            <w:r>
              <w:rPr>
                <w:sz w:val="24"/>
              </w:rPr>
              <w:t xml:space="preserve">Добровольное страхование финансовых рисков иных лиц</w:t>
            </w:r>
          </w:p>
        </w:tc>
        <w:tc>
          <w:tcPr>
            <w:tcW w:w="3402" w:type="dxa"/>
          </w:tcPr>
          <w:p>
            <w:pPr>
              <w:pStyle w:val="0"/>
            </w:pPr>
            <w:r>
              <w:rPr>
                <w:sz w:val="24"/>
              </w:rPr>
              <w:t xml:space="preserve">mem-int:DobrStrFinRisk_InyxLiczMember</w:t>
            </w:r>
          </w:p>
        </w:tc>
      </w:tr>
      <w:tr>
        <w:tc>
          <w:tcPr>
            <w:tcW w:w="964" w:type="dxa"/>
          </w:tcPr>
          <w:bookmarkStart w:id="57897" w:name="P57897"/>
          <w:bookmarkEnd w:id="57897"/>
          <w:p>
            <w:pPr>
              <w:pStyle w:val="0"/>
            </w:pPr>
            <w:r>
              <w:rPr>
                <w:sz w:val="24"/>
              </w:rPr>
              <w:t xml:space="preserve">2.5</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военнослужащих и приравненных к ним в обязательном государственном страховании лиц</w:t>
            </w:r>
          </w:p>
        </w:tc>
        <w:tc>
          <w:tcPr>
            <w:tcW w:w="3402" w:type="dxa"/>
          </w:tcPr>
          <w:p>
            <w:pPr>
              <w:pStyle w:val="0"/>
            </w:pPr>
            <w:r>
              <w:rPr>
                <w:sz w:val="24"/>
              </w:rPr>
              <w:t xml:space="preserve">mem-int:ObzGosStrZhZdorVoenSborVDPozhUgIspNaczGvMember</w:t>
            </w:r>
          </w:p>
        </w:tc>
      </w:tr>
      <w:tr>
        <w:tc>
          <w:tcPr>
            <w:tcW w:w="964" w:type="dxa"/>
          </w:tcPr>
          <w:bookmarkStart w:id="57901" w:name="P57901"/>
          <w:bookmarkEnd w:id="57901"/>
          <w:p>
            <w:pPr>
              <w:pStyle w:val="0"/>
            </w:pPr>
            <w:r>
              <w:rPr>
                <w:sz w:val="24"/>
              </w:rPr>
              <w:t xml:space="preserve">2.5.1</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военнослужащих и граждан, призванных на военные сборы</w:t>
            </w:r>
          </w:p>
        </w:tc>
        <w:tc>
          <w:tcPr>
            <w:tcW w:w="3402" w:type="dxa"/>
          </w:tcPr>
          <w:p>
            <w:pPr>
              <w:pStyle w:val="0"/>
            </w:pPr>
            <w:r>
              <w:rPr>
                <w:sz w:val="24"/>
              </w:rPr>
              <w:t xml:space="preserve">mem-int:ObzGosStrZhZdorVoenSborVDPozhUgIspNaczGv_VoenGrazhdSboryMember</w:t>
            </w:r>
          </w:p>
        </w:tc>
      </w:tr>
      <w:tr>
        <w:tc>
          <w:tcPr>
            <w:tcW w:w="964" w:type="dxa"/>
          </w:tcPr>
          <w:p>
            <w:pPr>
              <w:pStyle w:val="0"/>
            </w:pPr>
            <w:r>
              <w:rPr>
                <w:sz w:val="24"/>
              </w:rPr>
              <w:t xml:space="preserve">2.5.2</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сотрудников органов внутренних дел</w:t>
            </w:r>
          </w:p>
        </w:tc>
        <w:tc>
          <w:tcPr>
            <w:tcW w:w="3402" w:type="dxa"/>
          </w:tcPr>
          <w:p>
            <w:pPr>
              <w:pStyle w:val="0"/>
            </w:pPr>
            <w:r>
              <w:rPr>
                <w:sz w:val="24"/>
              </w:rPr>
              <w:t xml:space="preserve">mem-int:ObzGosStrZhZdorVoenSborVDPozhUgIspNaczGv_SotrOrgVnutrDelMember</w:t>
            </w:r>
          </w:p>
        </w:tc>
      </w:tr>
      <w:tr>
        <w:tc>
          <w:tcPr>
            <w:tcW w:w="964" w:type="dxa"/>
          </w:tcPr>
          <w:p>
            <w:pPr>
              <w:pStyle w:val="0"/>
            </w:pPr>
            <w:r>
              <w:rPr>
                <w:sz w:val="24"/>
              </w:rPr>
              <w:t xml:space="preserve">2.5.3</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сотрудников Государственной противопожарной службы</w:t>
            </w:r>
          </w:p>
        </w:tc>
        <w:tc>
          <w:tcPr>
            <w:tcW w:w="3402" w:type="dxa"/>
          </w:tcPr>
          <w:p>
            <w:pPr>
              <w:pStyle w:val="0"/>
            </w:pPr>
            <w:r>
              <w:rPr>
                <w:sz w:val="24"/>
              </w:rPr>
              <w:t xml:space="preserve">mem-int:ObzGosStrZhZdorVoenSborVDPozhUgIspNaczGv_PozhMember</w:t>
            </w:r>
          </w:p>
        </w:tc>
      </w:tr>
      <w:tr>
        <w:tc>
          <w:tcPr>
            <w:tcW w:w="964" w:type="dxa"/>
          </w:tcPr>
          <w:p>
            <w:pPr>
              <w:pStyle w:val="0"/>
            </w:pPr>
            <w:r>
              <w:rPr>
                <w:sz w:val="24"/>
              </w:rPr>
              <w:t xml:space="preserve">2.5.4</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сотрудников учреждений и органов уголовно-исполнительной системы</w:t>
            </w:r>
          </w:p>
        </w:tc>
        <w:tc>
          <w:tcPr>
            <w:tcW w:w="3402" w:type="dxa"/>
          </w:tcPr>
          <w:p>
            <w:pPr>
              <w:pStyle w:val="0"/>
            </w:pPr>
            <w:r>
              <w:rPr>
                <w:sz w:val="24"/>
              </w:rPr>
              <w:t xml:space="preserve">mem-int:ObzGosStrZhZdorVoenSborVDPozhUgIspNaczGv_UgIspMember</w:t>
            </w:r>
          </w:p>
        </w:tc>
      </w:tr>
      <w:tr>
        <w:tc>
          <w:tcPr>
            <w:tcW w:w="964" w:type="dxa"/>
          </w:tcPr>
          <w:p>
            <w:pPr>
              <w:pStyle w:val="0"/>
            </w:pPr>
            <w:r>
              <w:rPr>
                <w:sz w:val="24"/>
              </w:rPr>
              <w:t xml:space="preserve">2.5.5</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сотрудников войск национальной гвардии</w:t>
            </w:r>
          </w:p>
        </w:tc>
        <w:tc>
          <w:tcPr>
            <w:tcW w:w="3402" w:type="dxa"/>
          </w:tcPr>
          <w:p>
            <w:pPr>
              <w:pStyle w:val="0"/>
            </w:pPr>
            <w:r>
              <w:rPr>
                <w:sz w:val="24"/>
              </w:rPr>
              <w:t xml:space="preserve">mem-int:ObzGosStrZhZdorVoenSborVDPozhUgIspNaczGv_NaczGvMember</w:t>
            </w:r>
          </w:p>
        </w:tc>
      </w:tr>
      <w:tr>
        <w:tc>
          <w:tcPr>
            <w:tcW w:w="964" w:type="dxa"/>
          </w:tcPr>
          <w:bookmarkStart w:id="57921" w:name="P57921"/>
          <w:bookmarkEnd w:id="57921"/>
          <w:p>
            <w:pPr>
              <w:pStyle w:val="0"/>
            </w:pPr>
            <w:r>
              <w:rPr>
                <w:sz w:val="24"/>
              </w:rPr>
              <w:t xml:space="preserve">2.5.6</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сотрудников органов принудительного исполнения</w:t>
            </w:r>
          </w:p>
        </w:tc>
        <w:tc>
          <w:tcPr>
            <w:tcW w:w="3402" w:type="dxa"/>
          </w:tcPr>
          <w:p>
            <w:pPr>
              <w:pStyle w:val="0"/>
            </w:pPr>
            <w:r>
              <w:rPr>
                <w:sz w:val="24"/>
              </w:rPr>
              <w:t xml:space="preserve">mem-int:ObzGosStrZhZdorVoenSborVDPozhUgIspNaczGv_SotrOrgPrinIspRFMember</w:t>
            </w:r>
          </w:p>
        </w:tc>
      </w:tr>
      <w:tr>
        <w:tc>
          <w:tcPr>
            <w:tcW w:w="964" w:type="dxa"/>
          </w:tcPr>
          <w:bookmarkStart w:id="57925" w:name="P57925"/>
          <w:bookmarkEnd w:id="57925"/>
          <w:p>
            <w:pPr>
              <w:pStyle w:val="0"/>
            </w:pPr>
            <w:r>
              <w:rPr>
                <w:sz w:val="24"/>
              </w:rPr>
              <w:t xml:space="preserve">2.6</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владельцев транспортных средств</w:t>
            </w:r>
          </w:p>
        </w:tc>
        <w:tc>
          <w:tcPr>
            <w:tcW w:w="3402" w:type="dxa"/>
          </w:tcPr>
          <w:p>
            <w:pPr>
              <w:pStyle w:val="0"/>
            </w:pPr>
            <w:r>
              <w:rPr>
                <w:sz w:val="24"/>
              </w:rPr>
              <w:t xml:space="preserve">mem-int:ObzStrGrOtvVlTranspSrMember</w:t>
            </w:r>
          </w:p>
        </w:tc>
      </w:tr>
      <w:tr>
        <w:tc>
          <w:tcPr>
            <w:tcW w:w="964" w:type="dxa"/>
          </w:tcPr>
          <w:bookmarkStart w:id="57929" w:name="P57929"/>
          <w:bookmarkEnd w:id="57929"/>
          <w:p>
            <w:pPr>
              <w:pStyle w:val="0"/>
            </w:pPr>
            <w:r>
              <w:rPr>
                <w:sz w:val="24"/>
              </w:rPr>
              <w:t xml:space="preserve">2.7</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опасного объекта за причинение вреда в результате аварии на опасном объекте</w:t>
            </w:r>
          </w:p>
        </w:tc>
        <w:tc>
          <w:tcPr>
            <w:tcW w:w="3402" w:type="dxa"/>
          </w:tcPr>
          <w:p>
            <w:pPr>
              <w:pStyle w:val="0"/>
            </w:pPr>
            <w:r>
              <w:rPr>
                <w:sz w:val="24"/>
              </w:rPr>
              <w:t xml:space="preserve">mem-int:ObzStrGrOtvVladOpasObPrichVrAvarMember</w:t>
            </w:r>
          </w:p>
        </w:tc>
      </w:tr>
      <w:tr>
        <w:tc>
          <w:tcPr>
            <w:tcW w:w="964" w:type="dxa"/>
          </w:tcPr>
          <w:bookmarkStart w:id="57933" w:name="P57933"/>
          <w:bookmarkEnd w:id="57933"/>
          <w:p>
            <w:pPr>
              <w:pStyle w:val="0"/>
            </w:pPr>
            <w:r>
              <w:rPr>
                <w:sz w:val="24"/>
              </w:rPr>
              <w:t xml:space="preserve">2.7.1</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опасного производственного объекта за причинение вреда в результате аварии на нем</w:t>
            </w:r>
          </w:p>
        </w:tc>
        <w:tc>
          <w:tcPr>
            <w:tcW w:w="3402" w:type="dxa"/>
          </w:tcPr>
          <w:p>
            <w:pPr>
              <w:pStyle w:val="0"/>
            </w:pPr>
            <w:r>
              <w:rPr>
                <w:sz w:val="24"/>
              </w:rPr>
              <w:t xml:space="preserve">mem-int:ObzStrGrOtvVladOpasObPrichVrAvar_OpasnProizvObektyMember</w:t>
            </w:r>
          </w:p>
        </w:tc>
      </w:tr>
      <w:tr>
        <w:tc>
          <w:tcPr>
            <w:tcW w:w="964" w:type="dxa"/>
          </w:tcPr>
          <w:p>
            <w:pPr>
              <w:pStyle w:val="0"/>
            </w:pPr>
            <w:r>
              <w:rPr>
                <w:sz w:val="24"/>
              </w:rPr>
              <w:t xml:space="preserve">2.7.2</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гидротехнического сооружения за причинение вреда в результате аварии на нем</w:t>
            </w:r>
          </w:p>
        </w:tc>
        <w:tc>
          <w:tcPr>
            <w:tcW w:w="3402" w:type="dxa"/>
          </w:tcPr>
          <w:p>
            <w:pPr>
              <w:pStyle w:val="0"/>
            </w:pPr>
            <w:r>
              <w:rPr>
                <w:sz w:val="24"/>
              </w:rPr>
              <w:t xml:space="preserve">mem-int:ObzStrGrOtvVladOpasObPrichVrAvar_GidrotexSooruzhMember</w:t>
            </w:r>
          </w:p>
        </w:tc>
      </w:tr>
      <w:tr>
        <w:tc>
          <w:tcPr>
            <w:tcW w:w="964" w:type="dxa"/>
          </w:tcPr>
          <w:p>
            <w:pPr>
              <w:pStyle w:val="0"/>
            </w:pPr>
            <w:r>
              <w:rPr>
                <w:sz w:val="24"/>
              </w:rPr>
              <w:t xml:space="preserve">2.7.3</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автозаправочной станции жидкого моторного топлива за причинение вреда в результате аварии на ней</w:t>
            </w:r>
          </w:p>
        </w:tc>
        <w:tc>
          <w:tcPr>
            <w:tcW w:w="3402" w:type="dxa"/>
          </w:tcPr>
          <w:p>
            <w:pPr>
              <w:pStyle w:val="0"/>
            </w:pPr>
            <w:r>
              <w:rPr>
                <w:sz w:val="24"/>
              </w:rPr>
              <w:t xml:space="preserve">mem-int:ObzStrGrOtvVladOpasObPrichVrAvar_AzsMember</w:t>
            </w:r>
          </w:p>
        </w:tc>
      </w:tr>
      <w:tr>
        <w:tc>
          <w:tcPr>
            <w:tcW w:w="964" w:type="dxa"/>
          </w:tcPr>
          <w:bookmarkStart w:id="57945" w:name="P57945"/>
          <w:bookmarkEnd w:id="57945"/>
          <w:p>
            <w:pPr>
              <w:pStyle w:val="0"/>
            </w:pPr>
            <w:r>
              <w:rPr>
                <w:sz w:val="24"/>
              </w:rPr>
              <w:t xml:space="preserve">2.7.4</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лифта, подъемной платформы для инвалидов, эскалатора (за исключением эскалаторов в метрополитенах), пассажирского конвейера (движущейся пешеходной дорожки) за причинение вреда в результате аварии на них</w:t>
            </w:r>
          </w:p>
        </w:tc>
        <w:tc>
          <w:tcPr>
            <w:tcW w:w="3402" w:type="dxa"/>
          </w:tcPr>
          <w:p>
            <w:pPr>
              <w:pStyle w:val="0"/>
            </w:pPr>
            <w:r>
              <w:rPr>
                <w:sz w:val="24"/>
              </w:rPr>
              <w:t xml:space="preserve">mem-int:ObzStrGrOtvVladOpasObPrichVrAvar_LiftEskKonvMember</w:t>
            </w:r>
          </w:p>
        </w:tc>
      </w:tr>
      <w:tr>
        <w:tc>
          <w:tcPr>
            <w:tcW w:w="964" w:type="dxa"/>
          </w:tcPr>
          <w:bookmarkStart w:id="57949" w:name="P57949"/>
          <w:bookmarkEnd w:id="57949"/>
          <w:p>
            <w:pPr>
              <w:pStyle w:val="0"/>
            </w:pPr>
            <w:r>
              <w:rPr>
                <w:sz w:val="24"/>
              </w:rPr>
              <w:t xml:space="preserve">2.8</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w:t>
            </w:r>
          </w:p>
        </w:tc>
        <w:tc>
          <w:tcPr>
            <w:tcW w:w="3402" w:type="dxa"/>
          </w:tcPr>
          <w:p>
            <w:pPr>
              <w:pStyle w:val="0"/>
            </w:pPr>
            <w:r>
              <w:rPr>
                <w:sz w:val="24"/>
              </w:rPr>
              <w:t xml:space="preserve">mem-int:ObzStrGrOtvPerevPrichVreZhZdorImPassMember</w:t>
            </w:r>
          </w:p>
        </w:tc>
      </w:tr>
      <w:tr>
        <w:tc>
          <w:tcPr>
            <w:tcW w:w="964" w:type="dxa"/>
          </w:tcPr>
          <w:bookmarkStart w:id="57953" w:name="P57953"/>
          <w:bookmarkEnd w:id="57953"/>
          <w:p>
            <w:pPr>
              <w:pStyle w:val="0"/>
            </w:pPr>
            <w:r>
              <w:rPr>
                <w:sz w:val="24"/>
              </w:rPr>
              <w:t xml:space="preserve">2.8.1</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железнодорожным транспортом</w:t>
            </w:r>
          </w:p>
        </w:tc>
        <w:tc>
          <w:tcPr>
            <w:tcW w:w="3402" w:type="dxa"/>
          </w:tcPr>
          <w:p>
            <w:pPr>
              <w:pStyle w:val="0"/>
            </w:pPr>
            <w:r>
              <w:rPr>
                <w:sz w:val="24"/>
              </w:rPr>
              <w:t xml:space="preserve">mem-int:ObzStrGrOtvPerevPrichVreZhZdorImPass_PerZhdTsMember</w:t>
            </w:r>
          </w:p>
        </w:tc>
      </w:tr>
      <w:tr>
        <w:tc>
          <w:tcPr>
            <w:tcW w:w="964" w:type="dxa"/>
          </w:tcPr>
          <w:bookmarkStart w:id="57957" w:name="P57957"/>
          <w:bookmarkEnd w:id="57957"/>
          <w:p>
            <w:pPr>
              <w:pStyle w:val="0"/>
            </w:pPr>
            <w:r>
              <w:rPr>
                <w:sz w:val="24"/>
              </w:rPr>
              <w:t xml:space="preserve">2.8.1.1</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поездами дальнего следования</w:t>
            </w:r>
          </w:p>
        </w:tc>
        <w:tc>
          <w:tcPr>
            <w:tcW w:w="3402" w:type="dxa"/>
          </w:tcPr>
          <w:p>
            <w:pPr>
              <w:pStyle w:val="0"/>
            </w:pPr>
            <w:r>
              <w:rPr>
                <w:sz w:val="24"/>
              </w:rPr>
              <w:t xml:space="preserve">mem-int:ObzStrGrOtvPerevPrichVreZhZdorImPass_PerPoezdDalnSledMember</w:t>
            </w:r>
          </w:p>
        </w:tc>
      </w:tr>
      <w:tr>
        <w:tc>
          <w:tcPr>
            <w:tcW w:w="964" w:type="dxa"/>
          </w:tcPr>
          <w:bookmarkStart w:id="57961" w:name="P57961"/>
          <w:bookmarkEnd w:id="57961"/>
          <w:p>
            <w:pPr>
              <w:pStyle w:val="0"/>
            </w:pPr>
            <w:r>
              <w:rPr>
                <w:sz w:val="24"/>
              </w:rPr>
              <w:t xml:space="preserve">2.8.1.2</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в пригородном сообщении</w:t>
            </w:r>
          </w:p>
        </w:tc>
        <w:tc>
          <w:tcPr>
            <w:tcW w:w="3402" w:type="dxa"/>
          </w:tcPr>
          <w:p>
            <w:pPr>
              <w:pStyle w:val="0"/>
            </w:pPr>
            <w:r>
              <w:rPr>
                <w:sz w:val="24"/>
              </w:rPr>
              <w:t xml:space="preserve">mem-int:ObzStrGrOtvPerevPrichVreZhZdorimPass_PerPrigorPoezdMember</w:t>
            </w:r>
          </w:p>
        </w:tc>
      </w:tr>
      <w:tr>
        <w:tc>
          <w:tcPr>
            <w:tcW w:w="964" w:type="dxa"/>
          </w:tcPr>
          <w:bookmarkStart w:id="57965" w:name="P57965"/>
          <w:bookmarkEnd w:id="57965"/>
          <w:p>
            <w:pPr>
              <w:pStyle w:val="0"/>
            </w:pPr>
            <w:r>
              <w:rPr>
                <w:sz w:val="24"/>
              </w:rPr>
              <w:t xml:space="preserve">2.8.2</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воздушным транспортом</w:t>
            </w:r>
          </w:p>
        </w:tc>
        <w:tc>
          <w:tcPr>
            <w:tcW w:w="3402" w:type="dxa"/>
          </w:tcPr>
          <w:p>
            <w:pPr>
              <w:pStyle w:val="0"/>
            </w:pPr>
            <w:r>
              <w:rPr>
                <w:sz w:val="24"/>
              </w:rPr>
              <w:t xml:space="preserve">mem-int:ObzStrGrOtvPerevPrichVreZhZdorImPass_VozdTsMember</w:t>
            </w:r>
          </w:p>
        </w:tc>
      </w:tr>
      <w:tr>
        <w:tc>
          <w:tcPr>
            <w:tcW w:w="964" w:type="dxa"/>
          </w:tcPr>
          <w:bookmarkStart w:id="57969" w:name="P57969"/>
          <w:bookmarkEnd w:id="57969"/>
          <w:p>
            <w:pPr>
              <w:pStyle w:val="0"/>
            </w:pPr>
            <w:r>
              <w:rPr>
                <w:sz w:val="24"/>
              </w:rPr>
              <w:t xml:space="preserve">2.8.2.1</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самолетами</w:t>
            </w:r>
          </w:p>
        </w:tc>
        <w:tc>
          <w:tcPr>
            <w:tcW w:w="3402" w:type="dxa"/>
          </w:tcPr>
          <w:p>
            <w:pPr>
              <w:pStyle w:val="0"/>
            </w:pPr>
            <w:r>
              <w:rPr>
                <w:sz w:val="24"/>
              </w:rPr>
              <w:t xml:space="preserve">mem-int:ObzStrGrOtvPerevPrichVreZhZdorImPass_SamoletMember</w:t>
            </w:r>
          </w:p>
        </w:tc>
      </w:tr>
      <w:tr>
        <w:tc>
          <w:tcPr>
            <w:tcW w:w="964" w:type="dxa"/>
          </w:tcPr>
          <w:bookmarkStart w:id="57973" w:name="P57973"/>
          <w:bookmarkEnd w:id="57973"/>
          <w:p>
            <w:pPr>
              <w:pStyle w:val="0"/>
            </w:pPr>
            <w:r>
              <w:rPr>
                <w:sz w:val="24"/>
              </w:rPr>
              <w:t xml:space="preserve">2.8.2.2</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вертолетами</w:t>
            </w:r>
          </w:p>
        </w:tc>
        <w:tc>
          <w:tcPr>
            <w:tcW w:w="3402" w:type="dxa"/>
          </w:tcPr>
          <w:p>
            <w:pPr>
              <w:pStyle w:val="0"/>
            </w:pPr>
            <w:r>
              <w:rPr>
                <w:sz w:val="24"/>
              </w:rPr>
              <w:t xml:space="preserve">mem-int:ObzStrGrOtvPerevPrichVreZhZdorImPass_VertoletMember</w:t>
            </w:r>
          </w:p>
        </w:tc>
      </w:tr>
      <w:tr>
        <w:tc>
          <w:tcPr>
            <w:tcW w:w="964" w:type="dxa"/>
          </w:tcPr>
          <w:bookmarkStart w:id="57977" w:name="P57977"/>
          <w:bookmarkEnd w:id="57977"/>
          <w:p>
            <w:pPr>
              <w:pStyle w:val="0"/>
            </w:pPr>
            <w:r>
              <w:rPr>
                <w:sz w:val="24"/>
              </w:rPr>
              <w:t xml:space="preserve">2.8.3</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морским транспортом</w:t>
            </w:r>
          </w:p>
        </w:tc>
        <w:tc>
          <w:tcPr>
            <w:tcW w:w="3402" w:type="dxa"/>
          </w:tcPr>
          <w:p>
            <w:pPr>
              <w:pStyle w:val="0"/>
            </w:pPr>
            <w:r>
              <w:rPr>
                <w:sz w:val="24"/>
              </w:rPr>
              <w:t xml:space="preserve">mem-int:ObzStrGrOtvPerevPrichVreZhZdorImPass_MorTsMember</w:t>
            </w:r>
          </w:p>
        </w:tc>
      </w:tr>
      <w:tr>
        <w:tc>
          <w:tcPr>
            <w:tcW w:w="964" w:type="dxa"/>
          </w:tcPr>
          <w:bookmarkStart w:id="57981" w:name="P57981"/>
          <w:bookmarkEnd w:id="57981"/>
          <w:p>
            <w:pPr>
              <w:pStyle w:val="0"/>
            </w:pPr>
            <w:r>
              <w:rPr>
                <w:sz w:val="24"/>
              </w:rPr>
              <w:t xml:space="preserve">2.8.4</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внутренним водным транспортом</w:t>
            </w:r>
          </w:p>
        </w:tc>
        <w:tc>
          <w:tcPr>
            <w:tcW w:w="3402" w:type="dxa"/>
          </w:tcPr>
          <w:p>
            <w:pPr>
              <w:pStyle w:val="0"/>
            </w:pPr>
            <w:r>
              <w:rPr>
                <w:sz w:val="24"/>
              </w:rPr>
              <w:t xml:space="preserve">mem-int:ObzStrGrOtvPerevPrichVreZhZdorImPass_VnutrVodTsMember</w:t>
            </w:r>
          </w:p>
        </w:tc>
      </w:tr>
      <w:tr>
        <w:tc>
          <w:tcPr>
            <w:tcW w:w="964" w:type="dxa"/>
          </w:tcPr>
          <w:bookmarkStart w:id="57985" w:name="P57985"/>
          <w:bookmarkEnd w:id="57985"/>
          <w:p>
            <w:pPr>
              <w:pStyle w:val="0"/>
            </w:pPr>
            <w:r>
              <w:rPr>
                <w:sz w:val="24"/>
              </w:rPr>
              <w:t xml:space="preserve">2.8.4.1</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на пригородных, внутригородских, транзитных, местных маршрутах перевозок и переправах, а также на экскурсионно-прогулочных маршрутах перевозок</w:t>
            </w:r>
          </w:p>
        </w:tc>
        <w:tc>
          <w:tcPr>
            <w:tcW w:w="3402" w:type="dxa"/>
          </w:tcPr>
          <w:p>
            <w:pPr>
              <w:pStyle w:val="0"/>
            </w:pPr>
            <w:r>
              <w:rPr>
                <w:sz w:val="24"/>
              </w:rPr>
              <w:t xml:space="preserve">mem-int:ObzStrGrOtvPerevPrichVreZhZdorImPass_PrigVngorEkskMen24Member</w:t>
            </w:r>
          </w:p>
        </w:tc>
      </w:tr>
      <w:tr>
        <w:tc>
          <w:tcPr>
            <w:tcW w:w="964" w:type="dxa"/>
          </w:tcPr>
          <w:bookmarkStart w:id="57989" w:name="P57989"/>
          <w:bookmarkEnd w:id="57989"/>
          <w:p>
            <w:pPr>
              <w:pStyle w:val="0"/>
            </w:pPr>
            <w:r>
              <w:rPr>
                <w:sz w:val="24"/>
              </w:rPr>
              <w:t xml:space="preserve">2.8.4.2</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на туристских маршрутах перевозок</w:t>
            </w:r>
          </w:p>
        </w:tc>
        <w:tc>
          <w:tcPr>
            <w:tcW w:w="3402" w:type="dxa"/>
          </w:tcPr>
          <w:p>
            <w:pPr>
              <w:pStyle w:val="0"/>
            </w:pPr>
            <w:r>
              <w:rPr>
                <w:sz w:val="24"/>
              </w:rPr>
              <w:t xml:space="preserve">mem-int:ObzStrGrOtvPerevPrichVreZhZdorImPass_TurMarshPerBolee24Member</w:t>
            </w:r>
          </w:p>
        </w:tc>
      </w:tr>
      <w:tr>
        <w:tc>
          <w:tcPr>
            <w:tcW w:w="964" w:type="dxa"/>
          </w:tcPr>
          <w:bookmarkStart w:id="57993" w:name="P57993"/>
          <w:bookmarkEnd w:id="57993"/>
          <w:p>
            <w:pPr>
              <w:pStyle w:val="0"/>
            </w:pPr>
            <w:r>
              <w:rPr>
                <w:sz w:val="24"/>
              </w:rPr>
              <w:t xml:space="preserve">2.8.5</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автомобильным транспортом</w:t>
            </w:r>
          </w:p>
        </w:tc>
        <w:tc>
          <w:tcPr>
            <w:tcW w:w="3402" w:type="dxa"/>
          </w:tcPr>
          <w:p>
            <w:pPr>
              <w:pStyle w:val="0"/>
            </w:pPr>
            <w:r>
              <w:rPr>
                <w:sz w:val="24"/>
              </w:rPr>
              <w:t xml:space="preserve">mem-int:ObzStrGrOtvPerevPrichVreZhZdorImPass_AvtoMember</w:t>
            </w:r>
          </w:p>
        </w:tc>
      </w:tr>
      <w:tr>
        <w:tc>
          <w:tcPr>
            <w:tcW w:w="964" w:type="dxa"/>
          </w:tcPr>
          <w:bookmarkStart w:id="57997" w:name="P57997"/>
          <w:bookmarkEnd w:id="57997"/>
          <w:p>
            <w:pPr>
              <w:pStyle w:val="0"/>
            </w:pPr>
            <w:r>
              <w:rPr>
                <w:sz w:val="24"/>
              </w:rPr>
              <w:t xml:space="preserve">2.8.5.1</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перевозках по заказам легковыми автомобилями, а также при автобусных перевозках в междугородном и международном сообщении</w:t>
            </w:r>
          </w:p>
        </w:tc>
        <w:tc>
          <w:tcPr>
            <w:tcW w:w="3402" w:type="dxa"/>
          </w:tcPr>
          <w:p>
            <w:pPr>
              <w:pStyle w:val="0"/>
            </w:pPr>
            <w:r>
              <w:rPr>
                <w:sz w:val="24"/>
              </w:rPr>
              <w:t xml:space="preserve">mem-int:ObzStrGrOtvPerevPrichVreZhZdorImPass_AvtPerMezhdGornarMember</w:t>
            </w:r>
          </w:p>
        </w:tc>
      </w:tr>
      <w:tr>
        <w:tc>
          <w:tcPr>
            <w:tcW w:w="964" w:type="dxa"/>
          </w:tcPr>
          <w:p>
            <w:pPr>
              <w:pStyle w:val="0"/>
            </w:pPr>
            <w:r>
              <w:rPr>
                <w:sz w:val="24"/>
              </w:rPr>
              <w:t xml:space="preserve">2.8.5.2</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автобусных перевозках в пригородном сообщении</w:t>
            </w:r>
          </w:p>
        </w:tc>
        <w:tc>
          <w:tcPr>
            <w:tcW w:w="3402" w:type="dxa"/>
          </w:tcPr>
          <w:p>
            <w:pPr>
              <w:pStyle w:val="0"/>
            </w:pPr>
            <w:r>
              <w:rPr>
                <w:sz w:val="24"/>
              </w:rPr>
              <w:t xml:space="preserve">mem-int:ObzStrGrOtvPerevPrichVreZhZdorImPass_AvtobusPrigorMember</w:t>
            </w:r>
          </w:p>
        </w:tc>
      </w:tr>
      <w:tr>
        <w:tc>
          <w:tcPr>
            <w:tcW w:w="964" w:type="dxa"/>
          </w:tcPr>
          <w:p>
            <w:pPr>
              <w:pStyle w:val="0"/>
            </w:pPr>
            <w:r>
              <w:rPr>
                <w:sz w:val="24"/>
              </w:rPr>
              <w:t xml:space="preserve">2.8.5.3</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автобусных перевозках в городском сообщении по заказам и автобусных регулярных перевозках в городском сообщении с посадкой и высадкой пассажиров в любом не запрещенном правилами дорожного движения месте по маршруту регулярных перевозок</w:t>
            </w:r>
          </w:p>
        </w:tc>
        <w:tc>
          <w:tcPr>
            <w:tcW w:w="3402" w:type="dxa"/>
          </w:tcPr>
          <w:p>
            <w:pPr>
              <w:pStyle w:val="0"/>
            </w:pPr>
            <w:r>
              <w:rPr>
                <w:sz w:val="24"/>
              </w:rPr>
              <w:t xml:space="preserve">mem-int:ObzStrGrOtvPerevPrichVreZhZdorImPass_AvtPerRegLyubOstMember</w:t>
            </w:r>
          </w:p>
        </w:tc>
      </w:tr>
      <w:tr>
        <w:tc>
          <w:tcPr>
            <w:tcW w:w="964" w:type="dxa"/>
          </w:tcPr>
          <w:p>
            <w:pPr>
              <w:pStyle w:val="0"/>
            </w:pPr>
            <w:r>
              <w:rPr>
                <w:sz w:val="24"/>
              </w:rPr>
              <w:t xml:space="preserve">2.8.5.4</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автобусных регулярных перевозках в городском сообщении с посадкой и высадкой пассажиров только в установленных остановочных пунктах по маршруту регулярных перевозок</w:t>
            </w:r>
          </w:p>
        </w:tc>
        <w:tc>
          <w:tcPr>
            <w:tcW w:w="3402" w:type="dxa"/>
          </w:tcPr>
          <w:p>
            <w:pPr>
              <w:pStyle w:val="0"/>
            </w:pPr>
            <w:r>
              <w:rPr>
                <w:sz w:val="24"/>
              </w:rPr>
              <w:t xml:space="preserve">mem-int:ObzStrGrOtvPerevPrichVreZhZdorImPass_AvtobusGorRegUstOstMember</w:t>
            </w:r>
          </w:p>
        </w:tc>
      </w:tr>
      <w:tr>
        <w:tc>
          <w:tcPr>
            <w:tcW w:w="964" w:type="dxa"/>
          </w:tcPr>
          <w:bookmarkStart w:id="58013" w:name="P58013"/>
          <w:bookmarkEnd w:id="58013"/>
          <w:p>
            <w:pPr>
              <w:pStyle w:val="0"/>
            </w:pPr>
            <w:r>
              <w:rPr>
                <w:sz w:val="24"/>
              </w:rPr>
              <w:t xml:space="preserve">2.8.5.5</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перевозках легковыми такси</w:t>
            </w:r>
          </w:p>
        </w:tc>
        <w:tc>
          <w:tcPr>
            <w:tcW w:w="3402" w:type="dxa"/>
          </w:tcPr>
          <w:p>
            <w:pPr>
              <w:pStyle w:val="0"/>
            </w:pPr>
            <w:r>
              <w:rPr>
                <w:sz w:val="24"/>
              </w:rPr>
              <w:t xml:space="preserve">mem-int:ObyazStraxGOPerevozchikaLegkTaksiMember</w:t>
            </w:r>
          </w:p>
        </w:tc>
      </w:tr>
      <w:tr>
        <w:tc>
          <w:tcPr>
            <w:tcW w:w="964" w:type="dxa"/>
          </w:tcPr>
          <w:bookmarkStart w:id="58017" w:name="P58017"/>
          <w:bookmarkEnd w:id="58017"/>
          <w:p>
            <w:pPr>
              <w:pStyle w:val="0"/>
            </w:pPr>
            <w:r>
              <w:rPr>
                <w:sz w:val="24"/>
              </w:rPr>
              <w:t xml:space="preserve">2.8.6</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троллейбусами</w:t>
            </w:r>
          </w:p>
        </w:tc>
        <w:tc>
          <w:tcPr>
            <w:tcW w:w="3402" w:type="dxa"/>
          </w:tcPr>
          <w:p>
            <w:pPr>
              <w:pStyle w:val="0"/>
            </w:pPr>
            <w:r>
              <w:rPr>
                <w:sz w:val="24"/>
              </w:rPr>
              <w:t xml:space="preserve">mem-int:ObzStrGrOtvPerevPrichVreZhZdorImPas_TrollejbusamiMember</w:t>
            </w:r>
          </w:p>
        </w:tc>
      </w:tr>
      <w:tr>
        <w:tc>
          <w:tcPr>
            <w:tcW w:w="964" w:type="dxa"/>
          </w:tcPr>
          <w:p>
            <w:pPr>
              <w:pStyle w:val="0"/>
            </w:pPr>
            <w:r>
              <w:rPr>
                <w:sz w:val="24"/>
              </w:rPr>
              <w:t xml:space="preserve">2.8.7</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трамваями</w:t>
            </w:r>
          </w:p>
        </w:tc>
        <w:tc>
          <w:tcPr>
            <w:tcW w:w="3402" w:type="dxa"/>
          </w:tcPr>
          <w:p>
            <w:pPr>
              <w:pStyle w:val="0"/>
            </w:pPr>
            <w:r>
              <w:rPr>
                <w:sz w:val="24"/>
              </w:rPr>
              <w:t xml:space="preserve">mem-int:ObzStrGrOtvPerevPrichVreZhZdorImPass_TramvayamiMember</w:t>
            </w:r>
          </w:p>
        </w:tc>
      </w:tr>
      <w:tr>
        <w:tc>
          <w:tcPr>
            <w:tcW w:w="964" w:type="dxa"/>
          </w:tcPr>
          <w:bookmarkStart w:id="58025" w:name="P58025"/>
          <w:bookmarkEnd w:id="58025"/>
          <w:p>
            <w:pPr>
              <w:pStyle w:val="0"/>
            </w:pPr>
            <w:r>
              <w:rPr>
                <w:sz w:val="24"/>
              </w:rPr>
              <w:t xml:space="preserve">2.8.8</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 при перевозке внеуличным транспортом</w:t>
            </w:r>
          </w:p>
        </w:tc>
        <w:tc>
          <w:tcPr>
            <w:tcW w:w="3402" w:type="dxa"/>
          </w:tcPr>
          <w:p>
            <w:pPr>
              <w:pStyle w:val="0"/>
            </w:pPr>
            <w:r>
              <w:rPr>
                <w:sz w:val="24"/>
              </w:rPr>
              <w:t xml:space="preserve">mem-int:ObzStrGrOtvPerevPrichVreZhZdorImPass_VnulichTsMember</w:t>
            </w:r>
          </w:p>
        </w:tc>
      </w:tr>
      <w:tr>
        <w:tc>
          <w:tcPr>
            <w:tcW w:w="964" w:type="dxa"/>
          </w:tcPr>
          <w:p>
            <w:pPr>
              <w:pStyle w:val="0"/>
            </w:pPr>
            <w:r>
              <w:rPr>
                <w:sz w:val="24"/>
              </w:rPr>
              <w:t xml:space="preserve">2.9</w:t>
            </w:r>
          </w:p>
        </w:tc>
        <w:tc>
          <w:tcPr>
            <w:tcW w:w="2891" w:type="dxa"/>
          </w:tcPr>
          <w:p>
            <w:pPr>
              <w:pStyle w:val="0"/>
            </w:pPr>
            <w:r>
              <w:rPr>
                <w:sz w:val="24"/>
              </w:rPr>
            </w:r>
          </w:p>
        </w:tc>
        <w:tc>
          <w:tcPr>
            <w:tcW w:w="1814" w:type="dxa"/>
          </w:tcPr>
          <w:p>
            <w:pPr>
              <w:pStyle w:val="0"/>
            </w:pPr>
            <w:r>
              <w:rPr>
                <w:sz w:val="24"/>
              </w:rPr>
              <w:t xml:space="preserve">Списания по инкассо по судебным решениям</w:t>
            </w:r>
          </w:p>
        </w:tc>
        <w:tc>
          <w:tcPr>
            <w:tcW w:w="3402" w:type="dxa"/>
          </w:tcPr>
          <w:p>
            <w:pPr>
              <w:pStyle w:val="0"/>
            </w:pPr>
            <w:r>
              <w:rPr>
                <w:sz w:val="24"/>
              </w:rPr>
              <w:t xml:space="preserve">mem-int:PoInkassoMember</w:t>
            </w:r>
          </w:p>
        </w:tc>
      </w:tr>
      <w:tr>
        <w:tc>
          <w:tcPr>
            <w:tcW w:w="964" w:type="dxa"/>
          </w:tcPr>
          <w:bookmarkStart w:id="58033" w:name="P58033"/>
          <w:bookmarkEnd w:id="58033"/>
          <w:p>
            <w:pPr>
              <w:pStyle w:val="0"/>
            </w:pPr>
            <w:r>
              <w:rPr>
                <w:sz w:val="24"/>
              </w:rPr>
              <w:t xml:space="preserve">3</w:t>
            </w:r>
          </w:p>
        </w:tc>
        <w:tc>
          <w:tcPr>
            <w:tcW w:w="2891" w:type="dxa"/>
          </w:tcPr>
          <w:p>
            <w:pPr>
              <w:pStyle w:val="0"/>
            </w:pPr>
            <w:r>
              <w:rPr>
                <w:sz w:val="24"/>
              </w:rPr>
              <w:t xml:space="preserve">Виды страхования (справочно)</w:t>
            </w:r>
          </w:p>
        </w:tc>
        <w:tc>
          <w:tcPr>
            <w:tcW w:w="1814" w:type="dxa"/>
          </w:tcPr>
          <w:p>
            <w:pPr>
              <w:pStyle w:val="0"/>
            </w:pPr>
            <w:r>
              <w:rPr>
                <w:sz w:val="24"/>
              </w:rPr>
            </w:r>
          </w:p>
        </w:tc>
        <w:tc>
          <w:tcPr>
            <w:tcW w:w="3402" w:type="dxa"/>
          </w:tcPr>
          <w:p>
            <w:pPr>
              <w:pStyle w:val="0"/>
            </w:pPr>
            <w:r>
              <w:rPr>
                <w:sz w:val="24"/>
              </w:rPr>
              <w:t xml:space="preserve">dim-int:Vidy_straxovaniyaSpravochnoAxis</w:t>
            </w:r>
          </w:p>
        </w:tc>
      </w:tr>
      <w:tr>
        <w:tc>
          <w:tcPr>
            <w:tcW w:w="964" w:type="dxa"/>
          </w:tcPr>
          <w:bookmarkStart w:id="58037" w:name="P58037"/>
          <w:bookmarkEnd w:id="58037"/>
          <w:p>
            <w:pPr>
              <w:pStyle w:val="0"/>
            </w:pPr>
            <w:r>
              <w:rPr>
                <w:sz w:val="24"/>
              </w:rPr>
              <w:t xml:space="preserve">3.1</w:t>
            </w:r>
          </w:p>
        </w:tc>
        <w:tc>
          <w:tcPr>
            <w:tcW w:w="2891" w:type="dxa"/>
          </w:tcPr>
          <w:p>
            <w:pPr>
              <w:pStyle w:val="0"/>
            </w:pPr>
            <w:r>
              <w:rPr>
                <w:sz w:val="24"/>
              </w:rPr>
            </w:r>
          </w:p>
        </w:tc>
        <w:tc>
          <w:tcPr>
            <w:tcW w:w="1814" w:type="dxa"/>
          </w:tcPr>
          <w:p>
            <w:pPr>
              <w:pStyle w:val="0"/>
            </w:pPr>
            <w:r>
              <w:rPr>
                <w:sz w:val="24"/>
              </w:rPr>
              <w:t xml:space="preserve">Добровольное страхование жилых помещений граждан</w:t>
            </w:r>
          </w:p>
        </w:tc>
        <w:tc>
          <w:tcPr>
            <w:tcW w:w="3402" w:type="dxa"/>
          </w:tcPr>
          <w:p>
            <w:pPr>
              <w:pStyle w:val="0"/>
            </w:pPr>
            <w:r>
              <w:rPr>
                <w:sz w:val="24"/>
              </w:rPr>
              <w:t xml:space="preserve">mem-int:DobrStrZhilPomMember</w:t>
            </w:r>
          </w:p>
        </w:tc>
      </w:tr>
      <w:tr>
        <w:tc>
          <w:tcPr>
            <w:tcW w:w="964" w:type="dxa"/>
          </w:tcPr>
          <w:bookmarkStart w:id="58041" w:name="P58041"/>
          <w:bookmarkEnd w:id="58041"/>
          <w:p>
            <w:pPr>
              <w:pStyle w:val="0"/>
            </w:pPr>
            <w:r>
              <w:rPr>
                <w:sz w:val="24"/>
              </w:rPr>
              <w:t xml:space="preserve">3.1.1</w:t>
            </w:r>
          </w:p>
        </w:tc>
        <w:tc>
          <w:tcPr>
            <w:tcW w:w="2891" w:type="dxa"/>
          </w:tcPr>
          <w:p>
            <w:pPr>
              <w:pStyle w:val="0"/>
            </w:pPr>
            <w:r>
              <w:rPr>
                <w:sz w:val="24"/>
              </w:rPr>
            </w:r>
          </w:p>
        </w:tc>
        <w:tc>
          <w:tcPr>
            <w:tcW w:w="1814" w:type="dxa"/>
          </w:tcPr>
          <w:p>
            <w:pPr>
              <w:pStyle w:val="0"/>
            </w:pPr>
            <w:r>
              <w:rPr>
                <w:sz w:val="24"/>
              </w:rPr>
              <w:t xml:space="preserve">Добровольное страхование жилых помещений граждан в рамках программы</w:t>
            </w:r>
          </w:p>
        </w:tc>
        <w:tc>
          <w:tcPr>
            <w:tcW w:w="3402" w:type="dxa"/>
          </w:tcPr>
          <w:p>
            <w:pPr>
              <w:pStyle w:val="0"/>
            </w:pPr>
            <w:r>
              <w:rPr>
                <w:sz w:val="24"/>
              </w:rPr>
              <w:t xml:space="preserve">mem-int:DobrStrZhilPomVRamkProgrMember</w:t>
            </w:r>
          </w:p>
        </w:tc>
      </w:tr>
      <w:tr>
        <w:tc>
          <w:tcPr>
            <w:tcW w:w="964" w:type="dxa"/>
          </w:tcPr>
          <w:bookmarkStart w:id="58045" w:name="P58045"/>
          <w:bookmarkEnd w:id="58045"/>
          <w:p>
            <w:pPr>
              <w:pStyle w:val="0"/>
            </w:pPr>
            <w:r>
              <w:rPr>
                <w:sz w:val="24"/>
              </w:rPr>
              <w:t xml:space="preserve">3.2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перевозчиков</w:t>
            </w:r>
          </w:p>
        </w:tc>
        <w:tc>
          <w:tcPr>
            <w:tcW w:w="3402" w:type="dxa"/>
          </w:tcPr>
          <w:p>
            <w:pPr>
              <w:pStyle w:val="0"/>
            </w:pPr>
            <w:r>
              <w:rPr>
                <w:sz w:val="24"/>
              </w:rPr>
              <w:t xml:space="preserve">mem-int:Sprav_Ds_Go_Perevoz_Itogo_Member</w:t>
            </w:r>
          </w:p>
        </w:tc>
      </w:tr>
      <w:tr>
        <w:tc>
          <w:tcPr>
            <w:tcW w:w="964" w:type="dxa"/>
          </w:tcPr>
          <w:bookmarkStart w:id="58049" w:name="P58049"/>
          <w:bookmarkEnd w:id="58049"/>
          <w:p>
            <w:pPr>
              <w:pStyle w:val="0"/>
            </w:pPr>
            <w:r>
              <w:rPr>
                <w:sz w:val="24"/>
              </w:rPr>
              <w:t xml:space="preserve">3.2.1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перевозчиков при перевозке средствами наземного транспорта (кроме средств железнодорожного транспорта)</w:t>
            </w:r>
          </w:p>
        </w:tc>
        <w:tc>
          <w:tcPr>
            <w:tcW w:w="3402" w:type="dxa"/>
          </w:tcPr>
          <w:p>
            <w:pPr>
              <w:pStyle w:val="0"/>
            </w:pPr>
            <w:r>
              <w:rPr>
                <w:sz w:val="24"/>
              </w:rPr>
              <w:t xml:space="preserve">mem-int:Strax_Go_Per_Naz_Ts_Krome_Zhd_Member</w:t>
            </w:r>
          </w:p>
        </w:tc>
      </w:tr>
      <w:tr>
        <w:tc>
          <w:tcPr>
            <w:tcW w:w="964" w:type="dxa"/>
          </w:tcPr>
          <w:p>
            <w:pPr>
              <w:pStyle w:val="0"/>
            </w:pPr>
            <w:r>
              <w:rPr>
                <w:sz w:val="24"/>
              </w:rPr>
              <w:t xml:space="preserve">3.2.2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перевозчиков при перевозке средствами железнодорожного транспорта</w:t>
            </w:r>
          </w:p>
        </w:tc>
        <w:tc>
          <w:tcPr>
            <w:tcW w:w="3402" w:type="dxa"/>
          </w:tcPr>
          <w:p>
            <w:pPr>
              <w:pStyle w:val="0"/>
            </w:pPr>
            <w:r>
              <w:rPr>
                <w:sz w:val="24"/>
              </w:rPr>
              <w:t xml:space="preserve">mem-int:Strax_Go_Per_Zhd_Ts_Member</w:t>
            </w:r>
          </w:p>
        </w:tc>
      </w:tr>
      <w:tr>
        <w:tc>
          <w:tcPr>
            <w:tcW w:w="964" w:type="dxa"/>
          </w:tcPr>
          <w:p>
            <w:pPr>
              <w:pStyle w:val="0"/>
            </w:pPr>
            <w:r>
              <w:rPr>
                <w:sz w:val="24"/>
              </w:rPr>
              <w:t xml:space="preserve">3.2.3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перевозчиков при перевозке средствами воздушного транспорта</w:t>
            </w:r>
          </w:p>
        </w:tc>
        <w:tc>
          <w:tcPr>
            <w:tcW w:w="3402" w:type="dxa"/>
          </w:tcPr>
          <w:p>
            <w:pPr>
              <w:pStyle w:val="0"/>
            </w:pPr>
            <w:r>
              <w:rPr>
                <w:sz w:val="24"/>
              </w:rPr>
              <w:t xml:space="preserve">mem-int:Strax_Go_PerVozd_Ts_Member</w:t>
            </w:r>
          </w:p>
        </w:tc>
      </w:tr>
      <w:tr>
        <w:tc>
          <w:tcPr>
            <w:tcW w:w="964" w:type="dxa"/>
          </w:tcPr>
          <w:bookmarkStart w:id="58061" w:name="P58061"/>
          <w:bookmarkEnd w:id="58061"/>
          <w:p>
            <w:pPr>
              <w:pStyle w:val="0"/>
            </w:pPr>
            <w:r>
              <w:rPr>
                <w:sz w:val="24"/>
              </w:rPr>
              <w:t xml:space="preserve">3.2.4</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перевозчиков при перевозке средствами водного транспорта</w:t>
            </w:r>
          </w:p>
        </w:tc>
        <w:tc>
          <w:tcPr>
            <w:tcW w:w="3402" w:type="dxa"/>
          </w:tcPr>
          <w:p>
            <w:pPr>
              <w:pStyle w:val="0"/>
            </w:pPr>
            <w:r>
              <w:rPr>
                <w:sz w:val="24"/>
              </w:rPr>
              <w:t xml:space="preserve">mem-int:Strax_Go_Per_Vod_Ts_Member</w:t>
            </w:r>
          </w:p>
        </w:tc>
      </w:tr>
      <w:tr>
        <w:tc>
          <w:tcPr>
            <w:tcW w:w="964" w:type="dxa"/>
          </w:tcPr>
          <w:p>
            <w:pPr>
              <w:pStyle w:val="0"/>
            </w:pPr>
            <w:r>
              <w:rPr>
                <w:sz w:val="24"/>
              </w:rPr>
              <w:t xml:space="preserve">4</w:t>
            </w:r>
          </w:p>
        </w:tc>
        <w:tc>
          <w:tcPr>
            <w:tcW w:w="2891" w:type="dxa"/>
          </w:tcPr>
          <w:p>
            <w:pPr>
              <w:pStyle w:val="0"/>
            </w:pPr>
            <w:r>
              <w:rPr>
                <w:sz w:val="24"/>
              </w:rPr>
              <w:t xml:space="preserve">Виды страховых случаев</w:t>
            </w:r>
          </w:p>
        </w:tc>
        <w:tc>
          <w:tcPr>
            <w:tcW w:w="1814" w:type="dxa"/>
          </w:tcPr>
          <w:p>
            <w:pPr>
              <w:pStyle w:val="0"/>
            </w:pPr>
            <w:r>
              <w:rPr>
                <w:sz w:val="24"/>
              </w:rPr>
            </w:r>
          </w:p>
        </w:tc>
        <w:tc>
          <w:tcPr>
            <w:tcW w:w="3402" w:type="dxa"/>
          </w:tcPr>
          <w:p>
            <w:pPr>
              <w:pStyle w:val="0"/>
            </w:pPr>
            <w:r>
              <w:rPr>
                <w:sz w:val="24"/>
              </w:rPr>
              <w:t xml:space="preserve">dim-int:Vidy_Strax_Sluch_Axis</w:t>
            </w:r>
          </w:p>
        </w:tc>
      </w:tr>
      <w:tr>
        <w:tc>
          <w:tcPr>
            <w:tcW w:w="964" w:type="dxa"/>
          </w:tcPr>
          <w:p>
            <w:pPr>
              <w:pStyle w:val="0"/>
            </w:pPr>
            <w:r>
              <w:rPr>
                <w:sz w:val="24"/>
              </w:rPr>
              <w:t xml:space="preserve">4.1</w:t>
            </w:r>
          </w:p>
        </w:tc>
        <w:tc>
          <w:tcPr>
            <w:tcW w:w="2891" w:type="dxa"/>
          </w:tcPr>
          <w:p>
            <w:pPr>
              <w:pStyle w:val="0"/>
            </w:pPr>
            <w:r>
              <w:rPr>
                <w:sz w:val="24"/>
              </w:rPr>
            </w:r>
          </w:p>
        </w:tc>
        <w:tc>
          <w:tcPr>
            <w:tcW w:w="1814" w:type="dxa"/>
          </w:tcPr>
          <w:p>
            <w:pPr>
              <w:pStyle w:val="0"/>
            </w:pPr>
            <w:r>
              <w:rPr>
                <w:sz w:val="24"/>
              </w:rPr>
              <w:t xml:space="preserve">Смерть</w:t>
            </w:r>
          </w:p>
        </w:tc>
        <w:tc>
          <w:tcPr>
            <w:tcW w:w="3402" w:type="dxa"/>
          </w:tcPr>
          <w:p>
            <w:pPr>
              <w:pStyle w:val="0"/>
            </w:pPr>
            <w:r>
              <w:rPr>
                <w:sz w:val="24"/>
              </w:rPr>
              <w:t xml:space="preserve">mem-int:Smert_Member</w:t>
            </w:r>
          </w:p>
        </w:tc>
      </w:tr>
      <w:tr>
        <w:tc>
          <w:tcPr>
            <w:tcW w:w="964" w:type="dxa"/>
          </w:tcPr>
          <w:p>
            <w:pPr>
              <w:pStyle w:val="0"/>
            </w:pPr>
            <w:r>
              <w:rPr>
                <w:sz w:val="24"/>
              </w:rPr>
              <w:t xml:space="preserve">4.2</w:t>
            </w:r>
          </w:p>
        </w:tc>
        <w:tc>
          <w:tcPr>
            <w:tcW w:w="2891" w:type="dxa"/>
          </w:tcPr>
          <w:p>
            <w:pPr>
              <w:pStyle w:val="0"/>
            </w:pPr>
            <w:r>
              <w:rPr>
                <w:sz w:val="24"/>
              </w:rPr>
            </w:r>
          </w:p>
        </w:tc>
        <w:tc>
          <w:tcPr>
            <w:tcW w:w="1814" w:type="dxa"/>
          </w:tcPr>
          <w:p>
            <w:pPr>
              <w:pStyle w:val="0"/>
            </w:pPr>
            <w:r>
              <w:rPr>
                <w:sz w:val="24"/>
              </w:rPr>
              <w:t xml:space="preserve">Дожитие до определенного возраста или срока</w:t>
            </w:r>
          </w:p>
        </w:tc>
        <w:tc>
          <w:tcPr>
            <w:tcW w:w="3402" w:type="dxa"/>
          </w:tcPr>
          <w:p>
            <w:pPr>
              <w:pStyle w:val="0"/>
            </w:pPr>
            <w:r>
              <w:rPr>
                <w:sz w:val="24"/>
              </w:rPr>
              <w:t xml:space="preserve">mem-int:Dozhitie_Member</w:t>
            </w:r>
          </w:p>
        </w:tc>
      </w:tr>
      <w:tr>
        <w:tc>
          <w:tcPr>
            <w:tcW w:w="964" w:type="dxa"/>
          </w:tcPr>
          <w:p>
            <w:pPr>
              <w:pStyle w:val="0"/>
            </w:pPr>
            <w:r>
              <w:rPr>
                <w:sz w:val="24"/>
              </w:rPr>
              <w:t xml:space="preserve">4.3</w:t>
            </w:r>
          </w:p>
        </w:tc>
        <w:tc>
          <w:tcPr>
            <w:tcW w:w="2891" w:type="dxa"/>
          </w:tcPr>
          <w:p>
            <w:pPr>
              <w:pStyle w:val="0"/>
            </w:pPr>
            <w:r>
              <w:rPr>
                <w:sz w:val="24"/>
              </w:rPr>
            </w:r>
          </w:p>
        </w:tc>
        <w:tc>
          <w:tcPr>
            <w:tcW w:w="1814" w:type="dxa"/>
          </w:tcPr>
          <w:p>
            <w:pPr>
              <w:pStyle w:val="0"/>
            </w:pPr>
            <w:r>
              <w:rPr>
                <w:sz w:val="24"/>
              </w:rPr>
              <w:t xml:space="preserve">Наступление иного события в жизни застрахованного</w:t>
            </w:r>
          </w:p>
        </w:tc>
        <w:tc>
          <w:tcPr>
            <w:tcW w:w="3402" w:type="dxa"/>
          </w:tcPr>
          <w:p>
            <w:pPr>
              <w:pStyle w:val="0"/>
            </w:pPr>
            <w:r>
              <w:rPr>
                <w:sz w:val="24"/>
              </w:rPr>
              <w:t xml:space="preserve">mem-int:Inoe_Sobytie_Zhizni_Member</w:t>
            </w:r>
          </w:p>
        </w:tc>
      </w:tr>
      <w:tr>
        <w:tc>
          <w:tcPr>
            <w:tcW w:w="964" w:type="dxa"/>
          </w:tcPr>
          <w:p>
            <w:pPr>
              <w:pStyle w:val="0"/>
            </w:pPr>
            <w:r>
              <w:rPr>
                <w:sz w:val="24"/>
              </w:rPr>
              <w:t xml:space="preserve">4.4</w:t>
            </w:r>
          </w:p>
        </w:tc>
        <w:tc>
          <w:tcPr>
            <w:tcW w:w="2891" w:type="dxa"/>
          </w:tcPr>
          <w:p>
            <w:pPr>
              <w:pStyle w:val="0"/>
            </w:pPr>
            <w:r>
              <w:rPr>
                <w:sz w:val="24"/>
              </w:rPr>
            </w:r>
          </w:p>
        </w:tc>
        <w:tc>
          <w:tcPr>
            <w:tcW w:w="1814" w:type="dxa"/>
          </w:tcPr>
          <w:p>
            <w:pPr>
              <w:pStyle w:val="0"/>
            </w:pPr>
            <w:r>
              <w:rPr>
                <w:sz w:val="24"/>
              </w:rPr>
              <w:t xml:space="preserve">Утрата трудоспособности (инвалидность)</w:t>
            </w:r>
          </w:p>
        </w:tc>
        <w:tc>
          <w:tcPr>
            <w:tcW w:w="3402" w:type="dxa"/>
          </w:tcPr>
          <w:p>
            <w:pPr>
              <w:pStyle w:val="0"/>
            </w:pPr>
            <w:r>
              <w:rPr>
                <w:sz w:val="24"/>
              </w:rPr>
              <w:t xml:space="preserve">mem-int:Utr_Trudosp_Member</w:t>
            </w:r>
          </w:p>
        </w:tc>
      </w:tr>
      <w:tr>
        <w:tc>
          <w:tcPr>
            <w:tcW w:w="964" w:type="dxa"/>
          </w:tcPr>
          <w:p>
            <w:pPr>
              <w:pStyle w:val="0"/>
            </w:pPr>
            <w:r>
              <w:rPr>
                <w:sz w:val="24"/>
              </w:rPr>
              <w:t xml:space="preserve">4.5</w:t>
            </w:r>
          </w:p>
        </w:tc>
        <w:tc>
          <w:tcPr>
            <w:tcW w:w="2891" w:type="dxa"/>
          </w:tcPr>
          <w:p>
            <w:pPr>
              <w:pStyle w:val="0"/>
            </w:pPr>
            <w:r>
              <w:rPr>
                <w:sz w:val="24"/>
              </w:rPr>
            </w:r>
          </w:p>
        </w:tc>
        <w:tc>
          <w:tcPr>
            <w:tcW w:w="1814" w:type="dxa"/>
          </w:tcPr>
          <w:p>
            <w:pPr>
              <w:pStyle w:val="0"/>
            </w:pPr>
            <w:r>
              <w:rPr>
                <w:sz w:val="24"/>
              </w:rPr>
              <w:t xml:space="preserve">Утрата общей трудоспособности постоянная</w:t>
            </w:r>
          </w:p>
        </w:tc>
        <w:tc>
          <w:tcPr>
            <w:tcW w:w="3402" w:type="dxa"/>
          </w:tcPr>
          <w:p>
            <w:pPr>
              <w:pStyle w:val="0"/>
            </w:pPr>
            <w:r>
              <w:rPr>
                <w:sz w:val="24"/>
              </w:rPr>
              <w:t xml:space="preserve">mem-int:Utr_Obshh_Trud_Post Member</w:t>
            </w:r>
          </w:p>
        </w:tc>
      </w:tr>
      <w:tr>
        <w:tc>
          <w:tcPr>
            <w:tcW w:w="964" w:type="dxa"/>
          </w:tcPr>
          <w:p>
            <w:pPr>
              <w:pStyle w:val="0"/>
            </w:pPr>
            <w:r>
              <w:rPr>
                <w:sz w:val="24"/>
              </w:rPr>
              <w:t xml:space="preserve">4.6</w:t>
            </w:r>
          </w:p>
        </w:tc>
        <w:tc>
          <w:tcPr>
            <w:tcW w:w="2891" w:type="dxa"/>
          </w:tcPr>
          <w:p>
            <w:pPr>
              <w:pStyle w:val="0"/>
            </w:pPr>
            <w:r>
              <w:rPr>
                <w:sz w:val="24"/>
              </w:rPr>
            </w:r>
          </w:p>
        </w:tc>
        <w:tc>
          <w:tcPr>
            <w:tcW w:w="1814" w:type="dxa"/>
          </w:tcPr>
          <w:p>
            <w:pPr>
              <w:pStyle w:val="0"/>
            </w:pPr>
            <w:r>
              <w:rPr>
                <w:sz w:val="24"/>
              </w:rPr>
              <w:t xml:space="preserve">Утрата общей трудоспособности временная</w:t>
            </w:r>
          </w:p>
        </w:tc>
        <w:tc>
          <w:tcPr>
            <w:tcW w:w="3402" w:type="dxa"/>
          </w:tcPr>
          <w:p>
            <w:pPr>
              <w:pStyle w:val="0"/>
            </w:pPr>
            <w:r>
              <w:rPr>
                <w:sz w:val="24"/>
              </w:rPr>
              <w:t xml:space="preserve">mem-int:Utr_Obshh_Trud_Vr_Member</w:t>
            </w:r>
          </w:p>
        </w:tc>
      </w:tr>
      <w:tr>
        <w:tc>
          <w:tcPr>
            <w:tcW w:w="964" w:type="dxa"/>
          </w:tcPr>
          <w:p>
            <w:pPr>
              <w:pStyle w:val="0"/>
            </w:pPr>
            <w:r>
              <w:rPr>
                <w:sz w:val="24"/>
              </w:rPr>
              <w:t xml:space="preserve">4.7</w:t>
            </w:r>
          </w:p>
        </w:tc>
        <w:tc>
          <w:tcPr>
            <w:tcW w:w="2891" w:type="dxa"/>
          </w:tcPr>
          <w:p>
            <w:pPr>
              <w:pStyle w:val="0"/>
            </w:pPr>
            <w:r>
              <w:rPr>
                <w:sz w:val="24"/>
              </w:rPr>
            </w:r>
          </w:p>
        </w:tc>
        <w:tc>
          <w:tcPr>
            <w:tcW w:w="1814" w:type="dxa"/>
          </w:tcPr>
          <w:p>
            <w:pPr>
              <w:pStyle w:val="0"/>
            </w:pPr>
            <w:r>
              <w:rPr>
                <w:sz w:val="24"/>
              </w:rPr>
              <w:t xml:space="preserve">Заболевание</w:t>
            </w:r>
          </w:p>
        </w:tc>
        <w:tc>
          <w:tcPr>
            <w:tcW w:w="3402" w:type="dxa"/>
          </w:tcPr>
          <w:p>
            <w:pPr>
              <w:pStyle w:val="0"/>
            </w:pPr>
            <w:r>
              <w:rPr>
                <w:sz w:val="24"/>
              </w:rPr>
              <w:t xml:space="preserve">mem-int:Zabolevanie_Member</w:t>
            </w:r>
          </w:p>
        </w:tc>
      </w:tr>
      <w:tr>
        <w:tc>
          <w:tcPr>
            <w:tcW w:w="964" w:type="dxa"/>
          </w:tcPr>
          <w:p>
            <w:pPr>
              <w:pStyle w:val="0"/>
            </w:pPr>
            <w:r>
              <w:rPr>
                <w:sz w:val="24"/>
              </w:rPr>
              <w:t xml:space="preserve">4.8</w:t>
            </w:r>
          </w:p>
        </w:tc>
        <w:tc>
          <w:tcPr>
            <w:tcW w:w="2891" w:type="dxa"/>
          </w:tcPr>
          <w:p>
            <w:pPr>
              <w:pStyle w:val="0"/>
            </w:pPr>
            <w:r>
              <w:rPr>
                <w:sz w:val="24"/>
              </w:rPr>
            </w:r>
          </w:p>
        </w:tc>
        <w:tc>
          <w:tcPr>
            <w:tcW w:w="1814" w:type="dxa"/>
          </w:tcPr>
          <w:p>
            <w:pPr>
              <w:pStyle w:val="0"/>
            </w:pPr>
            <w:r>
              <w:rPr>
                <w:sz w:val="24"/>
              </w:rPr>
              <w:t xml:space="preserve">Инвалидность (I группа) вследствие увечья или заболевания</w:t>
            </w:r>
          </w:p>
        </w:tc>
        <w:tc>
          <w:tcPr>
            <w:tcW w:w="3402" w:type="dxa"/>
          </w:tcPr>
          <w:p>
            <w:pPr>
              <w:pStyle w:val="0"/>
            </w:pPr>
            <w:r>
              <w:rPr>
                <w:sz w:val="24"/>
              </w:rPr>
              <w:t xml:space="preserve">mem-int:Inv_1Gr_Uvech_Zabol_Member</w:t>
            </w:r>
          </w:p>
        </w:tc>
      </w:tr>
      <w:tr>
        <w:tc>
          <w:tcPr>
            <w:tcW w:w="964" w:type="dxa"/>
          </w:tcPr>
          <w:p>
            <w:pPr>
              <w:pStyle w:val="0"/>
            </w:pPr>
            <w:r>
              <w:rPr>
                <w:sz w:val="24"/>
              </w:rPr>
              <w:t xml:space="preserve">4.9</w:t>
            </w:r>
          </w:p>
        </w:tc>
        <w:tc>
          <w:tcPr>
            <w:tcW w:w="2891" w:type="dxa"/>
          </w:tcPr>
          <w:p>
            <w:pPr>
              <w:pStyle w:val="0"/>
            </w:pPr>
            <w:r>
              <w:rPr>
                <w:sz w:val="24"/>
              </w:rPr>
            </w:r>
          </w:p>
        </w:tc>
        <w:tc>
          <w:tcPr>
            <w:tcW w:w="1814" w:type="dxa"/>
          </w:tcPr>
          <w:p>
            <w:pPr>
              <w:pStyle w:val="0"/>
            </w:pPr>
            <w:r>
              <w:rPr>
                <w:sz w:val="24"/>
              </w:rPr>
              <w:t xml:space="preserve">Инвалидность (II группа) вследствие увечья или заболевания</w:t>
            </w:r>
          </w:p>
        </w:tc>
        <w:tc>
          <w:tcPr>
            <w:tcW w:w="3402" w:type="dxa"/>
          </w:tcPr>
          <w:p>
            <w:pPr>
              <w:pStyle w:val="0"/>
            </w:pPr>
            <w:r>
              <w:rPr>
                <w:sz w:val="24"/>
              </w:rPr>
              <w:t xml:space="preserve">mem-int:Inv_2Gr_Uvech_Zabol_Member</w:t>
            </w:r>
          </w:p>
        </w:tc>
      </w:tr>
      <w:tr>
        <w:tc>
          <w:tcPr>
            <w:tcW w:w="964" w:type="dxa"/>
          </w:tcPr>
          <w:p>
            <w:pPr>
              <w:pStyle w:val="0"/>
            </w:pPr>
            <w:r>
              <w:rPr>
                <w:sz w:val="24"/>
              </w:rPr>
              <w:t xml:space="preserve">4.10</w:t>
            </w:r>
          </w:p>
        </w:tc>
        <w:tc>
          <w:tcPr>
            <w:tcW w:w="2891" w:type="dxa"/>
          </w:tcPr>
          <w:p>
            <w:pPr>
              <w:pStyle w:val="0"/>
            </w:pPr>
            <w:r>
              <w:rPr>
                <w:sz w:val="24"/>
              </w:rPr>
            </w:r>
          </w:p>
        </w:tc>
        <w:tc>
          <w:tcPr>
            <w:tcW w:w="1814" w:type="dxa"/>
          </w:tcPr>
          <w:p>
            <w:pPr>
              <w:pStyle w:val="0"/>
            </w:pPr>
            <w:r>
              <w:rPr>
                <w:sz w:val="24"/>
              </w:rPr>
              <w:t xml:space="preserve">Инвалидность (III группа) вследствие увечья или заболевания</w:t>
            </w:r>
          </w:p>
        </w:tc>
        <w:tc>
          <w:tcPr>
            <w:tcW w:w="3402" w:type="dxa"/>
          </w:tcPr>
          <w:p>
            <w:pPr>
              <w:pStyle w:val="0"/>
            </w:pPr>
            <w:r>
              <w:rPr>
                <w:sz w:val="24"/>
              </w:rPr>
              <w:t xml:space="preserve">mem-int:Inv_3Gr_Uvech_Zabol_Member</w:t>
            </w:r>
          </w:p>
        </w:tc>
      </w:tr>
      <w:tr>
        <w:tc>
          <w:tcPr>
            <w:tcW w:w="964" w:type="dxa"/>
          </w:tcPr>
          <w:p>
            <w:pPr>
              <w:pStyle w:val="0"/>
            </w:pPr>
            <w:r>
              <w:rPr>
                <w:sz w:val="24"/>
              </w:rPr>
              <w:t xml:space="preserve">4.11</w:t>
            </w:r>
          </w:p>
        </w:tc>
        <w:tc>
          <w:tcPr>
            <w:tcW w:w="2891" w:type="dxa"/>
          </w:tcPr>
          <w:p>
            <w:pPr>
              <w:pStyle w:val="0"/>
            </w:pPr>
            <w:r>
              <w:rPr>
                <w:sz w:val="24"/>
              </w:rPr>
            </w:r>
          </w:p>
        </w:tc>
        <w:tc>
          <w:tcPr>
            <w:tcW w:w="1814" w:type="dxa"/>
          </w:tcPr>
          <w:p>
            <w:pPr>
              <w:pStyle w:val="0"/>
            </w:pPr>
            <w:r>
              <w:rPr>
                <w:sz w:val="24"/>
              </w:rPr>
              <w:t xml:space="preserve">Тяжелое увечье</w:t>
            </w:r>
          </w:p>
        </w:tc>
        <w:tc>
          <w:tcPr>
            <w:tcW w:w="3402" w:type="dxa"/>
          </w:tcPr>
          <w:p>
            <w:pPr>
              <w:pStyle w:val="0"/>
            </w:pPr>
            <w:r>
              <w:rPr>
                <w:sz w:val="24"/>
              </w:rPr>
              <w:t xml:space="preserve">mem-int:Tyazh_Uvech_Member</w:t>
            </w:r>
          </w:p>
        </w:tc>
      </w:tr>
      <w:tr>
        <w:tc>
          <w:tcPr>
            <w:tcW w:w="964" w:type="dxa"/>
          </w:tcPr>
          <w:p>
            <w:pPr>
              <w:pStyle w:val="0"/>
            </w:pPr>
            <w:r>
              <w:rPr>
                <w:sz w:val="24"/>
              </w:rPr>
              <w:t xml:space="preserve">4.12</w:t>
            </w:r>
          </w:p>
        </w:tc>
        <w:tc>
          <w:tcPr>
            <w:tcW w:w="2891" w:type="dxa"/>
          </w:tcPr>
          <w:p>
            <w:pPr>
              <w:pStyle w:val="0"/>
            </w:pPr>
            <w:r>
              <w:rPr>
                <w:sz w:val="24"/>
              </w:rPr>
            </w:r>
          </w:p>
        </w:tc>
        <w:tc>
          <w:tcPr>
            <w:tcW w:w="1814" w:type="dxa"/>
          </w:tcPr>
          <w:p>
            <w:pPr>
              <w:pStyle w:val="0"/>
            </w:pPr>
            <w:r>
              <w:rPr>
                <w:sz w:val="24"/>
              </w:rPr>
              <w:t xml:space="preserve">Легкое увечье</w:t>
            </w:r>
          </w:p>
        </w:tc>
        <w:tc>
          <w:tcPr>
            <w:tcW w:w="3402" w:type="dxa"/>
          </w:tcPr>
          <w:p>
            <w:pPr>
              <w:pStyle w:val="0"/>
            </w:pPr>
            <w:r>
              <w:rPr>
                <w:sz w:val="24"/>
              </w:rPr>
              <w:t xml:space="preserve">mem-int:Legk_Uvech_Member</w:t>
            </w:r>
          </w:p>
        </w:tc>
      </w:tr>
      <w:tr>
        <w:tc>
          <w:tcPr>
            <w:tcW w:w="964" w:type="dxa"/>
          </w:tcPr>
          <w:p>
            <w:pPr>
              <w:pStyle w:val="0"/>
            </w:pPr>
            <w:r>
              <w:rPr>
                <w:sz w:val="24"/>
              </w:rPr>
              <w:t xml:space="preserve">4.13</w:t>
            </w:r>
          </w:p>
        </w:tc>
        <w:tc>
          <w:tcPr>
            <w:tcW w:w="2891" w:type="dxa"/>
          </w:tcPr>
          <w:p>
            <w:pPr>
              <w:pStyle w:val="0"/>
            </w:pPr>
            <w:r>
              <w:rPr>
                <w:sz w:val="24"/>
              </w:rPr>
            </w:r>
          </w:p>
        </w:tc>
        <w:tc>
          <w:tcPr>
            <w:tcW w:w="1814" w:type="dxa"/>
          </w:tcPr>
          <w:p>
            <w:pPr>
              <w:pStyle w:val="0"/>
            </w:pPr>
            <w:r>
              <w:rPr>
                <w:sz w:val="24"/>
              </w:rPr>
              <w:t xml:space="preserve">Увольнение вследствие увечья или заболевания</w:t>
            </w:r>
          </w:p>
        </w:tc>
        <w:tc>
          <w:tcPr>
            <w:tcW w:w="3402" w:type="dxa"/>
          </w:tcPr>
          <w:p>
            <w:pPr>
              <w:pStyle w:val="0"/>
            </w:pPr>
            <w:r>
              <w:rPr>
                <w:sz w:val="24"/>
              </w:rPr>
              <w:t xml:space="preserve">mem-int:Uvol_Uvech_Zabol_Member</w:t>
            </w:r>
          </w:p>
        </w:tc>
      </w:tr>
      <w:tr>
        <w:tc>
          <w:tcPr>
            <w:tcW w:w="964" w:type="dxa"/>
          </w:tcPr>
          <w:p>
            <w:pPr>
              <w:pStyle w:val="0"/>
            </w:pPr>
            <w:r>
              <w:rPr>
                <w:sz w:val="24"/>
              </w:rPr>
              <w:t xml:space="preserve">4.14</w:t>
            </w:r>
          </w:p>
        </w:tc>
        <w:tc>
          <w:tcPr>
            <w:tcW w:w="2891" w:type="dxa"/>
          </w:tcPr>
          <w:p>
            <w:pPr>
              <w:pStyle w:val="0"/>
            </w:pPr>
            <w:r>
              <w:rPr>
                <w:sz w:val="24"/>
              </w:rPr>
            </w:r>
          </w:p>
        </w:tc>
        <w:tc>
          <w:tcPr>
            <w:tcW w:w="1814" w:type="dxa"/>
          </w:tcPr>
          <w:p>
            <w:pPr>
              <w:pStyle w:val="0"/>
            </w:pPr>
            <w:r>
              <w:rPr>
                <w:sz w:val="24"/>
              </w:rPr>
              <w:t xml:space="preserve">Пожар</w:t>
            </w:r>
          </w:p>
        </w:tc>
        <w:tc>
          <w:tcPr>
            <w:tcW w:w="3402" w:type="dxa"/>
          </w:tcPr>
          <w:p>
            <w:pPr>
              <w:pStyle w:val="0"/>
            </w:pPr>
            <w:r>
              <w:rPr>
                <w:sz w:val="24"/>
              </w:rPr>
              <w:t xml:space="preserve">mem-int:Pozhar_Member</w:t>
            </w:r>
          </w:p>
        </w:tc>
      </w:tr>
      <w:tr>
        <w:tc>
          <w:tcPr>
            <w:tcW w:w="964" w:type="dxa"/>
          </w:tcPr>
          <w:p>
            <w:pPr>
              <w:pStyle w:val="0"/>
            </w:pPr>
            <w:r>
              <w:rPr>
                <w:sz w:val="24"/>
              </w:rPr>
              <w:t xml:space="preserve">4.15</w:t>
            </w:r>
          </w:p>
        </w:tc>
        <w:tc>
          <w:tcPr>
            <w:tcW w:w="2891" w:type="dxa"/>
          </w:tcPr>
          <w:p>
            <w:pPr>
              <w:pStyle w:val="0"/>
            </w:pPr>
            <w:r>
              <w:rPr>
                <w:sz w:val="24"/>
              </w:rPr>
            </w:r>
          </w:p>
        </w:tc>
        <w:tc>
          <w:tcPr>
            <w:tcW w:w="1814" w:type="dxa"/>
          </w:tcPr>
          <w:p>
            <w:pPr>
              <w:pStyle w:val="0"/>
            </w:pPr>
            <w:r>
              <w:rPr>
                <w:sz w:val="24"/>
              </w:rPr>
              <w:t xml:space="preserve">Стихийные бедствия</w:t>
            </w:r>
          </w:p>
        </w:tc>
        <w:tc>
          <w:tcPr>
            <w:tcW w:w="3402" w:type="dxa"/>
          </w:tcPr>
          <w:p>
            <w:pPr>
              <w:pStyle w:val="0"/>
            </w:pPr>
            <w:r>
              <w:rPr>
                <w:sz w:val="24"/>
              </w:rPr>
              <w:t xml:space="preserve">mem-int:Stix_Bedstv_Member</w:t>
            </w:r>
          </w:p>
        </w:tc>
      </w:tr>
      <w:tr>
        <w:tc>
          <w:tcPr>
            <w:tcW w:w="964" w:type="dxa"/>
          </w:tcPr>
          <w:p>
            <w:pPr>
              <w:pStyle w:val="0"/>
            </w:pPr>
            <w:r>
              <w:rPr>
                <w:sz w:val="24"/>
              </w:rPr>
              <w:t xml:space="preserve">4.16</w:t>
            </w:r>
          </w:p>
        </w:tc>
        <w:tc>
          <w:tcPr>
            <w:tcW w:w="2891" w:type="dxa"/>
          </w:tcPr>
          <w:p>
            <w:pPr>
              <w:pStyle w:val="0"/>
            </w:pPr>
            <w:r>
              <w:rPr>
                <w:sz w:val="24"/>
              </w:rPr>
            </w:r>
          </w:p>
        </w:tc>
        <w:tc>
          <w:tcPr>
            <w:tcW w:w="1814" w:type="dxa"/>
          </w:tcPr>
          <w:p>
            <w:pPr>
              <w:pStyle w:val="0"/>
            </w:pPr>
            <w:r>
              <w:rPr>
                <w:sz w:val="24"/>
              </w:rPr>
              <w:t xml:space="preserve">Аварии транспортных средств</w:t>
            </w:r>
          </w:p>
        </w:tc>
        <w:tc>
          <w:tcPr>
            <w:tcW w:w="3402" w:type="dxa"/>
          </w:tcPr>
          <w:p>
            <w:pPr>
              <w:pStyle w:val="0"/>
            </w:pPr>
            <w:r>
              <w:rPr>
                <w:sz w:val="24"/>
              </w:rPr>
              <w:t xml:space="preserve">mem-int:Avarii_Ts_Member</w:t>
            </w:r>
          </w:p>
        </w:tc>
      </w:tr>
      <w:tr>
        <w:tc>
          <w:tcPr>
            <w:tcW w:w="964" w:type="dxa"/>
          </w:tcPr>
          <w:p>
            <w:pPr>
              <w:pStyle w:val="0"/>
            </w:pPr>
            <w:r>
              <w:rPr>
                <w:sz w:val="24"/>
              </w:rPr>
              <w:t xml:space="preserve">4.17</w:t>
            </w:r>
          </w:p>
        </w:tc>
        <w:tc>
          <w:tcPr>
            <w:tcW w:w="2891" w:type="dxa"/>
          </w:tcPr>
          <w:p>
            <w:pPr>
              <w:pStyle w:val="0"/>
            </w:pPr>
            <w:r>
              <w:rPr>
                <w:sz w:val="24"/>
              </w:rPr>
            </w:r>
          </w:p>
        </w:tc>
        <w:tc>
          <w:tcPr>
            <w:tcW w:w="1814" w:type="dxa"/>
          </w:tcPr>
          <w:p>
            <w:pPr>
              <w:pStyle w:val="0"/>
            </w:pPr>
            <w:r>
              <w:rPr>
                <w:sz w:val="24"/>
              </w:rPr>
              <w:t xml:space="preserve">Кража, угон</w:t>
            </w:r>
          </w:p>
        </w:tc>
        <w:tc>
          <w:tcPr>
            <w:tcW w:w="3402" w:type="dxa"/>
          </w:tcPr>
          <w:p>
            <w:pPr>
              <w:pStyle w:val="0"/>
            </w:pPr>
            <w:r>
              <w:rPr>
                <w:sz w:val="24"/>
              </w:rPr>
              <w:t xml:space="preserve">mem-int:Krazha_Ugon_Member</w:t>
            </w:r>
          </w:p>
        </w:tc>
      </w:tr>
      <w:tr>
        <w:tc>
          <w:tcPr>
            <w:tcW w:w="964" w:type="dxa"/>
          </w:tcPr>
          <w:p>
            <w:pPr>
              <w:pStyle w:val="0"/>
            </w:pPr>
            <w:r>
              <w:rPr>
                <w:sz w:val="24"/>
              </w:rPr>
              <w:t xml:space="preserve">4.18</w:t>
            </w:r>
          </w:p>
        </w:tc>
        <w:tc>
          <w:tcPr>
            <w:tcW w:w="2891" w:type="dxa"/>
          </w:tcPr>
          <w:p>
            <w:pPr>
              <w:pStyle w:val="0"/>
            </w:pPr>
            <w:r>
              <w:rPr>
                <w:sz w:val="24"/>
              </w:rPr>
            </w:r>
          </w:p>
        </w:tc>
        <w:tc>
          <w:tcPr>
            <w:tcW w:w="1814" w:type="dxa"/>
          </w:tcPr>
          <w:p>
            <w:pPr>
              <w:pStyle w:val="0"/>
            </w:pPr>
            <w:r>
              <w:rPr>
                <w:sz w:val="24"/>
              </w:rPr>
              <w:t xml:space="preserve">Иные противоправные действия третьих лиц</w:t>
            </w:r>
          </w:p>
        </w:tc>
        <w:tc>
          <w:tcPr>
            <w:tcW w:w="3402" w:type="dxa"/>
          </w:tcPr>
          <w:p>
            <w:pPr>
              <w:pStyle w:val="0"/>
            </w:pPr>
            <w:r>
              <w:rPr>
                <w:sz w:val="24"/>
              </w:rPr>
              <w:t xml:space="preserve">mem-int:Protivopr_Dejst_Tretix_Licz_Prochee_Member</w:t>
            </w:r>
          </w:p>
        </w:tc>
      </w:tr>
      <w:tr>
        <w:tc>
          <w:tcPr>
            <w:tcW w:w="964" w:type="dxa"/>
          </w:tcPr>
          <w:p>
            <w:pPr>
              <w:pStyle w:val="0"/>
            </w:pPr>
            <w:r>
              <w:rPr>
                <w:sz w:val="24"/>
              </w:rPr>
              <w:t xml:space="preserve">4.19</w:t>
            </w:r>
          </w:p>
        </w:tc>
        <w:tc>
          <w:tcPr>
            <w:tcW w:w="2891" w:type="dxa"/>
          </w:tcPr>
          <w:p>
            <w:pPr>
              <w:pStyle w:val="0"/>
            </w:pPr>
            <w:r>
              <w:rPr>
                <w:sz w:val="24"/>
              </w:rPr>
            </w:r>
          </w:p>
        </w:tc>
        <w:tc>
          <w:tcPr>
            <w:tcW w:w="1814" w:type="dxa"/>
          </w:tcPr>
          <w:p>
            <w:pPr>
              <w:pStyle w:val="0"/>
            </w:pPr>
            <w:r>
              <w:rPr>
                <w:sz w:val="24"/>
              </w:rPr>
              <w:t xml:space="preserve">Аварии отопительных систем, канализационных и водопроводных сетей</w:t>
            </w:r>
          </w:p>
        </w:tc>
        <w:tc>
          <w:tcPr>
            <w:tcW w:w="3402" w:type="dxa"/>
          </w:tcPr>
          <w:p>
            <w:pPr>
              <w:pStyle w:val="0"/>
            </w:pPr>
            <w:r>
              <w:rPr>
                <w:sz w:val="24"/>
              </w:rPr>
              <w:t xml:space="preserve">mem-int:Avarii_Otopit_Sist_Kanal_Vodopr_Member</w:t>
            </w:r>
          </w:p>
        </w:tc>
      </w:tr>
      <w:tr>
        <w:tc>
          <w:tcPr>
            <w:tcW w:w="964" w:type="dxa"/>
          </w:tcPr>
          <w:p>
            <w:pPr>
              <w:pStyle w:val="0"/>
            </w:pPr>
            <w:r>
              <w:rPr>
                <w:sz w:val="24"/>
              </w:rPr>
              <w:t xml:space="preserve">4.20</w:t>
            </w:r>
          </w:p>
        </w:tc>
        <w:tc>
          <w:tcPr>
            <w:tcW w:w="2891" w:type="dxa"/>
          </w:tcPr>
          <w:p>
            <w:pPr>
              <w:pStyle w:val="0"/>
            </w:pPr>
            <w:r>
              <w:rPr>
                <w:sz w:val="24"/>
              </w:rPr>
            </w:r>
          </w:p>
        </w:tc>
        <w:tc>
          <w:tcPr>
            <w:tcW w:w="1814" w:type="dxa"/>
          </w:tcPr>
          <w:p>
            <w:pPr>
              <w:pStyle w:val="0"/>
            </w:pPr>
            <w:r>
              <w:rPr>
                <w:sz w:val="24"/>
              </w:rPr>
              <w:t xml:space="preserve">Опасные природные явления (кроме стихийных бедствий и природного пожара)</w:t>
            </w:r>
          </w:p>
        </w:tc>
        <w:tc>
          <w:tcPr>
            <w:tcW w:w="3402" w:type="dxa"/>
          </w:tcPr>
          <w:p>
            <w:pPr>
              <w:pStyle w:val="0"/>
            </w:pPr>
            <w:r>
              <w:rPr>
                <w:sz w:val="24"/>
              </w:rPr>
              <w:t xml:space="preserve">mem-int:Opasn_Prir_Yavl_Member</w:t>
            </w:r>
          </w:p>
        </w:tc>
      </w:tr>
      <w:tr>
        <w:tc>
          <w:tcPr>
            <w:tcW w:w="964" w:type="dxa"/>
          </w:tcPr>
          <w:p>
            <w:pPr>
              <w:pStyle w:val="0"/>
            </w:pPr>
            <w:r>
              <w:rPr>
                <w:sz w:val="24"/>
              </w:rPr>
              <w:t xml:space="preserve">4.21</w:t>
            </w:r>
          </w:p>
        </w:tc>
        <w:tc>
          <w:tcPr>
            <w:tcW w:w="2891" w:type="dxa"/>
          </w:tcPr>
          <w:p>
            <w:pPr>
              <w:pStyle w:val="0"/>
            </w:pPr>
            <w:r>
              <w:rPr>
                <w:sz w:val="24"/>
              </w:rPr>
            </w:r>
          </w:p>
        </w:tc>
        <w:tc>
          <w:tcPr>
            <w:tcW w:w="1814" w:type="dxa"/>
          </w:tcPr>
          <w:p>
            <w:pPr>
              <w:pStyle w:val="0"/>
            </w:pPr>
            <w:r>
              <w:rPr>
                <w:sz w:val="24"/>
              </w:rPr>
              <w:t xml:space="preserve">Проникновение и (или) распространение вредных организмов, заразные болезни, массовые отравления</w:t>
            </w:r>
          </w:p>
        </w:tc>
        <w:tc>
          <w:tcPr>
            <w:tcW w:w="3402" w:type="dxa"/>
          </w:tcPr>
          <w:p>
            <w:pPr>
              <w:pStyle w:val="0"/>
            </w:pPr>
            <w:r>
              <w:rPr>
                <w:sz w:val="24"/>
              </w:rPr>
              <w:t xml:space="preserve">mem-int:Pron_Raspr_Vred_Org_Bol_Otr_Member</w:t>
            </w:r>
          </w:p>
        </w:tc>
      </w:tr>
      <w:tr>
        <w:tc>
          <w:tcPr>
            <w:tcW w:w="964" w:type="dxa"/>
          </w:tcPr>
          <w:p>
            <w:pPr>
              <w:pStyle w:val="0"/>
            </w:pPr>
            <w:r>
              <w:rPr>
                <w:sz w:val="24"/>
              </w:rPr>
              <w:t xml:space="preserve">4.22</w:t>
            </w:r>
          </w:p>
        </w:tc>
        <w:tc>
          <w:tcPr>
            <w:tcW w:w="2891" w:type="dxa"/>
          </w:tcPr>
          <w:p>
            <w:pPr>
              <w:pStyle w:val="0"/>
            </w:pPr>
            <w:r>
              <w:rPr>
                <w:sz w:val="24"/>
              </w:rPr>
            </w:r>
          </w:p>
        </w:tc>
        <w:tc>
          <w:tcPr>
            <w:tcW w:w="1814" w:type="dxa"/>
          </w:tcPr>
          <w:p>
            <w:pPr>
              <w:pStyle w:val="0"/>
            </w:pPr>
            <w:r>
              <w:rPr>
                <w:sz w:val="24"/>
              </w:rPr>
              <w:t xml:space="preserve">Причинение вреда жизни третьих лиц</w:t>
            </w:r>
          </w:p>
        </w:tc>
        <w:tc>
          <w:tcPr>
            <w:tcW w:w="3402" w:type="dxa"/>
          </w:tcPr>
          <w:p>
            <w:pPr>
              <w:pStyle w:val="0"/>
            </w:pPr>
            <w:r>
              <w:rPr>
                <w:sz w:val="24"/>
              </w:rPr>
              <w:t xml:space="preserve">mem-int:Vred_Zhizni_Tretix Licz_Member</w:t>
            </w:r>
          </w:p>
        </w:tc>
      </w:tr>
      <w:tr>
        <w:tc>
          <w:tcPr>
            <w:tcW w:w="964" w:type="dxa"/>
          </w:tcPr>
          <w:p>
            <w:pPr>
              <w:pStyle w:val="0"/>
            </w:pPr>
            <w:r>
              <w:rPr>
                <w:sz w:val="24"/>
              </w:rPr>
              <w:t xml:space="preserve">4.23</w:t>
            </w:r>
          </w:p>
        </w:tc>
        <w:tc>
          <w:tcPr>
            <w:tcW w:w="2891" w:type="dxa"/>
          </w:tcPr>
          <w:p>
            <w:pPr>
              <w:pStyle w:val="0"/>
            </w:pPr>
            <w:r>
              <w:rPr>
                <w:sz w:val="24"/>
              </w:rPr>
            </w:r>
          </w:p>
        </w:tc>
        <w:tc>
          <w:tcPr>
            <w:tcW w:w="1814" w:type="dxa"/>
          </w:tcPr>
          <w:p>
            <w:pPr>
              <w:pStyle w:val="0"/>
            </w:pPr>
            <w:r>
              <w:rPr>
                <w:sz w:val="24"/>
              </w:rPr>
              <w:t xml:space="preserve">Причинение вреда здоровью третьих лиц</w:t>
            </w:r>
          </w:p>
        </w:tc>
        <w:tc>
          <w:tcPr>
            <w:tcW w:w="3402" w:type="dxa"/>
          </w:tcPr>
          <w:p>
            <w:pPr>
              <w:pStyle w:val="0"/>
            </w:pPr>
            <w:r>
              <w:rPr>
                <w:sz w:val="24"/>
              </w:rPr>
              <w:t xml:space="preserve">mem-int:Vred_Zdor_Tretix_Licz_Member</w:t>
            </w:r>
          </w:p>
        </w:tc>
      </w:tr>
      <w:tr>
        <w:tc>
          <w:tcPr>
            <w:tcW w:w="964" w:type="dxa"/>
          </w:tcPr>
          <w:p>
            <w:pPr>
              <w:pStyle w:val="0"/>
            </w:pPr>
            <w:r>
              <w:rPr>
                <w:sz w:val="24"/>
              </w:rPr>
              <w:t xml:space="preserve">4.24</w:t>
            </w:r>
          </w:p>
        </w:tc>
        <w:tc>
          <w:tcPr>
            <w:tcW w:w="2891" w:type="dxa"/>
          </w:tcPr>
          <w:p>
            <w:pPr>
              <w:pStyle w:val="0"/>
            </w:pPr>
            <w:r>
              <w:rPr>
                <w:sz w:val="24"/>
              </w:rPr>
            </w:r>
          </w:p>
        </w:tc>
        <w:tc>
          <w:tcPr>
            <w:tcW w:w="1814" w:type="dxa"/>
          </w:tcPr>
          <w:p>
            <w:pPr>
              <w:pStyle w:val="0"/>
            </w:pPr>
            <w:r>
              <w:rPr>
                <w:sz w:val="24"/>
              </w:rPr>
              <w:t xml:space="preserve">Причинение вреда имуществу физических лиц</w:t>
            </w:r>
          </w:p>
        </w:tc>
        <w:tc>
          <w:tcPr>
            <w:tcW w:w="3402" w:type="dxa"/>
          </w:tcPr>
          <w:p>
            <w:pPr>
              <w:pStyle w:val="0"/>
            </w:pPr>
            <w:r>
              <w:rPr>
                <w:sz w:val="24"/>
              </w:rPr>
              <w:t xml:space="preserve">mem-int:Vred_Imushh_Fl_Member</w:t>
            </w:r>
          </w:p>
        </w:tc>
      </w:tr>
      <w:tr>
        <w:tc>
          <w:tcPr>
            <w:tcW w:w="964" w:type="dxa"/>
          </w:tcPr>
          <w:p>
            <w:pPr>
              <w:pStyle w:val="0"/>
            </w:pPr>
            <w:r>
              <w:rPr>
                <w:sz w:val="24"/>
              </w:rPr>
              <w:t xml:space="preserve">4.25</w:t>
            </w:r>
          </w:p>
        </w:tc>
        <w:tc>
          <w:tcPr>
            <w:tcW w:w="2891" w:type="dxa"/>
          </w:tcPr>
          <w:p>
            <w:pPr>
              <w:pStyle w:val="0"/>
            </w:pPr>
            <w:r>
              <w:rPr>
                <w:sz w:val="24"/>
              </w:rPr>
            </w:r>
          </w:p>
        </w:tc>
        <w:tc>
          <w:tcPr>
            <w:tcW w:w="1814" w:type="dxa"/>
          </w:tcPr>
          <w:p>
            <w:pPr>
              <w:pStyle w:val="0"/>
            </w:pPr>
            <w:r>
              <w:rPr>
                <w:sz w:val="24"/>
              </w:rPr>
              <w:t xml:space="preserve">Причинение вреда имуществу юридических лиц</w:t>
            </w:r>
          </w:p>
        </w:tc>
        <w:tc>
          <w:tcPr>
            <w:tcW w:w="3402" w:type="dxa"/>
          </w:tcPr>
          <w:p>
            <w:pPr>
              <w:pStyle w:val="0"/>
            </w:pPr>
            <w:r>
              <w:rPr>
                <w:sz w:val="24"/>
              </w:rPr>
              <w:t xml:space="preserve">mem-int:Vred_Imushh_Yul_Member</w:t>
            </w:r>
          </w:p>
        </w:tc>
      </w:tr>
      <w:tr>
        <w:tc>
          <w:tcPr>
            <w:tcW w:w="964" w:type="dxa"/>
          </w:tcPr>
          <w:p>
            <w:pPr>
              <w:pStyle w:val="0"/>
            </w:pPr>
            <w:r>
              <w:rPr>
                <w:sz w:val="24"/>
              </w:rPr>
              <w:t xml:space="preserve">4.26</w:t>
            </w:r>
          </w:p>
        </w:tc>
        <w:tc>
          <w:tcPr>
            <w:tcW w:w="2891" w:type="dxa"/>
          </w:tcPr>
          <w:p>
            <w:pPr>
              <w:pStyle w:val="0"/>
            </w:pPr>
            <w:r>
              <w:rPr>
                <w:sz w:val="24"/>
              </w:rPr>
            </w:r>
          </w:p>
        </w:tc>
        <w:tc>
          <w:tcPr>
            <w:tcW w:w="1814" w:type="dxa"/>
          </w:tcPr>
          <w:p>
            <w:pPr>
              <w:pStyle w:val="0"/>
            </w:pPr>
            <w:r>
              <w:rPr>
                <w:sz w:val="24"/>
              </w:rPr>
              <w:t xml:space="preserve">Нарушение условий жизнедеятельности</w:t>
            </w:r>
          </w:p>
        </w:tc>
        <w:tc>
          <w:tcPr>
            <w:tcW w:w="3402" w:type="dxa"/>
          </w:tcPr>
          <w:p>
            <w:pPr>
              <w:pStyle w:val="0"/>
            </w:pPr>
            <w:r>
              <w:rPr>
                <w:sz w:val="24"/>
              </w:rPr>
              <w:t xml:space="preserve">mem-int:Narush_Usl_Zhiznedeyat_Member</w:t>
            </w:r>
          </w:p>
        </w:tc>
      </w:tr>
      <w:tr>
        <w:tc>
          <w:tcPr>
            <w:tcW w:w="964" w:type="dxa"/>
          </w:tcPr>
          <w:p>
            <w:pPr>
              <w:pStyle w:val="0"/>
            </w:pPr>
            <w:r>
              <w:rPr>
                <w:sz w:val="24"/>
              </w:rPr>
              <w:t xml:space="preserve">4.27</w:t>
            </w:r>
          </w:p>
        </w:tc>
        <w:tc>
          <w:tcPr>
            <w:tcW w:w="2891" w:type="dxa"/>
          </w:tcPr>
          <w:p>
            <w:pPr>
              <w:pStyle w:val="0"/>
            </w:pPr>
            <w:r>
              <w:rPr>
                <w:sz w:val="24"/>
              </w:rPr>
            </w:r>
          </w:p>
        </w:tc>
        <w:tc>
          <w:tcPr>
            <w:tcW w:w="1814" w:type="dxa"/>
          </w:tcPr>
          <w:p>
            <w:pPr>
              <w:pStyle w:val="0"/>
            </w:pPr>
            <w:r>
              <w:rPr>
                <w:sz w:val="24"/>
              </w:rPr>
              <w:t xml:space="preserve">Банкротство, потеря дохода (работы)</w:t>
            </w:r>
          </w:p>
        </w:tc>
        <w:tc>
          <w:tcPr>
            <w:tcW w:w="3402" w:type="dxa"/>
          </w:tcPr>
          <w:p>
            <w:pPr>
              <w:pStyle w:val="0"/>
            </w:pPr>
            <w:r>
              <w:rPr>
                <w:sz w:val="24"/>
              </w:rPr>
              <w:t xml:space="preserve">mem-int:BankrPotDokhRabMember</w:t>
            </w:r>
          </w:p>
        </w:tc>
      </w:tr>
      <w:tr>
        <w:tc>
          <w:tcPr>
            <w:tcW w:w="964" w:type="dxa"/>
          </w:tcPr>
          <w:p>
            <w:pPr>
              <w:pStyle w:val="0"/>
            </w:pPr>
            <w:r>
              <w:rPr>
                <w:sz w:val="24"/>
              </w:rPr>
              <w:t xml:space="preserve">4.28</w:t>
            </w:r>
          </w:p>
        </w:tc>
        <w:tc>
          <w:tcPr>
            <w:tcW w:w="2891" w:type="dxa"/>
          </w:tcPr>
          <w:p>
            <w:pPr>
              <w:pStyle w:val="0"/>
            </w:pPr>
            <w:r>
              <w:rPr>
                <w:sz w:val="24"/>
              </w:rPr>
            </w:r>
          </w:p>
        </w:tc>
        <w:tc>
          <w:tcPr>
            <w:tcW w:w="1814" w:type="dxa"/>
          </w:tcPr>
          <w:p>
            <w:pPr>
              <w:pStyle w:val="0"/>
            </w:pPr>
            <w:r>
              <w:rPr>
                <w:sz w:val="24"/>
              </w:rPr>
              <w:t xml:space="preserve">Непредвиденные расходы</w:t>
            </w:r>
          </w:p>
        </w:tc>
        <w:tc>
          <w:tcPr>
            <w:tcW w:w="3402" w:type="dxa"/>
          </w:tcPr>
          <w:p>
            <w:pPr>
              <w:pStyle w:val="0"/>
            </w:pPr>
            <w:r>
              <w:rPr>
                <w:sz w:val="24"/>
              </w:rPr>
              <w:t xml:space="preserve">mem-int:Nepred_Rasxody_Member</w:t>
            </w:r>
          </w:p>
        </w:tc>
      </w:tr>
      <w:tr>
        <w:tc>
          <w:tcPr>
            <w:tcW w:w="964" w:type="dxa"/>
          </w:tcPr>
          <w:p>
            <w:pPr>
              <w:pStyle w:val="0"/>
            </w:pPr>
            <w:r>
              <w:rPr>
                <w:sz w:val="24"/>
              </w:rPr>
              <w:t xml:space="preserve">4.29</w:t>
            </w:r>
          </w:p>
        </w:tc>
        <w:tc>
          <w:tcPr>
            <w:tcW w:w="2891" w:type="dxa"/>
          </w:tcPr>
          <w:p>
            <w:pPr>
              <w:pStyle w:val="0"/>
            </w:pPr>
            <w:r>
              <w:rPr>
                <w:sz w:val="24"/>
              </w:rPr>
            </w:r>
          </w:p>
        </w:tc>
        <w:tc>
          <w:tcPr>
            <w:tcW w:w="1814" w:type="dxa"/>
          </w:tcPr>
          <w:p>
            <w:pPr>
              <w:pStyle w:val="0"/>
            </w:pPr>
            <w:r>
              <w:rPr>
                <w:sz w:val="24"/>
              </w:rPr>
              <w:t xml:space="preserve">Остановка производства или сокращение объемов производства</w:t>
            </w:r>
          </w:p>
        </w:tc>
        <w:tc>
          <w:tcPr>
            <w:tcW w:w="3402" w:type="dxa"/>
          </w:tcPr>
          <w:p>
            <w:pPr>
              <w:pStyle w:val="0"/>
            </w:pPr>
            <w:r>
              <w:rPr>
                <w:sz w:val="24"/>
              </w:rPr>
              <w:t xml:space="preserve">mem-int:Ost_Sokr_Obem_Proizvod_Member</w:t>
            </w:r>
          </w:p>
        </w:tc>
      </w:tr>
      <w:tr>
        <w:tc>
          <w:tcPr>
            <w:tcW w:w="964" w:type="dxa"/>
          </w:tcPr>
          <w:p>
            <w:pPr>
              <w:pStyle w:val="0"/>
            </w:pPr>
            <w:r>
              <w:rPr>
                <w:sz w:val="24"/>
              </w:rPr>
              <w:t xml:space="preserve">4.30</w:t>
            </w:r>
          </w:p>
        </w:tc>
        <w:tc>
          <w:tcPr>
            <w:tcW w:w="2891" w:type="dxa"/>
          </w:tcPr>
          <w:p>
            <w:pPr>
              <w:pStyle w:val="0"/>
            </w:pPr>
            <w:r>
              <w:rPr>
                <w:sz w:val="24"/>
              </w:rPr>
            </w:r>
          </w:p>
        </w:tc>
        <w:tc>
          <w:tcPr>
            <w:tcW w:w="1814" w:type="dxa"/>
          </w:tcPr>
          <w:p>
            <w:pPr>
              <w:pStyle w:val="0"/>
            </w:pPr>
            <w:r>
              <w:rPr>
                <w:sz w:val="24"/>
              </w:rPr>
              <w:t xml:space="preserve">Неисполнение договорных обязательств контрагентом по сделке</w:t>
            </w:r>
          </w:p>
        </w:tc>
        <w:tc>
          <w:tcPr>
            <w:tcW w:w="3402" w:type="dxa"/>
          </w:tcPr>
          <w:p>
            <w:pPr>
              <w:pStyle w:val="0"/>
            </w:pPr>
            <w:r>
              <w:rPr>
                <w:sz w:val="24"/>
              </w:rPr>
              <w:t xml:space="preserve">mem-int:Neisp_Dog_Obyaz_Kontr_Sdelka_Member</w:t>
            </w:r>
          </w:p>
        </w:tc>
      </w:tr>
      <w:tr>
        <w:tc>
          <w:tcPr>
            <w:tcW w:w="964" w:type="dxa"/>
          </w:tcPr>
          <w:p>
            <w:pPr>
              <w:pStyle w:val="0"/>
            </w:pPr>
            <w:r>
              <w:rPr>
                <w:sz w:val="24"/>
              </w:rPr>
              <w:t xml:space="preserve">4.31</w:t>
            </w:r>
          </w:p>
        </w:tc>
        <w:tc>
          <w:tcPr>
            <w:tcW w:w="2891" w:type="dxa"/>
          </w:tcPr>
          <w:p>
            <w:pPr>
              <w:pStyle w:val="0"/>
            </w:pPr>
            <w:r>
              <w:rPr>
                <w:sz w:val="24"/>
              </w:rPr>
            </w:r>
          </w:p>
        </w:tc>
        <w:tc>
          <w:tcPr>
            <w:tcW w:w="1814" w:type="dxa"/>
          </w:tcPr>
          <w:p>
            <w:pPr>
              <w:pStyle w:val="0"/>
            </w:pPr>
            <w:r>
              <w:rPr>
                <w:sz w:val="24"/>
              </w:rPr>
              <w:t xml:space="preserve">Судебные расходы</w:t>
            </w:r>
          </w:p>
        </w:tc>
        <w:tc>
          <w:tcPr>
            <w:tcW w:w="3402" w:type="dxa"/>
          </w:tcPr>
          <w:p>
            <w:pPr>
              <w:pStyle w:val="0"/>
            </w:pPr>
            <w:r>
              <w:rPr>
                <w:sz w:val="24"/>
              </w:rPr>
              <w:t xml:space="preserve">mem-int:Sud_Rasxody_Member</w:t>
            </w:r>
          </w:p>
        </w:tc>
      </w:tr>
      <w:tr>
        <w:tc>
          <w:tcPr>
            <w:tcW w:w="964" w:type="dxa"/>
          </w:tcPr>
          <w:p>
            <w:pPr>
              <w:pStyle w:val="0"/>
            </w:pPr>
            <w:r>
              <w:rPr>
                <w:sz w:val="24"/>
              </w:rPr>
              <w:t xml:space="preserve">4.32</w:t>
            </w:r>
          </w:p>
        </w:tc>
        <w:tc>
          <w:tcPr>
            <w:tcW w:w="2891" w:type="dxa"/>
          </w:tcPr>
          <w:p>
            <w:pPr>
              <w:pStyle w:val="0"/>
            </w:pPr>
            <w:r>
              <w:rPr>
                <w:sz w:val="24"/>
              </w:rPr>
            </w:r>
          </w:p>
        </w:tc>
        <w:tc>
          <w:tcPr>
            <w:tcW w:w="1814" w:type="dxa"/>
          </w:tcPr>
          <w:p>
            <w:pPr>
              <w:pStyle w:val="0"/>
            </w:pPr>
            <w:r>
              <w:rPr>
                <w:sz w:val="24"/>
              </w:rPr>
              <w:t xml:space="preserve">Прочие</w:t>
            </w:r>
          </w:p>
        </w:tc>
        <w:tc>
          <w:tcPr>
            <w:tcW w:w="3402" w:type="dxa"/>
          </w:tcPr>
          <w:p>
            <w:pPr>
              <w:pStyle w:val="0"/>
            </w:pPr>
            <w:r>
              <w:rPr>
                <w:sz w:val="24"/>
              </w:rPr>
              <w:t xml:space="preserve">mem-int:Vidy_Strax_Sluch_Prochee_Member</w:t>
            </w:r>
          </w:p>
        </w:tc>
      </w:tr>
      <w:tr>
        <w:tc>
          <w:tcPr>
            <w:tcW w:w="964" w:type="dxa"/>
          </w:tcPr>
          <w:p>
            <w:pPr>
              <w:pStyle w:val="0"/>
            </w:pPr>
            <w:r>
              <w:rPr>
                <w:sz w:val="24"/>
              </w:rPr>
              <w:t xml:space="preserve">5</w:t>
            </w:r>
          </w:p>
        </w:tc>
        <w:tc>
          <w:tcPr>
            <w:tcW w:w="2891" w:type="dxa"/>
          </w:tcPr>
          <w:p>
            <w:pPr>
              <w:pStyle w:val="0"/>
            </w:pPr>
            <w:r>
              <w:rPr>
                <w:sz w:val="24"/>
              </w:rPr>
              <w:t xml:space="preserve">Государственная поддержка</w:t>
            </w:r>
          </w:p>
        </w:tc>
        <w:tc>
          <w:tcPr>
            <w:tcW w:w="1814" w:type="dxa"/>
          </w:tcPr>
          <w:p>
            <w:pPr>
              <w:pStyle w:val="0"/>
            </w:pPr>
            <w:r>
              <w:rPr>
                <w:sz w:val="24"/>
              </w:rPr>
            </w:r>
          </w:p>
        </w:tc>
        <w:tc>
          <w:tcPr>
            <w:tcW w:w="3402" w:type="dxa"/>
          </w:tcPr>
          <w:p>
            <w:pPr>
              <w:pStyle w:val="0"/>
            </w:pPr>
            <w:r>
              <w:rPr>
                <w:sz w:val="24"/>
              </w:rPr>
              <w:t xml:space="preserve">dim-int:Gospodderzhka_Axis</w:t>
            </w:r>
          </w:p>
        </w:tc>
      </w:tr>
      <w:tr>
        <w:tc>
          <w:tcPr>
            <w:tcW w:w="964" w:type="dxa"/>
          </w:tcPr>
          <w:p>
            <w:pPr>
              <w:pStyle w:val="0"/>
            </w:pPr>
            <w:r>
              <w:rPr>
                <w:sz w:val="24"/>
              </w:rPr>
              <w:t xml:space="preserve">5.1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осуществляемое с государственной поддержкой</w:t>
            </w:r>
          </w:p>
        </w:tc>
        <w:tc>
          <w:tcPr>
            <w:tcW w:w="3402" w:type="dxa"/>
          </w:tcPr>
          <w:p>
            <w:pPr>
              <w:pStyle w:val="0"/>
            </w:pPr>
            <w:r>
              <w:rPr>
                <w:sz w:val="24"/>
              </w:rPr>
              <w:t xml:space="preserve">mem-int:Strax_Sx_Gos_Pod_Member</w:t>
            </w:r>
          </w:p>
        </w:tc>
      </w:tr>
      <w:tr>
        <w:tc>
          <w:tcPr>
            <w:tcW w:w="964" w:type="dxa"/>
          </w:tcPr>
          <w:p>
            <w:pPr>
              <w:pStyle w:val="0"/>
            </w:pPr>
            <w:r>
              <w:rPr>
                <w:sz w:val="24"/>
              </w:rPr>
              <w:t xml:space="preserve">5.2</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осуществляемое без государственной поддержки</w:t>
            </w:r>
          </w:p>
        </w:tc>
        <w:tc>
          <w:tcPr>
            <w:tcW w:w="3402" w:type="dxa"/>
          </w:tcPr>
          <w:p>
            <w:pPr>
              <w:pStyle w:val="0"/>
            </w:pPr>
            <w:r>
              <w:rPr>
                <w:sz w:val="24"/>
              </w:rPr>
              <w:t xml:space="preserve">mem-int:Sx_Bez_Gos_Podderzhki_Itogo_Member</w:t>
            </w:r>
          </w:p>
        </w:tc>
      </w:tr>
      <w:tr>
        <w:tc>
          <w:tcPr>
            <w:tcW w:w="964" w:type="dxa"/>
          </w:tcPr>
          <w:p>
            <w:pPr>
              <w:pStyle w:val="0"/>
            </w:pPr>
            <w:r>
              <w:rPr>
                <w:sz w:val="24"/>
              </w:rPr>
              <w:t xml:space="preserve">6</w:t>
            </w:r>
          </w:p>
        </w:tc>
        <w:tc>
          <w:tcPr>
            <w:tcW w:w="2891" w:type="dxa"/>
          </w:tcPr>
          <w:p>
            <w:pPr>
              <w:pStyle w:val="0"/>
            </w:pPr>
            <w:r>
              <w:rPr>
                <w:sz w:val="24"/>
              </w:rPr>
              <w:t xml:space="preserve">Резидентство</w:t>
            </w:r>
          </w:p>
        </w:tc>
        <w:tc>
          <w:tcPr>
            <w:tcW w:w="1814" w:type="dxa"/>
          </w:tcPr>
          <w:p>
            <w:pPr>
              <w:pStyle w:val="0"/>
            </w:pPr>
            <w:r>
              <w:rPr>
                <w:sz w:val="24"/>
              </w:rPr>
            </w:r>
          </w:p>
        </w:tc>
        <w:tc>
          <w:tcPr>
            <w:tcW w:w="3402" w:type="dxa"/>
          </w:tcPr>
          <w:p>
            <w:pPr>
              <w:pStyle w:val="0"/>
            </w:pPr>
            <w:r>
              <w:rPr>
                <w:sz w:val="24"/>
              </w:rPr>
              <w:t xml:space="preserve">dim-int:Rezident_nerezidentAxis</w:t>
            </w:r>
          </w:p>
        </w:tc>
      </w:tr>
      <w:tr>
        <w:tc>
          <w:tcPr>
            <w:tcW w:w="964" w:type="dxa"/>
          </w:tcPr>
          <w:p>
            <w:pPr>
              <w:pStyle w:val="0"/>
            </w:pPr>
            <w:r>
              <w:rPr>
                <w:sz w:val="24"/>
              </w:rPr>
              <w:t xml:space="preserve">6.1</w:t>
            </w:r>
          </w:p>
        </w:tc>
        <w:tc>
          <w:tcPr>
            <w:tcW w:w="2891" w:type="dxa"/>
          </w:tcPr>
          <w:p>
            <w:pPr>
              <w:pStyle w:val="0"/>
            </w:pPr>
            <w:r>
              <w:rPr>
                <w:sz w:val="24"/>
              </w:rPr>
            </w:r>
          </w:p>
        </w:tc>
        <w:tc>
          <w:tcPr>
            <w:tcW w:w="1814" w:type="dxa"/>
          </w:tcPr>
          <w:p>
            <w:pPr>
              <w:pStyle w:val="0"/>
            </w:pPr>
            <w:r>
              <w:rPr>
                <w:sz w:val="24"/>
              </w:rPr>
              <w:t xml:space="preserve">Нерезидент</w:t>
            </w:r>
          </w:p>
        </w:tc>
        <w:tc>
          <w:tcPr>
            <w:tcW w:w="3402" w:type="dxa"/>
          </w:tcPr>
          <w:p>
            <w:pPr>
              <w:pStyle w:val="0"/>
            </w:pPr>
            <w:r>
              <w:rPr>
                <w:sz w:val="24"/>
              </w:rPr>
              <w:t xml:space="preserve">mem-int:Nerezident_Member</w:t>
            </w:r>
          </w:p>
        </w:tc>
      </w:tr>
      <w:tr>
        <w:tc>
          <w:tcPr>
            <w:tcW w:w="964" w:type="dxa"/>
          </w:tcPr>
          <w:p>
            <w:pPr>
              <w:pStyle w:val="0"/>
            </w:pPr>
            <w:r>
              <w:rPr>
                <w:sz w:val="24"/>
              </w:rPr>
              <w:t xml:space="preserve">7</w:t>
            </w:r>
          </w:p>
        </w:tc>
        <w:tc>
          <w:tcPr>
            <w:tcW w:w="2891" w:type="dxa"/>
          </w:tcPr>
          <w:p>
            <w:pPr>
              <w:pStyle w:val="0"/>
            </w:pPr>
            <w:r>
              <w:rPr>
                <w:sz w:val="24"/>
              </w:rPr>
              <w:t xml:space="preserve">Срок страхования</w:t>
            </w:r>
          </w:p>
        </w:tc>
        <w:tc>
          <w:tcPr>
            <w:tcW w:w="1814" w:type="dxa"/>
          </w:tcPr>
          <w:p>
            <w:pPr>
              <w:pStyle w:val="0"/>
            </w:pPr>
            <w:r>
              <w:rPr>
                <w:sz w:val="24"/>
              </w:rPr>
            </w:r>
          </w:p>
        </w:tc>
        <w:tc>
          <w:tcPr>
            <w:tcW w:w="3402" w:type="dxa"/>
          </w:tcPr>
          <w:p>
            <w:pPr>
              <w:pStyle w:val="0"/>
            </w:pPr>
            <w:r>
              <w:rPr>
                <w:sz w:val="24"/>
              </w:rPr>
              <w:t xml:space="preserve">dim-int:Srok_StraxAxis</w:t>
            </w:r>
          </w:p>
        </w:tc>
      </w:tr>
      <w:tr>
        <w:tc>
          <w:tcPr>
            <w:tcW w:w="964" w:type="dxa"/>
          </w:tcPr>
          <w:p>
            <w:pPr>
              <w:pStyle w:val="0"/>
            </w:pPr>
            <w:r>
              <w:rPr>
                <w:sz w:val="24"/>
              </w:rPr>
              <w:t xml:space="preserve">7.1</w:t>
            </w:r>
          </w:p>
        </w:tc>
        <w:tc>
          <w:tcPr>
            <w:tcW w:w="2891" w:type="dxa"/>
          </w:tcPr>
          <w:p>
            <w:pPr>
              <w:pStyle w:val="0"/>
            </w:pPr>
            <w:r>
              <w:rPr>
                <w:sz w:val="24"/>
              </w:rPr>
            </w:r>
          </w:p>
        </w:tc>
        <w:tc>
          <w:tcPr>
            <w:tcW w:w="1814" w:type="dxa"/>
          </w:tcPr>
          <w:p>
            <w:pPr>
              <w:pStyle w:val="0"/>
            </w:pPr>
            <w:r>
              <w:rPr>
                <w:sz w:val="24"/>
              </w:rPr>
              <w:t xml:space="preserve">До 1 года</w:t>
            </w:r>
          </w:p>
        </w:tc>
        <w:tc>
          <w:tcPr>
            <w:tcW w:w="3402" w:type="dxa"/>
          </w:tcPr>
          <w:p>
            <w:pPr>
              <w:pStyle w:val="0"/>
            </w:pPr>
            <w:r>
              <w:rPr>
                <w:sz w:val="24"/>
              </w:rPr>
              <w:t xml:space="preserve">mem-int:Do_1_God_Member</w:t>
            </w:r>
          </w:p>
        </w:tc>
      </w:tr>
      <w:tr>
        <w:tc>
          <w:tcPr>
            <w:tcW w:w="964" w:type="dxa"/>
          </w:tcPr>
          <w:p>
            <w:pPr>
              <w:pStyle w:val="0"/>
            </w:pPr>
            <w:r>
              <w:rPr>
                <w:sz w:val="24"/>
              </w:rPr>
              <w:t xml:space="preserve">7.2</w:t>
            </w:r>
          </w:p>
        </w:tc>
        <w:tc>
          <w:tcPr>
            <w:tcW w:w="2891" w:type="dxa"/>
          </w:tcPr>
          <w:p>
            <w:pPr>
              <w:pStyle w:val="0"/>
            </w:pPr>
            <w:r>
              <w:rPr>
                <w:sz w:val="24"/>
              </w:rPr>
            </w:r>
          </w:p>
        </w:tc>
        <w:tc>
          <w:tcPr>
            <w:tcW w:w="1814" w:type="dxa"/>
          </w:tcPr>
          <w:p>
            <w:pPr>
              <w:pStyle w:val="0"/>
            </w:pPr>
            <w:r>
              <w:rPr>
                <w:sz w:val="24"/>
              </w:rPr>
              <w:t xml:space="preserve">От 1 года до 3 лет</w:t>
            </w:r>
          </w:p>
        </w:tc>
        <w:tc>
          <w:tcPr>
            <w:tcW w:w="3402" w:type="dxa"/>
          </w:tcPr>
          <w:p>
            <w:pPr>
              <w:pStyle w:val="0"/>
            </w:pPr>
            <w:r>
              <w:rPr>
                <w:sz w:val="24"/>
              </w:rPr>
              <w:t xml:space="preserve">mem-int:Ot_1_Do_3_Let_Member</w:t>
            </w:r>
          </w:p>
        </w:tc>
      </w:tr>
      <w:tr>
        <w:tc>
          <w:tcPr>
            <w:tcW w:w="964" w:type="dxa"/>
          </w:tcPr>
          <w:p>
            <w:pPr>
              <w:pStyle w:val="0"/>
            </w:pPr>
            <w:r>
              <w:rPr>
                <w:sz w:val="24"/>
              </w:rPr>
              <w:t xml:space="preserve">7.3</w:t>
            </w:r>
          </w:p>
        </w:tc>
        <w:tc>
          <w:tcPr>
            <w:tcW w:w="2891" w:type="dxa"/>
          </w:tcPr>
          <w:p>
            <w:pPr>
              <w:pStyle w:val="0"/>
            </w:pPr>
            <w:r>
              <w:rPr>
                <w:sz w:val="24"/>
              </w:rPr>
            </w:r>
          </w:p>
        </w:tc>
        <w:tc>
          <w:tcPr>
            <w:tcW w:w="1814" w:type="dxa"/>
          </w:tcPr>
          <w:p>
            <w:pPr>
              <w:pStyle w:val="0"/>
            </w:pPr>
            <w:r>
              <w:rPr>
                <w:sz w:val="24"/>
              </w:rPr>
              <w:t xml:space="preserve">От 3 до 5 лет</w:t>
            </w:r>
          </w:p>
        </w:tc>
        <w:tc>
          <w:tcPr>
            <w:tcW w:w="3402" w:type="dxa"/>
          </w:tcPr>
          <w:p>
            <w:pPr>
              <w:pStyle w:val="0"/>
            </w:pPr>
            <w:r>
              <w:rPr>
                <w:sz w:val="24"/>
              </w:rPr>
              <w:t xml:space="preserve">mem-int:Ot_3_Do_5_Let_Member</w:t>
            </w:r>
          </w:p>
        </w:tc>
      </w:tr>
      <w:tr>
        <w:tc>
          <w:tcPr>
            <w:tcW w:w="964" w:type="dxa"/>
          </w:tcPr>
          <w:p>
            <w:pPr>
              <w:pStyle w:val="0"/>
            </w:pPr>
            <w:r>
              <w:rPr>
                <w:sz w:val="24"/>
              </w:rPr>
              <w:t xml:space="preserve">7.4</w:t>
            </w:r>
          </w:p>
        </w:tc>
        <w:tc>
          <w:tcPr>
            <w:tcW w:w="2891" w:type="dxa"/>
          </w:tcPr>
          <w:p>
            <w:pPr>
              <w:pStyle w:val="0"/>
            </w:pPr>
            <w:r>
              <w:rPr>
                <w:sz w:val="24"/>
              </w:rPr>
            </w:r>
          </w:p>
        </w:tc>
        <w:tc>
          <w:tcPr>
            <w:tcW w:w="1814" w:type="dxa"/>
          </w:tcPr>
          <w:p>
            <w:pPr>
              <w:pStyle w:val="0"/>
            </w:pPr>
            <w:r>
              <w:rPr>
                <w:sz w:val="24"/>
              </w:rPr>
              <w:t xml:space="preserve">От 5 до 10 лет</w:t>
            </w:r>
          </w:p>
        </w:tc>
        <w:tc>
          <w:tcPr>
            <w:tcW w:w="3402" w:type="dxa"/>
          </w:tcPr>
          <w:p>
            <w:pPr>
              <w:pStyle w:val="0"/>
            </w:pPr>
            <w:r>
              <w:rPr>
                <w:sz w:val="24"/>
              </w:rPr>
              <w:t xml:space="preserve">mem-int:Ot_5_Do_10_Let_Member</w:t>
            </w:r>
          </w:p>
        </w:tc>
      </w:tr>
      <w:tr>
        <w:tc>
          <w:tcPr>
            <w:tcW w:w="964" w:type="dxa"/>
          </w:tcPr>
          <w:p>
            <w:pPr>
              <w:pStyle w:val="0"/>
            </w:pPr>
            <w:r>
              <w:rPr>
                <w:sz w:val="24"/>
              </w:rPr>
              <w:t xml:space="preserve">7.5</w:t>
            </w:r>
          </w:p>
        </w:tc>
        <w:tc>
          <w:tcPr>
            <w:tcW w:w="2891" w:type="dxa"/>
          </w:tcPr>
          <w:p>
            <w:pPr>
              <w:pStyle w:val="0"/>
            </w:pPr>
            <w:r>
              <w:rPr>
                <w:sz w:val="24"/>
              </w:rPr>
            </w:r>
          </w:p>
        </w:tc>
        <w:tc>
          <w:tcPr>
            <w:tcW w:w="1814" w:type="dxa"/>
          </w:tcPr>
          <w:p>
            <w:pPr>
              <w:pStyle w:val="0"/>
            </w:pPr>
            <w:r>
              <w:rPr>
                <w:sz w:val="24"/>
              </w:rPr>
              <w:t xml:space="preserve">Свыше 10 лет или неопределенный срок</w:t>
            </w:r>
          </w:p>
        </w:tc>
        <w:tc>
          <w:tcPr>
            <w:tcW w:w="3402" w:type="dxa"/>
          </w:tcPr>
          <w:p>
            <w:pPr>
              <w:pStyle w:val="0"/>
            </w:pPr>
            <w:r>
              <w:rPr>
                <w:sz w:val="24"/>
              </w:rPr>
              <w:t xml:space="preserve">mem-int:Svyshe_10_Let_Member</w:t>
            </w:r>
          </w:p>
        </w:tc>
      </w:tr>
      <w:tr>
        <w:tc>
          <w:tcPr>
            <w:tcW w:w="964" w:type="dxa"/>
          </w:tcPr>
          <w:p>
            <w:pPr>
              <w:pStyle w:val="0"/>
            </w:pPr>
            <w:r>
              <w:rPr>
                <w:sz w:val="24"/>
              </w:rPr>
              <w:t xml:space="preserve">8</w:t>
            </w:r>
          </w:p>
        </w:tc>
        <w:tc>
          <w:tcPr>
            <w:tcW w:w="2891" w:type="dxa"/>
          </w:tcPr>
          <w:p>
            <w:pPr>
              <w:pStyle w:val="0"/>
            </w:pPr>
            <w:r>
              <w:rPr>
                <w:sz w:val="24"/>
              </w:rPr>
              <w:t xml:space="preserve">Схема уплаты страховой премии</w:t>
            </w:r>
          </w:p>
        </w:tc>
        <w:tc>
          <w:tcPr>
            <w:tcW w:w="1814" w:type="dxa"/>
          </w:tcPr>
          <w:p>
            <w:pPr>
              <w:pStyle w:val="0"/>
            </w:pPr>
            <w:r>
              <w:rPr>
                <w:sz w:val="24"/>
              </w:rPr>
            </w:r>
          </w:p>
        </w:tc>
        <w:tc>
          <w:tcPr>
            <w:tcW w:w="3402" w:type="dxa"/>
          </w:tcPr>
          <w:p>
            <w:pPr>
              <w:pStyle w:val="0"/>
            </w:pPr>
            <w:r>
              <w:rPr>
                <w:sz w:val="24"/>
              </w:rPr>
              <w:t xml:space="preserve">dim-int:Sxema_UpI_Straxprem_Axis</w:t>
            </w:r>
          </w:p>
        </w:tc>
      </w:tr>
      <w:tr>
        <w:tc>
          <w:tcPr>
            <w:tcW w:w="964" w:type="dxa"/>
          </w:tcPr>
          <w:p>
            <w:pPr>
              <w:pStyle w:val="0"/>
            </w:pPr>
            <w:r>
              <w:rPr>
                <w:sz w:val="24"/>
              </w:rPr>
              <w:t xml:space="preserve">8.1</w:t>
            </w:r>
          </w:p>
        </w:tc>
        <w:tc>
          <w:tcPr>
            <w:tcW w:w="2891" w:type="dxa"/>
          </w:tcPr>
          <w:p>
            <w:pPr>
              <w:pStyle w:val="0"/>
            </w:pPr>
            <w:r>
              <w:rPr>
                <w:sz w:val="24"/>
              </w:rPr>
            </w:r>
          </w:p>
        </w:tc>
        <w:tc>
          <w:tcPr>
            <w:tcW w:w="1814" w:type="dxa"/>
          </w:tcPr>
          <w:p>
            <w:pPr>
              <w:pStyle w:val="0"/>
            </w:pPr>
            <w:r>
              <w:rPr>
                <w:sz w:val="24"/>
              </w:rPr>
              <w:t xml:space="preserve">С единовременной уплатой страховой премии</w:t>
            </w:r>
          </w:p>
        </w:tc>
        <w:tc>
          <w:tcPr>
            <w:tcW w:w="3402" w:type="dxa"/>
          </w:tcPr>
          <w:p>
            <w:pPr>
              <w:pStyle w:val="0"/>
            </w:pPr>
            <w:r>
              <w:rPr>
                <w:sz w:val="24"/>
              </w:rPr>
              <w:t xml:space="preserve">mem-int:Ed_Upl_Straxprem_Member</w:t>
            </w:r>
          </w:p>
        </w:tc>
      </w:tr>
      <w:tr>
        <w:tc>
          <w:tcPr>
            <w:tcW w:w="964" w:type="dxa"/>
          </w:tcPr>
          <w:p>
            <w:pPr>
              <w:pStyle w:val="0"/>
            </w:pPr>
            <w:r>
              <w:rPr>
                <w:sz w:val="24"/>
              </w:rPr>
              <w:t xml:space="preserve">8.2</w:t>
            </w:r>
          </w:p>
        </w:tc>
        <w:tc>
          <w:tcPr>
            <w:tcW w:w="2891" w:type="dxa"/>
          </w:tcPr>
          <w:p>
            <w:pPr>
              <w:pStyle w:val="0"/>
            </w:pPr>
            <w:r>
              <w:rPr>
                <w:sz w:val="24"/>
              </w:rPr>
            </w:r>
          </w:p>
        </w:tc>
        <w:tc>
          <w:tcPr>
            <w:tcW w:w="1814" w:type="dxa"/>
          </w:tcPr>
          <w:p>
            <w:pPr>
              <w:pStyle w:val="0"/>
            </w:pPr>
            <w:r>
              <w:rPr>
                <w:sz w:val="24"/>
              </w:rPr>
              <w:t xml:space="preserve">С уплатой страховой премии в рассрочку</w:t>
            </w:r>
          </w:p>
        </w:tc>
        <w:tc>
          <w:tcPr>
            <w:tcW w:w="3402" w:type="dxa"/>
          </w:tcPr>
          <w:p>
            <w:pPr>
              <w:pStyle w:val="0"/>
            </w:pPr>
            <w:r>
              <w:rPr>
                <w:sz w:val="24"/>
              </w:rPr>
              <w:t xml:space="preserve">mem-int:Upl_Straxprem_Rassroch_Member</w:t>
            </w:r>
          </w:p>
        </w:tc>
      </w:tr>
      <w:tr>
        <w:tc>
          <w:tcPr>
            <w:tcW w:w="964" w:type="dxa"/>
          </w:tcPr>
          <w:p>
            <w:pPr>
              <w:pStyle w:val="0"/>
            </w:pPr>
            <w:r>
              <w:rPr>
                <w:sz w:val="24"/>
              </w:rPr>
              <w:t xml:space="preserve">9</w:t>
            </w:r>
          </w:p>
        </w:tc>
        <w:tc>
          <w:tcPr>
            <w:tcW w:w="2891" w:type="dxa"/>
          </w:tcPr>
          <w:p>
            <w:pPr>
              <w:pStyle w:val="0"/>
            </w:pPr>
            <w:r>
              <w:rPr>
                <w:sz w:val="24"/>
              </w:rPr>
              <w:t xml:space="preserve">Тип взаимодействия</w:t>
            </w:r>
          </w:p>
        </w:tc>
        <w:tc>
          <w:tcPr>
            <w:tcW w:w="1814" w:type="dxa"/>
          </w:tcPr>
          <w:p>
            <w:pPr>
              <w:pStyle w:val="0"/>
            </w:pPr>
            <w:r>
              <w:rPr>
                <w:sz w:val="24"/>
              </w:rPr>
            </w:r>
          </w:p>
        </w:tc>
        <w:tc>
          <w:tcPr>
            <w:tcW w:w="3402" w:type="dxa"/>
          </w:tcPr>
          <w:p>
            <w:pPr>
              <w:pStyle w:val="0"/>
            </w:pPr>
            <w:r>
              <w:rPr>
                <w:sz w:val="24"/>
              </w:rPr>
              <w:t xml:space="preserve">dim-int:TipVzaimodejstviyaAxis</w:t>
            </w:r>
          </w:p>
        </w:tc>
      </w:tr>
      <w:tr>
        <w:tc>
          <w:tcPr>
            <w:tcW w:w="964" w:type="dxa"/>
          </w:tcPr>
          <w:p>
            <w:pPr>
              <w:pStyle w:val="0"/>
            </w:pPr>
            <w:r>
              <w:rPr>
                <w:sz w:val="24"/>
              </w:rPr>
              <w:t xml:space="preserve">9.1</w:t>
            </w:r>
          </w:p>
        </w:tc>
        <w:tc>
          <w:tcPr>
            <w:tcW w:w="2891" w:type="dxa"/>
          </w:tcPr>
          <w:p>
            <w:pPr>
              <w:pStyle w:val="0"/>
            </w:pPr>
            <w:r>
              <w:rPr>
                <w:sz w:val="24"/>
              </w:rPr>
            </w:r>
          </w:p>
        </w:tc>
        <w:tc>
          <w:tcPr>
            <w:tcW w:w="1814" w:type="dxa"/>
          </w:tcPr>
          <w:p>
            <w:pPr>
              <w:pStyle w:val="0"/>
            </w:pPr>
            <w:r>
              <w:rPr>
                <w:sz w:val="24"/>
              </w:rPr>
              <w:t xml:space="preserve">Без взаимодействия в электронной форме</w:t>
            </w:r>
          </w:p>
        </w:tc>
        <w:tc>
          <w:tcPr>
            <w:tcW w:w="3402" w:type="dxa"/>
          </w:tcPr>
          <w:p>
            <w:pPr>
              <w:pStyle w:val="0"/>
            </w:pPr>
            <w:r>
              <w:rPr>
                <w:sz w:val="24"/>
              </w:rPr>
              <w:t xml:space="preserve">mem-int:BezVzaimodejstviya_v_ElektrFormeMember</w:t>
            </w:r>
          </w:p>
        </w:tc>
      </w:tr>
      <w:tr>
        <w:tc>
          <w:tcPr>
            <w:tcW w:w="964" w:type="dxa"/>
          </w:tcPr>
          <w:p>
            <w:pPr>
              <w:pStyle w:val="0"/>
            </w:pPr>
            <w:r>
              <w:rPr>
                <w:sz w:val="24"/>
              </w:rPr>
              <w:t xml:space="preserve">9.2</w:t>
            </w:r>
          </w:p>
        </w:tc>
        <w:tc>
          <w:tcPr>
            <w:tcW w:w="2891" w:type="dxa"/>
          </w:tcPr>
          <w:p>
            <w:pPr>
              <w:pStyle w:val="0"/>
            </w:pPr>
            <w:r>
              <w:rPr>
                <w:sz w:val="24"/>
              </w:rPr>
            </w:r>
          </w:p>
        </w:tc>
        <w:tc>
          <w:tcPr>
            <w:tcW w:w="1814" w:type="dxa"/>
          </w:tcPr>
          <w:p>
            <w:pPr>
              <w:pStyle w:val="0"/>
            </w:pPr>
            <w:r>
              <w:rPr>
                <w:sz w:val="24"/>
              </w:rPr>
              <w:t xml:space="preserve">Взаимодействие в электронной форме</w:t>
            </w:r>
          </w:p>
        </w:tc>
        <w:tc>
          <w:tcPr>
            <w:tcW w:w="3402" w:type="dxa"/>
          </w:tcPr>
          <w:p>
            <w:pPr>
              <w:pStyle w:val="0"/>
            </w:pPr>
            <w:r>
              <w:rPr>
                <w:sz w:val="24"/>
              </w:rPr>
              <w:t xml:space="preserve">mem-int:Vzaimodejstvie_v_Elektr_FormeMember</w:t>
            </w:r>
          </w:p>
        </w:tc>
      </w:tr>
      <w:tr>
        <w:tc>
          <w:tcPr>
            <w:tcW w:w="964" w:type="dxa"/>
          </w:tcPr>
          <w:p>
            <w:pPr>
              <w:pStyle w:val="0"/>
            </w:pPr>
            <w:r>
              <w:rPr>
                <w:sz w:val="24"/>
              </w:rPr>
              <w:t xml:space="preserve">10</w:t>
            </w:r>
          </w:p>
        </w:tc>
        <w:tc>
          <w:tcPr>
            <w:tcW w:w="2891" w:type="dxa"/>
          </w:tcPr>
          <w:p>
            <w:pPr>
              <w:pStyle w:val="0"/>
            </w:pPr>
            <w:r>
              <w:rPr>
                <w:sz w:val="24"/>
              </w:rPr>
              <w:t xml:space="preserve">Тип возмещения</w:t>
            </w:r>
          </w:p>
        </w:tc>
        <w:tc>
          <w:tcPr>
            <w:tcW w:w="1814" w:type="dxa"/>
          </w:tcPr>
          <w:p>
            <w:pPr>
              <w:pStyle w:val="0"/>
            </w:pPr>
            <w:r>
              <w:rPr>
                <w:sz w:val="24"/>
              </w:rPr>
            </w:r>
          </w:p>
        </w:tc>
        <w:tc>
          <w:tcPr>
            <w:tcW w:w="3402" w:type="dxa"/>
          </w:tcPr>
          <w:p>
            <w:pPr>
              <w:pStyle w:val="0"/>
            </w:pPr>
            <w:r>
              <w:rPr>
                <w:sz w:val="24"/>
              </w:rPr>
              <w:t xml:space="preserve">dim-int:TipVozmeshheniyaAxis</w:t>
            </w:r>
          </w:p>
        </w:tc>
      </w:tr>
      <w:tr>
        <w:tc>
          <w:tcPr>
            <w:tcW w:w="964" w:type="dxa"/>
          </w:tcPr>
          <w:p>
            <w:pPr>
              <w:pStyle w:val="0"/>
            </w:pPr>
            <w:r>
              <w:rPr>
                <w:sz w:val="24"/>
              </w:rPr>
              <w:t xml:space="preserve">10.1</w:t>
            </w:r>
          </w:p>
        </w:tc>
        <w:tc>
          <w:tcPr>
            <w:tcW w:w="2891" w:type="dxa"/>
          </w:tcPr>
          <w:p>
            <w:pPr>
              <w:pStyle w:val="0"/>
            </w:pPr>
            <w:r>
              <w:rPr>
                <w:sz w:val="24"/>
              </w:rPr>
            </w:r>
          </w:p>
        </w:tc>
        <w:tc>
          <w:tcPr>
            <w:tcW w:w="1814" w:type="dxa"/>
          </w:tcPr>
          <w:p>
            <w:pPr>
              <w:pStyle w:val="0"/>
            </w:pPr>
            <w:r>
              <w:rPr>
                <w:sz w:val="24"/>
              </w:rPr>
              <w:t xml:space="preserve">Возмещение причиненного вреда в натуре</w:t>
            </w:r>
          </w:p>
        </w:tc>
        <w:tc>
          <w:tcPr>
            <w:tcW w:w="3402" w:type="dxa"/>
          </w:tcPr>
          <w:p>
            <w:pPr>
              <w:pStyle w:val="0"/>
            </w:pPr>
            <w:r>
              <w:rPr>
                <w:sz w:val="24"/>
              </w:rPr>
              <w:t xml:space="preserve">mem-int:Vozmeshhenie_Prich_Vreda_v_NatureMember</w:t>
            </w:r>
          </w:p>
        </w:tc>
      </w:tr>
      <w:tr>
        <w:tc>
          <w:tcPr>
            <w:tcW w:w="964" w:type="dxa"/>
          </w:tcPr>
          <w:p>
            <w:pPr>
              <w:pStyle w:val="0"/>
            </w:pPr>
            <w:r>
              <w:rPr>
                <w:sz w:val="24"/>
              </w:rPr>
              <w:t xml:space="preserve">11</w:t>
            </w:r>
          </w:p>
        </w:tc>
        <w:tc>
          <w:tcPr>
            <w:tcW w:w="2891" w:type="dxa"/>
          </w:tcPr>
          <w:p>
            <w:pPr>
              <w:pStyle w:val="0"/>
            </w:pPr>
            <w:r>
              <w:rPr>
                <w:sz w:val="24"/>
              </w:rPr>
              <w:t xml:space="preserve">Тип страхователя</w:t>
            </w:r>
          </w:p>
        </w:tc>
        <w:tc>
          <w:tcPr>
            <w:tcW w:w="1814" w:type="dxa"/>
          </w:tcPr>
          <w:p>
            <w:pPr>
              <w:pStyle w:val="0"/>
            </w:pPr>
            <w:r>
              <w:rPr>
                <w:sz w:val="24"/>
              </w:rPr>
            </w:r>
          </w:p>
        </w:tc>
        <w:tc>
          <w:tcPr>
            <w:tcW w:w="3402" w:type="dxa"/>
          </w:tcPr>
          <w:p>
            <w:pPr>
              <w:pStyle w:val="0"/>
            </w:pPr>
            <w:r>
              <w:rPr>
                <w:sz w:val="24"/>
              </w:rPr>
              <w:t xml:space="preserve">dim-int:Tip_Sl_Axis</w:t>
            </w:r>
          </w:p>
        </w:tc>
      </w:tr>
      <w:tr>
        <w:tc>
          <w:tcPr>
            <w:tcW w:w="964" w:type="dxa"/>
          </w:tcPr>
          <w:p>
            <w:pPr>
              <w:pStyle w:val="0"/>
            </w:pPr>
            <w:r>
              <w:rPr>
                <w:sz w:val="24"/>
              </w:rPr>
              <w:t xml:space="preserve">11.1</w:t>
            </w:r>
          </w:p>
        </w:tc>
        <w:tc>
          <w:tcPr>
            <w:tcW w:w="2891" w:type="dxa"/>
          </w:tcPr>
          <w:p>
            <w:pPr>
              <w:pStyle w:val="0"/>
            </w:pPr>
            <w:r>
              <w:rPr>
                <w:sz w:val="24"/>
              </w:rPr>
            </w:r>
          </w:p>
        </w:tc>
        <w:tc>
          <w:tcPr>
            <w:tcW w:w="1814" w:type="dxa"/>
          </w:tcPr>
          <w:p>
            <w:pPr>
              <w:pStyle w:val="0"/>
            </w:pPr>
            <w:r>
              <w:rPr>
                <w:sz w:val="24"/>
              </w:rPr>
              <w:t xml:space="preserve">ФЛ - физическое лицо</w:t>
            </w:r>
          </w:p>
        </w:tc>
        <w:tc>
          <w:tcPr>
            <w:tcW w:w="3402" w:type="dxa"/>
          </w:tcPr>
          <w:p>
            <w:pPr>
              <w:pStyle w:val="0"/>
            </w:pPr>
            <w:r>
              <w:rPr>
                <w:sz w:val="24"/>
              </w:rPr>
              <w:t xml:space="preserve">mem-int:FlMember</w:t>
            </w:r>
          </w:p>
        </w:tc>
      </w:tr>
      <w:tr>
        <w:tc>
          <w:tcPr>
            <w:tcW w:w="964" w:type="dxa"/>
          </w:tcPr>
          <w:p>
            <w:pPr>
              <w:pStyle w:val="0"/>
            </w:pPr>
            <w:r>
              <w:rPr>
                <w:sz w:val="24"/>
              </w:rPr>
              <w:t xml:space="preserve">11.2</w:t>
            </w:r>
          </w:p>
        </w:tc>
        <w:tc>
          <w:tcPr>
            <w:tcW w:w="2891" w:type="dxa"/>
          </w:tcPr>
          <w:p>
            <w:pPr>
              <w:pStyle w:val="0"/>
            </w:pPr>
            <w:r>
              <w:rPr>
                <w:sz w:val="24"/>
              </w:rPr>
            </w:r>
          </w:p>
        </w:tc>
        <w:tc>
          <w:tcPr>
            <w:tcW w:w="1814" w:type="dxa"/>
          </w:tcPr>
          <w:p>
            <w:pPr>
              <w:pStyle w:val="0"/>
            </w:pPr>
            <w:r>
              <w:rPr>
                <w:sz w:val="24"/>
              </w:rPr>
              <w:t xml:space="preserve">ИП - индивидуальный предприниматель</w:t>
            </w:r>
          </w:p>
        </w:tc>
        <w:tc>
          <w:tcPr>
            <w:tcW w:w="3402" w:type="dxa"/>
          </w:tcPr>
          <w:p>
            <w:pPr>
              <w:pStyle w:val="0"/>
            </w:pPr>
            <w:r>
              <w:rPr>
                <w:sz w:val="24"/>
              </w:rPr>
              <w:t xml:space="preserve">mem-int:Ip_Member</w:t>
            </w:r>
          </w:p>
        </w:tc>
      </w:tr>
      <w:tr>
        <w:tc>
          <w:tcPr>
            <w:tcW w:w="964" w:type="dxa"/>
          </w:tcPr>
          <w:p>
            <w:pPr>
              <w:pStyle w:val="0"/>
            </w:pPr>
            <w:r>
              <w:rPr>
                <w:sz w:val="24"/>
              </w:rPr>
              <w:t xml:space="preserve">11.3</w:t>
            </w:r>
          </w:p>
        </w:tc>
        <w:tc>
          <w:tcPr>
            <w:tcW w:w="2891" w:type="dxa"/>
          </w:tcPr>
          <w:p>
            <w:pPr>
              <w:pStyle w:val="0"/>
            </w:pPr>
            <w:r>
              <w:rPr>
                <w:sz w:val="24"/>
              </w:rPr>
            </w:r>
          </w:p>
        </w:tc>
        <w:tc>
          <w:tcPr>
            <w:tcW w:w="1814" w:type="dxa"/>
          </w:tcPr>
          <w:p>
            <w:pPr>
              <w:pStyle w:val="0"/>
            </w:pPr>
            <w:r>
              <w:rPr>
                <w:sz w:val="24"/>
              </w:rPr>
              <w:t xml:space="preserve">ЮЛ - юридическое лицо</w:t>
            </w:r>
          </w:p>
        </w:tc>
        <w:tc>
          <w:tcPr>
            <w:tcW w:w="3402" w:type="dxa"/>
          </w:tcPr>
          <w:p>
            <w:pPr>
              <w:pStyle w:val="0"/>
            </w:pPr>
            <w:r>
              <w:rPr>
                <w:sz w:val="24"/>
              </w:rPr>
              <w:t xml:space="preserve">mem-int:YulMember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701"/>
        <w:gridCol w:w="7313"/>
      </w:tblGrid>
      <w:tr>
        <w:tc>
          <w:tcPr>
            <w:tcW w:w="1701" w:type="dxa"/>
            <w:tcBorders>
              <w:top w:val="nil"/>
              <w:left w:val="nil"/>
              <w:bottom w:val="nil"/>
              <w:right w:val="nil"/>
            </w:tcBorders>
          </w:tcPr>
          <w:p>
            <w:pPr>
              <w:pStyle w:val="0"/>
              <w:outlineLvl w:val="3"/>
              <w:jc w:val="both"/>
            </w:pPr>
            <w:r>
              <w:rPr>
                <w:sz w:val="24"/>
              </w:rPr>
              <w:t xml:space="preserve">Подраздел 1.2.</w:t>
            </w:r>
          </w:p>
        </w:tc>
        <w:tc>
          <w:tcPr>
            <w:tcW w:w="7313" w:type="dxa"/>
            <w:tcBorders>
              <w:top w:val="nil"/>
              <w:left w:val="nil"/>
              <w:bottom w:val="nil"/>
              <w:right w:val="nil"/>
            </w:tcBorders>
          </w:tcPr>
          <w:p>
            <w:pPr>
              <w:pStyle w:val="0"/>
              <w:jc w:val="both"/>
            </w:pPr>
            <w:hyperlink w:history="0" w:anchor="P55703" w:tooltip="Раздел 2.">
              <w:r>
                <w:rPr>
                  <w:sz w:val="24"/>
                  <w:color w:val="0000ff"/>
                </w:rPr>
                <w:t xml:space="preserve">Раздел 2</w:t>
              </w:r>
            </w:hyperlink>
            <w:r>
              <w:rPr>
                <w:sz w:val="24"/>
              </w:rPr>
              <w:t xml:space="preserve"> "Страхование на территории Российской Федерации и за ее пределами"</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bookmarkStart w:id="58301" w:name="P58301"/>
          <w:bookmarkEnd w:id="58301"/>
          <w:p>
            <w:pPr>
              <w:pStyle w:val="0"/>
            </w:pPr>
            <w:r>
              <w:rPr>
                <w:sz w:val="24"/>
              </w:rPr>
              <w:t xml:space="preserve">1</w:t>
            </w:r>
          </w:p>
        </w:tc>
        <w:tc>
          <w:tcPr>
            <w:tcW w:w="2891" w:type="dxa"/>
          </w:tcPr>
          <w:p>
            <w:pPr>
              <w:pStyle w:val="0"/>
            </w:pPr>
            <w:r>
              <w:rPr>
                <w:sz w:val="24"/>
              </w:rPr>
              <w:t xml:space="preserve">Виды страхования</w:t>
            </w:r>
          </w:p>
        </w:tc>
        <w:tc>
          <w:tcPr>
            <w:tcW w:w="1814" w:type="dxa"/>
          </w:tcPr>
          <w:p>
            <w:pPr>
              <w:pStyle w:val="0"/>
            </w:pPr>
            <w:r>
              <w:rPr>
                <w:sz w:val="24"/>
              </w:rPr>
            </w:r>
          </w:p>
        </w:tc>
        <w:tc>
          <w:tcPr>
            <w:tcW w:w="3402" w:type="dxa"/>
          </w:tcPr>
          <w:p>
            <w:pPr>
              <w:pStyle w:val="0"/>
            </w:pPr>
            <w:r>
              <w:rPr>
                <w:sz w:val="24"/>
              </w:rPr>
              <w:t xml:space="preserve">dim-int:Vidy_straxovaniyaAxis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Добровольное страхование жизни (кроме пенсионного страхования)</w:t>
            </w:r>
          </w:p>
        </w:tc>
        <w:tc>
          <w:tcPr>
            <w:tcW w:w="3402" w:type="dxa"/>
          </w:tcPr>
          <w:p>
            <w:pPr>
              <w:pStyle w:val="0"/>
            </w:pPr>
            <w:r>
              <w:rPr>
                <w:sz w:val="24"/>
              </w:rPr>
              <w:t xml:space="preserve">mem-int:DobrStrZhKrPensStrMember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r>
              <w:rPr>
                <w:sz w:val="24"/>
              </w:rPr>
              <w:t xml:space="preserve">Добровольное пенсионное страхование</w:t>
            </w:r>
          </w:p>
        </w:tc>
        <w:tc>
          <w:tcPr>
            <w:tcW w:w="3402" w:type="dxa"/>
          </w:tcPr>
          <w:p>
            <w:pPr>
              <w:pStyle w:val="0"/>
            </w:pPr>
            <w:r>
              <w:rPr>
                <w:sz w:val="24"/>
              </w:rPr>
              <w:t xml:space="preserve">mem-int:DobrPensStrMember</w:t>
            </w:r>
          </w:p>
        </w:tc>
      </w:tr>
      <w:tr>
        <w:tc>
          <w:tcPr>
            <w:tcW w:w="964" w:type="dxa"/>
          </w:tcPr>
          <w:bookmarkStart w:id="58313" w:name="P58313"/>
          <w:bookmarkEnd w:id="58313"/>
          <w:p>
            <w:pPr>
              <w:pStyle w:val="0"/>
            </w:pPr>
            <w:r>
              <w:rPr>
                <w:sz w:val="24"/>
              </w:rPr>
              <w:t xml:space="preserve">1.3</w:t>
            </w:r>
          </w:p>
        </w:tc>
        <w:tc>
          <w:tcPr>
            <w:tcW w:w="2891" w:type="dxa"/>
          </w:tcPr>
          <w:p>
            <w:pPr>
              <w:pStyle w:val="0"/>
            </w:pPr>
            <w:r>
              <w:rPr>
                <w:sz w:val="24"/>
              </w:rPr>
            </w:r>
          </w:p>
        </w:tc>
        <w:tc>
          <w:tcPr>
            <w:tcW w:w="1814" w:type="dxa"/>
          </w:tcPr>
          <w:p>
            <w:pPr>
              <w:pStyle w:val="0"/>
            </w:pPr>
            <w:r>
              <w:rPr>
                <w:sz w:val="24"/>
              </w:rPr>
              <w:t xml:space="preserve">Добровольное личное страхование (кроме страхования жизни)</w:t>
            </w:r>
          </w:p>
        </w:tc>
        <w:tc>
          <w:tcPr>
            <w:tcW w:w="3402" w:type="dxa"/>
          </w:tcPr>
          <w:p>
            <w:pPr>
              <w:pStyle w:val="0"/>
            </w:pPr>
            <w:r>
              <w:rPr>
                <w:sz w:val="24"/>
              </w:rPr>
              <w:t xml:space="preserve">mem-int:DobrLichStrKrStrZhMember</w:t>
            </w:r>
          </w:p>
        </w:tc>
      </w:tr>
      <w:tr>
        <w:tc>
          <w:tcPr>
            <w:tcW w:w="964" w:type="dxa"/>
          </w:tcPr>
          <w:bookmarkStart w:id="58317" w:name="P58317"/>
          <w:bookmarkEnd w:id="58317"/>
          <w:p>
            <w:pPr>
              <w:pStyle w:val="0"/>
            </w:pPr>
            <w:r>
              <w:rPr>
                <w:sz w:val="24"/>
              </w:rPr>
              <w:t xml:space="preserve">1.3.1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w:t>
            </w:r>
          </w:p>
        </w:tc>
        <w:tc>
          <w:tcPr>
            <w:tcW w:w="3402" w:type="dxa"/>
          </w:tcPr>
          <w:p>
            <w:pPr>
              <w:pStyle w:val="0"/>
            </w:pPr>
            <w:r>
              <w:rPr>
                <w:sz w:val="24"/>
              </w:rPr>
              <w:t xml:space="preserve">mem-int:DobrStrNeschSlBolMember</w:t>
            </w:r>
          </w:p>
        </w:tc>
      </w:tr>
      <w:tr>
        <w:tc>
          <w:tcPr>
            <w:tcW w:w="964" w:type="dxa"/>
          </w:tcPr>
          <w:bookmarkStart w:id="58321" w:name="P58321"/>
          <w:bookmarkEnd w:id="58321"/>
          <w:p>
            <w:pPr>
              <w:pStyle w:val="0"/>
            </w:pPr>
            <w:r>
              <w:rPr>
                <w:sz w:val="24"/>
              </w:rPr>
              <w:t xml:space="preserve">1.3.1.1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пациентов, участвующих в клинических исследованиях лекарственного препарата для медицинского применения</w:t>
            </w:r>
          </w:p>
        </w:tc>
        <w:tc>
          <w:tcPr>
            <w:tcW w:w="3402" w:type="dxa"/>
          </w:tcPr>
          <w:p>
            <w:pPr>
              <w:pStyle w:val="0"/>
            </w:pPr>
            <w:r>
              <w:rPr>
                <w:sz w:val="24"/>
              </w:rPr>
              <w:t xml:space="preserve">mem-int:DobrStrNeschSlBol_PaczUchastKlinIssledMember</w:t>
            </w:r>
          </w:p>
        </w:tc>
      </w:tr>
      <w:tr>
        <w:tc>
          <w:tcPr>
            <w:tcW w:w="964" w:type="dxa"/>
          </w:tcPr>
          <w:bookmarkStart w:id="58325" w:name="P58325"/>
          <w:bookmarkEnd w:id="58325"/>
          <w:p>
            <w:pPr>
              <w:pStyle w:val="0"/>
            </w:pPr>
            <w:r>
              <w:rPr>
                <w:sz w:val="24"/>
              </w:rPr>
              <w:t xml:space="preserve">1.3.1.2</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работников налоговых органов</w:t>
            </w:r>
          </w:p>
        </w:tc>
        <w:tc>
          <w:tcPr>
            <w:tcW w:w="3402" w:type="dxa"/>
          </w:tcPr>
          <w:p>
            <w:pPr>
              <w:pStyle w:val="0"/>
            </w:pPr>
            <w:r>
              <w:rPr>
                <w:sz w:val="24"/>
              </w:rPr>
              <w:t xml:space="preserve">mem-int:DobrStrNeschSlBol_RabNalogOrgMember</w:t>
            </w:r>
          </w:p>
        </w:tc>
      </w:tr>
      <w:tr>
        <w:tc>
          <w:tcPr>
            <w:tcW w:w="964" w:type="dxa"/>
          </w:tcPr>
          <w:bookmarkStart w:id="58329" w:name="P58329"/>
          <w:bookmarkEnd w:id="58329"/>
          <w:p>
            <w:pPr>
              <w:pStyle w:val="0"/>
            </w:pPr>
            <w:r>
              <w:rPr>
                <w:sz w:val="24"/>
              </w:rPr>
              <w:t xml:space="preserve">1.3.2</w:t>
            </w:r>
          </w:p>
        </w:tc>
        <w:tc>
          <w:tcPr>
            <w:tcW w:w="2891" w:type="dxa"/>
          </w:tcPr>
          <w:p>
            <w:pPr>
              <w:pStyle w:val="0"/>
            </w:pPr>
            <w:r>
              <w:rPr>
                <w:sz w:val="24"/>
              </w:rPr>
            </w:r>
          </w:p>
        </w:tc>
        <w:tc>
          <w:tcPr>
            <w:tcW w:w="1814" w:type="dxa"/>
          </w:tcPr>
          <w:p>
            <w:pPr>
              <w:pStyle w:val="0"/>
            </w:pPr>
            <w:r>
              <w:rPr>
                <w:sz w:val="24"/>
              </w:rPr>
              <w:t xml:space="preserve">Добровольное медицинское страхование</w:t>
            </w:r>
          </w:p>
        </w:tc>
        <w:tc>
          <w:tcPr>
            <w:tcW w:w="3402" w:type="dxa"/>
          </w:tcPr>
          <w:p>
            <w:pPr>
              <w:pStyle w:val="0"/>
            </w:pPr>
            <w:r>
              <w:rPr>
                <w:sz w:val="24"/>
              </w:rPr>
              <w:t xml:space="preserve">mem-int:DobrMedStrMember</w:t>
            </w:r>
          </w:p>
        </w:tc>
      </w:tr>
      <w:tr>
        <w:tc>
          <w:tcPr>
            <w:tcW w:w="964" w:type="dxa"/>
          </w:tcPr>
          <w:bookmarkStart w:id="58333" w:name="P58333"/>
          <w:bookmarkEnd w:id="58333"/>
          <w:p>
            <w:pPr>
              <w:pStyle w:val="0"/>
            </w:pPr>
            <w:r>
              <w:rPr>
                <w:sz w:val="24"/>
              </w:rPr>
              <w:t xml:space="preserve">1.4</w:t>
            </w:r>
          </w:p>
        </w:tc>
        <w:tc>
          <w:tcPr>
            <w:tcW w:w="2891" w:type="dxa"/>
          </w:tcPr>
          <w:p>
            <w:pPr>
              <w:pStyle w:val="0"/>
            </w:pPr>
            <w:r>
              <w:rPr>
                <w:sz w:val="24"/>
              </w:rPr>
            </w:r>
          </w:p>
        </w:tc>
        <w:tc>
          <w:tcPr>
            <w:tcW w:w="1814" w:type="dxa"/>
          </w:tcPr>
          <w:p>
            <w:pPr>
              <w:pStyle w:val="0"/>
            </w:pPr>
            <w:r>
              <w:rPr>
                <w:sz w:val="24"/>
              </w:rPr>
              <w:t xml:space="preserve">Добровольное имущественное страхование</w:t>
            </w:r>
          </w:p>
        </w:tc>
        <w:tc>
          <w:tcPr>
            <w:tcW w:w="3402" w:type="dxa"/>
          </w:tcPr>
          <w:p>
            <w:pPr>
              <w:pStyle w:val="0"/>
            </w:pPr>
            <w:r>
              <w:rPr>
                <w:sz w:val="24"/>
              </w:rPr>
              <w:t xml:space="preserve">mem-int:DobrImushStrMember</w:t>
            </w:r>
          </w:p>
        </w:tc>
      </w:tr>
      <w:tr>
        <w:tc>
          <w:tcPr>
            <w:tcW w:w="964" w:type="dxa"/>
          </w:tcPr>
          <w:bookmarkStart w:id="58337" w:name="P58337"/>
          <w:bookmarkEnd w:id="58337"/>
          <w:p>
            <w:pPr>
              <w:pStyle w:val="0"/>
            </w:pPr>
            <w:r>
              <w:rPr>
                <w:sz w:val="24"/>
              </w:rPr>
              <w:t xml:space="preserve">1.4.1</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w:t>
            </w:r>
          </w:p>
        </w:tc>
        <w:tc>
          <w:tcPr>
            <w:tcW w:w="3402" w:type="dxa"/>
          </w:tcPr>
          <w:p>
            <w:pPr>
              <w:pStyle w:val="0"/>
            </w:pPr>
            <w:r>
              <w:rPr>
                <w:sz w:val="24"/>
              </w:rPr>
              <w:t xml:space="preserve">mem-int:DobrStrImushMember</w:t>
            </w:r>
          </w:p>
        </w:tc>
      </w:tr>
      <w:tr>
        <w:tc>
          <w:tcPr>
            <w:tcW w:w="964" w:type="dxa"/>
          </w:tcPr>
          <w:bookmarkStart w:id="58341" w:name="P58341"/>
          <w:bookmarkEnd w:id="58341"/>
          <w:p>
            <w:pPr>
              <w:pStyle w:val="0"/>
            </w:pPr>
            <w:r>
              <w:rPr>
                <w:sz w:val="24"/>
              </w:rPr>
              <w:t xml:space="preserve">1.4.1.1</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наземного транспорта (кроме средств железнодорожного транспорта)</w:t>
            </w:r>
          </w:p>
        </w:tc>
        <w:tc>
          <w:tcPr>
            <w:tcW w:w="3402" w:type="dxa"/>
          </w:tcPr>
          <w:p>
            <w:pPr>
              <w:pStyle w:val="0"/>
            </w:pPr>
            <w:r>
              <w:rPr>
                <w:sz w:val="24"/>
              </w:rPr>
              <w:t xml:space="preserve">mem-int:DobrStrSrNazTrKrZhdMember</w:t>
            </w:r>
          </w:p>
        </w:tc>
      </w:tr>
      <w:tr>
        <w:tc>
          <w:tcPr>
            <w:tcW w:w="964" w:type="dxa"/>
          </w:tcPr>
          <w:p>
            <w:pPr>
              <w:pStyle w:val="0"/>
            </w:pPr>
            <w:r>
              <w:rPr>
                <w:sz w:val="24"/>
              </w:rPr>
              <w:t xml:space="preserve">1.4.1.2</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железнодорожного транспорта</w:t>
            </w:r>
          </w:p>
        </w:tc>
        <w:tc>
          <w:tcPr>
            <w:tcW w:w="3402" w:type="dxa"/>
          </w:tcPr>
          <w:p>
            <w:pPr>
              <w:pStyle w:val="0"/>
            </w:pPr>
            <w:r>
              <w:rPr>
                <w:sz w:val="24"/>
              </w:rPr>
              <w:t xml:space="preserve">mem-int:DobrStrSrZhdTrMember</w:t>
            </w:r>
          </w:p>
        </w:tc>
      </w:tr>
      <w:tr>
        <w:tc>
          <w:tcPr>
            <w:tcW w:w="964" w:type="dxa"/>
          </w:tcPr>
          <w:p>
            <w:pPr>
              <w:pStyle w:val="0"/>
            </w:pPr>
            <w:r>
              <w:rPr>
                <w:sz w:val="24"/>
              </w:rPr>
              <w:t xml:space="preserve">1.4.1.3</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воздушного транспорта</w:t>
            </w:r>
          </w:p>
        </w:tc>
        <w:tc>
          <w:tcPr>
            <w:tcW w:w="3402" w:type="dxa"/>
          </w:tcPr>
          <w:p>
            <w:pPr>
              <w:pStyle w:val="0"/>
            </w:pPr>
            <w:r>
              <w:rPr>
                <w:sz w:val="24"/>
              </w:rPr>
              <w:t xml:space="preserve">mem-int:DobrStrSrVozdTrMember</w:t>
            </w:r>
          </w:p>
        </w:tc>
      </w:tr>
      <w:tr>
        <w:tc>
          <w:tcPr>
            <w:tcW w:w="964" w:type="dxa"/>
          </w:tcPr>
          <w:p>
            <w:pPr>
              <w:pStyle w:val="0"/>
            </w:pPr>
            <w:r>
              <w:rPr>
                <w:sz w:val="24"/>
              </w:rPr>
              <w:t xml:space="preserve">1.4.1.4</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водного транспорта</w:t>
            </w:r>
          </w:p>
        </w:tc>
        <w:tc>
          <w:tcPr>
            <w:tcW w:w="3402" w:type="dxa"/>
          </w:tcPr>
          <w:p>
            <w:pPr>
              <w:pStyle w:val="0"/>
            </w:pPr>
            <w:r>
              <w:rPr>
                <w:sz w:val="24"/>
              </w:rPr>
              <w:t xml:space="preserve">mem-int:DobrStrSrVodTrMember</w:t>
            </w:r>
          </w:p>
        </w:tc>
      </w:tr>
      <w:tr>
        <w:tc>
          <w:tcPr>
            <w:tcW w:w="964" w:type="dxa"/>
          </w:tcPr>
          <w:p>
            <w:pPr>
              <w:pStyle w:val="0"/>
            </w:pPr>
            <w:r>
              <w:rPr>
                <w:sz w:val="24"/>
              </w:rPr>
              <w:t xml:space="preserve">1.4.1.5</w:t>
            </w:r>
          </w:p>
        </w:tc>
        <w:tc>
          <w:tcPr>
            <w:tcW w:w="2891" w:type="dxa"/>
          </w:tcPr>
          <w:p>
            <w:pPr>
              <w:pStyle w:val="0"/>
            </w:pPr>
            <w:r>
              <w:rPr>
                <w:sz w:val="24"/>
              </w:rPr>
            </w:r>
          </w:p>
        </w:tc>
        <w:tc>
          <w:tcPr>
            <w:tcW w:w="1814" w:type="dxa"/>
          </w:tcPr>
          <w:p>
            <w:pPr>
              <w:pStyle w:val="0"/>
            </w:pPr>
            <w:r>
              <w:rPr>
                <w:sz w:val="24"/>
              </w:rPr>
              <w:t xml:space="preserve">Добровольное страхование грузов</w:t>
            </w:r>
          </w:p>
        </w:tc>
        <w:tc>
          <w:tcPr>
            <w:tcW w:w="3402" w:type="dxa"/>
          </w:tcPr>
          <w:p>
            <w:pPr>
              <w:pStyle w:val="0"/>
            </w:pPr>
            <w:r>
              <w:rPr>
                <w:sz w:val="24"/>
              </w:rPr>
              <w:t xml:space="preserve">mem-int:DobrStrGruzMember</w:t>
            </w:r>
          </w:p>
        </w:tc>
      </w:tr>
      <w:tr>
        <w:tc>
          <w:tcPr>
            <w:tcW w:w="964" w:type="dxa"/>
          </w:tcPr>
          <w:bookmarkStart w:id="58361" w:name="P58361"/>
          <w:bookmarkEnd w:id="58361"/>
          <w:p>
            <w:pPr>
              <w:pStyle w:val="0"/>
            </w:pPr>
            <w:r>
              <w:rPr>
                <w:sz w:val="24"/>
              </w:rPr>
              <w:t xml:space="preserve">1.4.1.6</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w:t>
            </w:r>
          </w:p>
        </w:tc>
        <w:tc>
          <w:tcPr>
            <w:tcW w:w="3402" w:type="dxa"/>
          </w:tcPr>
          <w:p>
            <w:pPr>
              <w:pStyle w:val="0"/>
            </w:pPr>
            <w:r>
              <w:rPr>
                <w:sz w:val="24"/>
              </w:rPr>
              <w:t xml:space="preserve">mem-int:DobrSxStrMember</w:t>
            </w:r>
          </w:p>
        </w:tc>
      </w:tr>
      <w:tr>
        <w:tc>
          <w:tcPr>
            <w:tcW w:w="964" w:type="dxa"/>
          </w:tcPr>
          <w:bookmarkStart w:id="58365" w:name="P58365"/>
          <w:bookmarkEnd w:id="58365"/>
          <w:p>
            <w:pPr>
              <w:pStyle w:val="0"/>
            </w:pPr>
            <w:r>
              <w:rPr>
                <w:sz w:val="24"/>
              </w:rPr>
              <w:t xml:space="preserve">1.4.1.6.1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урожая сельскохозяйственных культур</w:t>
            </w:r>
          </w:p>
        </w:tc>
        <w:tc>
          <w:tcPr>
            <w:tcW w:w="3402" w:type="dxa"/>
          </w:tcPr>
          <w:p>
            <w:pPr>
              <w:pStyle w:val="0"/>
            </w:pPr>
            <w:r>
              <w:rPr>
                <w:sz w:val="24"/>
              </w:rPr>
              <w:t xml:space="preserve">mem-int:DobrSxStr_UrozhajSxKulturMember</w:t>
            </w:r>
          </w:p>
        </w:tc>
      </w:tr>
      <w:tr>
        <w:tc>
          <w:tcPr>
            <w:tcW w:w="964" w:type="dxa"/>
          </w:tcPr>
          <w:p>
            <w:pPr>
              <w:pStyle w:val="0"/>
            </w:pPr>
            <w:r>
              <w:rPr>
                <w:sz w:val="24"/>
              </w:rPr>
              <w:t xml:space="preserve">1.4.1.6.2</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посадок многолетних насаждений</w:t>
            </w:r>
          </w:p>
        </w:tc>
        <w:tc>
          <w:tcPr>
            <w:tcW w:w="3402" w:type="dxa"/>
          </w:tcPr>
          <w:p>
            <w:pPr>
              <w:pStyle w:val="0"/>
            </w:pPr>
            <w:r>
              <w:rPr>
                <w:sz w:val="24"/>
              </w:rPr>
              <w:t xml:space="preserve">mem-int:DobrSxStr_PosadMnogoletNasazhdMember</w:t>
            </w:r>
          </w:p>
        </w:tc>
      </w:tr>
      <w:tr>
        <w:tc>
          <w:tcPr>
            <w:tcW w:w="964" w:type="dxa"/>
          </w:tcPr>
          <w:p>
            <w:pPr>
              <w:pStyle w:val="0"/>
            </w:pPr>
            <w:r>
              <w:rPr>
                <w:sz w:val="24"/>
              </w:rPr>
              <w:t xml:space="preserve">1.4.1.6.3</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сельскохозяйственных животных</w:t>
            </w:r>
          </w:p>
        </w:tc>
        <w:tc>
          <w:tcPr>
            <w:tcW w:w="3402" w:type="dxa"/>
          </w:tcPr>
          <w:p>
            <w:pPr>
              <w:pStyle w:val="0"/>
            </w:pPr>
            <w:r>
              <w:rPr>
                <w:sz w:val="24"/>
              </w:rPr>
              <w:t xml:space="preserve">mem-int:DobrSxStr_SxZhivotnyxMember</w:t>
            </w:r>
          </w:p>
        </w:tc>
      </w:tr>
      <w:tr>
        <w:tc>
          <w:tcPr>
            <w:tcW w:w="964" w:type="dxa"/>
          </w:tcPr>
          <w:bookmarkStart w:id="58377" w:name="P58377"/>
          <w:bookmarkEnd w:id="58377"/>
          <w:p>
            <w:pPr>
              <w:pStyle w:val="0"/>
            </w:pPr>
            <w:r>
              <w:rPr>
                <w:sz w:val="24"/>
              </w:rPr>
              <w:t xml:space="preserve">1.4.1.6.4</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объектов товарной аквакультуры (товарного рыбоводства)</w:t>
            </w:r>
          </w:p>
        </w:tc>
        <w:tc>
          <w:tcPr>
            <w:tcW w:w="3402" w:type="dxa"/>
          </w:tcPr>
          <w:p>
            <w:pPr>
              <w:pStyle w:val="0"/>
            </w:pPr>
            <w:r>
              <w:rPr>
                <w:sz w:val="24"/>
              </w:rPr>
              <w:t xml:space="preserve">mem-int:DobrSxStr_ObTovAkvKultMember</w:t>
            </w:r>
          </w:p>
        </w:tc>
      </w:tr>
      <w:tr>
        <w:tc>
          <w:tcPr>
            <w:tcW w:w="964" w:type="dxa"/>
          </w:tcPr>
          <w:bookmarkStart w:id="58381" w:name="P58381"/>
          <w:bookmarkEnd w:id="58381"/>
          <w:p>
            <w:pPr>
              <w:pStyle w:val="0"/>
            </w:pPr>
            <w:r>
              <w:rPr>
                <w:sz w:val="24"/>
              </w:rPr>
              <w:t xml:space="preserve">1.4.1.7</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юридических лиц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mem-int:DobrStrImYurLiczMember</w:t>
            </w:r>
          </w:p>
        </w:tc>
      </w:tr>
      <w:tr>
        <w:tc>
          <w:tcPr>
            <w:tcW w:w="964" w:type="dxa"/>
          </w:tcPr>
          <w:bookmarkStart w:id="58385" w:name="P58385"/>
          <w:bookmarkEnd w:id="58385"/>
          <w:p>
            <w:pPr>
              <w:pStyle w:val="0"/>
            </w:pPr>
            <w:r>
              <w:rPr>
                <w:sz w:val="24"/>
              </w:rPr>
              <w:t xml:space="preserve">1.4.1.8</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граждан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mem-int:DobrStrImGrazhdMember</w:t>
            </w:r>
          </w:p>
        </w:tc>
      </w:tr>
      <w:tr>
        <w:tc>
          <w:tcPr>
            <w:tcW w:w="964" w:type="dxa"/>
          </w:tcPr>
          <w:bookmarkStart w:id="58389" w:name="P58389"/>
          <w:bookmarkEnd w:id="58389"/>
          <w:p>
            <w:pPr>
              <w:pStyle w:val="0"/>
            </w:pPr>
            <w:r>
              <w:rPr>
                <w:sz w:val="24"/>
              </w:rPr>
              <w:t xml:space="preserve">1.4.2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w:t>
            </w:r>
          </w:p>
        </w:tc>
        <w:tc>
          <w:tcPr>
            <w:tcW w:w="3402" w:type="dxa"/>
          </w:tcPr>
          <w:p>
            <w:pPr>
              <w:pStyle w:val="0"/>
            </w:pPr>
            <w:r>
              <w:rPr>
                <w:sz w:val="24"/>
              </w:rPr>
              <w:t xml:space="preserve">mem-int:DobrStrGrazhdOtvM ember</w:t>
            </w:r>
          </w:p>
        </w:tc>
      </w:tr>
      <w:tr>
        <w:tc>
          <w:tcPr>
            <w:tcW w:w="964" w:type="dxa"/>
          </w:tcPr>
          <w:bookmarkStart w:id="58393" w:name="P58393"/>
          <w:bookmarkEnd w:id="58393"/>
          <w:p>
            <w:pPr>
              <w:pStyle w:val="0"/>
            </w:pPr>
            <w:r>
              <w:rPr>
                <w:sz w:val="24"/>
              </w:rPr>
              <w:t xml:space="preserve">1.4.2.1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наземного транспорта (кроме средств железнодорожного транспорта)</w:t>
            </w:r>
          </w:p>
        </w:tc>
        <w:tc>
          <w:tcPr>
            <w:tcW w:w="3402" w:type="dxa"/>
          </w:tcPr>
          <w:p>
            <w:pPr>
              <w:pStyle w:val="0"/>
            </w:pPr>
            <w:r>
              <w:rPr>
                <w:sz w:val="24"/>
              </w:rPr>
              <w:t xml:space="preserve">mem-int:DobrStrGrOtvVladSrNazTrKrZhdMember</w:t>
            </w:r>
          </w:p>
        </w:tc>
      </w:tr>
      <w:tr>
        <w:tc>
          <w:tcPr>
            <w:tcW w:w="964" w:type="dxa"/>
          </w:tcPr>
          <w:bookmarkStart w:id="58397" w:name="P58397"/>
          <w:bookmarkEnd w:id="58397"/>
          <w:p>
            <w:pPr>
              <w:pStyle w:val="0"/>
            </w:pPr>
            <w:r>
              <w:rPr>
                <w:sz w:val="24"/>
              </w:rPr>
              <w:t xml:space="preserve">1.4.2.1.1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автотранспортных средств (кроме страхования, осуществляемого в рамках международных систем страхования)</w:t>
            </w:r>
          </w:p>
        </w:tc>
        <w:tc>
          <w:tcPr>
            <w:tcW w:w="3402" w:type="dxa"/>
          </w:tcPr>
          <w:p>
            <w:pPr>
              <w:pStyle w:val="0"/>
            </w:pPr>
            <w:r>
              <w:rPr>
                <w:sz w:val="24"/>
              </w:rPr>
              <w:t xml:space="preserve">mem-int:DobrStrGrOtvVladSrNazTrKrZhd_StraxGoAvtoKromeZkMember</w:t>
            </w:r>
          </w:p>
        </w:tc>
      </w:tr>
      <w:tr>
        <w:tc>
          <w:tcPr>
            <w:tcW w:w="964" w:type="dxa"/>
          </w:tcPr>
          <w:bookmarkStart w:id="58401" w:name="P58401"/>
          <w:bookmarkEnd w:id="58401"/>
          <w:p>
            <w:pPr>
              <w:pStyle w:val="0"/>
            </w:pPr>
            <w:r>
              <w:rPr>
                <w:sz w:val="24"/>
              </w:rPr>
              <w:t xml:space="preserve">1.4.2.1.2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автотранспортных средств (страхование, осуществляемое в рамках международных систем страхования)</w:t>
            </w:r>
          </w:p>
        </w:tc>
        <w:tc>
          <w:tcPr>
            <w:tcW w:w="3402" w:type="dxa"/>
          </w:tcPr>
          <w:p>
            <w:pPr>
              <w:pStyle w:val="0"/>
            </w:pPr>
            <w:r>
              <w:rPr>
                <w:sz w:val="24"/>
              </w:rPr>
              <w:t xml:space="preserve">mem-int:DobrStrGrOtvVladSrNazTrKrZhd_StraxGoAvtoZkMember</w:t>
            </w:r>
          </w:p>
        </w:tc>
      </w:tr>
      <w:tr>
        <w:tc>
          <w:tcPr>
            <w:tcW w:w="964" w:type="dxa"/>
          </w:tcPr>
          <w:bookmarkStart w:id="58405" w:name="P58405"/>
          <w:bookmarkEnd w:id="58405"/>
          <w:p>
            <w:pPr>
              <w:pStyle w:val="0"/>
            </w:pPr>
            <w:r>
              <w:rPr>
                <w:sz w:val="24"/>
              </w:rPr>
              <w:t xml:space="preserve">1.4.2.2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железнодорожного транспорта</w:t>
            </w:r>
          </w:p>
        </w:tc>
        <w:tc>
          <w:tcPr>
            <w:tcW w:w="3402" w:type="dxa"/>
          </w:tcPr>
          <w:p>
            <w:pPr>
              <w:pStyle w:val="0"/>
            </w:pPr>
            <w:r>
              <w:rPr>
                <w:sz w:val="24"/>
              </w:rPr>
              <w:t xml:space="preserve">mem-int:DobrStrGrOtvVladSrZhdTrMember</w:t>
            </w:r>
          </w:p>
        </w:tc>
      </w:tr>
      <w:tr>
        <w:tc>
          <w:tcPr>
            <w:tcW w:w="964" w:type="dxa"/>
          </w:tcPr>
          <w:p>
            <w:pPr>
              <w:pStyle w:val="0"/>
            </w:pPr>
            <w:r>
              <w:rPr>
                <w:sz w:val="24"/>
              </w:rPr>
              <w:t xml:space="preserve">1.4.2.3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воздушного транспорта</w:t>
            </w:r>
          </w:p>
        </w:tc>
        <w:tc>
          <w:tcPr>
            <w:tcW w:w="3402" w:type="dxa"/>
          </w:tcPr>
          <w:p>
            <w:pPr>
              <w:pStyle w:val="0"/>
            </w:pPr>
            <w:r>
              <w:rPr>
                <w:sz w:val="24"/>
              </w:rPr>
              <w:t xml:space="preserve">mem-int:DobrStrGrOtvVladSrVozdTrMember</w:t>
            </w:r>
          </w:p>
        </w:tc>
      </w:tr>
      <w:tr>
        <w:tc>
          <w:tcPr>
            <w:tcW w:w="964" w:type="dxa"/>
          </w:tcPr>
          <w:p>
            <w:pPr>
              <w:pStyle w:val="0"/>
            </w:pPr>
            <w:r>
              <w:rPr>
                <w:sz w:val="24"/>
              </w:rPr>
              <w:t xml:space="preserve">1.4.2.4</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водного транспорта</w:t>
            </w:r>
          </w:p>
        </w:tc>
        <w:tc>
          <w:tcPr>
            <w:tcW w:w="3402" w:type="dxa"/>
          </w:tcPr>
          <w:p>
            <w:pPr>
              <w:pStyle w:val="0"/>
            </w:pPr>
            <w:r>
              <w:rPr>
                <w:sz w:val="24"/>
              </w:rPr>
              <w:t xml:space="preserve">mem-int:DobrStrGrOtvVladSrVodTrMember</w:t>
            </w:r>
          </w:p>
        </w:tc>
      </w:tr>
      <w:tr>
        <w:tc>
          <w:tcPr>
            <w:tcW w:w="964" w:type="dxa"/>
          </w:tcPr>
          <w:p>
            <w:pPr>
              <w:pStyle w:val="0"/>
            </w:pPr>
            <w:r>
              <w:rPr>
                <w:sz w:val="24"/>
              </w:rPr>
              <w:t xml:space="preserve">1.4.2.5</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эксплуатирующих опасные объекты</w:t>
            </w:r>
          </w:p>
        </w:tc>
        <w:tc>
          <w:tcPr>
            <w:tcW w:w="3402" w:type="dxa"/>
          </w:tcPr>
          <w:p>
            <w:pPr>
              <w:pStyle w:val="0"/>
            </w:pPr>
            <w:r>
              <w:rPr>
                <w:sz w:val="24"/>
              </w:rPr>
              <w:t xml:space="preserve">mem-int:DobrStrGrOtvOrgEkspOpObMember</w:t>
            </w:r>
          </w:p>
        </w:tc>
      </w:tr>
      <w:tr>
        <w:tc>
          <w:tcPr>
            <w:tcW w:w="964" w:type="dxa"/>
          </w:tcPr>
          <w:p>
            <w:pPr>
              <w:pStyle w:val="0"/>
            </w:pPr>
            <w:r>
              <w:rPr>
                <w:sz w:val="24"/>
              </w:rPr>
              <w:t xml:space="preserve">1.4.2.6</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вследствие недостатков товаров, работ, услуг</w:t>
            </w:r>
          </w:p>
        </w:tc>
        <w:tc>
          <w:tcPr>
            <w:tcW w:w="3402" w:type="dxa"/>
          </w:tcPr>
          <w:p>
            <w:pPr>
              <w:pStyle w:val="0"/>
            </w:pPr>
            <w:r>
              <w:rPr>
                <w:sz w:val="24"/>
              </w:rPr>
              <w:t xml:space="preserve">mem-int:DobrStrGrOtvPrichVredNedTovUslRabMember</w:t>
            </w:r>
          </w:p>
        </w:tc>
      </w:tr>
      <w:tr>
        <w:tc>
          <w:tcPr>
            <w:tcW w:w="964" w:type="dxa"/>
          </w:tcPr>
          <w:p>
            <w:pPr>
              <w:pStyle w:val="0"/>
            </w:pPr>
            <w:r>
              <w:rPr>
                <w:sz w:val="24"/>
              </w:rPr>
              <w:t xml:space="preserve">1.4.2.7</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третьим лицам</w:t>
            </w:r>
          </w:p>
        </w:tc>
        <w:tc>
          <w:tcPr>
            <w:tcW w:w="3402" w:type="dxa"/>
          </w:tcPr>
          <w:p>
            <w:pPr>
              <w:pStyle w:val="0"/>
            </w:pPr>
            <w:r>
              <w:rPr>
                <w:sz w:val="24"/>
              </w:rPr>
              <w:t xml:space="preserve">mem-int:DobrStrGrOtvPrichVredTrLiczMember</w:t>
            </w:r>
          </w:p>
        </w:tc>
      </w:tr>
      <w:tr>
        <w:tc>
          <w:tcPr>
            <w:tcW w:w="964" w:type="dxa"/>
          </w:tcPr>
          <w:bookmarkStart w:id="58429" w:name="P58429"/>
          <w:bookmarkEnd w:id="58429"/>
          <w:p>
            <w:pPr>
              <w:pStyle w:val="0"/>
            </w:pPr>
            <w:r>
              <w:rPr>
                <w:sz w:val="24"/>
              </w:rPr>
              <w:t xml:space="preserve">1.4.2.8</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неисполнение или ненадлежащее исполнение обязательств по договору</w:t>
            </w:r>
          </w:p>
        </w:tc>
        <w:tc>
          <w:tcPr>
            <w:tcW w:w="3402" w:type="dxa"/>
          </w:tcPr>
          <w:p>
            <w:pPr>
              <w:pStyle w:val="0"/>
            </w:pPr>
            <w:r>
              <w:rPr>
                <w:sz w:val="24"/>
              </w:rPr>
              <w:t xml:space="preserve">mem-int:DobrStrGrOtvNeispObMember</w:t>
            </w:r>
          </w:p>
        </w:tc>
      </w:tr>
      <w:tr>
        <w:tc>
          <w:tcPr>
            <w:tcW w:w="964" w:type="dxa"/>
          </w:tcPr>
          <w:bookmarkStart w:id="58433" w:name="P58433"/>
          <w:bookmarkEnd w:id="58433"/>
          <w:p>
            <w:pPr>
              <w:pStyle w:val="0"/>
            </w:pPr>
            <w:r>
              <w:rPr>
                <w:sz w:val="24"/>
              </w:rPr>
              <w:t xml:space="preserve">1.4.3</w:t>
            </w:r>
          </w:p>
        </w:tc>
        <w:tc>
          <w:tcPr>
            <w:tcW w:w="2891" w:type="dxa"/>
          </w:tcPr>
          <w:p>
            <w:pPr>
              <w:pStyle w:val="0"/>
            </w:pPr>
            <w:r>
              <w:rPr>
                <w:sz w:val="24"/>
              </w:rPr>
            </w:r>
          </w:p>
        </w:tc>
        <w:tc>
          <w:tcPr>
            <w:tcW w:w="1814" w:type="dxa"/>
          </w:tcPr>
          <w:p>
            <w:pPr>
              <w:pStyle w:val="0"/>
            </w:pPr>
            <w:r>
              <w:rPr>
                <w:sz w:val="24"/>
              </w:rPr>
              <w:t xml:space="preserve">Добровольное страхование предпринимательских рисков</w:t>
            </w:r>
          </w:p>
        </w:tc>
        <w:tc>
          <w:tcPr>
            <w:tcW w:w="3402" w:type="dxa"/>
          </w:tcPr>
          <w:p>
            <w:pPr>
              <w:pStyle w:val="0"/>
            </w:pPr>
            <w:r>
              <w:rPr>
                <w:sz w:val="24"/>
              </w:rPr>
              <w:t xml:space="preserve">mem-int:DobrStrPredRiskMember</w:t>
            </w:r>
          </w:p>
        </w:tc>
      </w:tr>
      <w:tr>
        <w:tc>
          <w:tcPr>
            <w:tcW w:w="964" w:type="dxa"/>
          </w:tcPr>
          <w:bookmarkStart w:id="58437" w:name="P58437"/>
          <w:bookmarkEnd w:id="58437"/>
          <w:p>
            <w:pPr>
              <w:pStyle w:val="0"/>
            </w:pPr>
            <w:r>
              <w:rPr>
                <w:sz w:val="24"/>
              </w:rPr>
              <w:t xml:space="preserve">1.4.4</w:t>
            </w:r>
          </w:p>
        </w:tc>
        <w:tc>
          <w:tcPr>
            <w:tcW w:w="2891" w:type="dxa"/>
          </w:tcPr>
          <w:p>
            <w:pPr>
              <w:pStyle w:val="0"/>
            </w:pPr>
            <w:r>
              <w:rPr>
                <w:sz w:val="24"/>
              </w:rPr>
            </w:r>
          </w:p>
        </w:tc>
        <w:tc>
          <w:tcPr>
            <w:tcW w:w="1814" w:type="dxa"/>
          </w:tcPr>
          <w:p>
            <w:pPr>
              <w:pStyle w:val="0"/>
            </w:pPr>
            <w:r>
              <w:rPr>
                <w:sz w:val="24"/>
              </w:rPr>
              <w:t xml:space="preserve">Добровольное страхование финансовых рисков</w:t>
            </w:r>
          </w:p>
        </w:tc>
        <w:tc>
          <w:tcPr>
            <w:tcW w:w="3402" w:type="dxa"/>
          </w:tcPr>
          <w:p>
            <w:pPr>
              <w:pStyle w:val="0"/>
            </w:pPr>
            <w:r>
              <w:rPr>
                <w:sz w:val="24"/>
              </w:rPr>
              <w:t xml:space="preserve">mem-int:DobrStrFinRiskMember</w:t>
            </w:r>
          </w:p>
        </w:tc>
      </w:tr>
      <w:tr>
        <w:tc>
          <w:tcPr>
            <w:tcW w:w="964" w:type="dxa"/>
          </w:tcPr>
          <w:p>
            <w:pPr>
              <w:pStyle w:val="0"/>
            </w:pPr>
            <w:r>
              <w:rPr>
                <w:sz w:val="24"/>
              </w:rPr>
              <w:t xml:space="preserve">1.5</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военнослужащих и приравненных к ним в обязательном государственном страховании лиц</w:t>
            </w:r>
          </w:p>
        </w:tc>
        <w:tc>
          <w:tcPr>
            <w:tcW w:w="3402" w:type="dxa"/>
          </w:tcPr>
          <w:p>
            <w:pPr>
              <w:pStyle w:val="0"/>
            </w:pPr>
            <w:r>
              <w:rPr>
                <w:sz w:val="24"/>
              </w:rPr>
              <w:t xml:space="preserve">mem-int:ObzGosStrZhZdorVoenSborVDPozhUgIspNaczGvMember</w:t>
            </w:r>
          </w:p>
        </w:tc>
      </w:tr>
      <w:tr>
        <w:tc>
          <w:tcPr>
            <w:tcW w:w="964" w:type="dxa"/>
          </w:tcPr>
          <w:p>
            <w:pPr>
              <w:pStyle w:val="0"/>
            </w:pPr>
            <w:r>
              <w:rPr>
                <w:sz w:val="24"/>
              </w:rPr>
              <w:t xml:space="preserve">1.6</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опасного объекта за причинение вреда в результате аварии на опасном объекте</w:t>
            </w:r>
          </w:p>
        </w:tc>
        <w:tc>
          <w:tcPr>
            <w:tcW w:w="3402" w:type="dxa"/>
          </w:tcPr>
          <w:p>
            <w:pPr>
              <w:pStyle w:val="0"/>
            </w:pPr>
            <w:r>
              <w:rPr>
                <w:sz w:val="24"/>
              </w:rPr>
              <w:t xml:space="preserve">mem-int:ObzStrGrOtvVladOpasObPrichVrAvarMember</w:t>
            </w:r>
          </w:p>
        </w:tc>
      </w:tr>
      <w:tr>
        <w:tc>
          <w:tcPr>
            <w:tcW w:w="964" w:type="dxa"/>
          </w:tcPr>
          <w:p>
            <w:pPr>
              <w:pStyle w:val="0"/>
            </w:pPr>
            <w:r>
              <w:rPr>
                <w:sz w:val="24"/>
              </w:rPr>
              <w:t xml:space="preserve">1.7</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w:t>
            </w:r>
          </w:p>
        </w:tc>
        <w:tc>
          <w:tcPr>
            <w:tcW w:w="3402" w:type="dxa"/>
          </w:tcPr>
          <w:p>
            <w:pPr>
              <w:pStyle w:val="0"/>
            </w:pPr>
            <w:r>
              <w:rPr>
                <w:sz w:val="24"/>
              </w:rPr>
              <w:t xml:space="preserve">mem-int:ObzStrGrOtvPerevPrichVreZhZdorImPassMember</w:t>
            </w:r>
          </w:p>
        </w:tc>
      </w:tr>
      <w:tr>
        <w:tc>
          <w:tcPr>
            <w:tcW w:w="964" w:type="dxa"/>
          </w:tcPr>
          <w:p>
            <w:pPr>
              <w:pStyle w:val="0"/>
            </w:pPr>
            <w:r>
              <w:rPr>
                <w:sz w:val="24"/>
              </w:rPr>
              <w:t xml:space="preserve">2</w:t>
            </w:r>
          </w:p>
        </w:tc>
        <w:tc>
          <w:tcPr>
            <w:tcW w:w="2891" w:type="dxa"/>
          </w:tcPr>
          <w:p>
            <w:pPr>
              <w:pStyle w:val="0"/>
            </w:pPr>
            <w:r>
              <w:rPr>
                <w:sz w:val="24"/>
              </w:rPr>
              <w:t xml:space="preserve">Государственная поддержка</w:t>
            </w:r>
          </w:p>
        </w:tc>
        <w:tc>
          <w:tcPr>
            <w:tcW w:w="1814" w:type="dxa"/>
          </w:tcPr>
          <w:p>
            <w:pPr>
              <w:pStyle w:val="0"/>
            </w:pPr>
            <w:r>
              <w:rPr>
                <w:sz w:val="24"/>
              </w:rPr>
            </w:r>
          </w:p>
        </w:tc>
        <w:tc>
          <w:tcPr>
            <w:tcW w:w="3402" w:type="dxa"/>
          </w:tcPr>
          <w:p>
            <w:pPr>
              <w:pStyle w:val="0"/>
            </w:pPr>
            <w:r>
              <w:rPr>
                <w:sz w:val="24"/>
              </w:rPr>
              <w:t xml:space="preserve">dim-int:Gospodderzhka_Axis</w:t>
            </w:r>
          </w:p>
        </w:tc>
      </w:tr>
      <w:tr>
        <w:tc>
          <w:tcPr>
            <w:tcW w:w="964" w:type="dxa"/>
          </w:tcPr>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осуществляемое с государственной поддержкой</w:t>
            </w:r>
          </w:p>
        </w:tc>
        <w:tc>
          <w:tcPr>
            <w:tcW w:w="3402" w:type="dxa"/>
          </w:tcPr>
          <w:p>
            <w:pPr>
              <w:pStyle w:val="0"/>
            </w:pPr>
            <w:r>
              <w:rPr>
                <w:sz w:val="24"/>
              </w:rPr>
              <w:t xml:space="preserve">mem-int:Strax_Sx_Gos_Pod_Member</w:t>
            </w:r>
          </w:p>
        </w:tc>
      </w:tr>
      <w:tr>
        <w:tc>
          <w:tcPr>
            <w:tcW w:w="964" w:type="dxa"/>
          </w:tcPr>
          <w:p>
            <w:pPr>
              <w:pStyle w:val="0"/>
            </w:pPr>
            <w:r>
              <w:rPr>
                <w:sz w:val="24"/>
              </w:rPr>
              <w:t xml:space="preserve">3</w:t>
            </w:r>
          </w:p>
        </w:tc>
        <w:tc>
          <w:tcPr>
            <w:tcW w:w="2891" w:type="dxa"/>
          </w:tcPr>
          <w:p>
            <w:pPr>
              <w:pStyle w:val="0"/>
            </w:pPr>
            <w:r>
              <w:rPr>
                <w:sz w:val="24"/>
              </w:rPr>
              <w:t xml:space="preserve">Тип страхователя</w:t>
            </w:r>
          </w:p>
        </w:tc>
        <w:tc>
          <w:tcPr>
            <w:tcW w:w="1814" w:type="dxa"/>
          </w:tcPr>
          <w:p>
            <w:pPr>
              <w:pStyle w:val="0"/>
            </w:pPr>
            <w:r>
              <w:rPr>
                <w:sz w:val="24"/>
              </w:rPr>
            </w:r>
          </w:p>
        </w:tc>
        <w:tc>
          <w:tcPr>
            <w:tcW w:w="3402" w:type="dxa"/>
          </w:tcPr>
          <w:p>
            <w:pPr>
              <w:pStyle w:val="0"/>
            </w:pPr>
            <w:r>
              <w:rPr>
                <w:sz w:val="24"/>
              </w:rPr>
              <w:t xml:space="preserve">dim-int:Tip_Sl_Axis</w:t>
            </w:r>
          </w:p>
        </w:tc>
      </w:tr>
      <w:tr>
        <w:tc>
          <w:tcPr>
            <w:tcW w:w="964" w:type="dxa"/>
          </w:tcPr>
          <w:p>
            <w:pPr>
              <w:pStyle w:val="0"/>
            </w:pPr>
            <w:r>
              <w:rPr>
                <w:sz w:val="24"/>
              </w:rPr>
              <w:t xml:space="preserve">3.1</w:t>
            </w:r>
          </w:p>
        </w:tc>
        <w:tc>
          <w:tcPr>
            <w:tcW w:w="2891" w:type="dxa"/>
          </w:tcPr>
          <w:p>
            <w:pPr>
              <w:pStyle w:val="0"/>
            </w:pPr>
            <w:r>
              <w:rPr>
                <w:sz w:val="24"/>
              </w:rPr>
            </w:r>
          </w:p>
        </w:tc>
        <w:tc>
          <w:tcPr>
            <w:tcW w:w="1814" w:type="dxa"/>
          </w:tcPr>
          <w:p>
            <w:pPr>
              <w:pStyle w:val="0"/>
            </w:pPr>
            <w:r>
              <w:rPr>
                <w:sz w:val="24"/>
              </w:rPr>
              <w:t xml:space="preserve">ФЛ - физическое лицо</w:t>
            </w:r>
          </w:p>
        </w:tc>
        <w:tc>
          <w:tcPr>
            <w:tcW w:w="3402" w:type="dxa"/>
          </w:tcPr>
          <w:p>
            <w:pPr>
              <w:pStyle w:val="0"/>
            </w:pPr>
            <w:r>
              <w:rPr>
                <w:sz w:val="24"/>
              </w:rPr>
              <w:t xml:space="preserve">mem-int:FlMember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984"/>
        <w:gridCol w:w="7087"/>
      </w:tblGrid>
      <w:tr>
        <w:tc>
          <w:tcPr>
            <w:tcW w:w="1984" w:type="dxa"/>
            <w:tcBorders>
              <w:top w:val="nil"/>
              <w:left w:val="nil"/>
              <w:bottom w:val="nil"/>
              <w:right w:val="nil"/>
            </w:tcBorders>
          </w:tcPr>
          <w:p>
            <w:pPr>
              <w:pStyle w:val="0"/>
              <w:outlineLvl w:val="3"/>
            </w:pPr>
            <w:r>
              <w:rPr>
                <w:sz w:val="24"/>
              </w:rPr>
              <w:t xml:space="preserve">Подраздел 1.3.</w:t>
            </w:r>
          </w:p>
        </w:tc>
        <w:tc>
          <w:tcPr>
            <w:tcW w:w="7087" w:type="dxa"/>
            <w:tcBorders>
              <w:top w:val="nil"/>
              <w:left w:val="nil"/>
              <w:bottom w:val="nil"/>
              <w:right w:val="nil"/>
            </w:tcBorders>
          </w:tcPr>
          <w:p>
            <w:pPr>
              <w:pStyle w:val="0"/>
              <w:jc w:val="both"/>
            </w:pPr>
            <w:hyperlink w:history="0" w:anchor="P55845" w:tooltip="Раздел 3.">
              <w:r>
                <w:rPr>
                  <w:sz w:val="24"/>
                  <w:color w:val="0000ff"/>
                </w:rPr>
                <w:t xml:space="preserve">Раздел 3</w:t>
              </w:r>
            </w:hyperlink>
            <w:r>
              <w:rPr>
                <w:sz w:val="24"/>
              </w:rPr>
              <w:t xml:space="preserve"> "Добровольное сельскохозяйственное страхование, осуществляемое с государственной поддержкой"</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Виды страхования</w:t>
            </w:r>
          </w:p>
        </w:tc>
        <w:tc>
          <w:tcPr>
            <w:tcW w:w="1814" w:type="dxa"/>
          </w:tcPr>
          <w:p>
            <w:pPr>
              <w:pStyle w:val="0"/>
            </w:pPr>
            <w:r>
              <w:rPr>
                <w:sz w:val="24"/>
              </w:rPr>
            </w:r>
          </w:p>
        </w:tc>
        <w:tc>
          <w:tcPr>
            <w:tcW w:w="3402" w:type="dxa"/>
          </w:tcPr>
          <w:p>
            <w:pPr>
              <w:pStyle w:val="0"/>
            </w:pPr>
            <w:r>
              <w:rPr>
                <w:sz w:val="24"/>
              </w:rPr>
              <w:t xml:space="preserve">dim-int:Vidy_straxovaniyaAxis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урожая сельскохозяйственных культур</w:t>
            </w:r>
          </w:p>
        </w:tc>
        <w:tc>
          <w:tcPr>
            <w:tcW w:w="3402" w:type="dxa"/>
          </w:tcPr>
          <w:p>
            <w:pPr>
              <w:pStyle w:val="0"/>
            </w:pPr>
            <w:r>
              <w:rPr>
                <w:sz w:val="24"/>
              </w:rPr>
              <w:t xml:space="preserve">mem-int:DobrSxStr_UrozhajSxKulturMember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посадок многолетних насаждений</w:t>
            </w:r>
          </w:p>
        </w:tc>
        <w:tc>
          <w:tcPr>
            <w:tcW w:w="3402" w:type="dxa"/>
          </w:tcPr>
          <w:p>
            <w:pPr>
              <w:pStyle w:val="0"/>
            </w:pPr>
            <w:r>
              <w:rPr>
                <w:sz w:val="24"/>
              </w:rPr>
              <w:t xml:space="preserve">mem-int:DobrSxStr_PosadMnogoletNasazhdMember</w:t>
            </w:r>
          </w:p>
        </w:tc>
      </w:tr>
      <w:tr>
        <w:tc>
          <w:tcPr>
            <w:tcW w:w="964" w:type="dxa"/>
          </w:tcPr>
          <w:p>
            <w:pPr>
              <w:pStyle w:val="0"/>
            </w:pPr>
            <w:r>
              <w:rPr>
                <w:sz w:val="24"/>
              </w:rPr>
              <w:t xml:space="preserve">1.3</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сельскохозяйственных животных</w:t>
            </w:r>
          </w:p>
        </w:tc>
        <w:tc>
          <w:tcPr>
            <w:tcW w:w="3402" w:type="dxa"/>
          </w:tcPr>
          <w:p>
            <w:pPr>
              <w:pStyle w:val="0"/>
            </w:pPr>
            <w:r>
              <w:rPr>
                <w:sz w:val="24"/>
              </w:rPr>
              <w:t xml:space="preserve">mem-int:DobrSxStr_SxZhivotnyxMember</w:t>
            </w:r>
          </w:p>
        </w:tc>
      </w:tr>
      <w:tr>
        <w:tc>
          <w:tcPr>
            <w:tcW w:w="964" w:type="dxa"/>
          </w:tcPr>
          <w:p>
            <w:pPr>
              <w:pStyle w:val="0"/>
            </w:pPr>
            <w:r>
              <w:rPr>
                <w:sz w:val="24"/>
              </w:rPr>
              <w:t xml:space="preserve">1.4</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объектов товарной аквакультуры (товарного рыбоводства)</w:t>
            </w:r>
          </w:p>
        </w:tc>
        <w:tc>
          <w:tcPr>
            <w:tcW w:w="3402" w:type="dxa"/>
          </w:tcPr>
          <w:p>
            <w:pPr>
              <w:pStyle w:val="0"/>
            </w:pPr>
            <w:r>
              <w:rPr>
                <w:sz w:val="24"/>
              </w:rPr>
              <w:t xml:space="preserve">mem-int:DobrSxStr_ObTovAkvKultMember</w:t>
            </w:r>
          </w:p>
        </w:tc>
      </w:tr>
      <w:tr>
        <w:tc>
          <w:tcPr>
            <w:tcW w:w="964" w:type="dxa"/>
          </w:tcPr>
          <w:p>
            <w:pPr>
              <w:pStyle w:val="0"/>
            </w:pPr>
            <w:r>
              <w:rPr>
                <w:sz w:val="24"/>
              </w:rPr>
              <w:t xml:space="preserve">2</w:t>
            </w:r>
          </w:p>
        </w:tc>
        <w:tc>
          <w:tcPr>
            <w:tcW w:w="2891" w:type="dxa"/>
          </w:tcPr>
          <w:p>
            <w:pPr>
              <w:pStyle w:val="0"/>
            </w:pPr>
            <w:r>
              <w:rPr>
                <w:sz w:val="24"/>
              </w:rPr>
              <w:t xml:space="preserve">Государственная поддержка</w:t>
            </w:r>
          </w:p>
        </w:tc>
        <w:tc>
          <w:tcPr>
            <w:tcW w:w="1814" w:type="dxa"/>
          </w:tcPr>
          <w:p>
            <w:pPr>
              <w:pStyle w:val="0"/>
            </w:pPr>
            <w:r>
              <w:rPr>
                <w:sz w:val="24"/>
              </w:rPr>
            </w:r>
          </w:p>
        </w:tc>
        <w:tc>
          <w:tcPr>
            <w:tcW w:w="3402" w:type="dxa"/>
          </w:tcPr>
          <w:p>
            <w:pPr>
              <w:pStyle w:val="0"/>
            </w:pPr>
            <w:r>
              <w:rPr>
                <w:sz w:val="24"/>
              </w:rPr>
              <w:t xml:space="preserve">dim-int:Gospodderzhka_Axis</w:t>
            </w:r>
          </w:p>
        </w:tc>
      </w:tr>
      <w:tr>
        <w:tc>
          <w:tcPr>
            <w:tcW w:w="964" w:type="dxa"/>
          </w:tcPr>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осуществляемое с государственной поддержкой</w:t>
            </w:r>
          </w:p>
        </w:tc>
        <w:tc>
          <w:tcPr>
            <w:tcW w:w="3402" w:type="dxa"/>
          </w:tcPr>
          <w:p>
            <w:pPr>
              <w:pStyle w:val="0"/>
            </w:pPr>
            <w:r>
              <w:rPr>
                <w:sz w:val="24"/>
              </w:rPr>
              <w:t xml:space="preserve">mem-int:Strax_Sx_Gos_Pod_Member</w:t>
            </w:r>
          </w:p>
        </w:tc>
      </w:tr>
      <w:tr>
        <w:tc>
          <w:tcPr>
            <w:tcW w:w="964" w:type="dxa"/>
          </w:tcPr>
          <w:p>
            <w:pPr>
              <w:pStyle w:val="0"/>
            </w:pPr>
            <w:r>
              <w:rPr>
                <w:sz w:val="24"/>
              </w:rPr>
              <w:t xml:space="preserve">3</w:t>
            </w:r>
          </w:p>
        </w:tc>
        <w:tc>
          <w:tcPr>
            <w:tcW w:w="2891" w:type="dxa"/>
          </w:tcPr>
          <w:p>
            <w:pPr>
              <w:pStyle w:val="0"/>
            </w:pPr>
            <w:r>
              <w:rPr>
                <w:sz w:val="24"/>
              </w:rPr>
              <w:t xml:space="preserve">Тип страхователя</w:t>
            </w:r>
          </w:p>
        </w:tc>
        <w:tc>
          <w:tcPr>
            <w:tcW w:w="1814" w:type="dxa"/>
          </w:tcPr>
          <w:p>
            <w:pPr>
              <w:pStyle w:val="0"/>
            </w:pPr>
            <w:r>
              <w:rPr>
                <w:sz w:val="24"/>
              </w:rPr>
            </w:r>
          </w:p>
        </w:tc>
        <w:tc>
          <w:tcPr>
            <w:tcW w:w="3402" w:type="dxa"/>
          </w:tcPr>
          <w:p>
            <w:pPr>
              <w:pStyle w:val="0"/>
            </w:pPr>
            <w:r>
              <w:rPr>
                <w:sz w:val="24"/>
              </w:rPr>
              <w:t xml:space="preserve">dim-int:Tip_Sl_Axis</w:t>
            </w:r>
          </w:p>
        </w:tc>
      </w:tr>
      <w:tr>
        <w:tc>
          <w:tcPr>
            <w:tcW w:w="964" w:type="dxa"/>
          </w:tcPr>
          <w:p>
            <w:pPr>
              <w:pStyle w:val="0"/>
            </w:pPr>
            <w:r>
              <w:rPr>
                <w:sz w:val="24"/>
              </w:rPr>
              <w:t xml:space="preserve">3.1</w:t>
            </w:r>
          </w:p>
        </w:tc>
        <w:tc>
          <w:tcPr>
            <w:tcW w:w="2891" w:type="dxa"/>
          </w:tcPr>
          <w:p>
            <w:pPr>
              <w:pStyle w:val="0"/>
            </w:pPr>
            <w:r>
              <w:rPr>
                <w:sz w:val="24"/>
              </w:rPr>
            </w:r>
          </w:p>
        </w:tc>
        <w:tc>
          <w:tcPr>
            <w:tcW w:w="1814" w:type="dxa"/>
          </w:tcPr>
          <w:p>
            <w:pPr>
              <w:pStyle w:val="0"/>
            </w:pPr>
            <w:r>
              <w:rPr>
                <w:sz w:val="24"/>
              </w:rPr>
              <w:t xml:space="preserve">ФЛ - физическое лицо</w:t>
            </w:r>
          </w:p>
        </w:tc>
        <w:tc>
          <w:tcPr>
            <w:tcW w:w="3402" w:type="dxa"/>
          </w:tcPr>
          <w:p>
            <w:pPr>
              <w:pStyle w:val="0"/>
            </w:pPr>
            <w:r>
              <w:rPr>
                <w:sz w:val="24"/>
              </w:rPr>
              <w:t xml:space="preserve">mem-int:FlMember</w:t>
            </w:r>
          </w:p>
        </w:tc>
      </w:tr>
      <w:tr>
        <w:tc>
          <w:tcPr>
            <w:tcW w:w="964" w:type="dxa"/>
          </w:tcPr>
          <w:p>
            <w:pPr>
              <w:pStyle w:val="0"/>
            </w:pPr>
            <w:r>
              <w:rPr>
                <w:sz w:val="24"/>
              </w:rPr>
              <w:t xml:space="preserve">3.2</w:t>
            </w:r>
          </w:p>
        </w:tc>
        <w:tc>
          <w:tcPr>
            <w:tcW w:w="2891" w:type="dxa"/>
          </w:tcPr>
          <w:p>
            <w:pPr>
              <w:pStyle w:val="0"/>
            </w:pPr>
            <w:r>
              <w:rPr>
                <w:sz w:val="24"/>
              </w:rPr>
            </w:r>
          </w:p>
        </w:tc>
        <w:tc>
          <w:tcPr>
            <w:tcW w:w="1814" w:type="dxa"/>
          </w:tcPr>
          <w:p>
            <w:pPr>
              <w:pStyle w:val="0"/>
            </w:pPr>
            <w:r>
              <w:rPr>
                <w:sz w:val="24"/>
              </w:rPr>
              <w:t xml:space="preserve">ИП - индивидуальный предприниматель</w:t>
            </w:r>
          </w:p>
        </w:tc>
        <w:tc>
          <w:tcPr>
            <w:tcW w:w="3402" w:type="dxa"/>
          </w:tcPr>
          <w:p>
            <w:pPr>
              <w:pStyle w:val="0"/>
            </w:pPr>
            <w:r>
              <w:rPr>
                <w:sz w:val="24"/>
              </w:rPr>
              <w:t xml:space="preserve">mem-int:Ip_Member</w:t>
            </w:r>
          </w:p>
        </w:tc>
      </w:tr>
      <w:tr>
        <w:tc>
          <w:tcPr>
            <w:tcW w:w="964" w:type="dxa"/>
          </w:tcPr>
          <w:p>
            <w:pPr>
              <w:pStyle w:val="0"/>
            </w:pPr>
            <w:r>
              <w:rPr>
                <w:sz w:val="24"/>
              </w:rPr>
              <w:t xml:space="preserve">3.3</w:t>
            </w:r>
          </w:p>
        </w:tc>
        <w:tc>
          <w:tcPr>
            <w:tcW w:w="2891" w:type="dxa"/>
          </w:tcPr>
          <w:p>
            <w:pPr>
              <w:pStyle w:val="0"/>
            </w:pPr>
            <w:r>
              <w:rPr>
                <w:sz w:val="24"/>
              </w:rPr>
            </w:r>
          </w:p>
        </w:tc>
        <w:tc>
          <w:tcPr>
            <w:tcW w:w="1814" w:type="dxa"/>
          </w:tcPr>
          <w:p>
            <w:pPr>
              <w:pStyle w:val="0"/>
            </w:pPr>
            <w:r>
              <w:rPr>
                <w:sz w:val="24"/>
              </w:rPr>
              <w:t xml:space="preserve">ЮЛ - юридическое лицо</w:t>
            </w:r>
          </w:p>
        </w:tc>
        <w:tc>
          <w:tcPr>
            <w:tcW w:w="3402" w:type="dxa"/>
          </w:tcPr>
          <w:p>
            <w:pPr>
              <w:pStyle w:val="0"/>
            </w:pPr>
            <w:r>
              <w:rPr>
                <w:sz w:val="24"/>
              </w:rPr>
              <w:t xml:space="preserve">mem-int:YulMember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984"/>
        <w:gridCol w:w="7087"/>
      </w:tblGrid>
      <w:tr>
        <w:tc>
          <w:tcPr>
            <w:tcW w:w="1984" w:type="dxa"/>
            <w:tcBorders>
              <w:top w:val="nil"/>
              <w:left w:val="nil"/>
              <w:bottom w:val="nil"/>
              <w:right w:val="nil"/>
            </w:tcBorders>
          </w:tcPr>
          <w:p>
            <w:pPr>
              <w:pStyle w:val="0"/>
              <w:outlineLvl w:val="3"/>
            </w:pPr>
            <w:r>
              <w:rPr>
                <w:sz w:val="24"/>
              </w:rPr>
              <w:t xml:space="preserve">Подраздел 1.4.</w:t>
            </w:r>
          </w:p>
        </w:tc>
        <w:tc>
          <w:tcPr>
            <w:tcW w:w="7087" w:type="dxa"/>
            <w:tcBorders>
              <w:top w:val="nil"/>
              <w:left w:val="nil"/>
              <w:bottom w:val="nil"/>
              <w:right w:val="nil"/>
            </w:tcBorders>
          </w:tcPr>
          <w:p>
            <w:pPr>
              <w:pStyle w:val="0"/>
              <w:jc w:val="both"/>
            </w:pPr>
            <w:hyperlink w:history="0" w:anchor="P55887" w:tooltip="Раздел 4.">
              <w:r>
                <w:rPr>
                  <w:sz w:val="24"/>
                  <w:color w:val="0000ff"/>
                </w:rPr>
                <w:t xml:space="preserve">Раздел 4</w:t>
              </w:r>
            </w:hyperlink>
            <w:r>
              <w:rPr>
                <w:sz w:val="24"/>
              </w:rPr>
              <w:t xml:space="preserve"> "Добровольное страхование жилых помещений граждан в рамках программы"</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Виды страхования (справочно)</w:t>
            </w:r>
          </w:p>
        </w:tc>
        <w:tc>
          <w:tcPr>
            <w:tcW w:w="1814" w:type="dxa"/>
          </w:tcPr>
          <w:p>
            <w:pPr>
              <w:pStyle w:val="0"/>
            </w:pPr>
            <w:r>
              <w:rPr>
                <w:sz w:val="24"/>
              </w:rPr>
            </w:r>
          </w:p>
        </w:tc>
        <w:tc>
          <w:tcPr>
            <w:tcW w:w="3402" w:type="dxa"/>
          </w:tcPr>
          <w:p>
            <w:pPr>
              <w:pStyle w:val="0"/>
            </w:pPr>
            <w:r>
              <w:rPr>
                <w:sz w:val="24"/>
              </w:rPr>
              <w:t xml:space="preserve">dim-int:Vidy_straxovaniyaSpravochnoAxis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Добровольное страхование жилых помещений граждан в рамках программы</w:t>
            </w:r>
          </w:p>
        </w:tc>
        <w:tc>
          <w:tcPr>
            <w:tcW w:w="3402" w:type="dxa"/>
          </w:tcPr>
          <w:p>
            <w:pPr>
              <w:pStyle w:val="0"/>
            </w:pPr>
            <w:r>
              <w:rPr>
                <w:sz w:val="24"/>
              </w:rPr>
              <w:t xml:space="preserve">mem-int:DobrStrZhilPomVRamkProgrMember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984"/>
        <w:gridCol w:w="7087"/>
      </w:tblGrid>
      <w:tr>
        <w:tc>
          <w:tcPr>
            <w:tcW w:w="1984" w:type="dxa"/>
            <w:tcBorders>
              <w:top w:val="nil"/>
              <w:left w:val="nil"/>
              <w:bottom w:val="nil"/>
              <w:right w:val="nil"/>
            </w:tcBorders>
          </w:tcPr>
          <w:p>
            <w:pPr>
              <w:pStyle w:val="0"/>
              <w:outlineLvl w:val="3"/>
            </w:pPr>
            <w:r>
              <w:rPr>
                <w:sz w:val="24"/>
              </w:rPr>
              <w:t xml:space="preserve">Подраздел 1.5.</w:t>
            </w:r>
          </w:p>
        </w:tc>
        <w:tc>
          <w:tcPr>
            <w:tcW w:w="7087" w:type="dxa"/>
            <w:tcBorders>
              <w:top w:val="nil"/>
              <w:left w:val="nil"/>
              <w:bottom w:val="nil"/>
              <w:right w:val="nil"/>
            </w:tcBorders>
          </w:tcPr>
          <w:p>
            <w:pPr>
              <w:pStyle w:val="0"/>
              <w:jc w:val="both"/>
            </w:pPr>
            <w:hyperlink w:history="0" w:anchor="P55985" w:tooltip="Раздел 5.">
              <w:r>
                <w:rPr>
                  <w:sz w:val="24"/>
                  <w:color w:val="0000ff"/>
                </w:rPr>
                <w:t xml:space="preserve">Раздел 5</w:t>
              </w:r>
            </w:hyperlink>
            <w:r>
              <w:rPr>
                <w:sz w:val="24"/>
              </w:rPr>
              <w:t xml:space="preserve"> "Обязательное страхование гражданской ответственности владельцев транспортных средств"</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Виды страховых случаев</w:t>
            </w:r>
          </w:p>
        </w:tc>
        <w:tc>
          <w:tcPr>
            <w:tcW w:w="1814" w:type="dxa"/>
          </w:tcPr>
          <w:p>
            <w:pPr>
              <w:pStyle w:val="0"/>
            </w:pPr>
            <w:r>
              <w:rPr>
                <w:sz w:val="24"/>
              </w:rPr>
            </w:r>
          </w:p>
        </w:tc>
        <w:tc>
          <w:tcPr>
            <w:tcW w:w="3402" w:type="dxa"/>
          </w:tcPr>
          <w:p>
            <w:pPr>
              <w:pStyle w:val="0"/>
            </w:pPr>
            <w:r>
              <w:rPr>
                <w:sz w:val="24"/>
              </w:rPr>
              <w:t xml:space="preserve">dim-int:Vidy_Strax_Sluch 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Причинение вреда жизни третьих лиц</w:t>
            </w:r>
          </w:p>
        </w:tc>
        <w:tc>
          <w:tcPr>
            <w:tcW w:w="3402" w:type="dxa"/>
          </w:tcPr>
          <w:p>
            <w:pPr>
              <w:pStyle w:val="0"/>
            </w:pPr>
            <w:r>
              <w:rPr>
                <w:sz w:val="24"/>
              </w:rPr>
              <w:t xml:space="preserve">mem-int:Vred_Zhizni_Tretix_Licz_Member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r>
              <w:rPr>
                <w:sz w:val="24"/>
              </w:rPr>
              <w:t xml:space="preserve">Причинение вреда здоровью третьих лиц</w:t>
            </w:r>
          </w:p>
        </w:tc>
        <w:tc>
          <w:tcPr>
            <w:tcW w:w="3402" w:type="dxa"/>
          </w:tcPr>
          <w:p>
            <w:pPr>
              <w:pStyle w:val="0"/>
            </w:pPr>
            <w:r>
              <w:rPr>
                <w:sz w:val="24"/>
              </w:rPr>
              <w:t xml:space="preserve">mem-int:Vred_Zdor_Tretix_Licz_Member</w:t>
            </w:r>
          </w:p>
        </w:tc>
      </w:tr>
      <w:tr>
        <w:tc>
          <w:tcPr>
            <w:tcW w:w="964" w:type="dxa"/>
          </w:tcPr>
          <w:p>
            <w:pPr>
              <w:pStyle w:val="0"/>
            </w:pPr>
            <w:r>
              <w:rPr>
                <w:sz w:val="24"/>
              </w:rPr>
              <w:t xml:space="preserve">1.3</w:t>
            </w:r>
          </w:p>
        </w:tc>
        <w:tc>
          <w:tcPr>
            <w:tcW w:w="2891" w:type="dxa"/>
          </w:tcPr>
          <w:p>
            <w:pPr>
              <w:pStyle w:val="0"/>
            </w:pPr>
            <w:r>
              <w:rPr>
                <w:sz w:val="24"/>
              </w:rPr>
            </w:r>
          </w:p>
        </w:tc>
        <w:tc>
          <w:tcPr>
            <w:tcW w:w="1814" w:type="dxa"/>
          </w:tcPr>
          <w:p>
            <w:pPr>
              <w:pStyle w:val="0"/>
            </w:pPr>
            <w:r>
              <w:rPr>
                <w:sz w:val="24"/>
              </w:rPr>
              <w:t xml:space="preserve">Причинение вреда имуществу физических лиц</w:t>
            </w:r>
          </w:p>
        </w:tc>
        <w:tc>
          <w:tcPr>
            <w:tcW w:w="3402" w:type="dxa"/>
          </w:tcPr>
          <w:p>
            <w:pPr>
              <w:pStyle w:val="0"/>
            </w:pPr>
            <w:r>
              <w:rPr>
                <w:sz w:val="24"/>
              </w:rPr>
              <w:t xml:space="preserve">mem-int:Vred_Imushh_Fl_Member</w:t>
            </w:r>
          </w:p>
        </w:tc>
      </w:tr>
      <w:tr>
        <w:tc>
          <w:tcPr>
            <w:tcW w:w="964" w:type="dxa"/>
          </w:tcPr>
          <w:p>
            <w:pPr>
              <w:pStyle w:val="0"/>
            </w:pPr>
            <w:r>
              <w:rPr>
                <w:sz w:val="24"/>
              </w:rPr>
              <w:t xml:space="preserve">1.4</w:t>
            </w:r>
          </w:p>
        </w:tc>
        <w:tc>
          <w:tcPr>
            <w:tcW w:w="2891" w:type="dxa"/>
          </w:tcPr>
          <w:p>
            <w:pPr>
              <w:pStyle w:val="0"/>
            </w:pPr>
            <w:r>
              <w:rPr>
                <w:sz w:val="24"/>
              </w:rPr>
            </w:r>
          </w:p>
        </w:tc>
        <w:tc>
          <w:tcPr>
            <w:tcW w:w="1814" w:type="dxa"/>
          </w:tcPr>
          <w:p>
            <w:pPr>
              <w:pStyle w:val="0"/>
            </w:pPr>
            <w:r>
              <w:rPr>
                <w:sz w:val="24"/>
              </w:rPr>
              <w:t xml:space="preserve">Причинение вреда имуществу юридических лиц</w:t>
            </w:r>
          </w:p>
        </w:tc>
        <w:tc>
          <w:tcPr>
            <w:tcW w:w="3402" w:type="dxa"/>
          </w:tcPr>
          <w:p>
            <w:pPr>
              <w:pStyle w:val="0"/>
            </w:pPr>
            <w:r>
              <w:rPr>
                <w:sz w:val="24"/>
              </w:rPr>
              <w:t xml:space="preserve">mem-int:Vred_Imushh_Yul_Member</w:t>
            </w:r>
          </w:p>
        </w:tc>
      </w:tr>
      <w:tr>
        <w:tc>
          <w:tcPr>
            <w:tcW w:w="964" w:type="dxa"/>
          </w:tcPr>
          <w:p>
            <w:pPr>
              <w:pStyle w:val="0"/>
            </w:pPr>
            <w:r>
              <w:rPr>
                <w:sz w:val="24"/>
              </w:rPr>
              <w:t xml:space="preserve">2</w:t>
            </w:r>
          </w:p>
        </w:tc>
        <w:tc>
          <w:tcPr>
            <w:tcW w:w="2891" w:type="dxa"/>
          </w:tcPr>
          <w:p>
            <w:pPr>
              <w:pStyle w:val="0"/>
            </w:pPr>
            <w:r>
              <w:rPr>
                <w:sz w:val="24"/>
              </w:rPr>
              <w:t xml:space="preserve">Обязательное страхование гражданской ответственности</w:t>
            </w:r>
          </w:p>
        </w:tc>
        <w:tc>
          <w:tcPr>
            <w:tcW w:w="1814" w:type="dxa"/>
          </w:tcPr>
          <w:p>
            <w:pPr>
              <w:pStyle w:val="0"/>
            </w:pPr>
            <w:r>
              <w:rPr>
                <w:sz w:val="24"/>
              </w:rPr>
            </w:r>
          </w:p>
        </w:tc>
        <w:tc>
          <w:tcPr>
            <w:tcW w:w="3402" w:type="dxa"/>
          </w:tcPr>
          <w:p>
            <w:pPr>
              <w:pStyle w:val="0"/>
            </w:pPr>
            <w:r>
              <w:rPr>
                <w:sz w:val="24"/>
              </w:rPr>
              <w:t xml:space="preserve">dim-int:Obs_GoAxis</w:t>
            </w:r>
          </w:p>
        </w:tc>
      </w:tr>
      <w:tr>
        <w:tc>
          <w:tcPr>
            <w:tcW w:w="964" w:type="dxa"/>
          </w:tcPr>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Дорожно-транспортное происшествие оформлено без участия уполномоченных на то сотрудников полиции</w:t>
            </w:r>
          </w:p>
        </w:tc>
        <w:tc>
          <w:tcPr>
            <w:tcW w:w="3402" w:type="dxa"/>
          </w:tcPr>
          <w:p>
            <w:pPr>
              <w:pStyle w:val="0"/>
            </w:pPr>
            <w:r>
              <w:rPr>
                <w:sz w:val="24"/>
              </w:rPr>
              <w:t xml:space="preserve">mem-int:Go_Vlad_Ts_Dtp_Bez_Policzii_Member</w:t>
            </w:r>
          </w:p>
        </w:tc>
      </w:tr>
      <w:tr>
        <w:tc>
          <w:tcPr>
            <w:tcW w:w="964" w:type="dxa"/>
          </w:tcPr>
          <w:p>
            <w:pPr>
              <w:pStyle w:val="0"/>
            </w:pPr>
            <w:r>
              <w:rPr>
                <w:sz w:val="24"/>
              </w:rPr>
              <w:t xml:space="preserve">3</w:t>
            </w:r>
          </w:p>
        </w:tc>
        <w:tc>
          <w:tcPr>
            <w:tcW w:w="2891" w:type="dxa"/>
          </w:tcPr>
          <w:p>
            <w:pPr>
              <w:pStyle w:val="0"/>
            </w:pPr>
            <w:r>
              <w:rPr>
                <w:sz w:val="24"/>
              </w:rPr>
              <w:t xml:space="preserve">Получатель предварительного уведомления (требования об оплате возмещенного вреда)</w:t>
            </w:r>
          </w:p>
        </w:tc>
        <w:tc>
          <w:tcPr>
            <w:tcW w:w="1814" w:type="dxa"/>
          </w:tcPr>
          <w:p>
            <w:pPr>
              <w:pStyle w:val="0"/>
            </w:pPr>
            <w:r>
              <w:rPr>
                <w:sz w:val="24"/>
              </w:rPr>
            </w:r>
          </w:p>
        </w:tc>
        <w:tc>
          <w:tcPr>
            <w:tcW w:w="3402" w:type="dxa"/>
          </w:tcPr>
          <w:p>
            <w:pPr>
              <w:pStyle w:val="0"/>
            </w:pPr>
            <w:r>
              <w:rPr>
                <w:sz w:val="24"/>
              </w:rPr>
              <w:t xml:space="preserve">dim-int:Pol_Treb_PVU_Axis</w:t>
            </w:r>
          </w:p>
        </w:tc>
      </w:tr>
      <w:tr>
        <w:tc>
          <w:tcPr>
            <w:tcW w:w="964" w:type="dxa"/>
          </w:tcPr>
          <w:p>
            <w:pPr>
              <w:pStyle w:val="0"/>
            </w:pPr>
            <w:r>
              <w:rPr>
                <w:sz w:val="24"/>
              </w:rPr>
              <w:t xml:space="preserve">3.1</w:t>
            </w:r>
          </w:p>
        </w:tc>
        <w:tc>
          <w:tcPr>
            <w:tcW w:w="2891" w:type="dxa"/>
          </w:tcPr>
          <w:p>
            <w:pPr>
              <w:pStyle w:val="0"/>
            </w:pPr>
            <w:r>
              <w:rPr>
                <w:sz w:val="24"/>
              </w:rPr>
            </w:r>
          </w:p>
        </w:tc>
        <w:tc>
          <w:tcPr>
            <w:tcW w:w="1814" w:type="dxa"/>
          </w:tcPr>
          <w:p>
            <w:pPr>
              <w:pStyle w:val="0"/>
            </w:pPr>
            <w:r>
              <w:rPr>
                <w:sz w:val="24"/>
              </w:rPr>
              <w:t xml:space="preserve">Страховщик причинителя вреда</w:t>
            </w:r>
          </w:p>
        </w:tc>
        <w:tc>
          <w:tcPr>
            <w:tcW w:w="3402" w:type="dxa"/>
          </w:tcPr>
          <w:p>
            <w:pPr>
              <w:pStyle w:val="0"/>
            </w:pPr>
            <w:r>
              <w:rPr>
                <w:sz w:val="24"/>
              </w:rPr>
              <w:t xml:space="preserve">mem-int:SK_Prich_Vreda_Member</w:t>
            </w:r>
          </w:p>
        </w:tc>
      </w:tr>
      <w:tr>
        <w:tc>
          <w:tcPr>
            <w:tcW w:w="964" w:type="dxa"/>
          </w:tcPr>
          <w:p>
            <w:pPr>
              <w:pStyle w:val="0"/>
            </w:pPr>
            <w:r>
              <w:rPr>
                <w:sz w:val="24"/>
              </w:rPr>
              <w:t xml:space="preserve">3.2</w:t>
            </w:r>
          </w:p>
        </w:tc>
        <w:tc>
          <w:tcPr>
            <w:tcW w:w="2891" w:type="dxa"/>
          </w:tcPr>
          <w:p>
            <w:pPr>
              <w:pStyle w:val="0"/>
            </w:pPr>
            <w:r>
              <w:rPr>
                <w:sz w:val="24"/>
              </w:rPr>
            </w:r>
          </w:p>
        </w:tc>
        <w:tc>
          <w:tcPr>
            <w:tcW w:w="1814" w:type="dxa"/>
          </w:tcPr>
          <w:p>
            <w:pPr>
              <w:pStyle w:val="0"/>
            </w:pPr>
            <w:r>
              <w:rPr>
                <w:sz w:val="24"/>
              </w:rPr>
              <w:t xml:space="preserve">Профессиональное объединение страховщиков</w:t>
            </w:r>
          </w:p>
        </w:tc>
        <w:tc>
          <w:tcPr>
            <w:tcW w:w="3402" w:type="dxa"/>
          </w:tcPr>
          <w:p>
            <w:pPr>
              <w:pStyle w:val="0"/>
            </w:pPr>
            <w:r>
              <w:rPr>
                <w:sz w:val="24"/>
              </w:rPr>
              <w:t xml:space="preserve">mem-int:Prof_Obed_SK_Member</w:t>
            </w:r>
          </w:p>
        </w:tc>
      </w:tr>
      <w:tr>
        <w:tc>
          <w:tcPr>
            <w:tcW w:w="964" w:type="dxa"/>
          </w:tcPr>
          <w:p>
            <w:pPr>
              <w:pStyle w:val="0"/>
            </w:pPr>
            <w:r>
              <w:rPr>
                <w:sz w:val="24"/>
              </w:rPr>
              <w:t xml:space="preserve">4</w:t>
            </w:r>
          </w:p>
        </w:tc>
        <w:tc>
          <w:tcPr>
            <w:tcW w:w="2891" w:type="dxa"/>
          </w:tcPr>
          <w:p>
            <w:pPr>
              <w:pStyle w:val="0"/>
            </w:pPr>
            <w:r>
              <w:rPr>
                <w:sz w:val="24"/>
              </w:rPr>
              <w:t xml:space="preserve">Способы заключения договора</w:t>
            </w:r>
          </w:p>
        </w:tc>
        <w:tc>
          <w:tcPr>
            <w:tcW w:w="1814" w:type="dxa"/>
          </w:tcPr>
          <w:p>
            <w:pPr>
              <w:pStyle w:val="0"/>
            </w:pPr>
            <w:r>
              <w:rPr>
                <w:sz w:val="24"/>
              </w:rPr>
            </w:r>
          </w:p>
        </w:tc>
        <w:tc>
          <w:tcPr>
            <w:tcW w:w="3402" w:type="dxa"/>
          </w:tcPr>
          <w:p>
            <w:pPr>
              <w:pStyle w:val="0"/>
            </w:pPr>
            <w:r>
              <w:rPr>
                <w:sz w:val="24"/>
              </w:rPr>
              <w:t xml:space="preserve">dim-int:SposobyZaklDogAxis</w:t>
            </w:r>
          </w:p>
        </w:tc>
      </w:tr>
      <w:tr>
        <w:tc>
          <w:tcPr>
            <w:tcW w:w="964" w:type="dxa"/>
          </w:tcPr>
          <w:p>
            <w:pPr>
              <w:pStyle w:val="0"/>
            </w:pPr>
            <w:r>
              <w:rPr>
                <w:sz w:val="24"/>
              </w:rPr>
              <w:t xml:space="preserve">4.1</w:t>
            </w:r>
          </w:p>
        </w:tc>
        <w:tc>
          <w:tcPr>
            <w:tcW w:w="2891" w:type="dxa"/>
          </w:tcPr>
          <w:p>
            <w:pPr>
              <w:pStyle w:val="0"/>
            </w:pPr>
            <w:r>
              <w:rPr>
                <w:sz w:val="24"/>
              </w:rPr>
            </w:r>
          </w:p>
        </w:tc>
        <w:tc>
          <w:tcPr>
            <w:tcW w:w="1814" w:type="dxa"/>
          </w:tcPr>
          <w:p>
            <w:pPr>
              <w:pStyle w:val="0"/>
            </w:pPr>
            <w:r>
              <w:rPr>
                <w:sz w:val="24"/>
              </w:rPr>
              <w:t xml:space="preserve">По договорам страхования, заключенным на бумажном носителе</w:t>
            </w:r>
          </w:p>
        </w:tc>
        <w:tc>
          <w:tcPr>
            <w:tcW w:w="3402" w:type="dxa"/>
          </w:tcPr>
          <w:p>
            <w:pPr>
              <w:pStyle w:val="0"/>
            </w:pPr>
            <w:r>
              <w:rPr>
                <w:sz w:val="24"/>
              </w:rPr>
              <w:t xml:space="preserve">mem-int:PutemOformPolOsagoBunNosMember</w:t>
            </w:r>
          </w:p>
        </w:tc>
      </w:tr>
      <w:tr>
        <w:tc>
          <w:tcPr>
            <w:tcW w:w="964" w:type="dxa"/>
          </w:tcPr>
          <w:p>
            <w:pPr>
              <w:pStyle w:val="0"/>
            </w:pPr>
            <w:r>
              <w:rPr>
                <w:sz w:val="24"/>
              </w:rPr>
              <w:t xml:space="preserve">4.2</w:t>
            </w:r>
          </w:p>
        </w:tc>
        <w:tc>
          <w:tcPr>
            <w:tcW w:w="2891" w:type="dxa"/>
          </w:tcPr>
          <w:p>
            <w:pPr>
              <w:pStyle w:val="0"/>
            </w:pPr>
            <w:r>
              <w:rPr>
                <w:sz w:val="24"/>
              </w:rPr>
            </w:r>
          </w:p>
        </w:tc>
        <w:tc>
          <w:tcPr>
            <w:tcW w:w="1814" w:type="dxa"/>
          </w:tcPr>
          <w:p>
            <w:pPr>
              <w:pStyle w:val="0"/>
            </w:pPr>
            <w:r>
              <w:rPr>
                <w:sz w:val="24"/>
              </w:rPr>
              <w:t xml:space="preserve">По договорам страхования, заключенным в виде электронного документа</w:t>
            </w:r>
          </w:p>
        </w:tc>
        <w:tc>
          <w:tcPr>
            <w:tcW w:w="3402" w:type="dxa"/>
          </w:tcPr>
          <w:p>
            <w:pPr>
              <w:pStyle w:val="0"/>
            </w:pPr>
            <w:r>
              <w:rPr>
                <w:sz w:val="24"/>
              </w:rPr>
              <w:t xml:space="preserve">mem-int:PutemOformPolOsagoElDocMember</w:t>
            </w:r>
          </w:p>
        </w:tc>
      </w:tr>
      <w:tr>
        <w:tc>
          <w:tcPr>
            <w:tcW w:w="964" w:type="dxa"/>
          </w:tcPr>
          <w:p>
            <w:pPr>
              <w:pStyle w:val="0"/>
            </w:pPr>
            <w:r>
              <w:rPr>
                <w:sz w:val="24"/>
              </w:rPr>
              <w:t xml:space="preserve">4.2.1</w:t>
            </w:r>
          </w:p>
        </w:tc>
        <w:tc>
          <w:tcPr>
            <w:tcW w:w="2891" w:type="dxa"/>
          </w:tcPr>
          <w:p>
            <w:pPr>
              <w:pStyle w:val="0"/>
            </w:pPr>
            <w:r>
              <w:rPr>
                <w:sz w:val="24"/>
              </w:rPr>
            </w:r>
          </w:p>
        </w:tc>
        <w:tc>
          <w:tcPr>
            <w:tcW w:w="1814" w:type="dxa"/>
          </w:tcPr>
          <w:p>
            <w:pPr>
              <w:pStyle w:val="0"/>
            </w:pPr>
            <w:r>
              <w:rPr>
                <w:sz w:val="24"/>
              </w:rPr>
              <w:t xml:space="preserve">По договорам страхования, заключенным в рамках системы "Е-Гарант"</w:t>
            </w:r>
          </w:p>
        </w:tc>
        <w:tc>
          <w:tcPr>
            <w:tcW w:w="3402" w:type="dxa"/>
          </w:tcPr>
          <w:p>
            <w:pPr>
              <w:pStyle w:val="0"/>
            </w:pPr>
            <w:r>
              <w:rPr>
                <w:sz w:val="24"/>
              </w:rPr>
              <w:t xml:space="preserve">mem-int:DogovStraxZaklVRamkaxSistemyEGarantMember</w:t>
            </w:r>
          </w:p>
        </w:tc>
      </w:tr>
      <w:tr>
        <w:tc>
          <w:tcPr>
            <w:tcW w:w="964" w:type="dxa"/>
          </w:tcPr>
          <w:p>
            <w:pPr>
              <w:pStyle w:val="0"/>
            </w:pPr>
            <w:r>
              <w:rPr>
                <w:sz w:val="24"/>
              </w:rPr>
              <w:t xml:space="preserve">5</w:t>
            </w:r>
          </w:p>
        </w:tc>
        <w:tc>
          <w:tcPr>
            <w:tcW w:w="2891" w:type="dxa"/>
          </w:tcPr>
          <w:p>
            <w:pPr>
              <w:pStyle w:val="0"/>
            </w:pPr>
            <w:r>
              <w:rPr>
                <w:sz w:val="24"/>
              </w:rPr>
              <w:t xml:space="preserve">Тип страхователя</w:t>
            </w:r>
          </w:p>
        </w:tc>
        <w:tc>
          <w:tcPr>
            <w:tcW w:w="1814" w:type="dxa"/>
          </w:tcPr>
          <w:p>
            <w:pPr>
              <w:pStyle w:val="0"/>
            </w:pPr>
            <w:r>
              <w:rPr>
                <w:sz w:val="24"/>
              </w:rPr>
            </w:r>
          </w:p>
        </w:tc>
        <w:tc>
          <w:tcPr>
            <w:tcW w:w="3402" w:type="dxa"/>
          </w:tcPr>
          <w:p>
            <w:pPr>
              <w:pStyle w:val="0"/>
            </w:pPr>
            <w:r>
              <w:rPr>
                <w:sz w:val="24"/>
              </w:rPr>
              <w:t xml:space="preserve">dim-int:Tip_Sl_Axis</w:t>
            </w:r>
          </w:p>
        </w:tc>
      </w:tr>
      <w:tr>
        <w:tc>
          <w:tcPr>
            <w:tcW w:w="964" w:type="dxa"/>
          </w:tcPr>
          <w:p>
            <w:pPr>
              <w:pStyle w:val="0"/>
            </w:pPr>
            <w:r>
              <w:rPr>
                <w:sz w:val="24"/>
              </w:rPr>
              <w:t xml:space="preserve">5.1</w:t>
            </w:r>
          </w:p>
        </w:tc>
        <w:tc>
          <w:tcPr>
            <w:tcW w:w="2891" w:type="dxa"/>
          </w:tcPr>
          <w:p>
            <w:pPr>
              <w:pStyle w:val="0"/>
            </w:pPr>
            <w:r>
              <w:rPr>
                <w:sz w:val="24"/>
              </w:rPr>
            </w:r>
          </w:p>
        </w:tc>
        <w:tc>
          <w:tcPr>
            <w:tcW w:w="1814" w:type="dxa"/>
          </w:tcPr>
          <w:p>
            <w:pPr>
              <w:pStyle w:val="0"/>
            </w:pPr>
            <w:r>
              <w:rPr>
                <w:sz w:val="24"/>
              </w:rPr>
              <w:t xml:space="preserve">ФЛ - физическое лицо</w:t>
            </w:r>
          </w:p>
        </w:tc>
        <w:tc>
          <w:tcPr>
            <w:tcW w:w="3402" w:type="dxa"/>
          </w:tcPr>
          <w:p>
            <w:pPr>
              <w:pStyle w:val="0"/>
            </w:pPr>
            <w:r>
              <w:rPr>
                <w:sz w:val="24"/>
              </w:rPr>
              <w:t xml:space="preserve">mem-int:FlMember</w:t>
            </w:r>
          </w:p>
        </w:tc>
      </w:tr>
      <w:tr>
        <w:tc>
          <w:tcPr>
            <w:tcW w:w="964" w:type="dxa"/>
          </w:tcPr>
          <w:p>
            <w:pPr>
              <w:pStyle w:val="0"/>
            </w:pPr>
            <w:r>
              <w:rPr>
                <w:sz w:val="24"/>
              </w:rPr>
              <w:t xml:space="preserve">5.2</w:t>
            </w:r>
          </w:p>
        </w:tc>
        <w:tc>
          <w:tcPr>
            <w:tcW w:w="2891" w:type="dxa"/>
          </w:tcPr>
          <w:p>
            <w:pPr>
              <w:pStyle w:val="0"/>
            </w:pPr>
            <w:r>
              <w:rPr>
                <w:sz w:val="24"/>
              </w:rPr>
            </w:r>
          </w:p>
        </w:tc>
        <w:tc>
          <w:tcPr>
            <w:tcW w:w="1814" w:type="dxa"/>
          </w:tcPr>
          <w:p>
            <w:pPr>
              <w:pStyle w:val="0"/>
            </w:pPr>
            <w:r>
              <w:rPr>
                <w:sz w:val="24"/>
              </w:rPr>
              <w:t xml:space="preserve">ЮЛ - юридическое лицо</w:t>
            </w:r>
          </w:p>
        </w:tc>
        <w:tc>
          <w:tcPr>
            <w:tcW w:w="3402" w:type="dxa"/>
          </w:tcPr>
          <w:p>
            <w:pPr>
              <w:pStyle w:val="0"/>
            </w:pPr>
            <w:r>
              <w:rPr>
                <w:sz w:val="24"/>
              </w:rPr>
              <w:t xml:space="preserve">mem-int:YulMember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984"/>
        <w:gridCol w:w="7087"/>
      </w:tblGrid>
      <w:tr>
        <w:tc>
          <w:tcPr>
            <w:tcW w:w="1984" w:type="dxa"/>
            <w:tcBorders>
              <w:top w:val="nil"/>
              <w:left w:val="nil"/>
              <w:bottom w:val="nil"/>
              <w:right w:val="nil"/>
            </w:tcBorders>
          </w:tcPr>
          <w:p>
            <w:pPr>
              <w:pStyle w:val="0"/>
              <w:outlineLvl w:val="3"/>
            </w:pPr>
            <w:r>
              <w:rPr>
                <w:sz w:val="24"/>
              </w:rPr>
              <w:t xml:space="preserve">Подраздел 1.6.</w:t>
            </w:r>
          </w:p>
        </w:tc>
        <w:tc>
          <w:tcPr>
            <w:tcW w:w="7087" w:type="dxa"/>
            <w:tcBorders>
              <w:top w:val="nil"/>
              <w:left w:val="nil"/>
              <w:bottom w:val="nil"/>
              <w:right w:val="nil"/>
            </w:tcBorders>
          </w:tcPr>
          <w:p>
            <w:pPr>
              <w:pStyle w:val="0"/>
              <w:jc w:val="both"/>
            </w:pPr>
            <w:hyperlink w:history="0" w:anchor="P56565" w:tooltip="Раздел 6.">
              <w:r>
                <w:rPr>
                  <w:sz w:val="24"/>
                  <w:color w:val="0000ff"/>
                </w:rPr>
                <w:t xml:space="preserve">Раздел 6</w:t>
              </w:r>
            </w:hyperlink>
            <w:r>
              <w:rPr>
                <w:sz w:val="24"/>
              </w:rPr>
              <w:t xml:space="preserve"> "Обязательное медицинское страхование"</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Структура оплаты медицинской помощи, оказанной застрахованным лицам</w:t>
            </w:r>
          </w:p>
        </w:tc>
        <w:tc>
          <w:tcPr>
            <w:tcW w:w="1814" w:type="dxa"/>
          </w:tcPr>
          <w:p>
            <w:pPr>
              <w:pStyle w:val="0"/>
            </w:pPr>
            <w:r>
              <w:rPr>
                <w:sz w:val="24"/>
              </w:rPr>
            </w:r>
          </w:p>
        </w:tc>
        <w:tc>
          <w:tcPr>
            <w:tcW w:w="3402" w:type="dxa"/>
          </w:tcPr>
          <w:p>
            <w:pPr>
              <w:pStyle w:val="0"/>
            </w:pPr>
            <w:r>
              <w:rPr>
                <w:sz w:val="24"/>
              </w:rPr>
              <w:t xml:space="preserve">dim-int:Strukt_Opl_Med_Pomoshhi_Okaz_Zastr_Liczam_Axis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Всего</w:t>
            </w:r>
          </w:p>
        </w:tc>
        <w:tc>
          <w:tcPr>
            <w:tcW w:w="3402" w:type="dxa"/>
          </w:tcPr>
          <w:p>
            <w:pPr>
              <w:pStyle w:val="0"/>
            </w:pPr>
            <w:r>
              <w:rPr>
                <w:sz w:val="24"/>
              </w:rPr>
              <w:t xml:space="preserve">mem-int:Strukt_Opl_Med_Pomoshhi_Okaz_Zastr_Liczam_ItogoMember</w:t>
            </w:r>
          </w:p>
        </w:tc>
      </w:tr>
      <w:tr>
        <w:tc>
          <w:tcPr>
            <w:tcW w:w="964" w:type="dxa"/>
          </w:tcPr>
          <w:p>
            <w:pPr>
              <w:pStyle w:val="0"/>
            </w:pPr>
            <w:r>
              <w:rPr>
                <w:sz w:val="24"/>
              </w:rPr>
              <w:t xml:space="preserve">1.1.1</w:t>
            </w:r>
          </w:p>
        </w:tc>
        <w:tc>
          <w:tcPr>
            <w:tcW w:w="2891" w:type="dxa"/>
          </w:tcPr>
          <w:p>
            <w:pPr>
              <w:pStyle w:val="0"/>
            </w:pPr>
            <w:r>
              <w:rPr>
                <w:sz w:val="24"/>
              </w:rPr>
            </w:r>
          </w:p>
        </w:tc>
        <w:tc>
          <w:tcPr>
            <w:tcW w:w="1814" w:type="dxa"/>
          </w:tcPr>
          <w:p>
            <w:pPr>
              <w:pStyle w:val="0"/>
            </w:pPr>
            <w:r>
              <w:rPr>
                <w:sz w:val="24"/>
              </w:rPr>
              <w:t xml:space="preserve">Оплата по результатам повторного медико-экономического контроля</w:t>
            </w:r>
          </w:p>
        </w:tc>
        <w:tc>
          <w:tcPr>
            <w:tcW w:w="3402" w:type="dxa"/>
          </w:tcPr>
          <w:p>
            <w:pPr>
              <w:pStyle w:val="0"/>
            </w:pPr>
            <w:r>
              <w:rPr>
                <w:sz w:val="24"/>
              </w:rPr>
              <w:t xml:space="preserve">mem-int:OplMedPomoshhiOkazZastrLiczamRezPovtMedEkonKontrMember</w:t>
            </w:r>
          </w:p>
        </w:tc>
      </w:tr>
      <w:tr>
        <w:tc>
          <w:tcPr>
            <w:tcW w:w="964" w:type="dxa"/>
          </w:tcPr>
          <w:p>
            <w:pPr>
              <w:pStyle w:val="0"/>
            </w:pPr>
            <w:r>
              <w:rPr>
                <w:sz w:val="24"/>
              </w:rPr>
              <w:t xml:space="preserve">1.1.2</w:t>
            </w:r>
          </w:p>
        </w:tc>
        <w:tc>
          <w:tcPr>
            <w:tcW w:w="2891" w:type="dxa"/>
          </w:tcPr>
          <w:p>
            <w:pPr>
              <w:pStyle w:val="0"/>
            </w:pPr>
            <w:r>
              <w:rPr>
                <w:sz w:val="24"/>
              </w:rPr>
            </w:r>
          </w:p>
        </w:tc>
        <w:tc>
          <w:tcPr>
            <w:tcW w:w="1814" w:type="dxa"/>
          </w:tcPr>
          <w:p>
            <w:pPr>
              <w:pStyle w:val="0"/>
            </w:pPr>
            <w:r>
              <w:rPr>
                <w:sz w:val="24"/>
              </w:rPr>
              <w:t xml:space="preserve">Оплата по результатам реэкспертизы</w:t>
            </w:r>
          </w:p>
        </w:tc>
        <w:tc>
          <w:tcPr>
            <w:tcW w:w="3402" w:type="dxa"/>
          </w:tcPr>
          <w:p>
            <w:pPr>
              <w:pStyle w:val="0"/>
            </w:pPr>
            <w:r>
              <w:rPr>
                <w:sz w:val="24"/>
              </w:rPr>
              <w:t xml:space="preserve">mem-int:Opl_Med_Pomoshhi_Okaz_Zastr_Liczam_Rez_Reeksp_Member</w:t>
            </w:r>
          </w:p>
        </w:tc>
      </w:tr>
      <w:tr>
        <w:tc>
          <w:tcPr>
            <w:tcW w:w="964" w:type="dxa"/>
          </w:tcPr>
          <w:p>
            <w:pPr>
              <w:pStyle w:val="0"/>
            </w:pPr>
            <w:r>
              <w:rPr>
                <w:sz w:val="24"/>
              </w:rPr>
              <w:t xml:space="preserve">2</w:t>
            </w:r>
          </w:p>
        </w:tc>
        <w:tc>
          <w:tcPr>
            <w:tcW w:w="2891" w:type="dxa"/>
          </w:tcPr>
          <w:p>
            <w:pPr>
              <w:pStyle w:val="0"/>
            </w:pPr>
            <w:r>
              <w:rPr>
                <w:sz w:val="24"/>
              </w:rPr>
              <w:t xml:space="preserve">Структура средств, предназначенных для оплаты медицинской помощи</w:t>
            </w:r>
          </w:p>
        </w:tc>
        <w:tc>
          <w:tcPr>
            <w:tcW w:w="1814" w:type="dxa"/>
          </w:tcPr>
          <w:p>
            <w:pPr>
              <w:pStyle w:val="0"/>
            </w:pPr>
            <w:r>
              <w:rPr>
                <w:sz w:val="24"/>
              </w:rPr>
            </w:r>
          </w:p>
        </w:tc>
        <w:tc>
          <w:tcPr>
            <w:tcW w:w="3402" w:type="dxa"/>
          </w:tcPr>
          <w:p>
            <w:pPr>
              <w:pStyle w:val="0"/>
            </w:pPr>
            <w:r>
              <w:rPr>
                <w:sz w:val="24"/>
              </w:rPr>
              <w:t xml:space="preserve">dim-int:Strukt_Sredstv_Opl_Med_Pomoshhi_Axis</w:t>
            </w:r>
          </w:p>
        </w:tc>
      </w:tr>
      <w:tr>
        <w:tc>
          <w:tcPr>
            <w:tcW w:w="964" w:type="dxa"/>
          </w:tcPr>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Средства от территориального фонда обязательного медицинского страхования</w:t>
            </w:r>
          </w:p>
        </w:tc>
        <w:tc>
          <w:tcPr>
            <w:tcW w:w="3402" w:type="dxa"/>
          </w:tcPr>
          <w:p>
            <w:pPr>
              <w:pStyle w:val="0"/>
            </w:pPr>
            <w:r>
              <w:rPr>
                <w:sz w:val="24"/>
              </w:rPr>
              <w:t xml:space="preserve">mem-int:Sredstva_Opl_Med_Pomoshhi_Tfoms_Member</w:t>
            </w:r>
          </w:p>
        </w:tc>
      </w:tr>
      <w:tr>
        <w:tc>
          <w:tcPr>
            <w:tcW w:w="964" w:type="dxa"/>
          </w:tcPr>
          <w:p>
            <w:pPr>
              <w:pStyle w:val="0"/>
            </w:pPr>
            <w:r>
              <w:rPr>
                <w:sz w:val="24"/>
              </w:rPr>
              <w:t xml:space="preserve">2.2</w:t>
            </w:r>
          </w:p>
        </w:tc>
        <w:tc>
          <w:tcPr>
            <w:tcW w:w="2891" w:type="dxa"/>
          </w:tcPr>
          <w:p>
            <w:pPr>
              <w:pStyle w:val="0"/>
            </w:pPr>
            <w:r>
              <w:rPr>
                <w:sz w:val="24"/>
              </w:rPr>
            </w:r>
          </w:p>
        </w:tc>
        <w:tc>
          <w:tcPr>
            <w:tcW w:w="1814" w:type="dxa"/>
          </w:tcPr>
          <w:p>
            <w:pPr>
              <w:pStyle w:val="0"/>
            </w:pPr>
            <w:r>
              <w:rPr>
                <w:sz w:val="24"/>
              </w:rPr>
              <w:t xml:space="preserve">Средства из медицинских организаций</w:t>
            </w:r>
          </w:p>
        </w:tc>
        <w:tc>
          <w:tcPr>
            <w:tcW w:w="3402" w:type="dxa"/>
          </w:tcPr>
          <w:p>
            <w:pPr>
              <w:pStyle w:val="0"/>
            </w:pPr>
            <w:r>
              <w:rPr>
                <w:sz w:val="24"/>
              </w:rPr>
              <w:t xml:space="preserve">mem-int:Sredstva_Opl_Med_Pomoshhi_Med_Org_Member</w:t>
            </w:r>
          </w:p>
        </w:tc>
      </w:tr>
      <w:tr>
        <w:tc>
          <w:tcPr>
            <w:tcW w:w="964" w:type="dxa"/>
          </w:tcPr>
          <w:p>
            <w:pPr>
              <w:pStyle w:val="0"/>
            </w:pPr>
            <w:r>
              <w:rPr>
                <w:sz w:val="24"/>
              </w:rPr>
              <w:t xml:space="preserve">2.3</w:t>
            </w:r>
          </w:p>
        </w:tc>
        <w:tc>
          <w:tcPr>
            <w:tcW w:w="2891" w:type="dxa"/>
          </w:tcPr>
          <w:p>
            <w:pPr>
              <w:pStyle w:val="0"/>
            </w:pPr>
            <w:r>
              <w:rPr>
                <w:sz w:val="24"/>
              </w:rPr>
            </w:r>
          </w:p>
        </w:tc>
        <w:tc>
          <w:tcPr>
            <w:tcW w:w="1814" w:type="dxa"/>
          </w:tcPr>
          <w:p>
            <w:pPr>
              <w:pStyle w:val="0"/>
            </w:pPr>
            <w:r>
              <w:rPr>
                <w:sz w:val="24"/>
              </w:rPr>
              <w:t xml:space="preserve">Средства от юридических или физических лиц</w:t>
            </w:r>
          </w:p>
        </w:tc>
        <w:tc>
          <w:tcPr>
            <w:tcW w:w="3402" w:type="dxa"/>
          </w:tcPr>
          <w:p>
            <w:pPr>
              <w:pStyle w:val="0"/>
            </w:pPr>
            <w:r>
              <w:rPr>
                <w:sz w:val="24"/>
              </w:rPr>
              <w:t xml:space="preserve">mem-int:Sredstva_Opl_Med_Pomoshhi_Yul_Fl_Member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984"/>
        <w:gridCol w:w="7087"/>
      </w:tblGrid>
      <w:tr>
        <w:tc>
          <w:tcPr>
            <w:tcW w:w="1984" w:type="dxa"/>
            <w:tcBorders>
              <w:top w:val="nil"/>
              <w:left w:val="nil"/>
              <w:bottom w:val="nil"/>
              <w:right w:val="nil"/>
            </w:tcBorders>
          </w:tcPr>
          <w:p>
            <w:pPr>
              <w:pStyle w:val="0"/>
              <w:outlineLvl w:val="3"/>
            </w:pPr>
            <w:r>
              <w:rPr>
                <w:sz w:val="24"/>
              </w:rPr>
              <w:t xml:space="preserve">Подраздел 1.7.</w:t>
            </w:r>
          </w:p>
        </w:tc>
        <w:tc>
          <w:tcPr>
            <w:tcW w:w="7087" w:type="dxa"/>
            <w:tcBorders>
              <w:top w:val="nil"/>
              <w:left w:val="nil"/>
              <w:bottom w:val="nil"/>
              <w:right w:val="nil"/>
            </w:tcBorders>
          </w:tcPr>
          <w:p>
            <w:pPr>
              <w:pStyle w:val="0"/>
              <w:jc w:val="both"/>
            </w:pPr>
            <w:hyperlink w:history="0" w:anchor="P56615" w:tooltip="Раздел 7.">
              <w:r>
                <w:rPr>
                  <w:sz w:val="24"/>
                  <w:color w:val="0000ff"/>
                </w:rPr>
                <w:t xml:space="preserve">Раздел 7</w:t>
              </w:r>
            </w:hyperlink>
            <w:r>
              <w:rPr>
                <w:sz w:val="24"/>
              </w:rPr>
              <w:t xml:space="preserve"> "Посредники, в том числе страховые агенты, при заключении договоров страхования"</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Вид добровольного страхования жизни</w:t>
            </w:r>
          </w:p>
        </w:tc>
        <w:tc>
          <w:tcPr>
            <w:tcW w:w="1814" w:type="dxa"/>
          </w:tcPr>
          <w:p>
            <w:pPr>
              <w:pStyle w:val="0"/>
            </w:pPr>
            <w:r>
              <w:rPr>
                <w:sz w:val="24"/>
              </w:rPr>
            </w:r>
          </w:p>
        </w:tc>
        <w:tc>
          <w:tcPr>
            <w:tcW w:w="3402" w:type="dxa"/>
          </w:tcPr>
          <w:p>
            <w:pPr>
              <w:pStyle w:val="0"/>
            </w:pPr>
            <w:r>
              <w:rPr>
                <w:sz w:val="24"/>
              </w:rPr>
              <w:t xml:space="preserve">dim-int:TipDobrStrZhAxis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Инвестиционное страхование жизни</w:t>
            </w:r>
          </w:p>
        </w:tc>
        <w:tc>
          <w:tcPr>
            <w:tcW w:w="3402" w:type="dxa"/>
          </w:tcPr>
          <w:p>
            <w:pPr>
              <w:pStyle w:val="0"/>
            </w:pPr>
            <w:r>
              <w:rPr>
                <w:sz w:val="24"/>
              </w:rPr>
              <w:t xml:space="preserve">mem-int:InvStrZhMember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r>
              <w:rPr>
                <w:sz w:val="24"/>
              </w:rPr>
              <w:t xml:space="preserve">Кредитное страхование жизни</w:t>
            </w:r>
          </w:p>
        </w:tc>
        <w:tc>
          <w:tcPr>
            <w:tcW w:w="3402" w:type="dxa"/>
          </w:tcPr>
          <w:p>
            <w:pPr>
              <w:pStyle w:val="0"/>
            </w:pPr>
            <w:r>
              <w:rPr>
                <w:sz w:val="24"/>
              </w:rPr>
              <w:t xml:space="preserve">mem-int:KredStrZhMember</w:t>
            </w:r>
          </w:p>
        </w:tc>
      </w:tr>
      <w:tr>
        <w:tc>
          <w:tcPr>
            <w:tcW w:w="964" w:type="dxa"/>
          </w:tcPr>
          <w:p>
            <w:pPr>
              <w:pStyle w:val="0"/>
            </w:pPr>
            <w:r>
              <w:rPr>
                <w:sz w:val="24"/>
              </w:rPr>
              <w:t xml:space="preserve">1.3</w:t>
            </w:r>
          </w:p>
        </w:tc>
        <w:tc>
          <w:tcPr>
            <w:tcW w:w="2891" w:type="dxa"/>
          </w:tcPr>
          <w:p>
            <w:pPr>
              <w:pStyle w:val="0"/>
            </w:pPr>
            <w:r>
              <w:rPr>
                <w:sz w:val="24"/>
              </w:rPr>
            </w:r>
          </w:p>
        </w:tc>
        <w:tc>
          <w:tcPr>
            <w:tcW w:w="1814" w:type="dxa"/>
          </w:tcPr>
          <w:p>
            <w:pPr>
              <w:pStyle w:val="0"/>
            </w:pPr>
            <w:r>
              <w:rPr>
                <w:sz w:val="24"/>
              </w:rPr>
              <w:t xml:space="preserve">Накопительное страхование жизни</w:t>
            </w:r>
          </w:p>
        </w:tc>
        <w:tc>
          <w:tcPr>
            <w:tcW w:w="3402" w:type="dxa"/>
          </w:tcPr>
          <w:p>
            <w:pPr>
              <w:pStyle w:val="0"/>
            </w:pPr>
            <w:r>
              <w:rPr>
                <w:sz w:val="24"/>
              </w:rPr>
              <w:t xml:space="preserve">mem-int:NakopStrZhMember</w:t>
            </w:r>
          </w:p>
        </w:tc>
      </w:tr>
      <w:tr>
        <w:tc>
          <w:tcPr>
            <w:tcW w:w="964" w:type="dxa"/>
          </w:tcPr>
          <w:p>
            <w:pPr>
              <w:pStyle w:val="0"/>
            </w:pPr>
            <w:r>
              <w:rPr>
                <w:sz w:val="24"/>
              </w:rPr>
              <w:t xml:space="preserve">1.4</w:t>
            </w:r>
          </w:p>
        </w:tc>
        <w:tc>
          <w:tcPr>
            <w:tcW w:w="2891" w:type="dxa"/>
          </w:tcPr>
          <w:p>
            <w:pPr>
              <w:pStyle w:val="0"/>
            </w:pPr>
            <w:r>
              <w:rPr>
                <w:sz w:val="24"/>
              </w:rPr>
            </w:r>
          </w:p>
        </w:tc>
        <w:tc>
          <w:tcPr>
            <w:tcW w:w="1814" w:type="dxa"/>
          </w:tcPr>
          <w:p>
            <w:pPr>
              <w:pStyle w:val="0"/>
            </w:pPr>
            <w:r>
              <w:rPr>
                <w:sz w:val="24"/>
              </w:rPr>
              <w:t xml:space="preserve">Рисковое страхование жизни</w:t>
            </w:r>
          </w:p>
        </w:tc>
        <w:tc>
          <w:tcPr>
            <w:tcW w:w="3402" w:type="dxa"/>
          </w:tcPr>
          <w:p>
            <w:pPr>
              <w:pStyle w:val="0"/>
            </w:pPr>
            <w:r>
              <w:rPr>
                <w:sz w:val="24"/>
              </w:rPr>
              <w:t xml:space="preserve">mem-int:RiskStrZhMember</w:t>
            </w:r>
          </w:p>
        </w:tc>
      </w:tr>
      <w:tr>
        <w:tc>
          <w:tcPr>
            <w:tcW w:w="964" w:type="dxa"/>
          </w:tcPr>
          <w:p>
            <w:pPr>
              <w:pStyle w:val="0"/>
            </w:pPr>
            <w:r>
              <w:rPr>
                <w:sz w:val="24"/>
              </w:rPr>
              <w:t xml:space="preserve">1.5</w:t>
            </w:r>
          </w:p>
        </w:tc>
        <w:tc>
          <w:tcPr>
            <w:tcW w:w="2891" w:type="dxa"/>
          </w:tcPr>
          <w:p>
            <w:pPr>
              <w:pStyle w:val="0"/>
            </w:pPr>
            <w:r>
              <w:rPr>
                <w:sz w:val="24"/>
              </w:rPr>
            </w:r>
          </w:p>
        </w:tc>
        <w:tc>
          <w:tcPr>
            <w:tcW w:w="1814" w:type="dxa"/>
          </w:tcPr>
          <w:p>
            <w:pPr>
              <w:pStyle w:val="0"/>
            </w:pPr>
            <w:r>
              <w:rPr>
                <w:sz w:val="24"/>
              </w:rPr>
              <w:t xml:space="preserve">Прочее страхование жизни</w:t>
            </w:r>
          </w:p>
        </w:tc>
        <w:tc>
          <w:tcPr>
            <w:tcW w:w="3402" w:type="dxa"/>
          </w:tcPr>
          <w:p>
            <w:pPr>
              <w:pStyle w:val="0"/>
            </w:pPr>
            <w:r>
              <w:rPr>
                <w:sz w:val="24"/>
              </w:rPr>
              <w:t xml:space="preserve">mem-int:ProchStrZhMember</w:t>
            </w:r>
          </w:p>
        </w:tc>
      </w:tr>
      <w:tr>
        <w:tc>
          <w:tcPr>
            <w:tcW w:w="964" w:type="dxa"/>
          </w:tcPr>
          <w:bookmarkStart w:id="58705" w:name="P58705"/>
          <w:bookmarkEnd w:id="58705"/>
          <w:p>
            <w:pPr>
              <w:pStyle w:val="0"/>
            </w:pPr>
            <w:r>
              <w:rPr>
                <w:sz w:val="24"/>
              </w:rPr>
              <w:t xml:space="preserve">2</w:t>
            </w:r>
          </w:p>
        </w:tc>
        <w:tc>
          <w:tcPr>
            <w:tcW w:w="2891" w:type="dxa"/>
          </w:tcPr>
          <w:p>
            <w:pPr>
              <w:pStyle w:val="0"/>
            </w:pPr>
            <w:r>
              <w:rPr>
                <w:sz w:val="24"/>
              </w:rPr>
              <w:t xml:space="preserve">Виды страхования</w:t>
            </w:r>
          </w:p>
        </w:tc>
        <w:tc>
          <w:tcPr>
            <w:tcW w:w="1814" w:type="dxa"/>
          </w:tcPr>
          <w:p>
            <w:pPr>
              <w:pStyle w:val="0"/>
            </w:pPr>
            <w:r>
              <w:rPr>
                <w:sz w:val="24"/>
              </w:rPr>
            </w:r>
          </w:p>
        </w:tc>
        <w:tc>
          <w:tcPr>
            <w:tcW w:w="3402" w:type="dxa"/>
          </w:tcPr>
          <w:p>
            <w:pPr>
              <w:pStyle w:val="0"/>
            </w:pPr>
            <w:r>
              <w:rPr>
                <w:sz w:val="24"/>
              </w:rPr>
              <w:t xml:space="preserve">dim-int:Vidy_straxovaniyaAxis</w:t>
            </w:r>
          </w:p>
        </w:tc>
      </w:tr>
      <w:tr>
        <w:tc>
          <w:tcPr>
            <w:tcW w:w="964" w:type="dxa"/>
          </w:tcPr>
          <w:bookmarkStart w:id="58709" w:name="P58709"/>
          <w:bookmarkEnd w:id="58709"/>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Добровольное страхование жизни (кроме пенсионного страхования)</w:t>
            </w:r>
          </w:p>
        </w:tc>
        <w:tc>
          <w:tcPr>
            <w:tcW w:w="3402" w:type="dxa"/>
          </w:tcPr>
          <w:p>
            <w:pPr>
              <w:pStyle w:val="0"/>
            </w:pPr>
            <w:r>
              <w:rPr>
                <w:sz w:val="24"/>
              </w:rPr>
              <w:t xml:space="preserve">mem-int:DobrStrZhKrPensStrMember</w:t>
            </w:r>
          </w:p>
        </w:tc>
      </w:tr>
      <w:tr>
        <w:tc>
          <w:tcPr>
            <w:tcW w:w="964" w:type="dxa"/>
          </w:tcPr>
          <w:bookmarkStart w:id="58713" w:name="P58713"/>
          <w:bookmarkEnd w:id="58713"/>
          <w:p>
            <w:pPr>
              <w:pStyle w:val="0"/>
            </w:pPr>
            <w:r>
              <w:rPr>
                <w:sz w:val="24"/>
              </w:rPr>
              <w:t xml:space="preserve">2.1.1</w:t>
            </w:r>
          </w:p>
        </w:tc>
        <w:tc>
          <w:tcPr>
            <w:tcW w:w="2891" w:type="dxa"/>
          </w:tcPr>
          <w:p>
            <w:pPr>
              <w:pStyle w:val="0"/>
            </w:pPr>
            <w:r>
              <w:rPr>
                <w:sz w:val="24"/>
              </w:rPr>
            </w:r>
          </w:p>
        </w:tc>
        <w:tc>
          <w:tcPr>
            <w:tcW w:w="1814" w:type="dxa"/>
          </w:tcPr>
          <w:p>
            <w:pPr>
              <w:pStyle w:val="0"/>
            </w:pPr>
            <w:r>
              <w:rPr>
                <w:sz w:val="24"/>
              </w:rPr>
              <w:t xml:space="preserve">Добровольное страхование жизни на случай смерти, дожития до определенного возраста или срока либо наступления иного события</w:t>
            </w:r>
          </w:p>
        </w:tc>
        <w:tc>
          <w:tcPr>
            <w:tcW w:w="3402" w:type="dxa"/>
          </w:tcPr>
          <w:p>
            <w:pPr>
              <w:pStyle w:val="0"/>
            </w:pPr>
            <w:r>
              <w:rPr>
                <w:sz w:val="24"/>
              </w:rPr>
              <w:t xml:space="preserve">mem-int:DobrStrZhSmDozhInSobMember</w:t>
            </w:r>
          </w:p>
        </w:tc>
      </w:tr>
      <w:tr>
        <w:tc>
          <w:tcPr>
            <w:tcW w:w="964" w:type="dxa"/>
          </w:tcPr>
          <w:p>
            <w:pPr>
              <w:pStyle w:val="0"/>
            </w:pPr>
            <w:r>
              <w:rPr>
                <w:sz w:val="24"/>
              </w:rPr>
              <w:t xml:space="preserve">2.1.2</w:t>
            </w:r>
          </w:p>
        </w:tc>
        <w:tc>
          <w:tcPr>
            <w:tcW w:w="2891" w:type="dxa"/>
          </w:tcPr>
          <w:p>
            <w:pPr>
              <w:pStyle w:val="0"/>
            </w:pPr>
            <w:r>
              <w:rPr>
                <w:sz w:val="24"/>
              </w:rPr>
            </w:r>
          </w:p>
        </w:tc>
        <w:tc>
          <w:tcPr>
            <w:tcW w:w="1814" w:type="dxa"/>
          </w:tcPr>
          <w:p>
            <w:pPr>
              <w:pStyle w:val="0"/>
            </w:pPr>
            <w:r>
              <w:rPr>
                <w:sz w:val="24"/>
              </w:rPr>
              <w:t xml:space="preserve">Добровольное страхование жизни с условием периодических страховых выплат (ренты, аннуитетов) и (или) с участием страхователя в инвестиционном доходе страховщика</w:t>
            </w:r>
          </w:p>
        </w:tc>
        <w:tc>
          <w:tcPr>
            <w:tcW w:w="3402" w:type="dxa"/>
          </w:tcPr>
          <w:p>
            <w:pPr>
              <w:pStyle w:val="0"/>
            </w:pPr>
            <w:r>
              <w:rPr>
                <w:sz w:val="24"/>
              </w:rPr>
              <w:t xml:space="preserve">mem-int:DobrStrZhPerStrVyplUchSlInvDokhMember</w:t>
            </w:r>
          </w:p>
        </w:tc>
      </w:tr>
      <w:tr>
        <w:tc>
          <w:tcPr>
            <w:tcW w:w="964" w:type="dxa"/>
          </w:tcPr>
          <w:bookmarkStart w:id="58721" w:name="P58721"/>
          <w:bookmarkEnd w:id="58721"/>
          <w:p>
            <w:pPr>
              <w:pStyle w:val="0"/>
            </w:pPr>
            <w:r>
              <w:rPr>
                <w:sz w:val="24"/>
              </w:rPr>
              <w:t xml:space="preserve">2.1.3</w:t>
            </w:r>
          </w:p>
        </w:tc>
        <w:tc>
          <w:tcPr>
            <w:tcW w:w="2891" w:type="dxa"/>
          </w:tcPr>
          <w:p>
            <w:pPr>
              <w:pStyle w:val="0"/>
            </w:pPr>
            <w:r>
              <w:rPr>
                <w:sz w:val="24"/>
              </w:rPr>
            </w:r>
          </w:p>
        </w:tc>
        <w:tc>
          <w:tcPr>
            <w:tcW w:w="1814" w:type="dxa"/>
          </w:tcPr>
          <w:p>
            <w:pPr>
              <w:pStyle w:val="0"/>
            </w:pPr>
            <w:r>
              <w:rPr>
                <w:sz w:val="24"/>
              </w:rPr>
              <w:t xml:space="preserve">Добровольное долевое страхование жизни</w:t>
            </w:r>
          </w:p>
        </w:tc>
        <w:tc>
          <w:tcPr>
            <w:tcW w:w="3402" w:type="dxa"/>
          </w:tcPr>
          <w:p>
            <w:pPr>
              <w:pStyle w:val="0"/>
            </w:pPr>
            <w:r>
              <w:rPr>
                <w:sz w:val="24"/>
              </w:rPr>
              <w:t xml:space="preserve">mem-int:DobrDolevoeStraxZHizniMember</w:t>
            </w:r>
          </w:p>
        </w:tc>
      </w:tr>
      <w:tr>
        <w:tc>
          <w:tcPr>
            <w:tcW w:w="964" w:type="dxa"/>
          </w:tcPr>
          <w:p>
            <w:pPr>
              <w:pStyle w:val="0"/>
            </w:pPr>
            <w:r>
              <w:rPr>
                <w:sz w:val="24"/>
              </w:rPr>
              <w:t xml:space="preserve">2.2</w:t>
            </w:r>
          </w:p>
        </w:tc>
        <w:tc>
          <w:tcPr>
            <w:tcW w:w="2891" w:type="dxa"/>
          </w:tcPr>
          <w:p>
            <w:pPr>
              <w:pStyle w:val="0"/>
            </w:pPr>
            <w:r>
              <w:rPr>
                <w:sz w:val="24"/>
              </w:rPr>
            </w:r>
          </w:p>
        </w:tc>
        <w:tc>
          <w:tcPr>
            <w:tcW w:w="1814" w:type="dxa"/>
          </w:tcPr>
          <w:p>
            <w:pPr>
              <w:pStyle w:val="0"/>
            </w:pPr>
            <w:r>
              <w:rPr>
                <w:sz w:val="24"/>
              </w:rPr>
              <w:t xml:space="preserve">Добровольное пенсионное страхование</w:t>
            </w:r>
          </w:p>
        </w:tc>
        <w:tc>
          <w:tcPr>
            <w:tcW w:w="3402" w:type="dxa"/>
          </w:tcPr>
          <w:p>
            <w:pPr>
              <w:pStyle w:val="0"/>
            </w:pPr>
            <w:r>
              <w:rPr>
                <w:sz w:val="24"/>
              </w:rPr>
              <w:t xml:space="preserve">mem-int:DobrPensStrMember</w:t>
            </w:r>
          </w:p>
        </w:tc>
      </w:tr>
      <w:tr>
        <w:tc>
          <w:tcPr>
            <w:tcW w:w="964" w:type="dxa"/>
          </w:tcPr>
          <w:bookmarkStart w:id="58729" w:name="P58729"/>
          <w:bookmarkEnd w:id="58729"/>
          <w:p>
            <w:pPr>
              <w:pStyle w:val="0"/>
            </w:pPr>
            <w:r>
              <w:rPr>
                <w:sz w:val="24"/>
              </w:rPr>
              <w:t xml:space="preserve">2.3</w:t>
            </w:r>
          </w:p>
        </w:tc>
        <w:tc>
          <w:tcPr>
            <w:tcW w:w="2891" w:type="dxa"/>
          </w:tcPr>
          <w:p>
            <w:pPr>
              <w:pStyle w:val="0"/>
            </w:pPr>
            <w:r>
              <w:rPr>
                <w:sz w:val="24"/>
              </w:rPr>
            </w:r>
          </w:p>
        </w:tc>
        <w:tc>
          <w:tcPr>
            <w:tcW w:w="1814" w:type="dxa"/>
          </w:tcPr>
          <w:p>
            <w:pPr>
              <w:pStyle w:val="0"/>
            </w:pPr>
            <w:r>
              <w:rPr>
                <w:sz w:val="24"/>
              </w:rPr>
              <w:t xml:space="preserve">Добровольное личное страхование (кроме страхования жизни)</w:t>
            </w:r>
          </w:p>
        </w:tc>
        <w:tc>
          <w:tcPr>
            <w:tcW w:w="3402" w:type="dxa"/>
          </w:tcPr>
          <w:p>
            <w:pPr>
              <w:pStyle w:val="0"/>
            </w:pPr>
            <w:r>
              <w:rPr>
                <w:sz w:val="24"/>
              </w:rPr>
              <w:t xml:space="preserve">mem-int:DobrLichStrKrStrZhMember</w:t>
            </w:r>
          </w:p>
        </w:tc>
      </w:tr>
      <w:tr>
        <w:tc>
          <w:tcPr>
            <w:tcW w:w="964" w:type="dxa"/>
          </w:tcPr>
          <w:bookmarkStart w:id="58733" w:name="P58733"/>
          <w:bookmarkEnd w:id="58733"/>
          <w:p>
            <w:pPr>
              <w:pStyle w:val="0"/>
            </w:pPr>
            <w:r>
              <w:rPr>
                <w:sz w:val="24"/>
              </w:rPr>
              <w:t xml:space="preserve">2.3.1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w:t>
            </w:r>
          </w:p>
        </w:tc>
        <w:tc>
          <w:tcPr>
            <w:tcW w:w="3402" w:type="dxa"/>
          </w:tcPr>
          <w:p>
            <w:pPr>
              <w:pStyle w:val="0"/>
            </w:pPr>
            <w:r>
              <w:rPr>
                <w:sz w:val="24"/>
              </w:rPr>
              <w:t xml:space="preserve">mem-int:DobrStrNeschSlBolMember</w:t>
            </w:r>
          </w:p>
        </w:tc>
      </w:tr>
      <w:tr>
        <w:tc>
          <w:tcPr>
            <w:tcW w:w="964" w:type="dxa"/>
          </w:tcPr>
          <w:bookmarkStart w:id="58737" w:name="P58737"/>
          <w:bookmarkEnd w:id="58737"/>
          <w:p>
            <w:pPr>
              <w:pStyle w:val="0"/>
            </w:pPr>
            <w:r>
              <w:rPr>
                <w:sz w:val="24"/>
              </w:rPr>
              <w:t xml:space="preserve">2.3.1.1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пациентов, участвующих в клинических исследованиях лекарственного препарата для медицинского применения</w:t>
            </w:r>
          </w:p>
        </w:tc>
        <w:tc>
          <w:tcPr>
            <w:tcW w:w="3402" w:type="dxa"/>
          </w:tcPr>
          <w:p>
            <w:pPr>
              <w:pStyle w:val="0"/>
            </w:pPr>
            <w:r>
              <w:rPr>
                <w:sz w:val="24"/>
              </w:rPr>
              <w:t xml:space="preserve">mem-int:DobrStrNeschSlBol_PaczUchastKlinIssledMember</w:t>
            </w:r>
          </w:p>
        </w:tc>
      </w:tr>
      <w:tr>
        <w:tc>
          <w:tcPr>
            <w:tcW w:w="964" w:type="dxa"/>
          </w:tcPr>
          <w:bookmarkStart w:id="58741" w:name="P58741"/>
          <w:bookmarkEnd w:id="58741"/>
          <w:p>
            <w:pPr>
              <w:pStyle w:val="0"/>
            </w:pPr>
            <w:r>
              <w:rPr>
                <w:sz w:val="24"/>
              </w:rPr>
              <w:t xml:space="preserve">2.3.1.2</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работников налоговых органов</w:t>
            </w:r>
          </w:p>
        </w:tc>
        <w:tc>
          <w:tcPr>
            <w:tcW w:w="3402" w:type="dxa"/>
          </w:tcPr>
          <w:p>
            <w:pPr>
              <w:pStyle w:val="0"/>
            </w:pPr>
            <w:r>
              <w:rPr>
                <w:sz w:val="24"/>
              </w:rPr>
              <w:t xml:space="preserve">mem-int:DobrStrNeschSlBol_RabNalogOrgMember</w:t>
            </w:r>
          </w:p>
        </w:tc>
      </w:tr>
      <w:tr>
        <w:tc>
          <w:tcPr>
            <w:tcW w:w="964" w:type="dxa"/>
          </w:tcPr>
          <w:bookmarkStart w:id="58745" w:name="P58745"/>
          <w:bookmarkEnd w:id="58745"/>
          <w:p>
            <w:pPr>
              <w:pStyle w:val="0"/>
            </w:pPr>
            <w:r>
              <w:rPr>
                <w:sz w:val="24"/>
              </w:rPr>
              <w:t xml:space="preserve">2.3.2</w:t>
            </w:r>
          </w:p>
        </w:tc>
        <w:tc>
          <w:tcPr>
            <w:tcW w:w="2891" w:type="dxa"/>
          </w:tcPr>
          <w:p>
            <w:pPr>
              <w:pStyle w:val="0"/>
            </w:pPr>
            <w:r>
              <w:rPr>
                <w:sz w:val="24"/>
              </w:rPr>
            </w:r>
          </w:p>
        </w:tc>
        <w:tc>
          <w:tcPr>
            <w:tcW w:w="1814" w:type="dxa"/>
          </w:tcPr>
          <w:p>
            <w:pPr>
              <w:pStyle w:val="0"/>
            </w:pPr>
            <w:r>
              <w:rPr>
                <w:sz w:val="24"/>
              </w:rPr>
              <w:t xml:space="preserve">Добровольное медицинское страхование</w:t>
            </w:r>
          </w:p>
        </w:tc>
        <w:tc>
          <w:tcPr>
            <w:tcW w:w="3402" w:type="dxa"/>
          </w:tcPr>
          <w:p>
            <w:pPr>
              <w:pStyle w:val="0"/>
            </w:pPr>
            <w:r>
              <w:rPr>
                <w:sz w:val="24"/>
              </w:rPr>
              <w:t xml:space="preserve">mem-int:DobrMedStrMember</w:t>
            </w:r>
          </w:p>
        </w:tc>
      </w:tr>
      <w:tr>
        <w:tc>
          <w:tcPr>
            <w:tcW w:w="964" w:type="dxa"/>
          </w:tcPr>
          <w:bookmarkStart w:id="58749" w:name="P58749"/>
          <w:bookmarkEnd w:id="58749"/>
          <w:p>
            <w:pPr>
              <w:pStyle w:val="0"/>
            </w:pPr>
            <w:r>
              <w:rPr>
                <w:sz w:val="24"/>
              </w:rPr>
              <w:t xml:space="preserve">2.4</w:t>
            </w:r>
          </w:p>
        </w:tc>
        <w:tc>
          <w:tcPr>
            <w:tcW w:w="2891" w:type="dxa"/>
          </w:tcPr>
          <w:p>
            <w:pPr>
              <w:pStyle w:val="0"/>
            </w:pPr>
            <w:r>
              <w:rPr>
                <w:sz w:val="24"/>
              </w:rPr>
            </w:r>
          </w:p>
        </w:tc>
        <w:tc>
          <w:tcPr>
            <w:tcW w:w="1814" w:type="dxa"/>
          </w:tcPr>
          <w:p>
            <w:pPr>
              <w:pStyle w:val="0"/>
            </w:pPr>
            <w:r>
              <w:rPr>
                <w:sz w:val="24"/>
              </w:rPr>
              <w:t xml:space="preserve">Добровольное имущественное страхование</w:t>
            </w:r>
          </w:p>
        </w:tc>
        <w:tc>
          <w:tcPr>
            <w:tcW w:w="3402" w:type="dxa"/>
          </w:tcPr>
          <w:p>
            <w:pPr>
              <w:pStyle w:val="0"/>
            </w:pPr>
            <w:r>
              <w:rPr>
                <w:sz w:val="24"/>
              </w:rPr>
              <w:t xml:space="preserve">mem-int:DobrImushStrMember</w:t>
            </w:r>
          </w:p>
        </w:tc>
      </w:tr>
      <w:tr>
        <w:tc>
          <w:tcPr>
            <w:tcW w:w="964" w:type="dxa"/>
          </w:tcPr>
          <w:bookmarkStart w:id="58753" w:name="P58753"/>
          <w:bookmarkEnd w:id="58753"/>
          <w:p>
            <w:pPr>
              <w:pStyle w:val="0"/>
            </w:pPr>
            <w:r>
              <w:rPr>
                <w:sz w:val="24"/>
              </w:rPr>
              <w:t xml:space="preserve">2.4.1</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w:t>
            </w:r>
          </w:p>
        </w:tc>
        <w:tc>
          <w:tcPr>
            <w:tcW w:w="3402" w:type="dxa"/>
          </w:tcPr>
          <w:p>
            <w:pPr>
              <w:pStyle w:val="0"/>
            </w:pPr>
            <w:r>
              <w:rPr>
                <w:sz w:val="24"/>
              </w:rPr>
              <w:t xml:space="preserve">mem-int:DobrStrImushMember</w:t>
            </w:r>
          </w:p>
        </w:tc>
      </w:tr>
      <w:tr>
        <w:tc>
          <w:tcPr>
            <w:tcW w:w="964" w:type="dxa"/>
          </w:tcPr>
          <w:bookmarkStart w:id="58757" w:name="P58757"/>
          <w:bookmarkEnd w:id="58757"/>
          <w:p>
            <w:pPr>
              <w:pStyle w:val="0"/>
            </w:pPr>
            <w:r>
              <w:rPr>
                <w:sz w:val="24"/>
              </w:rPr>
              <w:t xml:space="preserve">2.4.1.1</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наземного транспорта (кроме средств железнодорожного транспорта)</w:t>
            </w:r>
          </w:p>
        </w:tc>
        <w:tc>
          <w:tcPr>
            <w:tcW w:w="3402" w:type="dxa"/>
          </w:tcPr>
          <w:p>
            <w:pPr>
              <w:pStyle w:val="0"/>
            </w:pPr>
            <w:r>
              <w:rPr>
                <w:sz w:val="24"/>
              </w:rPr>
              <w:t xml:space="preserve">mem-int:DobrStrSrNazTrKrZhdMember</w:t>
            </w:r>
          </w:p>
        </w:tc>
      </w:tr>
      <w:tr>
        <w:tc>
          <w:tcPr>
            <w:tcW w:w="964" w:type="dxa"/>
          </w:tcPr>
          <w:p>
            <w:pPr>
              <w:pStyle w:val="0"/>
            </w:pPr>
            <w:r>
              <w:rPr>
                <w:sz w:val="24"/>
              </w:rPr>
              <w:t xml:space="preserve">2.4.1.2</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железнодорожного транспорта</w:t>
            </w:r>
          </w:p>
        </w:tc>
        <w:tc>
          <w:tcPr>
            <w:tcW w:w="3402" w:type="dxa"/>
          </w:tcPr>
          <w:p>
            <w:pPr>
              <w:pStyle w:val="0"/>
            </w:pPr>
            <w:r>
              <w:rPr>
                <w:sz w:val="24"/>
              </w:rPr>
              <w:t xml:space="preserve">mem-int:DobrStrSrZhdTrMember</w:t>
            </w:r>
          </w:p>
        </w:tc>
      </w:tr>
      <w:tr>
        <w:tc>
          <w:tcPr>
            <w:tcW w:w="964" w:type="dxa"/>
          </w:tcPr>
          <w:p>
            <w:pPr>
              <w:pStyle w:val="0"/>
            </w:pPr>
            <w:r>
              <w:rPr>
                <w:sz w:val="24"/>
              </w:rPr>
              <w:t xml:space="preserve">2.4.1.3</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воздушного транспорта</w:t>
            </w:r>
          </w:p>
        </w:tc>
        <w:tc>
          <w:tcPr>
            <w:tcW w:w="3402" w:type="dxa"/>
          </w:tcPr>
          <w:p>
            <w:pPr>
              <w:pStyle w:val="0"/>
            </w:pPr>
            <w:r>
              <w:rPr>
                <w:sz w:val="24"/>
              </w:rPr>
              <w:t xml:space="preserve">mem-int:DobrStrSrVozdTrMember</w:t>
            </w:r>
          </w:p>
        </w:tc>
      </w:tr>
      <w:tr>
        <w:tc>
          <w:tcPr>
            <w:tcW w:w="964" w:type="dxa"/>
          </w:tcPr>
          <w:p>
            <w:pPr>
              <w:pStyle w:val="0"/>
            </w:pPr>
            <w:r>
              <w:rPr>
                <w:sz w:val="24"/>
              </w:rPr>
              <w:t xml:space="preserve">2.4.1.4</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водного транспорта</w:t>
            </w:r>
          </w:p>
        </w:tc>
        <w:tc>
          <w:tcPr>
            <w:tcW w:w="3402" w:type="dxa"/>
          </w:tcPr>
          <w:p>
            <w:pPr>
              <w:pStyle w:val="0"/>
            </w:pPr>
            <w:r>
              <w:rPr>
                <w:sz w:val="24"/>
              </w:rPr>
              <w:t xml:space="preserve">mem-int:DobrStrSrVodTrMember</w:t>
            </w:r>
          </w:p>
        </w:tc>
      </w:tr>
      <w:tr>
        <w:tc>
          <w:tcPr>
            <w:tcW w:w="964" w:type="dxa"/>
          </w:tcPr>
          <w:p>
            <w:pPr>
              <w:pStyle w:val="0"/>
            </w:pPr>
            <w:r>
              <w:rPr>
                <w:sz w:val="24"/>
              </w:rPr>
              <w:t xml:space="preserve">2.4.1.5</w:t>
            </w:r>
          </w:p>
        </w:tc>
        <w:tc>
          <w:tcPr>
            <w:tcW w:w="2891" w:type="dxa"/>
          </w:tcPr>
          <w:p>
            <w:pPr>
              <w:pStyle w:val="0"/>
            </w:pPr>
            <w:r>
              <w:rPr>
                <w:sz w:val="24"/>
              </w:rPr>
            </w:r>
          </w:p>
        </w:tc>
        <w:tc>
          <w:tcPr>
            <w:tcW w:w="1814" w:type="dxa"/>
          </w:tcPr>
          <w:p>
            <w:pPr>
              <w:pStyle w:val="0"/>
            </w:pPr>
            <w:r>
              <w:rPr>
                <w:sz w:val="24"/>
              </w:rPr>
              <w:t xml:space="preserve">Добровольное страхование грузов</w:t>
            </w:r>
          </w:p>
        </w:tc>
        <w:tc>
          <w:tcPr>
            <w:tcW w:w="3402" w:type="dxa"/>
          </w:tcPr>
          <w:p>
            <w:pPr>
              <w:pStyle w:val="0"/>
            </w:pPr>
            <w:r>
              <w:rPr>
                <w:sz w:val="24"/>
              </w:rPr>
              <w:t xml:space="preserve">mem-int:DobrStrGruzMember</w:t>
            </w:r>
          </w:p>
        </w:tc>
      </w:tr>
      <w:tr>
        <w:tc>
          <w:tcPr>
            <w:tcW w:w="964" w:type="dxa"/>
          </w:tcPr>
          <w:bookmarkStart w:id="58777" w:name="P58777"/>
          <w:bookmarkEnd w:id="58777"/>
          <w:p>
            <w:pPr>
              <w:pStyle w:val="0"/>
            </w:pPr>
            <w:r>
              <w:rPr>
                <w:sz w:val="24"/>
              </w:rPr>
              <w:t xml:space="preserve">2.4.1.6</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w:t>
            </w:r>
          </w:p>
        </w:tc>
        <w:tc>
          <w:tcPr>
            <w:tcW w:w="3402" w:type="dxa"/>
          </w:tcPr>
          <w:p>
            <w:pPr>
              <w:pStyle w:val="0"/>
            </w:pPr>
            <w:r>
              <w:rPr>
                <w:sz w:val="24"/>
              </w:rPr>
              <w:t xml:space="preserve">mem-int:DobrSxStrMember</w:t>
            </w:r>
          </w:p>
        </w:tc>
      </w:tr>
      <w:tr>
        <w:tc>
          <w:tcPr>
            <w:tcW w:w="964" w:type="dxa"/>
          </w:tcPr>
          <w:p>
            <w:pPr>
              <w:pStyle w:val="0"/>
            </w:pPr>
            <w:r>
              <w:rPr>
                <w:sz w:val="24"/>
              </w:rPr>
              <w:t xml:space="preserve">2.4.1.7</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юридических лиц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mem-int:DobrStrImYurLiczMember</w:t>
            </w:r>
          </w:p>
        </w:tc>
      </w:tr>
      <w:tr>
        <w:tc>
          <w:tcPr>
            <w:tcW w:w="964" w:type="dxa"/>
          </w:tcPr>
          <w:bookmarkStart w:id="58785" w:name="P58785"/>
          <w:bookmarkEnd w:id="58785"/>
          <w:p>
            <w:pPr>
              <w:pStyle w:val="0"/>
            </w:pPr>
            <w:r>
              <w:rPr>
                <w:sz w:val="24"/>
              </w:rPr>
              <w:t xml:space="preserve">2.4.1.8</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граждан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mem-int:DobrStrImGrazhdMember</w:t>
            </w:r>
          </w:p>
        </w:tc>
      </w:tr>
      <w:tr>
        <w:tc>
          <w:tcPr>
            <w:tcW w:w="964" w:type="dxa"/>
          </w:tcPr>
          <w:bookmarkStart w:id="58789" w:name="P58789"/>
          <w:bookmarkEnd w:id="58789"/>
          <w:p>
            <w:pPr>
              <w:pStyle w:val="0"/>
            </w:pPr>
            <w:r>
              <w:rPr>
                <w:sz w:val="24"/>
              </w:rPr>
              <w:t xml:space="preserve">2.4.2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w:t>
            </w:r>
          </w:p>
        </w:tc>
        <w:tc>
          <w:tcPr>
            <w:tcW w:w="3402" w:type="dxa"/>
          </w:tcPr>
          <w:p>
            <w:pPr>
              <w:pStyle w:val="0"/>
            </w:pPr>
            <w:r>
              <w:rPr>
                <w:sz w:val="24"/>
              </w:rPr>
              <w:t xml:space="preserve">mem-int:DobrStrGrazhdOtvMember</w:t>
            </w:r>
          </w:p>
        </w:tc>
      </w:tr>
      <w:tr>
        <w:tc>
          <w:tcPr>
            <w:tcW w:w="964" w:type="dxa"/>
          </w:tcPr>
          <w:bookmarkStart w:id="58793" w:name="P58793"/>
          <w:bookmarkEnd w:id="58793"/>
          <w:p>
            <w:pPr>
              <w:pStyle w:val="0"/>
            </w:pPr>
            <w:r>
              <w:rPr>
                <w:sz w:val="24"/>
              </w:rPr>
              <w:t xml:space="preserve">2.4.2.1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наземного транспорта (кроме средств железнодорожного транспорта)</w:t>
            </w:r>
          </w:p>
        </w:tc>
        <w:tc>
          <w:tcPr>
            <w:tcW w:w="3402" w:type="dxa"/>
          </w:tcPr>
          <w:p>
            <w:pPr>
              <w:pStyle w:val="0"/>
            </w:pPr>
            <w:r>
              <w:rPr>
                <w:sz w:val="24"/>
              </w:rPr>
              <w:t xml:space="preserve">mem-int:DobrStrGrOtvVladSrNazTrKrZhdMember</w:t>
            </w:r>
          </w:p>
        </w:tc>
      </w:tr>
      <w:tr>
        <w:tc>
          <w:tcPr>
            <w:tcW w:w="964" w:type="dxa"/>
          </w:tcPr>
          <w:p>
            <w:pPr>
              <w:pStyle w:val="0"/>
            </w:pPr>
            <w:r>
              <w:rPr>
                <w:sz w:val="24"/>
              </w:rPr>
              <w:t xml:space="preserve">2.4.2.2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железнодорожного транспорта</w:t>
            </w:r>
          </w:p>
        </w:tc>
        <w:tc>
          <w:tcPr>
            <w:tcW w:w="3402" w:type="dxa"/>
          </w:tcPr>
          <w:p>
            <w:pPr>
              <w:pStyle w:val="0"/>
            </w:pPr>
            <w:r>
              <w:rPr>
                <w:sz w:val="24"/>
              </w:rPr>
              <w:t xml:space="preserve">mem-int:DobrStrGrOtvVladSrZhdTrMember</w:t>
            </w:r>
          </w:p>
        </w:tc>
      </w:tr>
      <w:tr>
        <w:tc>
          <w:tcPr>
            <w:tcW w:w="964" w:type="dxa"/>
          </w:tcPr>
          <w:p>
            <w:pPr>
              <w:pStyle w:val="0"/>
            </w:pPr>
            <w:r>
              <w:rPr>
                <w:sz w:val="24"/>
              </w:rPr>
              <w:t xml:space="preserve">2.4.2.3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воздушного транспорта</w:t>
            </w:r>
          </w:p>
        </w:tc>
        <w:tc>
          <w:tcPr>
            <w:tcW w:w="3402" w:type="dxa"/>
          </w:tcPr>
          <w:p>
            <w:pPr>
              <w:pStyle w:val="0"/>
            </w:pPr>
            <w:r>
              <w:rPr>
                <w:sz w:val="24"/>
              </w:rPr>
              <w:t xml:space="preserve">mem-int:DobrStrGrOtvVladSrVozdTrMember</w:t>
            </w:r>
          </w:p>
        </w:tc>
      </w:tr>
      <w:tr>
        <w:tc>
          <w:tcPr>
            <w:tcW w:w="964" w:type="dxa"/>
          </w:tcPr>
          <w:p>
            <w:pPr>
              <w:pStyle w:val="0"/>
            </w:pPr>
            <w:r>
              <w:rPr>
                <w:sz w:val="24"/>
              </w:rPr>
              <w:t xml:space="preserve">2.4.2.4</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водного транспорта</w:t>
            </w:r>
          </w:p>
        </w:tc>
        <w:tc>
          <w:tcPr>
            <w:tcW w:w="3402" w:type="dxa"/>
          </w:tcPr>
          <w:p>
            <w:pPr>
              <w:pStyle w:val="0"/>
            </w:pPr>
            <w:r>
              <w:rPr>
                <w:sz w:val="24"/>
              </w:rPr>
              <w:t xml:space="preserve">mem-int:DobrStrGrOtvVladSrVodTrMember</w:t>
            </w:r>
          </w:p>
        </w:tc>
      </w:tr>
      <w:tr>
        <w:tc>
          <w:tcPr>
            <w:tcW w:w="964" w:type="dxa"/>
          </w:tcPr>
          <w:p>
            <w:pPr>
              <w:pStyle w:val="0"/>
            </w:pPr>
            <w:r>
              <w:rPr>
                <w:sz w:val="24"/>
              </w:rPr>
              <w:t xml:space="preserve">2.4.2.5</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эксплуатирующих опасные объекты</w:t>
            </w:r>
          </w:p>
        </w:tc>
        <w:tc>
          <w:tcPr>
            <w:tcW w:w="3402" w:type="dxa"/>
          </w:tcPr>
          <w:p>
            <w:pPr>
              <w:pStyle w:val="0"/>
            </w:pPr>
            <w:r>
              <w:rPr>
                <w:sz w:val="24"/>
              </w:rPr>
              <w:t xml:space="preserve">mem-int:DobrStrGrOtvOrgEkspOpObMember</w:t>
            </w:r>
          </w:p>
        </w:tc>
      </w:tr>
      <w:tr>
        <w:tc>
          <w:tcPr>
            <w:tcW w:w="964" w:type="dxa"/>
          </w:tcPr>
          <w:p>
            <w:pPr>
              <w:pStyle w:val="0"/>
            </w:pPr>
            <w:r>
              <w:rPr>
                <w:sz w:val="24"/>
              </w:rPr>
              <w:t xml:space="preserve">2.4.2.6</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вследствие недостатков товаров, работ, услуг</w:t>
            </w:r>
          </w:p>
        </w:tc>
        <w:tc>
          <w:tcPr>
            <w:tcW w:w="3402" w:type="dxa"/>
          </w:tcPr>
          <w:p>
            <w:pPr>
              <w:pStyle w:val="0"/>
            </w:pPr>
            <w:r>
              <w:rPr>
                <w:sz w:val="24"/>
              </w:rPr>
              <w:t xml:space="preserve">mem-int:DobrStrGrOtvPrichVredNedTovUslRabMember</w:t>
            </w:r>
          </w:p>
        </w:tc>
      </w:tr>
      <w:tr>
        <w:tc>
          <w:tcPr>
            <w:tcW w:w="964" w:type="dxa"/>
          </w:tcPr>
          <w:p>
            <w:pPr>
              <w:pStyle w:val="0"/>
            </w:pPr>
            <w:r>
              <w:rPr>
                <w:sz w:val="24"/>
              </w:rPr>
              <w:t xml:space="preserve">2.4.2.7</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третьим лицам</w:t>
            </w:r>
          </w:p>
        </w:tc>
        <w:tc>
          <w:tcPr>
            <w:tcW w:w="3402" w:type="dxa"/>
          </w:tcPr>
          <w:p>
            <w:pPr>
              <w:pStyle w:val="0"/>
            </w:pPr>
            <w:r>
              <w:rPr>
                <w:sz w:val="24"/>
              </w:rPr>
              <w:t xml:space="preserve">mem-int:DobrStrGrOtvPrichVredTrLiczMember</w:t>
            </w:r>
          </w:p>
        </w:tc>
      </w:tr>
      <w:tr>
        <w:tc>
          <w:tcPr>
            <w:tcW w:w="964" w:type="dxa"/>
          </w:tcPr>
          <w:bookmarkStart w:id="58821" w:name="P58821"/>
          <w:bookmarkEnd w:id="58821"/>
          <w:p>
            <w:pPr>
              <w:pStyle w:val="0"/>
            </w:pPr>
            <w:r>
              <w:rPr>
                <w:sz w:val="24"/>
              </w:rPr>
              <w:t xml:space="preserve">2.4.2.8</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неисполнение или ненадлежащее исполнение обязательств по договору</w:t>
            </w:r>
          </w:p>
        </w:tc>
        <w:tc>
          <w:tcPr>
            <w:tcW w:w="3402" w:type="dxa"/>
          </w:tcPr>
          <w:p>
            <w:pPr>
              <w:pStyle w:val="0"/>
            </w:pPr>
            <w:r>
              <w:rPr>
                <w:sz w:val="24"/>
              </w:rPr>
              <w:t xml:space="preserve">mem-int:DobrStrGrOtvNeispObMember</w:t>
            </w:r>
          </w:p>
        </w:tc>
      </w:tr>
      <w:tr>
        <w:tc>
          <w:tcPr>
            <w:tcW w:w="964" w:type="dxa"/>
          </w:tcPr>
          <w:bookmarkStart w:id="58825" w:name="P58825"/>
          <w:bookmarkEnd w:id="58825"/>
          <w:p>
            <w:pPr>
              <w:pStyle w:val="0"/>
            </w:pPr>
            <w:r>
              <w:rPr>
                <w:sz w:val="24"/>
              </w:rPr>
              <w:t xml:space="preserve">2.4.3</w:t>
            </w:r>
          </w:p>
        </w:tc>
        <w:tc>
          <w:tcPr>
            <w:tcW w:w="2891" w:type="dxa"/>
          </w:tcPr>
          <w:p>
            <w:pPr>
              <w:pStyle w:val="0"/>
            </w:pPr>
            <w:r>
              <w:rPr>
                <w:sz w:val="24"/>
              </w:rPr>
            </w:r>
          </w:p>
        </w:tc>
        <w:tc>
          <w:tcPr>
            <w:tcW w:w="1814" w:type="dxa"/>
          </w:tcPr>
          <w:p>
            <w:pPr>
              <w:pStyle w:val="0"/>
            </w:pPr>
            <w:r>
              <w:rPr>
                <w:sz w:val="24"/>
              </w:rPr>
              <w:t xml:space="preserve">Добровольное страхование предпринимательских рисков</w:t>
            </w:r>
          </w:p>
        </w:tc>
        <w:tc>
          <w:tcPr>
            <w:tcW w:w="3402" w:type="dxa"/>
          </w:tcPr>
          <w:p>
            <w:pPr>
              <w:pStyle w:val="0"/>
            </w:pPr>
            <w:r>
              <w:rPr>
                <w:sz w:val="24"/>
              </w:rPr>
              <w:t xml:space="preserve">mem-int:DobrStrPredRiskMember</w:t>
            </w:r>
          </w:p>
        </w:tc>
      </w:tr>
      <w:tr>
        <w:tc>
          <w:tcPr>
            <w:tcW w:w="964" w:type="dxa"/>
          </w:tcPr>
          <w:bookmarkStart w:id="58829" w:name="P58829"/>
          <w:bookmarkEnd w:id="58829"/>
          <w:p>
            <w:pPr>
              <w:pStyle w:val="0"/>
            </w:pPr>
            <w:r>
              <w:rPr>
                <w:sz w:val="24"/>
              </w:rPr>
              <w:t xml:space="preserve">2.4.4</w:t>
            </w:r>
          </w:p>
        </w:tc>
        <w:tc>
          <w:tcPr>
            <w:tcW w:w="2891" w:type="dxa"/>
          </w:tcPr>
          <w:p>
            <w:pPr>
              <w:pStyle w:val="0"/>
            </w:pPr>
            <w:r>
              <w:rPr>
                <w:sz w:val="24"/>
              </w:rPr>
            </w:r>
          </w:p>
        </w:tc>
        <w:tc>
          <w:tcPr>
            <w:tcW w:w="1814" w:type="dxa"/>
          </w:tcPr>
          <w:p>
            <w:pPr>
              <w:pStyle w:val="0"/>
            </w:pPr>
            <w:r>
              <w:rPr>
                <w:sz w:val="24"/>
              </w:rPr>
              <w:t xml:space="preserve">Добровольное страхование финансовых рисков</w:t>
            </w:r>
          </w:p>
        </w:tc>
        <w:tc>
          <w:tcPr>
            <w:tcW w:w="3402" w:type="dxa"/>
          </w:tcPr>
          <w:p>
            <w:pPr>
              <w:pStyle w:val="0"/>
            </w:pPr>
            <w:r>
              <w:rPr>
                <w:sz w:val="24"/>
              </w:rPr>
              <w:t xml:space="preserve">mem-int:DobrStrFinRiskMember</w:t>
            </w:r>
          </w:p>
        </w:tc>
      </w:tr>
      <w:tr>
        <w:tc>
          <w:tcPr>
            <w:tcW w:w="964" w:type="dxa"/>
          </w:tcPr>
          <w:p>
            <w:pPr>
              <w:pStyle w:val="0"/>
            </w:pPr>
            <w:r>
              <w:rPr>
                <w:sz w:val="24"/>
              </w:rPr>
              <w:t xml:space="preserve">2.5</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военнослужащих и приравненных к ним в обязательном государственном страховании лиц</w:t>
            </w:r>
          </w:p>
        </w:tc>
        <w:tc>
          <w:tcPr>
            <w:tcW w:w="3402" w:type="dxa"/>
          </w:tcPr>
          <w:p>
            <w:pPr>
              <w:pStyle w:val="0"/>
            </w:pPr>
            <w:r>
              <w:rPr>
                <w:sz w:val="24"/>
              </w:rPr>
              <w:t xml:space="preserve">mem-int:ObzGosStrZhZdorVoenSborVDPozhUgIspNaczGvMember</w:t>
            </w:r>
          </w:p>
        </w:tc>
      </w:tr>
      <w:tr>
        <w:tc>
          <w:tcPr>
            <w:tcW w:w="964" w:type="dxa"/>
          </w:tcPr>
          <w:p>
            <w:pPr>
              <w:pStyle w:val="0"/>
            </w:pPr>
            <w:r>
              <w:rPr>
                <w:sz w:val="24"/>
              </w:rPr>
              <w:t xml:space="preserve">2.6</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владельцев транспортных средств</w:t>
            </w:r>
          </w:p>
        </w:tc>
        <w:tc>
          <w:tcPr>
            <w:tcW w:w="3402" w:type="dxa"/>
          </w:tcPr>
          <w:p>
            <w:pPr>
              <w:pStyle w:val="0"/>
            </w:pPr>
            <w:r>
              <w:rPr>
                <w:sz w:val="24"/>
              </w:rPr>
              <w:t xml:space="preserve">mem-int:ObzStrGrOtvVlTranspSrMember</w:t>
            </w:r>
          </w:p>
        </w:tc>
      </w:tr>
      <w:tr>
        <w:tc>
          <w:tcPr>
            <w:tcW w:w="964" w:type="dxa"/>
          </w:tcPr>
          <w:p>
            <w:pPr>
              <w:pStyle w:val="0"/>
            </w:pPr>
            <w:r>
              <w:rPr>
                <w:sz w:val="24"/>
              </w:rPr>
              <w:t xml:space="preserve">2.7</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опасного объекта за причинение вреда в результате аварии на опасном объекте</w:t>
            </w:r>
          </w:p>
        </w:tc>
        <w:tc>
          <w:tcPr>
            <w:tcW w:w="3402" w:type="dxa"/>
          </w:tcPr>
          <w:p>
            <w:pPr>
              <w:pStyle w:val="0"/>
            </w:pPr>
            <w:r>
              <w:rPr>
                <w:sz w:val="24"/>
              </w:rPr>
              <w:t xml:space="preserve">mem-int:ObzStrGrOtvVladOpasObPrichVrAvarMember</w:t>
            </w:r>
          </w:p>
        </w:tc>
      </w:tr>
      <w:tr>
        <w:tc>
          <w:tcPr>
            <w:tcW w:w="964" w:type="dxa"/>
          </w:tcPr>
          <w:p>
            <w:pPr>
              <w:pStyle w:val="0"/>
            </w:pPr>
            <w:r>
              <w:rPr>
                <w:sz w:val="24"/>
              </w:rPr>
              <w:t xml:space="preserve">2.8</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w:t>
            </w:r>
          </w:p>
        </w:tc>
        <w:tc>
          <w:tcPr>
            <w:tcW w:w="3402" w:type="dxa"/>
          </w:tcPr>
          <w:p>
            <w:pPr>
              <w:pStyle w:val="0"/>
            </w:pPr>
            <w:r>
              <w:rPr>
                <w:sz w:val="24"/>
              </w:rPr>
              <w:t xml:space="preserve">mem-int:ObzStrGrOtvPerevPrichVreZhZdorImPassMember</w:t>
            </w:r>
          </w:p>
        </w:tc>
      </w:tr>
      <w:tr>
        <w:tc>
          <w:tcPr>
            <w:tcW w:w="964" w:type="dxa"/>
          </w:tcPr>
          <w:p>
            <w:pPr>
              <w:pStyle w:val="0"/>
            </w:pPr>
            <w:r>
              <w:rPr>
                <w:sz w:val="24"/>
              </w:rPr>
              <w:t xml:space="preserve">3</w:t>
            </w:r>
          </w:p>
        </w:tc>
        <w:tc>
          <w:tcPr>
            <w:tcW w:w="2891" w:type="dxa"/>
          </w:tcPr>
          <w:p>
            <w:pPr>
              <w:pStyle w:val="0"/>
            </w:pPr>
            <w:r>
              <w:rPr>
                <w:sz w:val="24"/>
              </w:rPr>
              <w:t xml:space="preserve">Виды страховых агентов</w:t>
            </w:r>
          </w:p>
        </w:tc>
        <w:tc>
          <w:tcPr>
            <w:tcW w:w="1814" w:type="dxa"/>
          </w:tcPr>
          <w:p>
            <w:pPr>
              <w:pStyle w:val="0"/>
            </w:pPr>
            <w:r>
              <w:rPr>
                <w:sz w:val="24"/>
              </w:rPr>
            </w:r>
          </w:p>
        </w:tc>
        <w:tc>
          <w:tcPr>
            <w:tcW w:w="3402" w:type="dxa"/>
          </w:tcPr>
          <w:p>
            <w:pPr>
              <w:pStyle w:val="0"/>
            </w:pPr>
            <w:r>
              <w:rPr>
                <w:sz w:val="24"/>
              </w:rPr>
              <w:t xml:space="preserve">dim-int:Vidy_Strax_Agent_Axis</w:t>
            </w:r>
          </w:p>
        </w:tc>
      </w:tr>
      <w:tr>
        <w:tc>
          <w:tcPr>
            <w:tcW w:w="964" w:type="dxa"/>
          </w:tcPr>
          <w:p>
            <w:pPr>
              <w:pStyle w:val="0"/>
            </w:pPr>
            <w:r>
              <w:rPr>
                <w:sz w:val="24"/>
              </w:rPr>
              <w:t xml:space="preserve">3.1</w:t>
            </w:r>
          </w:p>
        </w:tc>
        <w:tc>
          <w:tcPr>
            <w:tcW w:w="2891" w:type="dxa"/>
          </w:tcPr>
          <w:p>
            <w:pPr>
              <w:pStyle w:val="0"/>
            </w:pPr>
            <w:r>
              <w:rPr>
                <w:sz w:val="24"/>
              </w:rPr>
            </w:r>
          </w:p>
        </w:tc>
        <w:tc>
          <w:tcPr>
            <w:tcW w:w="1814" w:type="dxa"/>
          </w:tcPr>
          <w:p>
            <w:pPr>
              <w:pStyle w:val="0"/>
            </w:pPr>
            <w:r>
              <w:rPr>
                <w:sz w:val="24"/>
              </w:rPr>
              <w:t xml:space="preserve">ФЛ - физическое лицо</w:t>
            </w:r>
          </w:p>
        </w:tc>
        <w:tc>
          <w:tcPr>
            <w:tcW w:w="3402" w:type="dxa"/>
          </w:tcPr>
          <w:p>
            <w:pPr>
              <w:pStyle w:val="0"/>
            </w:pPr>
            <w:r>
              <w:rPr>
                <w:sz w:val="24"/>
              </w:rPr>
              <w:t xml:space="preserve">mem-int:FlMember</w:t>
            </w:r>
          </w:p>
        </w:tc>
      </w:tr>
      <w:tr>
        <w:tc>
          <w:tcPr>
            <w:tcW w:w="964" w:type="dxa"/>
          </w:tcPr>
          <w:p>
            <w:pPr>
              <w:pStyle w:val="0"/>
            </w:pPr>
            <w:r>
              <w:rPr>
                <w:sz w:val="24"/>
              </w:rPr>
              <w:t xml:space="preserve">3.1.1</w:t>
            </w:r>
          </w:p>
        </w:tc>
        <w:tc>
          <w:tcPr>
            <w:tcW w:w="2891" w:type="dxa"/>
          </w:tcPr>
          <w:p>
            <w:pPr>
              <w:pStyle w:val="0"/>
            </w:pPr>
            <w:r>
              <w:rPr>
                <w:sz w:val="24"/>
              </w:rPr>
            </w:r>
          </w:p>
        </w:tc>
        <w:tc>
          <w:tcPr>
            <w:tcW w:w="1814" w:type="dxa"/>
          </w:tcPr>
          <w:p>
            <w:pPr>
              <w:pStyle w:val="0"/>
            </w:pPr>
            <w:r>
              <w:rPr>
                <w:sz w:val="24"/>
              </w:rPr>
              <w:t xml:space="preserve">ИП - индивидуальный предприниматель</w:t>
            </w:r>
          </w:p>
        </w:tc>
        <w:tc>
          <w:tcPr>
            <w:tcW w:w="3402" w:type="dxa"/>
          </w:tcPr>
          <w:p>
            <w:pPr>
              <w:pStyle w:val="0"/>
            </w:pPr>
            <w:r>
              <w:rPr>
                <w:sz w:val="24"/>
              </w:rPr>
              <w:t xml:space="preserve">mem-int:Ip_Member</w:t>
            </w:r>
          </w:p>
        </w:tc>
      </w:tr>
      <w:tr>
        <w:tc>
          <w:tcPr>
            <w:tcW w:w="964" w:type="dxa"/>
          </w:tcPr>
          <w:p>
            <w:pPr>
              <w:pStyle w:val="0"/>
            </w:pPr>
            <w:r>
              <w:rPr>
                <w:sz w:val="24"/>
              </w:rPr>
              <w:t xml:space="preserve">3.2</w:t>
            </w:r>
          </w:p>
        </w:tc>
        <w:tc>
          <w:tcPr>
            <w:tcW w:w="2891" w:type="dxa"/>
          </w:tcPr>
          <w:p>
            <w:pPr>
              <w:pStyle w:val="0"/>
            </w:pPr>
            <w:r>
              <w:rPr>
                <w:sz w:val="24"/>
              </w:rPr>
            </w:r>
          </w:p>
        </w:tc>
        <w:tc>
          <w:tcPr>
            <w:tcW w:w="1814" w:type="dxa"/>
          </w:tcPr>
          <w:p>
            <w:pPr>
              <w:pStyle w:val="0"/>
            </w:pPr>
            <w:r>
              <w:rPr>
                <w:sz w:val="24"/>
              </w:rPr>
              <w:t xml:space="preserve">Страховые организации</w:t>
            </w:r>
          </w:p>
        </w:tc>
        <w:tc>
          <w:tcPr>
            <w:tcW w:w="3402" w:type="dxa"/>
          </w:tcPr>
          <w:p>
            <w:pPr>
              <w:pStyle w:val="0"/>
            </w:pPr>
            <w:r>
              <w:rPr>
                <w:sz w:val="24"/>
              </w:rPr>
              <w:t xml:space="preserve">mem-int:SoMember</w:t>
            </w:r>
          </w:p>
        </w:tc>
      </w:tr>
      <w:tr>
        <w:tc>
          <w:tcPr>
            <w:tcW w:w="964" w:type="dxa"/>
          </w:tcPr>
          <w:p>
            <w:pPr>
              <w:pStyle w:val="0"/>
            </w:pPr>
            <w:r>
              <w:rPr>
                <w:sz w:val="24"/>
              </w:rPr>
              <w:t xml:space="preserve">3.3</w:t>
            </w:r>
          </w:p>
        </w:tc>
        <w:tc>
          <w:tcPr>
            <w:tcW w:w="2891" w:type="dxa"/>
          </w:tcPr>
          <w:p>
            <w:pPr>
              <w:pStyle w:val="0"/>
            </w:pPr>
            <w:r>
              <w:rPr>
                <w:sz w:val="24"/>
              </w:rPr>
            </w:r>
          </w:p>
        </w:tc>
        <w:tc>
          <w:tcPr>
            <w:tcW w:w="1814" w:type="dxa"/>
          </w:tcPr>
          <w:p>
            <w:pPr>
              <w:pStyle w:val="0"/>
            </w:pPr>
            <w:r>
              <w:rPr>
                <w:sz w:val="24"/>
              </w:rPr>
              <w:t xml:space="preserve">Другие юридические лица</w:t>
            </w:r>
          </w:p>
        </w:tc>
        <w:tc>
          <w:tcPr>
            <w:tcW w:w="3402" w:type="dxa"/>
          </w:tcPr>
          <w:p>
            <w:pPr>
              <w:pStyle w:val="0"/>
            </w:pPr>
            <w:r>
              <w:rPr>
                <w:sz w:val="24"/>
              </w:rPr>
              <w:t xml:space="preserve">mem-int:Drugie_Yul_Member</w:t>
            </w:r>
          </w:p>
        </w:tc>
      </w:tr>
      <w:tr>
        <w:tc>
          <w:tcPr>
            <w:tcW w:w="964" w:type="dxa"/>
          </w:tcPr>
          <w:p>
            <w:pPr>
              <w:pStyle w:val="0"/>
            </w:pPr>
            <w:r>
              <w:rPr>
                <w:sz w:val="24"/>
              </w:rPr>
              <w:t xml:space="preserve">4</w:t>
            </w:r>
          </w:p>
        </w:tc>
        <w:tc>
          <w:tcPr>
            <w:tcW w:w="2891" w:type="dxa"/>
          </w:tcPr>
          <w:p>
            <w:pPr>
              <w:pStyle w:val="0"/>
            </w:pPr>
            <w:r>
              <w:rPr>
                <w:sz w:val="24"/>
              </w:rPr>
              <w:t xml:space="preserve">Государственная поддержка</w:t>
            </w:r>
          </w:p>
        </w:tc>
        <w:tc>
          <w:tcPr>
            <w:tcW w:w="1814" w:type="dxa"/>
          </w:tcPr>
          <w:p>
            <w:pPr>
              <w:pStyle w:val="0"/>
            </w:pPr>
            <w:r>
              <w:rPr>
                <w:sz w:val="24"/>
              </w:rPr>
            </w:r>
          </w:p>
        </w:tc>
        <w:tc>
          <w:tcPr>
            <w:tcW w:w="3402" w:type="dxa"/>
          </w:tcPr>
          <w:p>
            <w:pPr>
              <w:pStyle w:val="0"/>
            </w:pPr>
            <w:r>
              <w:rPr>
                <w:sz w:val="24"/>
              </w:rPr>
              <w:t xml:space="preserve">dim-int:Gospodderzhka_Axis</w:t>
            </w:r>
          </w:p>
        </w:tc>
      </w:tr>
      <w:tr>
        <w:tc>
          <w:tcPr>
            <w:tcW w:w="964" w:type="dxa"/>
          </w:tcPr>
          <w:bookmarkStart w:id="58873" w:name="P58873"/>
          <w:bookmarkEnd w:id="58873"/>
          <w:p>
            <w:pPr>
              <w:pStyle w:val="0"/>
            </w:pPr>
            <w:r>
              <w:rPr>
                <w:sz w:val="24"/>
              </w:rPr>
              <w:t xml:space="preserve">4.1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осуществляемое с государственной поддержкой</w:t>
            </w:r>
          </w:p>
        </w:tc>
        <w:tc>
          <w:tcPr>
            <w:tcW w:w="3402" w:type="dxa"/>
          </w:tcPr>
          <w:p>
            <w:pPr>
              <w:pStyle w:val="0"/>
            </w:pPr>
            <w:r>
              <w:rPr>
                <w:sz w:val="24"/>
              </w:rPr>
              <w:t xml:space="preserve">mem-int:Strax_Sx_Gos_Pod_Member</w:t>
            </w:r>
          </w:p>
        </w:tc>
      </w:tr>
      <w:tr>
        <w:tc>
          <w:tcPr>
            <w:tcW w:w="964" w:type="dxa"/>
          </w:tcPr>
          <w:p>
            <w:pPr>
              <w:pStyle w:val="0"/>
            </w:pPr>
            <w:r>
              <w:rPr>
                <w:sz w:val="24"/>
              </w:rPr>
              <w:t xml:space="preserve">5</w:t>
            </w:r>
          </w:p>
        </w:tc>
        <w:tc>
          <w:tcPr>
            <w:tcW w:w="2891" w:type="dxa"/>
          </w:tcPr>
          <w:p>
            <w:pPr>
              <w:pStyle w:val="0"/>
            </w:pPr>
            <w:r>
              <w:rPr>
                <w:sz w:val="24"/>
              </w:rPr>
              <w:t xml:space="preserve">Заключение договора путем обмена информацией в электронной форме</w:t>
            </w:r>
          </w:p>
        </w:tc>
        <w:tc>
          <w:tcPr>
            <w:tcW w:w="1814" w:type="dxa"/>
          </w:tcPr>
          <w:p>
            <w:pPr>
              <w:pStyle w:val="0"/>
            </w:pPr>
            <w:r>
              <w:rPr>
                <w:sz w:val="24"/>
              </w:rPr>
            </w:r>
          </w:p>
        </w:tc>
        <w:tc>
          <w:tcPr>
            <w:tcW w:w="3402" w:type="dxa"/>
          </w:tcPr>
          <w:p>
            <w:pPr>
              <w:pStyle w:val="0"/>
            </w:pPr>
            <w:r>
              <w:rPr>
                <w:sz w:val="24"/>
              </w:rPr>
              <w:t xml:space="preserve">dim-int:IspObmInfElFormAxis</w:t>
            </w:r>
          </w:p>
        </w:tc>
      </w:tr>
      <w:tr>
        <w:tc>
          <w:tcPr>
            <w:tcW w:w="964" w:type="dxa"/>
          </w:tcPr>
          <w:p>
            <w:pPr>
              <w:pStyle w:val="0"/>
            </w:pPr>
            <w:r>
              <w:rPr>
                <w:sz w:val="24"/>
              </w:rPr>
              <w:t xml:space="preserve">5.1</w:t>
            </w:r>
          </w:p>
        </w:tc>
        <w:tc>
          <w:tcPr>
            <w:tcW w:w="2891" w:type="dxa"/>
          </w:tcPr>
          <w:p>
            <w:pPr>
              <w:pStyle w:val="0"/>
            </w:pPr>
            <w:r>
              <w:rPr>
                <w:sz w:val="24"/>
              </w:rPr>
            </w:r>
          </w:p>
        </w:tc>
        <w:tc>
          <w:tcPr>
            <w:tcW w:w="1814" w:type="dxa"/>
          </w:tcPr>
          <w:p>
            <w:pPr>
              <w:pStyle w:val="0"/>
            </w:pPr>
            <w:r>
              <w:rPr>
                <w:sz w:val="24"/>
              </w:rPr>
              <w:t xml:space="preserve">Да</w:t>
            </w:r>
          </w:p>
        </w:tc>
        <w:tc>
          <w:tcPr>
            <w:tcW w:w="3402" w:type="dxa"/>
          </w:tcPr>
          <w:p>
            <w:pPr>
              <w:pStyle w:val="0"/>
            </w:pPr>
            <w:r>
              <w:rPr>
                <w:sz w:val="24"/>
              </w:rPr>
              <w:t xml:space="preserve">mem-int:DaMember</w:t>
            </w:r>
          </w:p>
        </w:tc>
      </w:tr>
      <w:tr>
        <w:tc>
          <w:tcPr>
            <w:tcW w:w="964" w:type="dxa"/>
          </w:tcPr>
          <w:p>
            <w:pPr>
              <w:pStyle w:val="0"/>
            </w:pPr>
            <w:r>
              <w:rPr>
                <w:sz w:val="24"/>
              </w:rPr>
              <w:t xml:space="preserve">5.2</w:t>
            </w:r>
          </w:p>
        </w:tc>
        <w:tc>
          <w:tcPr>
            <w:tcW w:w="2891" w:type="dxa"/>
          </w:tcPr>
          <w:p>
            <w:pPr>
              <w:pStyle w:val="0"/>
            </w:pPr>
            <w:r>
              <w:rPr>
                <w:sz w:val="24"/>
              </w:rPr>
            </w:r>
          </w:p>
        </w:tc>
        <w:tc>
          <w:tcPr>
            <w:tcW w:w="1814" w:type="dxa"/>
          </w:tcPr>
          <w:p>
            <w:pPr>
              <w:pStyle w:val="0"/>
            </w:pPr>
            <w:r>
              <w:rPr>
                <w:sz w:val="24"/>
              </w:rPr>
              <w:t xml:space="preserve">Нет</w:t>
            </w:r>
          </w:p>
        </w:tc>
        <w:tc>
          <w:tcPr>
            <w:tcW w:w="3402" w:type="dxa"/>
          </w:tcPr>
          <w:p>
            <w:pPr>
              <w:pStyle w:val="0"/>
            </w:pPr>
            <w:r>
              <w:rPr>
                <w:sz w:val="24"/>
              </w:rPr>
              <w:t xml:space="preserve">mem-int:NetMember</w:t>
            </w:r>
          </w:p>
        </w:tc>
      </w:tr>
      <w:tr>
        <w:tc>
          <w:tcPr>
            <w:tcW w:w="964" w:type="dxa"/>
          </w:tcPr>
          <w:p>
            <w:pPr>
              <w:pStyle w:val="0"/>
            </w:pPr>
            <w:r>
              <w:rPr>
                <w:sz w:val="24"/>
              </w:rPr>
              <w:t xml:space="preserve">6</w:t>
            </w:r>
          </w:p>
        </w:tc>
        <w:tc>
          <w:tcPr>
            <w:tcW w:w="2891" w:type="dxa"/>
          </w:tcPr>
          <w:p>
            <w:pPr>
              <w:pStyle w:val="0"/>
            </w:pPr>
            <w:r>
              <w:rPr>
                <w:sz w:val="24"/>
              </w:rPr>
              <w:t xml:space="preserve">Схема уплаты страховой премии</w:t>
            </w:r>
          </w:p>
        </w:tc>
        <w:tc>
          <w:tcPr>
            <w:tcW w:w="1814" w:type="dxa"/>
          </w:tcPr>
          <w:p>
            <w:pPr>
              <w:pStyle w:val="0"/>
            </w:pPr>
            <w:r>
              <w:rPr>
                <w:sz w:val="24"/>
              </w:rPr>
            </w:r>
          </w:p>
        </w:tc>
        <w:tc>
          <w:tcPr>
            <w:tcW w:w="3402" w:type="dxa"/>
          </w:tcPr>
          <w:p>
            <w:pPr>
              <w:pStyle w:val="0"/>
            </w:pPr>
            <w:r>
              <w:rPr>
                <w:sz w:val="24"/>
              </w:rPr>
              <w:t xml:space="preserve">dim-int:Sxema_Upl_Straxprem_Axis</w:t>
            </w:r>
          </w:p>
        </w:tc>
      </w:tr>
      <w:tr>
        <w:tc>
          <w:tcPr>
            <w:tcW w:w="964" w:type="dxa"/>
          </w:tcPr>
          <w:p>
            <w:pPr>
              <w:pStyle w:val="0"/>
            </w:pPr>
            <w:r>
              <w:rPr>
                <w:sz w:val="24"/>
              </w:rPr>
              <w:t xml:space="preserve">6.1</w:t>
            </w:r>
          </w:p>
        </w:tc>
        <w:tc>
          <w:tcPr>
            <w:tcW w:w="2891" w:type="dxa"/>
          </w:tcPr>
          <w:p>
            <w:pPr>
              <w:pStyle w:val="0"/>
            </w:pPr>
            <w:r>
              <w:rPr>
                <w:sz w:val="24"/>
              </w:rPr>
            </w:r>
          </w:p>
        </w:tc>
        <w:tc>
          <w:tcPr>
            <w:tcW w:w="1814" w:type="dxa"/>
          </w:tcPr>
          <w:p>
            <w:pPr>
              <w:pStyle w:val="0"/>
            </w:pPr>
            <w:r>
              <w:rPr>
                <w:sz w:val="24"/>
              </w:rPr>
              <w:t xml:space="preserve">С единовременной уплатой страховой премии</w:t>
            </w:r>
          </w:p>
        </w:tc>
        <w:tc>
          <w:tcPr>
            <w:tcW w:w="3402" w:type="dxa"/>
          </w:tcPr>
          <w:p>
            <w:pPr>
              <w:pStyle w:val="0"/>
            </w:pPr>
            <w:r>
              <w:rPr>
                <w:sz w:val="24"/>
              </w:rPr>
              <w:t xml:space="preserve">mem-int:Ed_Upl_Straxprem_Member</w:t>
            </w:r>
          </w:p>
        </w:tc>
      </w:tr>
      <w:tr>
        <w:tc>
          <w:tcPr>
            <w:tcW w:w="964" w:type="dxa"/>
          </w:tcPr>
          <w:p>
            <w:pPr>
              <w:pStyle w:val="0"/>
            </w:pPr>
            <w:r>
              <w:rPr>
                <w:sz w:val="24"/>
              </w:rPr>
              <w:t xml:space="preserve">6.2</w:t>
            </w:r>
          </w:p>
        </w:tc>
        <w:tc>
          <w:tcPr>
            <w:tcW w:w="2891" w:type="dxa"/>
          </w:tcPr>
          <w:p>
            <w:pPr>
              <w:pStyle w:val="0"/>
            </w:pPr>
            <w:r>
              <w:rPr>
                <w:sz w:val="24"/>
              </w:rPr>
            </w:r>
          </w:p>
        </w:tc>
        <w:tc>
          <w:tcPr>
            <w:tcW w:w="1814" w:type="dxa"/>
          </w:tcPr>
          <w:p>
            <w:pPr>
              <w:pStyle w:val="0"/>
            </w:pPr>
            <w:r>
              <w:rPr>
                <w:sz w:val="24"/>
              </w:rPr>
              <w:t xml:space="preserve">С уплатой страховой премии в рассрочку</w:t>
            </w:r>
          </w:p>
        </w:tc>
        <w:tc>
          <w:tcPr>
            <w:tcW w:w="3402" w:type="dxa"/>
          </w:tcPr>
          <w:p>
            <w:pPr>
              <w:pStyle w:val="0"/>
            </w:pPr>
            <w:r>
              <w:rPr>
                <w:sz w:val="24"/>
              </w:rPr>
              <w:t xml:space="preserve">mem-int:Upl_Straxprem_Rassroch_Member</w:t>
            </w:r>
          </w:p>
        </w:tc>
      </w:tr>
      <w:tr>
        <w:tc>
          <w:tcPr>
            <w:tcW w:w="964" w:type="dxa"/>
          </w:tcPr>
          <w:p>
            <w:pPr>
              <w:pStyle w:val="0"/>
            </w:pPr>
            <w:r>
              <w:rPr>
                <w:sz w:val="24"/>
              </w:rPr>
              <w:t xml:space="preserve">7</w:t>
            </w:r>
          </w:p>
        </w:tc>
        <w:tc>
          <w:tcPr>
            <w:tcW w:w="2891" w:type="dxa"/>
          </w:tcPr>
          <w:p>
            <w:pPr>
              <w:pStyle w:val="0"/>
            </w:pPr>
            <w:r>
              <w:rPr>
                <w:sz w:val="24"/>
              </w:rPr>
              <w:t xml:space="preserve">Тип посредника</w:t>
            </w:r>
          </w:p>
        </w:tc>
        <w:tc>
          <w:tcPr>
            <w:tcW w:w="1814" w:type="dxa"/>
          </w:tcPr>
          <w:p>
            <w:pPr>
              <w:pStyle w:val="0"/>
            </w:pPr>
            <w:r>
              <w:rPr>
                <w:sz w:val="24"/>
              </w:rPr>
            </w:r>
          </w:p>
        </w:tc>
        <w:tc>
          <w:tcPr>
            <w:tcW w:w="3402" w:type="dxa"/>
          </w:tcPr>
          <w:p>
            <w:pPr>
              <w:pStyle w:val="0"/>
            </w:pPr>
            <w:r>
              <w:rPr>
                <w:sz w:val="24"/>
              </w:rPr>
              <w:t xml:space="preserve">dim-int:Tip_Posred_Axis</w:t>
            </w:r>
          </w:p>
        </w:tc>
      </w:tr>
      <w:tr>
        <w:tc>
          <w:tcPr>
            <w:tcW w:w="964" w:type="dxa"/>
          </w:tcPr>
          <w:p>
            <w:pPr>
              <w:pStyle w:val="0"/>
            </w:pPr>
            <w:r>
              <w:rPr>
                <w:sz w:val="24"/>
              </w:rPr>
              <w:t xml:space="preserve">7.1</w:t>
            </w:r>
          </w:p>
        </w:tc>
        <w:tc>
          <w:tcPr>
            <w:tcW w:w="2891" w:type="dxa"/>
          </w:tcPr>
          <w:p>
            <w:pPr>
              <w:pStyle w:val="0"/>
            </w:pPr>
            <w:r>
              <w:rPr>
                <w:sz w:val="24"/>
              </w:rPr>
            </w:r>
          </w:p>
        </w:tc>
        <w:tc>
          <w:tcPr>
            <w:tcW w:w="1814" w:type="dxa"/>
          </w:tcPr>
          <w:p>
            <w:pPr>
              <w:pStyle w:val="0"/>
            </w:pPr>
            <w:r>
              <w:rPr>
                <w:sz w:val="24"/>
              </w:rPr>
              <w:t xml:space="preserve">Договоры страхования, заключенные без участия посредников</w:t>
            </w:r>
          </w:p>
        </w:tc>
        <w:tc>
          <w:tcPr>
            <w:tcW w:w="3402" w:type="dxa"/>
          </w:tcPr>
          <w:p>
            <w:pPr>
              <w:pStyle w:val="0"/>
            </w:pPr>
            <w:r>
              <w:rPr>
                <w:sz w:val="24"/>
              </w:rPr>
              <w:t xml:space="preserve">mem-int:Dog_Strax_Zakl_Bez_Uchast_Posred_Member</w:t>
            </w:r>
          </w:p>
        </w:tc>
      </w:tr>
      <w:tr>
        <w:tc>
          <w:tcPr>
            <w:tcW w:w="964" w:type="dxa"/>
          </w:tcPr>
          <w:p>
            <w:pPr>
              <w:pStyle w:val="0"/>
            </w:pPr>
            <w:r>
              <w:rPr>
                <w:sz w:val="24"/>
              </w:rPr>
              <w:t xml:space="preserve">7.1.1</w:t>
            </w:r>
          </w:p>
        </w:tc>
        <w:tc>
          <w:tcPr>
            <w:tcW w:w="2891" w:type="dxa"/>
          </w:tcPr>
          <w:p>
            <w:pPr>
              <w:pStyle w:val="0"/>
            </w:pPr>
            <w:r>
              <w:rPr>
                <w:sz w:val="24"/>
              </w:rPr>
            </w:r>
          </w:p>
        </w:tc>
        <w:tc>
          <w:tcPr>
            <w:tcW w:w="1814" w:type="dxa"/>
          </w:tcPr>
          <w:p>
            <w:pPr>
              <w:pStyle w:val="0"/>
            </w:pPr>
            <w:r>
              <w:rPr>
                <w:sz w:val="24"/>
              </w:rPr>
              <w:t xml:space="preserve">Филиалы</w:t>
            </w:r>
          </w:p>
        </w:tc>
        <w:tc>
          <w:tcPr>
            <w:tcW w:w="3402" w:type="dxa"/>
          </w:tcPr>
          <w:p>
            <w:pPr>
              <w:pStyle w:val="0"/>
            </w:pPr>
            <w:r>
              <w:rPr>
                <w:sz w:val="24"/>
              </w:rPr>
              <w:t xml:space="preserve">mem-int:Zakl_Filialami_Member</w:t>
            </w:r>
          </w:p>
        </w:tc>
      </w:tr>
      <w:tr>
        <w:tc>
          <w:tcPr>
            <w:tcW w:w="964" w:type="dxa"/>
          </w:tcPr>
          <w:p>
            <w:pPr>
              <w:pStyle w:val="0"/>
            </w:pPr>
            <w:r>
              <w:rPr>
                <w:sz w:val="24"/>
              </w:rPr>
              <w:t xml:space="preserve">7.2</w:t>
            </w:r>
          </w:p>
        </w:tc>
        <w:tc>
          <w:tcPr>
            <w:tcW w:w="2891" w:type="dxa"/>
          </w:tcPr>
          <w:p>
            <w:pPr>
              <w:pStyle w:val="0"/>
            </w:pPr>
            <w:r>
              <w:rPr>
                <w:sz w:val="24"/>
              </w:rPr>
            </w:r>
          </w:p>
        </w:tc>
        <w:tc>
          <w:tcPr>
            <w:tcW w:w="1814" w:type="dxa"/>
          </w:tcPr>
          <w:p>
            <w:pPr>
              <w:pStyle w:val="0"/>
            </w:pPr>
            <w:r>
              <w:rPr>
                <w:sz w:val="24"/>
              </w:rPr>
              <w:t xml:space="preserve">Страховые организации</w:t>
            </w:r>
          </w:p>
        </w:tc>
        <w:tc>
          <w:tcPr>
            <w:tcW w:w="3402" w:type="dxa"/>
          </w:tcPr>
          <w:p>
            <w:pPr>
              <w:pStyle w:val="0"/>
            </w:pPr>
            <w:r>
              <w:rPr>
                <w:sz w:val="24"/>
              </w:rPr>
              <w:t xml:space="preserve">mem-int:SoMember</w:t>
            </w:r>
          </w:p>
        </w:tc>
      </w:tr>
      <w:tr>
        <w:tc>
          <w:tcPr>
            <w:tcW w:w="964" w:type="dxa"/>
          </w:tcPr>
          <w:p>
            <w:pPr>
              <w:pStyle w:val="0"/>
            </w:pPr>
            <w:r>
              <w:rPr>
                <w:sz w:val="24"/>
              </w:rPr>
              <w:t xml:space="preserve">7.3</w:t>
            </w:r>
          </w:p>
        </w:tc>
        <w:tc>
          <w:tcPr>
            <w:tcW w:w="2891" w:type="dxa"/>
          </w:tcPr>
          <w:p>
            <w:pPr>
              <w:pStyle w:val="0"/>
            </w:pPr>
            <w:r>
              <w:rPr>
                <w:sz w:val="24"/>
              </w:rPr>
            </w:r>
          </w:p>
        </w:tc>
        <w:tc>
          <w:tcPr>
            <w:tcW w:w="1814" w:type="dxa"/>
          </w:tcPr>
          <w:p>
            <w:pPr>
              <w:pStyle w:val="0"/>
            </w:pPr>
            <w:r>
              <w:rPr>
                <w:sz w:val="24"/>
              </w:rPr>
              <w:t xml:space="preserve">Страховые брокеры</w:t>
            </w:r>
          </w:p>
        </w:tc>
        <w:tc>
          <w:tcPr>
            <w:tcW w:w="3402" w:type="dxa"/>
          </w:tcPr>
          <w:p>
            <w:pPr>
              <w:pStyle w:val="0"/>
            </w:pPr>
            <w:r>
              <w:rPr>
                <w:sz w:val="24"/>
              </w:rPr>
              <w:t xml:space="preserve">mem-int:Strax_Brok_Member</w:t>
            </w:r>
          </w:p>
        </w:tc>
      </w:tr>
      <w:tr>
        <w:tc>
          <w:tcPr>
            <w:tcW w:w="964" w:type="dxa"/>
          </w:tcPr>
          <w:p>
            <w:pPr>
              <w:pStyle w:val="0"/>
            </w:pPr>
            <w:r>
              <w:rPr>
                <w:sz w:val="24"/>
              </w:rPr>
              <w:t xml:space="preserve">7.4</w:t>
            </w:r>
          </w:p>
        </w:tc>
        <w:tc>
          <w:tcPr>
            <w:tcW w:w="2891" w:type="dxa"/>
          </w:tcPr>
          <w:p>
            <w:pPr>
              <w:pStyle w:val="0"/>
            </w:pPr>
            <w:r>
              <w:rPr>
                <w:sz w:val="24"/>
              </w:rPr>
            </w:r>
          </w:p>
        </w:tc>
        <w:tc>
          <w:tcPr>
            <w:tcW w:w="1814" w:type="dxa"/>
          </w:tcPr>
          <w:p>
            <w:pPr>
              <w:pStyle w:val="0"/>
            </w:pPr>
            <w:r>
              <w:rPr>
                <w:sz w:val="24"/>
              </w:rPr>
              <w:t xml:space="preserve">Кредитные организации</w:t>
            </w:r>
          </w:p>
        </w:tc>
        <w:tc>
          <w:tcPr>
            <w:tcW w:w="3402" w:type="dxa"/>
          </w:tcPr>
          <w:p>
            <w:pPr>
              <w:pStyle w:val="0"/>
            </w:pPr>
            <w:r>
              <w:rPr>
                <w:sz w:val="24"/>
              </w:rPr>
              <w:t xml:space="preserve">mem-int:KOMember</w:t>
            </w:r>
          </w:p>
        </w:tc>
      </w:tr>
      <w:tr>
        <w:tc>
          <w:tcPr>
            <w:tcW w:w="964" w:type="dxa"/>
          </w:tcPr>
          <w:p>
            <w:pPr>
              <w:pStyle w:val="0"/>
            </w:pPr>
            <w:r>
              <w:rPr>
                <w:sz w:val="24"/>
              </w:rPr>
              <w:t xml:space="preserve">7.5</w:t>
            </w:r>
          </w:p>
        </w:tc>
        <w:tc>
          <w:tcPr>
            <w:tcW w:w="2891" w:type="dxa"/>
          </w:tcPr>
          <w:p>
            <w:pPr>
              <w:pStyle w:val="0"/>
            </w:pPr>
            <w:r>
              <w:rPr>
                <w:sz w:val="24"/>
              </w:rPr>
            </w:r>
          </w:p>
        </w:tc>
        <w:tc>
          <w:tcPr>
            <w:tcW w:w="1814" w:type="dxa"/>
          </w:tcPr>
          <w:p>
            <w:pPr>
              <w:pStyle w:val="0"/>
            </w:pPr>
            <w:r>
              <w:rPr>
                <w:sz w:val="24"/>
              </w:rPr>
              <w:t xml:space="preserve">Организации, осуществляющие деятельность по торговле транспортными средствами, а также их техническое обслуживание и ремонт</w:t>
            </w:r>
          </w:p>
        </w:tc>
        <w:tc>
          <w:tcPr>
            <w:tcW w:w="3402" w:type="dxa"/>
          </w:tcPr>
          <w:p>
            <w:pPr>
              <w:pStyle w:val="0"/>
            </w:pPr>
            <w:r>
              <w:rPr>
                <w:sz w:val="24"/>
              </w:rPr>
              <w:t xml:space="preserve">mem-int:Org_TsMember</w:t>
            </w:r>
          </w:p>
        </w:tc>
      </w:tr>
      <w:tr>
        <w:tc>
          <w:tcPr>
            <w:tcW w:w="964" w:type="dxa"/>
          </w:tcPr>
          <w:p>
            <w:pPr>
              <w:pStyle w:val="0"/>
            </w:pPr>
            <w:r>
              <w:rPr>
                <w:sz w:val="24"/>
              </w:rPr>
              <w:t xml:space="preserve">7.6</w:t>
            </w:r>
          </w:p>
        </w:tc>
        <w:tc>
          <w:tcPr>
            <w:tcW w:w="2891" w:type="dxa"/>
          </w:tcPr>
          <w:p>
            <w:pPr>
              <w:pStyle w:val="0"/>
            </w:pPr>
            <w:r>
              <w:rPr>
                <w:sz w:val="24"/>
              </w:rPr>
            </w:r>
          </w:p>
        </w:tc>
        <w:tc>
          <w:tcPr>
            <w:tcW w:w="1814" w:type="dxa"/>
          </w:tcPr>
          <w:p>
            <w:pPr>
              <w:pStyle w:val="0"/>
            </w:pPr>
            <w:r>
              <w:rPr>
                <w:sz w:val="24"/>
              </w:rPr>
              <w:t xml:space="preserve">Туроператоры, турагентства</w:t>
            </w:r>
          </w:p>
        </w:tc>
        <w:tc>
          <w:tcPr>
            <w:tcW w:w="3402" w:type="dxa"/>
          </w:tcPr>
          <w:p>
            <w:pPr>
              <w:pStyle w:val="0"/>
            </w:pPr>
            <w:r>
              <w:rPr>
                <w:sz w:val="24"/>
              </w:rPr>
              <w:t xml:space="preserve">mem-int:Turop_Turag_Member</w:t>
            </w:r>
          </w:p>
        </w:tc>
      </w:tr>
      <w:tr>
        <w:tc>
          <w:tcPr>
            <w:tcW w:w="964" w:type="dxa"/>
          </w:tcPr>
          <w:p>
            <w:pPr>
              <w:pStyle w:val="0"/>
            </w:pPr>
            <w:r>
              <w:rPr>
                <w:sz w:val="24"/>
              </w:rPr>
              <w:t xml:space="preserve">7.7</w:t>
            </w:r>
          </w:p>
        </w:tc>
        <w:tc>
          <w:tcPr>
            <w:tcW w:w="2891" w:type="dxa"/>
          </w:tcPr>
          <w:p>
            <w:pPr>
              <w:pStyle w:val="0"/>
            </w:pPr>
            <w:r>
              <w:rPr>
                <w:sz w:val="24"/>
              </w:rPr>
            </w:r>
          </w:p>
        </w:tc>
        <w:tc>
          <w:tcPr>
            <w:tcW w:w="1814" w:type="dxa"/>
          </w:tcPr>
          <w:p>
            <w:pPr>
              <w:pStyle w:val="0"/>
            </w:pPr>
            <w:r>
              <w:rPr>
                <w:sz w:val="24"/>
              </w:rPr>
              <w:t xml:space="preserve">Объекты почтовой связи</w:t>
            </w:r>
          </w:p>
        </w:tc>
        <w:tc>
          <w:tcPr>
            <w:tcW w:w="3402" w:type="dxa"/>
          </w:tcPr>
          <w:p>
            <w:pPr>
              <w:pStyle w:val="0"/>
            </w:pPr>
            <w:r>
              <w:rPr>
                <w:sz w:val="24"/>
              </w:rPr>
              <w:t xml:space="preserve">mem-int:Pocht_Svyaz_Member</w:t>
            </w:r>
          </w:p>
        </w:tc>
      </w:tr>
      <w:tr>
        <w:tc>
          <w:tcPr>
            <w:tcW w:w="964" w:type="dxa"/>
          </w:tcPr>
          <w:p>
            <w:pPr>
              <w:pStyle w:val="0"/>
            </w:pPr>
            <w:r>
              <w:rPr>
                <w:sz w:val="24"/>
              </w:rPr>
              <w:t xml:space="preserve">7.8</w:t>
            </w:r>
          </w:p>
        </w:tc>
        <w:tc>
          <w:tcPr>
            <w:tcW w:w="2891" w:type="dxa"/>
          </w:tcPr>
          <w:p>
            <w:pPr>
              <w:pStyle w:val="0"/>
            </w:pPr>
            <w:r>
              <w:rPr>
                <w:sz w:val="24"/>
              </w:rPr>
            </w:r>
          </w:p>
        </w:tc>
        <w:tc>
          <w:tcPr>
            <w:tcW w:w="1814" w:type="dxa"/>
          </w:tcPr>
          <w:p>
            <w:pPr>
              <w:pStyle w:val="0"/>
            </w:pPr>
            <w:r>
              <w:rPr>
                <w:sz w:val="24"/>
              </w:rPr>
              <w:t xml:space="preserve">Медицинские организации</w:t>
            </w:r>
          </w:p>
        </w:tc>
        <w:tc>
          <w:tcPr>
            <w:tcW w:w="3402" w:type="dxa"/>
          </w:tcPr>
          <w:p>
            <w:pPr>
              <w:pStyle w:val="0"/>
            </w:pPr>
            <w:r>
              <w:rPr>
                <w:sz w:val="24"/>
              </w:rPr>
              <w:t xml:space="preserve">mem-int:Med_Org_Member</w:t>
            </w:r>
          </w:p>
        </w:tc>
      </w:tr>
      <w:tr>
        <w:tc>
          <w:tcPr>
            <w:tcW w:w="964" w:type="dxa"/>
          </w:tcPr>
          <w:p>
            <w:pPr>
              <w:pStyle w:val="0"/>
            </w:pPr>
            <w:r>
              <w:rPr>
                <w:sz w:val="24"/>
              </w:rPr>
              <w:t xml:space="preserve">7.9</w:t>
            </w:r>
          </w:p>
        </w:tc>
        <w:tc>
          <w:tcPr>
            <w:tcW w:w="2891" w:type="dxa"/>
          </w:tcPr>
          <w:p>
            <w:pPr>
              <w:pStyle w:val="0"/>
            </w:pPr>
            <w:r>
              <w:rPr>
                <w:sz w:val="24"/>
              </w:rPr>
            </w:r>
          </w:p>
        </w:tc>
        <w:tc>
          <w:tcPr>
            <w:tcW w:w="1814" w:type="dxa"/>
          </w:tcPr>
          <w:p>
            <w:pPr>
              <w:pStyle w:val="0"/>
            </w:pPr>
            <w:r>
              <w:rPr>
                <w:sz w:val="24"/>
              </w:rPr>
              <w:t xml:space="preserve">Лизинговые компании</w:t>
            </w:r>
          </w:p>
        </w:tc>
        <w:tc>
          <w:tcPr>
            <w:tcW w:w="3402" w:type="dxa"/>
          </w:tcPr>
          <w:p>
            <w:pPr>
              <w:pStyle w:val="0"/>
            </w:pPr>
            <w:r>
              <w:rPr>
                <w:sz w:val="24"/>
              </w:rPr>
              <w:t xml:space="preserve">mem-int:Liz_Komp_Member</w:t>
            </w:r>
          </w:p>
        </w:tc>
      </w:tr>
      <w:tr>
        <w:tc>
          <w:tcPr>
            <w:tcW w:w="964" w:type="dxa"/>
          </w:tcPr>
          <w:p>
            <w:pPr>
              <w:pStyle w:val="0"/>
            </w:pPr>
            <w:r>
              <w:rPr>
                <w:sz w:val="24"/>
              </w:rPr>
              <w:t xml:space="preserve">7.10</w:t>
            </w:r>
          </w:p>
        </w:tc>
        <w:tc>
          <w:tcPr>
            <w:tcW w:w="2891" w:type="dxa"/>
          </w:tcPr>
          <w:p>
            <w:pPr>
              <w:pStyle w:val="0"/>
            </w:pPr>
            <w:r>
              <w:rPr>
                <w:sz w:val="24"/>
              </w:rPr>
            </w:r>
          </w:p>
        </w:tc>
        <w:tc>
          <w:tcPr>
            <w:tcW w:w="1814" w:type="dxa"/>
          </w:tcPr>
          <w:p>
            <w:pPr>
              <w:pStyle w:val="0"/>
            </w:pPr>
            <w:r>
              <w:rPr>
                <w:sz w:val="24"/>
              </w:rPr>
              <w:t xml:space="preserve">Юридические лица, основным видом экономической деятельности которых является деятельность страховых агентов</w:t>
            </w:r>
          </w:p>
        </w:tc>
        <w:tc>
          <w:tcPr>
            <w:tcW w:w="3402" w:type="dxa"/>
          </w:tcPr>
          <w:p>
            <w:pPr>
              <w:pStyle w:val="0"/>
            </w:pPr>
            <w:r>
              <w:rPr>
                <w:sz w:val="24"/>
              </w:rPr>
              <w:t xml:space="preserve">mem-int:Yul_Strax_Agent_Member</w:t>
            </w:r>
          </w:p>
        </w:tc>
      </w:tr>
      <w:tr>
        <w:tc>
          <w:tcPr>
            <w:tcW w:w="964" w:type="dxa"/>
          </w:tcPr>
          <w:p>
            <w:pPr>
              <w:pStyle w:val="0"/>
            </w:pPr>
            <w:r>
              <w:rPr>
                <w:sz w:val="24"/>
              </w:rPr>
              <w:t xml:space="preserve">7.11</w:t>
            </w:r>
          </w:p>
        </w:tc>
        <w:tc>
          <w:tcPr>
            <w:tcW w:w="2891" w:type="dxa"/>
          </w:tcPr>
          <w:p>
            <w:pPr>
              <w:pStyle w:val="0"/>
            </w:pPr>
            <w:r>
              <w:rPr>
                <w:sz w:val="24"/>
              </w:rPr>
            </w:r>
          </w:p>
        </w:tc>
        <w:tc>
          <w:tcPr>
            <w:tcW w:w="1814" w:type="dxa"/>
          </w:tcPr>
          <w:p>
            <w:pPr>
              <w:pStyle w:val="0"/>
            </w:pPr>
            <w:r>
              <w:rPr>
                <w:sz w:val="24"/>
              </w:rPr>
              <w:t xml:space="preserve">Операторы финансовых платформ</w:t>
            </w:r>
          </w:p>
        </w:tc>
        <w:tc>
          <w:tcPr>
            <w:tcW w:w="3402" w:type="dxa"/>
          </w:tcPr>
          <w:p>
            <w:pPr>
              <w:pStyle w:val="0"/>
            </w:pPr>
            <w:r>
              <w:rPr>
                <w:sz w:val="24"/>
              </w:rPr>
              <w:t xml:space="preserve">mem-int:OFPMember</w:t>
            </w:r>
          </w:p>
        </w:tc>
      </w:tr>
      <w:tr>
        <w:tc>
          <w:tcPr>
            <w:tcW w:w="964" w:type="dxa"/>
          </w:tcPr>
          <w:p>
            <w:pPr>
              <w:pStyle w:val="0"/>
            </w:pPr>
            <w:r>
              <w:rPr>
                <w:sz w:val="24"/>
              </w:rPr>
              <w:t xml:space="preserve">7.12</w:t>
            </w:r>
          </w:p>
        </w:tc>
        <w:tc>
          <w:tcPr>
            <w:tcW w:w="2891" w:type="dxa"/>
          </w:tcPr>
          <w:p>
            <w:pPr>
              <w:pStyle w:val="0"/>
            </w:pPr>
            <w:r>
              <w:rPr>
                <w:sz w:val="24"/>
              </w:rPr>
            </w:r>
          </w:p>
        </w:tc>
        <w:tc>
          <w:tcPr>
            <w:tcW w:w="1814" w:type="dxa"/>
          </w:tcPr>
          <w:p>
            <w:pPr>
              <w:pStyle w:val="0"/>
            </w:pPr>
            <w:r>
              <w:rPr>
                <w:sz w:val="24"/>
              </w:rPr>
              <w:t xml:space="preserve">Другие юридические лица</w:t>
            </w:r>
          </w:p>
        </w:tc>
        <w:tc>
          <w:tcPr>
            <w:tcW w:w="3402" w:type="dxa"/>
          </w:tcPr>
          <w:p>
            <w:pPr>
              <w:pStyle w:val="0"/>
            </w:pPr>
            <w:r>
              <w:rPr>
                <w:sz w:val="24"/>
              </w:rPr>
              <w:t xml:space="preserve">mem-int:Drugie_Yul_Member</w:t>
            </w:r>
          </w:p>
        </w:tc>
      </w:tr>
      <w:tr>
        <w:tc>
          <w:tcPr>
            <w:tcW w:w="964" w:type="dxa"/>
          </w:tcPr>
          <w:p>
            <w:pPr>
              <w:pStyle w:val="0"/>
            </w:pPr>
            <w:r>
              <w:rPr>
                <w:sz w:val="24"/>
              </w:rPr>
              <w:t xml:space="preserve">7.13</w:t>
            </w:r>
          </w:p>
        </w:tc>
        <w:tc>
          <w:tcPr>
            <w:tcW w:w="2891" w:type="dxa"/>
          </w:tcPr>
          <w:p>
            <w:pPr>
              <w:pStyle w:val="0"/>
            </w:pPr>
            <w:r>
              <w:rPr>
                <w:sz w:val="24"/>
              </w:rPr>
            </w:r>
          </w:p>
        </w:tc>
        <w:tc>
          <w:tcPr>
            <w:tcW w:w="1814" w:type="dxa"/>
          </w:tcPr>
          <w:p>
            <w:pPr>
              <w:pStyle w:val="0"/>
            </w:pPr>
            <w:r>
              <w:rPr>
                <w:sz w:val="24"/>
              </w:rPr>
              <w:t xml:space="preserve">Физические лица (в том числе индивидуальные предприниматели)</w:t>
            </w:r>
          </w:p>
        </w:tc>
        <w:tc>
          <w:tcPr>
            <w:tcW w:w="3402" w:type="dxa"/>
          </w:tcPr>
          <w:p>
            <w:pPr>
              <w:pStyle w:val="0"/>
            </w:pPr>
            <w:r>
              <w:rPr>
                <w:sz w:val="24"/>
              </w:rPr>
              <w:t xml:space="preserve">mem-int:Fl_Ip_Member</w:t>
            </w:r>
          </w:p>
        </w:tc>
      </w:tr>
      <w:tr>
        <w:tc>
          <w:tcPr>
            <w:tcW w:w="964" w:type="dxa"/>
          </w:tcPr>
          <w:p>
            <w:pPr>
              <w:pStyle w:val="0"/>
            </w:pPr>
            <w:r>
              <w:rPr>
                <w:sz w:val="24"/>
              </w:rPr>
              <w:t xml:space="preserve">7.13.1</w:t>
            </w:r>
          </w:p>
        </w:tc>
        <w:tc>
          <w:tcPr>
            <w:tcW w:w="2891" w:type="dxa"/>
          </w:tcPr>
          <w:p>
            <w:pPr>
              <w:pStyle w:val="0"/>
            </w:pPr>
            <w:r>
              <w:rPr>
                <w:sz w:val="24"/>
              </w:rPr>
            </w:r>
          </w:p>
        </w:tc>
        <w:tc>
          <w:tcPr>
            <w:tcW w:w="1814" w:type="dxa"/>
          </w:tcPr>
          <w:p>
            <w:pPr>
              <w:pStyle w:val="0"/>
            </w:pPr>
            <w:r>
              <w:rPr>
                <w:sz w:val="24"/>
              </w:rPr>
              <w:t xml:space="preserve">Посредники - физические лица (в том числе индивидуальные предприниматели)</w:t>
            </w:r>
          </w:p>
        </w:tc>
        <w:tc>
          <w:tcPr>
            <w:tcW w:w="3402" w:type="dxa"/>
          </w:tcPr>
          <w:p>
            <w:pPr>
              <w:pStyle w:val="0"/>
            </w:pPr>
            <w:r>
              <w:rPr>
                <w:sz w:val="24"/>
              </w:rPr>
              <w:t xml:space="preserve">mem-int:Posred_Fl_Ip_Member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984"/>
        <w:gridCol w:w="7087"/>
      </w:tblGrid>
      <w:tr>
        <w:tc>
          <w:tcPr>
            <w:tcW w:w="1984" w:type="dxa"/>
            <w:tcBorders>
              <w:top w:val="nil"/>
              <w:left w:val="nil"/>
              <w:bottom w:val="nil"/>
              <w:right w:val="nil"/>
            </w:tcBorders>
          </w:tcPr>
          <w:p>
            <w:pPr>
              <w:pStyle w:val="0"/>
              <w:outlineLvl w:val="3"/>
            </w:pPr>
            <w:r>
              <w:rPr>
                <w:sz w:val="24"/>
              </w:rPr>
              <w:t xml:space="preserve">Подраздел 1.8.</w:t>
            </w:r>
          </w:p>
        </w:tc>
        <w:tc>
          <w:tcPr>
            <w:tcW w:w="7087" w:type="dxa"/>
            <w:tcBorders>
              <w:top w:val="nil"/>
              <w:left w:val="nil"/>
              <w:bottom w:val="nil"/>
              <w:right w:val="nil"/>
            </w:tcBorders>
          </w:tcPr>
          <w:p>
            <w:pPr>
              <w:pStyle w:val="0"/>
              <w:jc w:val="both"/>
            </w:pPr>
            <w:hyperlink w:history="0" w:anchor="P56849" w:tooltip="Раздел 8.">
              <w:r>
                <w:rPr>
                  <w:sz w:val="24"/>
                  <w:color w:val="0000ff"/>
                </w:rPr>
                <w:t xml:space="preserve">Раздел 8</w:t>
              </w:r>
            </w:hyperlink>
            <w:r>
              <w:rPr>
                <w:sz w:val="24"/>
              </w:rPr>
              <w:t xml:space="preserve"> "Перестрахование"</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Вид добровольного страхования жизни</w:t>
            </w:r>
          </w:p>
        </w:tc>
        <w:tc>
          <w:tcPr>
            <w:tcW w:w="1814" w:type="dxa"/>
          </w:tcPr>
          <w:p>
            <w:pPr>
              <w:pStyle w:val="0"/>
            </w:pPr>
            <w:r>
              <w:rPr>
                <w:sz w:val="24"/>
              </w:rPr>
            </w:r>
          </w:p>
        </w:tc>
        <w:tc>
          <w:tcPr>
            <w:tcW w:w="3402" w:type="dxa"/>
          </w:tcPr>
          <w:p>
            <w:pPr>
              <w:pStyle w:val="0"/>
            </w:pPr>
            <w:r>
              <w:rPr>
                <w:sz w:val="24"/>
              </w:rPr>
              <w:t xml:space="preserve">dim-int:TipDobrStrZhAxis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Инвестиционное страхование жизни</w:t>
            </w:r>
          </w:p>
        </w:tc>
        <w:tc>
          <w:tcPr>
            <w:tcW w:w="3402" w:type="dxa"/>
          </w:tcPr>
          <w:p>
            <w:pPr>
              <w:pStyle w:val="0"/>
            </w:pPr>
            <w:r>
              <w:rPr>
                <w:sz w:val="24"/>
              </w:rPr>
              <w:t xml:space="preserve">mem-int:InvStrZhMember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r>
              <w:rPr>
                <w:sz w:val="24"/>
              </w:rPr>
              <w:t xml:space="preserve">Кредитное страхование жизни</w:t>
            </w:r>
          </w:p>
        </w:tc>
        <w:tc>
          <w:tcPr>
            <w:tcW w:w="3402" w:type="dxa"/>
          </w:tcPr>
          <w:p>
            <w:pPr>
              <w:pStyle w:val="0"/>
            </w:pPr>
            <w:r>
              <w:rPr>
                <w:sz w:val="24"/>
              </w:rPr>
              <w:t xml:space="preserve">mem-int:KredStrZhMember</w:t>
            </w:r>
          </w:p>
        </w:tc>
      </w:tr>
      <w:tr>
        <w:tc>
          <w:tcPr>
            <w:tcW w:w="964" w:type="dxa"/>
          </w:tcPr>
          <w:p>
            <w:pPr>
              <w:pStyle w:val="0"/>
            </w:pPr>
            <w:r>
              <w:rPr>
                <w:sz w:val="24"/>
              </w:rPr>
              <w:t xml:space="preserve">1.3</w:t>
            </w:r>
          </w:p>
        </w:tc>
        <w:tc>
          <w:tcPr>
            <w:tcW w:w="2891" w:type="dxa"/>
          </w:tcPr>
          <w:p>
            <w:pPr>
              <w:pStyle w:val="0"/>
            </w:pPr>
            <w:r>
              <w:rPr>
                <w:sz w:val="24"/>
              </w:rPr>
            </w:r>
          </w:p>
        </w:tc>
        <w:tc>
          <w:tcPr>
            <w:tcW w:w="1814" w:type="dxa"/>
          </w:tcPr>
          <w:p>
            <w:pPr>
              <w:pStyle w:val="0"/>
            </w:pPr>
            <w:r>
              <w:rPr>
                <w:sz w:val="24"/>
              </w:rPr>
              <w:t xml:space="preserve">Накопительное страхование жизни</w:t>
            </w:r>
          </w:p>
        </w:tc>
        <w:tc>
          <w:tcPr>
            <w:tcW w:w="3402" w:type="dxa"/>
          </w:tcPr>
          <w:p>
            <w:pPr>
              <w:pStyle w:val="0"/>
            </w:pPr>
            <w:r>
              <w:rPr>
                <w:sz w:val="24"/>
              </w:rPr>
              <w:t xml:space="preserve">mem-int:NakopStrZhMember</w:t>
            </w:r>
          </w:p>
        </w:tc>
      </w:tr>
      <w:tr>
        <w:tc>
          <w:tcPr>
            <w:tcW w:w="964" w:type="dxa"/>
          </w:tcPr>
          <w:p>
            <w:pPr>
              <w:pStyle w:val="0"/>
            </w:pPr>
            <w:r>
              <w:rPr>
                <w:sz w:val="24"/>
              </w:rPr>
              <w:t xml:space="preserve">1.4</w:t>
            </w:r>
          </w:p>
        </w:tc>
        <w:tc>
          <w:tcPr>
            <w:tcW w:w="2891" w:type="dxa"/>
          </w:tcPr>
          <w:p>
            <w:pPr>
              <w:pStyle w:val="0"/>
            </w:pPr>
            <w:r>
              <w:rPr>
                <w:sz w:val="24"/>
              </w:rPr>
            </w:r>
          </w:p>
        </w:tc>
        <w:tc>
          <w:tcPr>
            <w:tcW w:w="1814" w:type="dxa"/>
          </w:tcPr>
          <w:p>
            <w:pPr>
              <w:pStyle w:val="0"/>
            </w:pPr>
            <w:r>
              <w:rPr>
                <w:sz w:val="24"/>
              </w:rPr>
              <w:t xml:space="preserve">Рисковое страхование жизни</w:t>
            </w:r>
          </w:p>
        </w:tc>
        <w:tc>
          <w:tcPr>
            <w:tcW w:w="3402" w:type="dxa"/>
          </w:tcPr>
          <w:p>
            <w:pPr>
              <w:pStyle w:val="0"/>
            </w:pPr>
            <w:r>
              <w:rPr>
                <w:sz w:val="24"/>
              </w:rPr>
              <w:t xml:space="preserve">mem-int:RiskStrZhMember</w:t>
            </w:r>
          </w:p>
        </w:tc>
      </w:tr>
      <w:tr>
        <w:tc>
          <w:tcPr>
            <w:tcW w:w="964" w:type="dxa"/>
          </w:tcPr>
          <w:p>
            <w:pPr>
              <w:pStyle w:val="0"/>
            </w:pPr>
            <w:r>
              <w:rPr>
                <w:sz w:val="24"/>
              </w:rPr>
              <w:t xml:space="preserve">1.5</w:t>
            </w:r>
          </w:p>
        </w:tc>
        <w:tc>
          <w:tcPr>
            <w:tcW w:w="2891" w:type="dxa"/>
          </w:tcPr>
          <w:p>
            <w:pPr>
              <w:pStyle w:val="0"/>
            </w:pPr>
            <w:r>
              <w:rPr>
                <w:sz w:val="24"/>
              </w:rPr>
            </w:r>
          </w:p>
        </w:tc>
        <w:tc>
          <w:tcPr>
            <w:tcW w:w="1814" w:type="dxa"/>
          </w:tcPr>
          <w:p>
            <w:pPr>
              <w:pStyle w:val="0"/>
            </w:pPr>
            <w:r>
              <w:rPr>
                <w:sz w:val="24"/>
              </w:rPr>
              <w:t xml:space="preserve">Прочее страхование жизни</w:t>
            </w:r>
          </w:p>
        </w:tc>
        <w:tc>
          <w:tcPr>
            <w:tcW w:w="3402" w:type="dxa"/>
          </w:tcPr>
          <w:p>
            <w:pPr>
              <w:pStyle w:val="0"/>
            </w:pPr>
            <w:r>
              <w:rPr>
                <w:sz w:val="24"/>
              </w:rPr>
              <w:t xml:space="preserve">mem-int:ProchStrZhMember</w:t>
            </w:r>
          </w:p>
        </w:tc>
      </w:tr>
      <w:tr>
        <w:tc>
          <w:tcPr>
            <w:tcW w:w="964" w:type="dxa"/>
          </w:tcPr>
          <w:bookmarkStart w:id="59001" w:name="P59001"/>
          <w:bookmarkEnd w:id="59001"/>
          <w:p>
            <w:pPr>
              <w:pStyle w:val="0"/>
            </w:pPr>
            <w:r>
              <w:rPr>
                <w:sz w:val="24"/>
              </w:rPr>
              <w:t xml:space="preserve">2</w:t>
            </w:r>
          </w:p>
        </w:tc>
        <w:tc>
          <w:tcPr>
            <w:tcW w:w="2891" w:type="dxa"/>
          </w:tcPr>
          <w:p>
            <w:pPr>
              <w:pStyle w:val="0"/>
            </w:pPr>
            <w:r>
              <w:rPr>
                <w:sz w:val="24"/>
              </w:rPr>
              <w:t xml:space="preserve">Виды страхования</w:t>
            </w:r>
          </w:p>
        </w:tc>
        <w:tc>
          <w:tcPr>
            <w:tcW w:w="1814" w:type="dxa"/>
          </w:tcPr>
          <w:p>
            <w:pPr>
              <w:pStyle w:val="0"/>
            </w:pPr>
            <w:r>
              <w:rPr>
                <w:sz w:val="24"/>
              </w:rPr>
            </w:r>
          </w:p>
        </w:tc>
        <w:tc>
          <w:tcPr>
            <w:tcW w:w="3402" w:type="dxa"/>
          </w:tcPr>
          <w:p>
            <w:pPr>
              <w:pStyle w:val="0"/>
            </w:pPr>
            <w:r>
              <w:rPr>
                <w:sz w:val="24"/>
              </w:rPr>
              <w:t xml:space="preserve">dim-int:Vidy_straxovaniyaAxis</w:t>
            </w:r>
          </w:p>
        </w:tc>
      </w:tr>
      <w:tr>
        <w:tc>
          <w:tcPr>
            <w:tcW w:w="964" w:type="dxa"/>
          </w:tcPr>
          <w:bookmarkStart w:id="59005" w:name="P59005"/>
          <w:bookmarkEnd w:id="59005"/>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Добровольное страхование жизни (кроме пенсионного страхования)</w:t>
            </w:r>
          </w:p>
        </w:tc>
        <w:tc>
          <w:tcPr>
            <w:tcW w:w="3402" w:type="dxa"/>
          </w:tcPr>
          <w:p>
            <w:pPr>
              <w:pStyle w:val="0"/>
            </w:pPr>
            <w:r>
              <w:rPr>
                <w:sz w:val="24"/>
              </w:rPr>
              <w:t xml:space="preserve">mem-int:DobrStrZhKrPensStrMember</w:t>
            </w:r>
          </w:p>
        </w:tc>
      </w:tr>
      <w:tr>
        <w:tc>
          <w:tcPr>
            <w:tcW w:w="964" w:type="dxa"/>
          </w:tcPr>
          <w:bookmarkStart w:id="59009" w:name="P59009"/>
          <w:bookmarkEnd w:id="59009"/>
          <w:p>
            <w:pPr>
              <w:pStyle w:val="0"/>
            </w:pPr>
            <w:r>
              <w:rPr>
                <w:sz w:val="24"/>
              </w:rPr>
              <w:t xml:space="preserve">2.1.1</w:t>
            </w:r>
          </w:p>
        </w:tc>
        <w:tc>
          <w:tcPr>
            <w:tcW w:w="2891" w:type="dxa"/>
          </w:tcPr>
          <w:p>
            <w:pPr>
              <w:pStyle w:val="0"/>
            </w:pPr>
            <w:r>
              <w:rPr>
                <w:sz w:val="24"/>
              </w:rPr>
            </w:r>
          </w:p>
        </w:tc>
        <w:tc>
          <w:tcPr>
            <w:tcW w:w="1814" w:type="dxa"/>
          </w:tcPr>
          <w:p>
            <w:pPr>
              <w:pStyle w:val="0"/>
            </w:pPr>
            <w:r>
              <w:rPr>
                <w:sz w:val="24"/>
              </w:rPr>
              <w:t xml:space="preserve">Добровольное страхование жизни на случай смерти, дожития до определенного возраста или срока либо наступления иного события</w:t>
            </w:r>
          </w:p>
        </w:tc>
        <w:tc>
          <w:tcPr>
            <w:tcW w:w="3402" w:type="dxa"/>
          </w:tcPr>
          <w:p>
            <w:pPr>
              <w:pStyle w:val="0"/>
            </w:pPr>
            <w:r>
              <w:rPr>
                <w:sz w:val="24"/>
              </w:rPr>
              <w:t xml:space="preserve">mem-int:DobrStrZhSmDozhInSobMember</w:t>
            </w:r>
          </w:p>
        </w:tc>
      </w:tr>
      <w:tr>
        <w:tc>
          <w:tcPr>
            <w:tcW w:w="964" w:type="dxa"/>
          </w:tcPr>
          <w:p>
            <w:pPr>
              <w:pStyle w:val="0"/>
            </w:pPr>
            <w:r>
              <w:rPr>
                <w:sz w:val="24"/>
              </w:rPr>
              <w:t xml:space="preserve">2.1.2</w:t>
            </w:r>
          </w:p>
        </w:tc>
        <w:tc>
          <w:tcPr>
            <w:tcW w:w="2891" w:type="dxa"/>
          </w:tcPr>
          <w:p>
            <w:pPr>
              <w:pStyle w:val="0"/>
            </w:pPr>
            <w:r>
              <w:rPr>
                <w:sz w:val="24"/>
              </w:rPr>
            </w:r>
          </w:p>
        </w:tc>
        <w:tc>
          <w:tcPr>
            <w:tcW w:w="1814" w:type="dxa"/>
          </w:tcPr>
          <w:p>
            <w:pPr>
              <w:pStyle w:val="0"/>
            </w:pPr>
            <w:r>
              <w:rPr>
                <w:sz w:val="24"/>
              </w:rPr>
              <w:t xml:space="preserve">Добровольное страхование жизни с условием периодических страховых выплат (ренты, аннуитетов) и (или) с участием страхователя в инвестиционном доходе страховщика</w:t>
            </w:r>
          </w:p>
        </w:tc>
        <w:tc>
          <w:tcPr>
            <w:tcW w:w="3402" w:type="dxa"/>
          </w:tcPr>
          <w:p>
            <w:pPr>
              <w:pStyle w:val="0"/>
            </w:pPr>
            <w:r>
              <w:rPr>
                <w:sz w:val="24"/>
              </w:rPr>
              <w:t xml:space="preserve">mem-int:DobrStrZhPerStrVyplUchSlInvDokhMember</w:t>
            </w:r>
          </w:p>
        </w:tc>
      </w:tr>
      <w:tr>
        <w:tc>
          <w:tcPr>
            <w:tcW w:w="964" w:type="dxa"/>
          </w:tcPr>
          <w:bookmarkStart w:id="59017" w:name="P59017"/>
          <w:bookmarkEnd w:id="59017"/>
          <w:p>
            <w:pPr>
              <w:pStyle w:val="0"/>
            </w:pPr>
            <w:r>
              <w:rPr>
                <w:sz w:val="24"/>
              </w:rPr>
              <w:t xml:space="preserve">2.1.3</w:t>
            </w:r>
          </w:p>
        </w:tc>
        <w:tc>
          <w:tcPr>
            <w:tcW w:w="2891" w:type="dxa"/>
          </w:tcPr>
          <w:p>
            <w:pPr>
              <w:pStyle w:val="0"/>
            </w:pPr>
            <w:r>
              <w:rPr>
                <w:sz w:val="24"/>
              </w:rPr>
            </w:r>
          </w:p>
        </w:tc>
        <w:tc>
          <w:tcPr>
            <w:tcW w:w="1814" w:type="dxa"/>
          </w:tcPr>
          <w:p>
            <w:pPr>
              <w:pStyle w:val="0"/>
            </w:pPr>
            <w:r>
              <w:rPr>
                <w:sz w:val="24"/>
              </w:rPr>
              <w:t xml:space="preserve">Добровольное долевое страхование жизни</w:t>
            </w:r>
          </w:p>
        </w:tc>
        <w:tc>
          <w:tcPr>
            <w:tcW w:w="3402" w:type="dxa"/>
          </w:tcPr>
          <w:p>
            <w:pPr>
              <w:pStyle w:val="0"/>
            </w:pPr>
            <w:r>
              <w:rPr>
                <w:sz w:val="24"/>
              </w:rPr>
              <w:t xml:space="preserve">mem-int:DobrDolevoeStraxZHizniMember</w:t>
            </w:r>
          </w:p>
        </w:tc>
      </w:tr>
      <w:tr>
        <w:tc>
          <w:tcPr>
            <w:tcW w:w="964" w:type="dxa"/>
          </w:tcPr>
          <w:p>
            <w:pPr>
              <w:pStyle w:val="0"/>
            </w:pPr>
            <w:r>
              <w:rPr>
                <w:sz w:val="24"/>
              </w:rPr>
              <w:t xml:space="preserve">2.2</w:t>
            </w:r>
          </w:p>
        </w:tc>
        <w:tc>
          <w:tcPr>
            <w:tcW w:w="2891" w:type="dxa"/>
          </w:tcPr>
          <w:p>
            <w:pPr>
              <w:pStyle w:val="0"/>
            </w:pPr>
            <w:r>
              <w:rPr>
                <w:sz w:val="24"/>
              </w:rPr>
            </w:r>
          </w:p>
        </w:tc>
        <w:tc>
          <w:tcPr>
            <w:tcW w:w="1814" w:type="dxa"/>
          </w:tcPr>
          <w:p>
            <w:pPr>
              <w:pStyle w:val="0"/>
            </w:pPr>
            <w:r>
              <w:rPr>
                <w:sz w:val="24"/>
              </w:rPr>
              <w:t xml:space="preserve">Добровольное пенсионное страхование</w:t>
            </w:r>
          </w:p>
        </w:tc>
        <w:tc>
          <w:tcPr>
            <w:tcW w:w="3402" w:type="dxa"/>
          </w:tcPr>
          <w:p>
            <w:pPr>
              <w:pStyle w:val="0"/>
            </w:pPr>
            <w:r>
              <w:rPr>
                <w:sz w:val="24"/>
              </w:rPr>
              <w:t xml:space="preserve">mem-int:DobrPensStrMember</w:t>
            </w:r>
          </w:p>
        </w:tc>
      </w:tr>
      <w:tr>
        <w:tc>
          <w:tcPr>
            <w:tcW w:w="964" w:type="dxa"/>
          </w:tcPr>
          <w:bookmarkStart w:id="59025" w:name="P59025"/>
          <w:bookmarkEnd w:id="59025"/>
          <w:p>
            <w:pPr>
              <w:pStyle w:val="0"/>
            </w:pPr>
            <w:r>
              <w:rPr>
                <w:sz w:val="24"/>
              </w:rPr>
              <w:t xml:space="preserve">2.3</w:t>
            </w:r>
          </w:p>
        </w:tc>
        <w:tc>
          <w:tcPr>
            <w:tcW w:w="2891" w:type="dxa"/>
          </w:tcPr>
          <w:p>
            <w:pPr>
              <w:pStyle w:val="0"/>
            </w:pPr>
            <w:r>
              <w:rPr>
                <w:sz w:val="24"/>
              </w:rPr>
            </w:r>
          </w:p>
        </w:tc>
        <w:tc>
          <w:tcPr>
            <w:tcW w:w="1814" w:type="dxa"/>
          </w:tcPr>
          <w:p>
            <w:pPr>
              <w:pStyle w:val="0"/>
            </w:pPr>
            <w:r>
              <w:rPr>
                <w:sz w:val="24"/>
              </w:rPr>
              <w:t xml:space="preserve">Добровольное личное страхование (кроме страхования жизни)</w:t>
            </w:r>
          </w:p>
        </w:tc>
        <w:tc>
          <w:tcPr>
            <w:tcW w:w="3402" w:type="dxa"/>
          </w:tcPr>
          <w:p>
            <w:pPr>
              <w:pStyle w:val="0"/>
            </w:pPr>
            <w:r>
              <w:rPr>
                <w:sz w:val="24"/>
              </w:rPr>
              <w:t xml:space="preserve">mem-int:DobrLichStrKrStrZhMember</w:t>
            </w:r>
          </w:p>
        </w:tc>
      </w:tr>
      <w:tr>
        <w:tc>
          <w:tcPr>
            <w:tcW w:w="964" w:type="dxa"/>
          </w:tcPr>
          <w:bookmarkStart w:id="59029" w:name="P59029"/>
          <w:bookmarkEnd w:id="59029"/>
          <w:p>
            <w:pPr>
              <w:pStyle w:val="0"/>
            </w:pPr>
            <w:r>
              <w:rPr>
                <w:sz w:val="24"/>
              </w:rPr>
              <w:t xml:space="preserve">2.3.1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w:t>
            </w:r>
          </w:p>
        </w:tc>
        <w:tc>
          <w:tcPr>
            <w:tcW w:w="3402" w:type="dxa"/>
          </w:tcPr>
          <w:p>
            <w:pPr>
              <w:pStyle w:val="0"/>
            </w:pPr>
            <w:r>
              <w:rPr>
                <w:sz w:val="24"/>
              </w:rPr>
              <w:t xml:space="preserve">mem-int:DobrStrNeschSlBolMember</w:t>
            </w:r>
          </w:p>
        </w:tc>
      </w:tr>
      <w:tr>
        <w:tc>
          <w:tcPr>
            <w:tcW w:w="964" w:type="dxa"/>
          </w:tcPr>
          <w:bookmarkStart w:id="59033" w:name="P59033"/>
          <w:bookmarkEnd w:id="59033"/>
          <w:p>
            <w:pPr>
              <w:pStyle w:val="0"/>
            </w:pPr>
            <w:r>
              <w:rPr>
                <w:sz w:val="24"/>
              </w:rPr>
              <w:t xml:space="preserve">2.3.1.1</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пациентов, участвующих в клинических исследованиях лекарственного препарата для медицинского применения</w:t>
            </w:r>
          </w:p>
        </w:tc>
        <w:tc>
          <w:tcPr>
            <w:tcW w:w="3402" w:type="dxa"/>
          </w:tcPr>
          <w:p>
            <w:pPr>
              <w:pStyle w:val="0"/>
            </w:pPr>
            <w:r>
              <w:rPr>
                <w:sz w:val="24"/>
              </w:rPr>
              <w:t xml:space="preserve">mem-int:DobrStrNeschSlBol_PaczUchastKlinIssledMember</w:t>
            </w:r>
          </w:p>
        </w:tc>
      </w:tr>
      <w:tr>
        <w:tc>
          <w:tcPr>
            <w:tcW w:w="964" w:type="dxa"/>
          </w:tcPr>
          <w:bookmarkStart w:id="59037" w:name="P59037"/>
          <w:bookmarkEnd w:id="59037"/>
          <w:p>
            <w:pPr>
              <w:pStyle w:val="0"/>
            </w:pPr>
            <w:r>
              <w:rPr>
                <w:sz w:val="24"/>
              </w:rPr>
              <w:t xml:space="preserve">2.3.1.2</w:t>
            </w:r>
          </w:p>
        </w:tc>
        <w:tc>
          <w:tcPr>
            <w:tcW w:w="2891" w:type="dxa"/>
          </w:tcPr>
          <w:p>
            <w:pPr>
              <w:pStyle w:val="0"/>
            </w:pPr>
            <w:r>
              <w:rPr>
                <w:sz w:val="24"/>
              </w:rPr>
            </w:r>
          </w:p>
        </w:tc>
        <w:tc>
          <w:tcPr>
            <w:tcW w:w="1814" w:type="dxa"/>
          </w:tcPr>
          <w:p>
            <w:pPr>
              <w:pStyle w:val="0"/>
            </w:pPr>
            <w:r>
              <w:rPr>
                <w:sz w:val="24"/>
              </w:rPr>
              <w:t xml:space="preserve">Добровольное страхование от несчастных случаев и болезней работников налоговых органов</w:t>
            </w:r>
          </w:p>
        </w:tc>
        <w:tc>
          <w:tcPr>
            <w:tcW w:w="3402" w:type="dxa"/>
          </w:tcPr>
          <w:p>
            <w:pPr>
              <w:pStyle w:val="0"/>
            </w:pPr>
            <w:r>
              <w:rPr>
                <w:sz w:val="24"/>
              </w:rPr>
              <w:t xml:space="preserve">mem-int:DobrStrNeschSlBol_RabNalogOrgMember</w:t>
            </w:r>
          </w:p>
        </w:tc>
      </w:tr>
      <w:tr>
        <w:tc>
          <w:tcPr>
            <w:tcW w:w="964" w:type="dxa"/>
          </w:tcPr>
          <w:bookmarkStart w:id="59041" w:name="P59041"/>
          <w:bookmarkEnd w:id="59041"/>
          <w:p>
            <w:pPr>
              <w:pStyle w:val="0"/>
            </w:pPr>
            <w:r>
              <w:rPr>
                <w:sz w:val="24"/>
              </w:rPr>
              <w:t xml:space="preserve">2.3.2</w:t>
            </w:r>
          </w:p>
        </w:tc>
        <w:tc>
          <w:tcPr>
            <w:tcW w:w="2891" w:type="dxa"/>
          </w:tcPr>
          <w:p>
            <w:pPr>
              <w:pStyle w:val="0"/>
            </w:pPr>
            <w:r>
              <w:rPr>
                <w:sz w:val="24"/>
              </w:rPr>
            </w:r>
          </w:p>
        </w:tc>
        <w:tc>
          <w:tcPr>
            <w:tcW w:w="1814" w:type="dxa"/>
          </w:tcPr>
          <w:p>
            <w:pPr>
              <w:pStyle w:val="0"/>
            </w:pPr>
            <w:r>
              <w:rPr>
                <w:sz w:val="24"/>
              </w:rPr>
              <w:t xml:space="preserve">Добровольное медицинское страхование</w:t>
            </w:r>
          </w:p>
        </w:tc>
        <w:tc>
          <w:tcPr>
            <w:tcW w:w="3402" w:type="dxa"/>
          </w:tcPr>
          <w:p>
            <w:pPr>
              <w:pStyle w:val="0"/>
            </w:pPr>
            <w:r>
              <w:rPr>
                <w:sz w:val="24"/>
              </w:rPr>
              <w:t xml:space="preserve">mem-int:DobrMedStrMember</w:t>
            </w:r>
          </w:p>
        </w:tc>
      </w:tr>
      <w:tr>
        <w:tc>
          <w:tcPr>
            <w:tcW w:w="964" w:type="dxa"/>
          </w:tcPr>
          <w:bookmarkStart w:id="59045" w:name="P59045"/>
          <w:bookmarkEnd w:id="59045"/>
          <w:p>
            <w:pPr>
              <w:pStyle w:val="0"/>
            </w:pPr>
            <w:r>
              <w:rPr>
                <w:sz w:val="24"/>
              </w:rPr>
              <w:t xml:space="preserve">2.4</w:t>
            </w:r>
          </w:p>
        </w:tc>
        <w:tc>
          <w:tcPr>
            <w:tcW w:w="2891" w:type="dxa"/>
          </w:tcPr>
          <w:p>
            <w:pPr>
              <w:pStyle w:val="0"/>
            </w:pPr>
            <w:r>
              <w:rPr>
                <w:sz w:val="24"/>
              </w:rPr>
            </w:r>
          </w:p>
        </w:tc>
        <w:tc>
          <w:tcPr>
            <w:tcW w:w="1814" w:type="dxa"/>
          </w:tcPr>
          <w:p>
            <w:pPr>
              <w:pStyle w:val="0"/>
            </w:pPr>
            <w:r>
              <w:rPr>
                <w:sz w:val="24"/>
              </w:rPr>
              <w:t xml:space="preserve">Добровольное имущественное страхование</w:t>
            </w:r>
          </w:p>
        </w:tc>
        <w:tc>
          <w:tcPr>
            <w:tcW w:w="3402" w:type="dxa"/>
          </w:tcPr>
          <w:p>
            <w:pPr>
              <w:pStyle w:val="0"/>
            </w:pPr>
            <w:r>
              <w:rPr>
                <w:sz w:val="24"/>
              </w:rPr>
              <w:t xml:space="preserve">mem-int:DobrImushStrMember</w:t>
            </w:r>
          </w:p>
        </w:tc>
      </w:tr>
      <w:tr>
        <w:tc>
          <w:tcPr>
            <w:tcW w:w="964" w:type="dxa"/>
          </w:tcPr>
          <w:bookmarkStart w:id="59049" w:name="P59049"/>
          <w:bookmarkEnd w:id="59049"/>
          <w:p>
            <w:pPr>
              <w:pStyle w:val="0"/>
            </w:pPr>
            <w:r>
              <w:rPr>
                <w:sz w:val="24"/>
              </w:rPr>
              <w:t xml:space="preserve">2.4.1</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w:t>
            </w:r>
          </w:p>
        </w:tc>
        <w:tc>
          <w:tcPr>
            <w:tcW w:w="3402" w:type="dxa"/>
          </w:tcPr>
          <w:p>
            <w:pPr>
              <w:pStyle w:val="0"/>
            </w:pPr>
            <w:r>
              <w:rPr>
                <w:sz w:val="24"/>
              </w:rPr>
              <w:t xml:space="preserve">mem-int:DobrStrImushMember</w:t>
            </w:r>
          </w:p>
        </w:tc>
      </w:tr>
      <w:tr>
        <w:tc>
          <w:tcPr>
            <w:tcW w:w="964" w:type="dxa"/>
          </w:tcPr>
          <w:bookmarkStart w:id="59053" w:name="P59053"/>
          <w:bookmarkEnd w:id="59053"/>
          <w:p>
            <w:pPr>
              <w:pStyle w:val="0"/>
            </w:pPr>
            <w:r>
              <w:rPr>
                <w:sz w:val="24"/>
              </w:rPr>
              <w:t xml:space="preserve">2.4.1.1</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наземного транспорта (кроме средств железнодорожного транспорта)</w:t>
            </w:r>
          </w:p>
        </w:tc>
        <w:tc>
          <w:tcPr>
            <w:tcW w:w="3402" w:type="dxa"/>
          </w:tcPr>
          <w:p>
            <w:pPr>
              <w:pStyle w:val="0"/>
            </w:pPr>
            <w:r>
              <w:rPr>
                <w:sz w:val="24"/>
              </w:rPr>
              <w:t xml:space="preserve">mem-int:DobrStrSrNazTrKrZhdMember</w:t>
            </w:r>
          </w:p>
        </w:tc>
      </w:tr>
      <w:tr>
        <w:tc>
          <w:tcPr>
            <w:tcW w:w="964" w:type="dxa"/>
          </w:tcPr>
          <w:p>
            <w:pPr>
              <w:pStyle w:val="0"/>
            </w:pPr>
            <w:r>
              <w:rPr>
                <w:sz w:val="24"/>
              </w:rPr>
              <w:t xml:space="preserve">2.4.1.2</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железнодорожного транспорта</w:t>
            </w:r>
          </w:p>
        </w:tc>
        <w:tc>
          <w:tcPr>
            <w:tcW w:w="3402" w:type="dxa"/>
          </w:tcPr>
          <w:p>
            <w:pPr>
              <w:pStyle w:val="0"/>
            </w:pPr>
            <w:r>
              <w:rPr>
                <w:sz w:val="24"/>
              </w:rPr>
              <w:t xml:space="preserve">mem-int:DobrStrSrZhdTrMember</w:t>
            </w:r>
          </w:p>
        </w:tc>
      </w:tr>
      <w:tr>
        <w:tc>
          <w:tcPr>
            <w:tcW w:w="964" w:type="dxa"/>
          </w:tcPr>
          <w:p>
            <w:pPr>
              <w:pStyle w:val="0"/>
            </w:pPr>
            <w:r>
              <w:rPr>
                <w:sz w:val="24"/>
              </w:rPr>
              <w:t xml:space="preserve">2.4.1.3</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воздушного транспорта</w:t>
            </w:r>
          </w:p>
        </w:tc>
        <w:tc>
          <w:tcPr>
            <w:tcW w:w="3402" w:type="dxa"/>
          </w:tcPr>
          <w:p>
            <w:pPr>
              <w:pStyle w:val="0"/>
            </w:pPr>
            <w:r>
              <w:rPr>
                <w:sz w:val="24"/>
              </w:rPr>
              <w:t xml:space="preserve">mem-int:DobrStrSrVozdTrMember</w:t>
            </w:r>
          </w:p>
        </w:tc>
      </w:tr>
      <w:tr>
        <w:tc>
          <w:tcPr>
            <w:tcW w:w="964" w:type="dxa"/>
          </w:tcPr>
          <w:p>
            <w:pPr>
              <w:pStyle w:val="0"/>
            </w:pPr>
            <w:r>
              <w:rPr>
                <w:sz w:val="24"/>
              </w:rPr>
              <w:t xml:space="preserve">2.4.1.4</w:t>
            </w:r>
          </w:p>
        </w:tc>
        <w:tc>
          <w:tcPr>
            <w:tcW w:w="2891" w:type="dxa"/>
          </w:tcPr>
          <w:p>
            <w:pPr>
              <w:pStyle w:val="0"/>
            </w:pPr>
            <w:r>
              <w:rPr>
                <w:sz w:val="24"/>
              </w:rPr>
            </w:r>
          </w:p>
        </w:tc>
        <w:tc>
          <w:tcPr>
            <w:tcW w:w="1814" w:type="dxa"/>
          </w:tcPr>
          <w:p>
            <w:pPr>
              <w:pStyle w:val="0"/>
            </w:pPr>
            <w:r>
              <w:rPr>
                <w:sz w:val="24"/>
              </w:rPr>
              <w:t xml:space="preserve">Добровольное страхование средств водного транспорта</w:t>
            </w:r>
          </w:p>
        </w:tc>
        <w:tc>
          <w:tcPr>
            <w:tcW w:w="3402" w:type="dxa"/>
          </w:tcPr>
          <w:p>
            <w:pPr>
              <w:pStyle w:val="0"/>
            </w:pPr>
            <w:r>
              <w:rPr>
                <w:sz w:val="24"/>
              </w:rPr>
              <w:t xml:space="preserve">mem-int:DobrStrSrVodTrMember</w:t>
            </w:r>
          </w:p>
        </w:tc>
      </w:tr>
      <w:tr>
        <w:tc>
          <w:tcPr>
            <w:tcW w:w="964" w:type="dxa"/>
          </w:tcPr>
          <w:p>
            <w:pPr>
              <w:pStyle w:val="0"/>
            </w:pPr>
            <w:r>
              <w:rPr>
                <w:sz w:val="24"/>
              </w:rPr>
              <w:t xml:space="preserve">2.4.1.5</w:t>
            </w:r>
          </w:p>
        </w:tc>
        <w:tc>
          <w:tcPr>
            <w:tcW w:w="2891" w:type="dxa"/>
          </w:tcPr>
          <w:p>
            <w:pPr>
              <w:pStyle w:val="0"/>
            </w:pPr>
            <w:r>
              <w:rPr>
                <w:sz w:val="24"/>
              </w:rPr>
            </w:r>
          </w:p>
        </w:tc>
        <w:tc>
          <w:tcPr>
            <w:tcW w:w="1814" w:type="dxa"/>
          </w:tcPr>
          <w:p>
            <w:pPr>
              <w:pStyle w:val="0"/>
            </w:pPr>
            <w:r>
              <w:rPr>
                <w:sz w:val="24"/>
              </w:rPr>
              <w:t xml:space="preserve">Добровольное страхование грузов</w:t>
            </w:r>
          </w:p>
        </w:tc>
        <w:tc>
          <w:tcPr>
            <w:tcW w:w="3402" w:type="dxa"/>
          </w:tcPr>
          <w:p>
            <w:pPr>
              <w:pStyle w:val="0"/>
            </w:pPr>
            <w:r>
              <w:rPr>
                <w:sz w:val="24"/>
              </w:rPr>
              <w:t xml:space="preserve">mem-int:DobrStrGruzMember</w:t>
            </w:r>
          </w:p>
        </w:tc>
      </w:tr>
      <w:tr>
        <w:tc>
          <w:tcPr>
            <w:tcW w:w="964" w:type="dxa"/>
          </w:tcPr>
          <w:bookmarkStart w:id="59073" w:name="P59073"/>
          <w:bookmarkEnd w:id="59073"/>
          <w:p>
            <w:pPr>
              <w:pStyle w:val="0"/>
            </w:pPr>
            <w:r>
              <w:rPr>
                <w:sz w:val="24"/>
              </w:rPr>
              <w:t xml:space="preserve">2.4.1.6</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w:t>
            </w:r>
          </w:p>
        </w:tc>
        <w:tc>
          <w:tcPr>
            <w:tcW w:w="3402" w:type="dxa"/>
          </w:tcPr>
          <w:p>
            <w:pPr>
              <w:pStyle w:val="0"/>
            </w:pPr>
            <w:r>
              <w:rPr>
                <w:sz w:val="24"/>
              </w:rPr>
              <w:t xml:space="preserve">mem-int:DobrSxStrMember</w:t>
            </w:r>
          </w:p>
        </w:tc>
      </w:tr>
      <w:tr>
        <w:tc>
          <w:tcPr>
            <w:tcW w:w="964" w:type="dxa"/>
          </w:tcPr>
          <w:p>
            <w:pPr>
              <w:pStyle w:val="0"/>
            </w:pPr>
            <w:r>
              <w:rPr>
                <w:sz w:val="24"/>
              </w:rPr>
              <w:t xml:space="preserve">2.4.1.7</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юридических лиц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mem-int:DobrStrImYurLiczMember</w:t>
            </w:r>
          </w:p>
        </w:tc>
      </w:tr>
      <w:tr>
        <w:tc>
          <w:tcPr>
            <w:tcW w:w="964" w:type="dxa"/>
          </w:tcPr>
          <w:bookmarkStart w:id="59081" w:name="P59081"/>
          <w:bookmarkEnd w:id="59081"/>
          <w:p>
            <w:pPr>
              <w:pStyle w:val="0"/>
            </w:pPr>
            <w:r>
              <w:rPr>
                <w:sz w:val="24"/>
              </w:rPr>
              <w:t xml:space="preserve">2.4.1.8</w:t>
            </w:r>
          </w:p>
        </w:tc>
        <w:tc>
          <w:tcPr>
            <w:tcW w:w="2891" w:type="dxa"/>
          </w:tcPr>
          <w:p>
            <w:pPr>
              <w:pStyle w:val="0"/>
            </w:pPr>
            <w:r>
              <w:rPr>
                <w:sz w:val="24"/>
              </w:rPr>
            </w:r>
          </w:p>
        </w:tc>
        <w:tc>
          <w:tcPr>
            <w:tcW w:w="1814" w:type="dxa"/>
          </w:tcPr>
          <w:p>
            <w:pPr>
              <w:pStyle w:val="0"/>
            </w:pPr>
            <w:r>
              <w:rPr>
                <w:sz w:val="24"/>
              </w:rPr>
              <w:t xml:space="preserve">Добровольное страхование имущества граждан (кроме страхования транспортных средств, грузов и сельскохозяйственного страхования)</w:t>
            </w:r>
          </w:p>
        </w:tc>
        <w:tc>
          <w:tcPr>
            <w:tcW w:w="3402" w:type="dxa"/>
          </w:tcPr>
          <w:p>
            <w:pPr>
              <w:pStyle w:val="0"/>
            </w:pPr>
            <w:r>
              <w:rPr>
                <w:sz w:val="24"/>
              </w:rPr>
              <w:t xml:space="preserve">mem-int:DobrStrImGrazhdMember</w:t>
            </w:r>
          </w:p>
        </w:tc>
      </w:tr>
      <w:tr>
        <w:tc>
          <w:tcPr>
            <w:tcW w:w="964" w:type="dxa"/>
          </w:tcPr>
          <w:bookmarkStart w:id="59085" w:name="P59085"/>
          <w:bookmarkEnd w:id="59085"/>
          <w:p>
            <w:pPr>
              <w:pStyle w:val="0"/>
            </w:pPr>
            <w:r>
              <w:rPr>
                <w:sz w:val="24"/>
              </w:rPr>
              <w:t xml:space="preserve">2.4.2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w:t>
            </w:r>
          </w:p>
        </w:tc>
        <w:tc>
          <w:tcPr>
            <w:tcW w:w="3402" w:type="dxa"/>
          </w:tcPr>
          <w:p>
            <w:pPr>
              <w:pStyle w:val="0"/>
            </w:pPr>
            <w:r>
              <w:rPr>
                <w:sz w:val="24"/>
              </w:rPr>
              <w:t xml:space="preserve">mem-int:DobrStrGrazhdOtvMember</w:t>
            </w:r>
          </w:p>
        </w:tc>
      </w:tr>
      <w:tr>
        <w:tc>
          <w:tcPr>
            <w:tcW w:w="964" w:type="dxa"/>
          </w:tcPr>
          <w:bookmarkStart w:id="59089" w:name="P59089"/>
          <w:bookmarkEnd w:id="59089"/>
          <w:p>
            <w:pPr>
              <w:pStyle w:val="0"/>
            </w:pPr>
            <w:r>
              <w:rPr>
                <w:sz w:val="24"/>
              </w:rPr>
              <w:t xml:space="preserve">2.4.2.1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наземного транспорта (кроме средств железнодорожного транспорта)</w:t>
            </w:r>
          </w:p>
        </w:tc>
        <w:tc>
          <w:tcPr>
            <w:tcW w:w="3402" w:type="dxa"/>
          </w:tcPr>
          <w:p>
            <w:pPr>
              <w:pStyle w:val="0"/>
            </w:pPr>
            <w:r>
              <w:rPr>
                <w:sz w:val="24"/>
              </w:rPr>
              <w:t xml:space="preserve">mem-int:DobrStrGrOtvVladSrNazTrKrZhdMember</w:t>
            </w:r>
          </w:p>
        </w:tc>
      </w:tr>
      <w:tr>
        <w:tc>
          <w:tcPr>
            <w:tcW w:w="964" w:type="dxa"/>
          </w:tcPr>
          <w:bookmarkStart w:id="59093" w:name="P59093"/>
          <w:bookmarkEnd w:id="59093"/>
          <w:p>
            <w:pPr>
              <w:pStyle w:val="0"/>
            </w:pPr>
            <w:r>
              <w:rPr>
                <w:sz w:val="24"/>
              </w:rPr>
              <w:t xml:space="preserve">2.4.2.1.1</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автотранспортных средств (кроме страхования, осуществляемого в рамках международных систем страхования)</w:t>
            </w:r>
          </w:p>
        </w:tc>
        <w:tc>
          <w:tcPr>
            <w:tcW w:w="3402" w:type="dxa"/>
          </w:tcPr>
          <w:p>
            <w:pPr>
              <w:pStyle w:val="0"/>
            </w:pPr>
            <w:r>
              <w:rPr>
                <w:sz w:val="24"/>
              </w:rPr>
              <w:t xml:space="preserve">mem-int:DobrStrGrOtvVladSrNazTrKrZhd_StraxGoAvtoKromeZkMember</w:t>
            </w:r>
          </w:p>
        </w:tc>
      </w:tr>
      <w:tr>
        <w:tc>
          <w:tcPr>
            <w:tcW w:w="964" w:type="dxa"/>
          </w:tcPr>
          <w:bookmarkStart w:id="59097" w:name="P59097"/>
          <w:bookmarkEnd w:id="59097"/>
          <w:p>
            <w:pPr>
              <w:pStyle w:val="0"/>
            </w:pPr>
            <w:r>
              <w:rPr>
                <w:sz w:val="24"/>
              </w:rPr>
              <w:t xml:space="preserve">2.4.2.1.2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автотранспортных средств (страхование, осуществляемое в рамках международных систем страхования)</w:t>
            </w:r>
          </w:p>
        </w:tc>
        <w:tc>
          <w:tcPr>
            <w:tcW w:w="3402" w:type="dxa"/>
          </w:tcPr>
          <w:p>
            <w:pPr>
              <w:pStyle w:val="0"/>
            </w:pPr>
            <w:r>
              <w:rPr>
                <w:sz w:val="24"/>
              </w:rPr>
              <w:t xml:space="preserve">mem-int:DobrStrGrOtvVladSrNazTrKrZhd_StraxGoAvtoZkMember</w:t>
            </w:r>
          </w:p>
        </w:tc>
      </w:tr>
      <w:tr>
        <w:tc>
          <w:tcPr>
            <w:tcW w:w="964" w:type="dxa"/>
          </w:tcPr>
          <w:bookmarkStart w:id="59101" w:name="P59101"/>
          <w:bookmarkEnd w:id="59101"/>
          <w:p>
            <w:pPr>
              <w:pStyle w:val="0"/>
            </w:pPr>
            <w:r>
              <w:rPr>
                <w:sz w:val="24"/>
              </w:rPr>
              <w:t xml:space="preserve">2.4.2.2</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железнодорожного транспорта</w:t>
            </w:r>
          </w:p>
        </w:tc>
        <w:tc>
          <w:tcPr>
            <w:tcW w:w="3402" w:type="dxa"/>
          </w:tcPr>
          <w:p>
            <w:pPr>
              <w:pStyle w:val="0"/>
            </w:pPr>
            <w:r>
              <w:rPr>
                <w:sz w:val="24"/>
              </w:rPr>
              <w:t xml:space="preserve">mem-int:DobrStrGrOtvVladSrZhdTrMember</w:t>
            </w:r>
          </w:p>
        </w:tc>
      </w:tr>
      <w:tr>
        <w:tc>
          <w:tcPr>
            <w:tcW w:w="964" w:type="dxa"/>
          </w:tcPr>
          <w:p>
            <w:pPr>
              <w:pStyle w:val="0"/>
            </w:pPr>
            <w:r>
              <w:rPr>
                <w:sz w:val="24"/>
              </w:rPr>
              <w:t xml:space="preserve">2.4.2.3</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воздушного транспорта</w:t>
            </w:r>
          </w:p>
        </w:tc>
        <w:tc>
          <w:tcPr>
            <w:tcW w:w="3402" w:type="dxa"/>
          </w:tcPr>
          <w:p>
            <w:pPr>
              <w:pStyle w:val="0"/>
            </w:pPr>
            <w:r>
              <w:rPr>
                <w:sz w:val="24"/>
              </w:rPr>
              <w:t xml:space="preserve">mem-int:DobrStrGrOtvVladSrVozdTrMember</w:t>
            </w:r>
          </w:p>
        </w:tc>
      </w:tr>
      <w:tr>
        <w:tc>
          <w:tcPr>
            <w:tcW w:w="964" w:type="dxa"/>
          </w:tcPr>
          <w:p>
            <w:pPr>
              <w:pStyle w:val="0"/>
            </w:pPr>
            <w:r>
              <w:rPr>
                <w:sz w:val="24"/>
              </w:rPr>
              <w:t xml:space="preserve">2.4.2.4</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владельцев средств водного транспорта</w:t>
            </w:r>
          </w:p>
        </w:tc>
        <w:tc>
          <w:tcPr>
            <w:tcW w:w="3402" w:type="dxa"/>
          </w:tcPr>
          <w:p>
            <w:pPr>
              <w:pStyle w:val="0"/>
            </w:pPr>
            <w:r>
              <w:rPr>
                <w:sz w:val="24"/>
              </w:rPr>
              <w:t xml:space="preserve">mem-int:DobrStrGrOtvVladSrVodTrMember</w:t>
            </w:r>
          </w:p>
        </w:tc>
      </w:tr>
      <w:tr>
        <w:tc>
          <w:tcPr>
            <w:tcW w:w="964" w:type="dxa"/>
          </w:tcPr>
          <w:p>
            <w:pPr>
              <w:pStyle w:val="0"/>
            </w:pPr>
            <w:r>
              <w:rPr>
                <w:sz w:val="24"/>
              </w:rPr>
              <w:t xml:space="preserve">2.4.2.5</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организаций, эксплуатирующих опасные объекты</w:t>
            </w:r>
          </w:p>
        </w:tc>
        <w:tc>
          <w:tcPr>
            <w:tcW w:w="3402" w:type="dxa"/>
          </w:tcPr>
          <w:p>
            <w:pPr>
              <w:pStyle w:val="0"/>
            </w:pPr>
            <w:r>
              <w:rPr>
                <w:sz w:val="24"/>
              </w:rPr>
              <w:t xml:space="preserve">mem-int:DobrStrGrOtvOrgEkspOpObMember</w:t>
            </w:r>
          </w:p>
        </w:tc>
      </w:tr>
      <w:tr>
        <w:tc>
          <w:tcPr>
            <w:tcW w:w="964" w:type="dxa"/>
          </w:tcPr>
          <w:p>
            <w:pPr>
              <w:pStyle w:val="0"/>
            </w:pPr>
            <w:r>
              <w:rPr>
                <w:sz w:val="24"/>
              </w:rPr>
              <w:t xml:space="preserve">2.4.2.6</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вследствие недостатков товаров, работ, услуг</w:t>
            </w:r>
          </w:p>
        </w:tc>
        <w:tc>
          <w:tcPr>
            <w:tcW w:w="3402" w:type="dxa"/>
          </w:tcPr>
          <w:p>
            <w:pPr>
              <w:pStyle w:val="0"/>
            </w:pPr>
            <w:r>
              <w:rPr>
                <w:sz w:val="24"/>
              </w:rPr>
              <w:t xml:space="preserve">mem-int:DobrStrGrOtvPrichVredNedTovUslRabMember</w:t>
            </w:r>
          </w:p>
        </w:tc>
      </w:tr>
      <w:tr>
        <w:tc>
          <w:tcPr>
            <w:tcW w:w="964" w:type="dxa"/>
          </w:tcPr>
          <w:p>
            <w:pPr>
              <w:pStyle w:val="0"/>
            </w:pPr>
            <w:r>
              <w:rPr>
                <w:sz w:val="24"/>
              </w:rPr>
              <w:t xml:space="preserve">2.4.2.7</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причинение вреда третьим лицам</w:t>
            </w:r>
          </w:p>
        </w:tc>
        <w:tc>
          <w:tcPr>
            <w:tcW w:w="3402" w:type="dxa"/>
          </w:tcPr>
          <w:p>
            <w:pPr>
              <w:pStyle w:val="0"/>
            </w:pPr>
            <w:r>
              <w:rPr>
                <w:sz w:val="24"/>
              </w:rPr>
              <w:t xml:space="preserve">mem-int:DobrStrGrOtvPrichVredTrLiczMember</w:t>
            </w:r>
          </w:p>
        </w:tc>
      </w:tr>
      <w:tr>
        <w:tc>
          <w:tcPr>
            <w:tcW w:w="964" w:type="dxa"/>
          </w:tcPr>
          <w:bookmarkStart w:id="59125" w:name="P59125"/>
          <w:bookmarkEnd w:id="59125"/>
          <w:p>
            <w:pPr>
              <w:pStyle w:val="0"/>
            </w:pPr>
            <w:r>
              <w:rPr>
                <w:sz w:val="24"/>
              </w:rPr>
              <w:t xml:space="preserve">2.4.2.8</w:t>
            </w:r>
          </w:p>
        </w:tc>
        <w:tc>
          <w:tcPr>
            <w:tcW w:w="2891" w:type="dxa"/>
          </w:tcPr>
          <w:p>
            <w:pPr>
              <w:pStyle w:val="0"/>
            </w:pPr>
            <w:r>
              <w:rPr>
                <w:sz w:val="24"/>
              </w:rPr>
            </w:r>
          </w:p>
        </w:tc>
        <w:tc>
          <w:tcPr>
            <w:tcW w:w="1814" w:type="dxa"/>
          </w:tcPr>
          <w:p>
            <w:pPr>
              <w:pStyle w:val="0"/>
            </w:pPr>
            <w:r>
              <w:rPr>
                <w:sz w:val="24"/>
              </w:rPr>
              <w:t xml:space="preserve">Добровольное страхование гражданской ответственности за неисполнение или ненадлежащее исполнение обязательств по договору</w:t>
            </w:r>
          </w:p>
        </w:tc>
        <w:tc>
          <w:tcPr>
            <w:tcW w:w="3402" w:type="dxa"/>
          </w:tcPr>
          <w:p>
            <w:pPr>
              <w:pStyle w:val="0"/>
            </w:pPr>
            <w:r>
              <w:rPr>
                <w:sz w:val="24"/>
              </w:rPr>
              <w:t xml:space="preserve">mem-int:DobrStrGrOtvNeispObMember</w:t>
            </w:r>
          </w:p>
        </w:tc>
      </w:tr>
      <w:tr>
        <w:tc>
          <w:tcPr>
            <w:tcW w:w="964" w:type="dxa"/>
          </w:tcPr>
          <w:bookmarkStart w:id="59129" w:name="P59129"/>
          <w:bookmarkEnd w:id="59129"/>
          <w:p>
            <w:pPr>
              <w:pStyle w:val="0"/>
            </w:pPr>
            <w:r>
              <w:rPr>
                <w:sz w:val="24"/>
              </w:rPr>
              <w:t xml:space="preserve">2.4.3</w:t>
            </w:r>
          </w:p>
        </w:tc>
        <w:tc>
          <w:tcPr>
            <w:tcW w:w="2891" w:type="dxa"/>
          </w:tcPr>
          <w:p>
            <w:pPr>
              <w:pStyle w:val="0"/>
            </w:pPr>
            <w:r>
              <w:rPr>
                <w:sz w:val="24"/>
              </w:rPr>
            </w:r>
          </w:p>
        </w:tc>
        <w:tc>
          <w:tcPr>
            <w:tcW w:w="1814" w:type="dxa"/>
          </w:tcPr>
          <w:p>
            <w:pPr>
              <w:pStyle w:val="0"/>
            </w:pPr>
            <w:r>
              <w:rPr>
                <w:sz w:val="24"/>
              </w:rPr>
              <w:t xml:space="preserve">Добровольное страхование предпринимательских рисков</w:t>
            </w:r>
          </w:p>
        </w:tc>
        <w:tc>
          <w:tcPr>
            <w:tcW w:w="3402" w:type="dxa"/>
          </w:tcPr>
          <w:p>
            <w:pPr>
              <w:pStyle w:val="0"/>
            </w:pPr>
            <w:r>
              <w:rPr>
                <w:sz w:val="24"/>
              </w:rPr>
              <w:t xml:space="preserve">mem-int:DobrStrPredRiskMember</w:t>
            </w:r>
          </w:p>
        </w:tc>
      </w:tr>
      <w:tr>
        <w:tc>
          <w:tcPr>
            <w:tcW w:w="964" w:type="dxa"/>
          </w:tcPr>
          <w:bookmarkStart w:id="59133" w:name="P59133"/>
          <w:bookmarkEnd w:id="59133"/>
          <w:p>
            <w:pPr>
              <w:pStyle w:val="0"/>
            </w:pPr>
            <w:r>
              <w:rPr>
                <w:sz w:val="24"/>
              </w:rPr>
              <w:t xml:space="preserve">2.4.4</w:t>
            </w:r>
          </w:p>
        </w:tc>
        <w:tc>
          <w:tcPr>
            <w:tcW w:w="2891" w:type="dxa"/>
          </w:tcPr>
          <w:p>
            <w:pPr>
              <w:pStyle w:val="0"/>
            </w:pPr>
            <w:r>
              <w:rPr>
                <w:sz w:val="24"/>
              </w:rPr>
            </w:r>
          </w:p>
        </w:tc>
        <w:tc>
          <w:tcPr>
            <w:tcW w:w="1814" w:type="dxa"/>
          </w:tcPr>
          <w:p>
            <w:pPr>
              <w:pStyle w:val="0"/>
            </w:pPr>
            <w:r>
              <w:rPr>
                <w:sz w:val="24"/>
              </w:rPr>
              <w:t xml:space="preserve">Добровольное страхование финансовых рисков</w:t>
            </w:r>
          </w:p>
        </w:tc>
        <w:tc>
          <w:tcPr>
            <w:tcW w:w="3402" w:type="dxa"/>
          </w:tcPr>
          <w:p>
            <w:pPr>
              <w:pStyle w:val="0"/>
            </w:pPr>
            <w:r>
              <w:rPr>
                <w:sz w:val="24"/>
              </w:rPr>
              <w:t xml:space="preserve">mem-int:DobrStrFinRiskMember</w:t>
            </w:r>
          </w:p>
        </w:tc>
      </w:tr>
      <w:tr>
        <w:tc>
          <w:tcPr>
            <w:tcW w:w="964" w:type="dxa"/>
          </w:tcPr>
          <w:p>
            <w:pPr>
              <w:pStyle w:val="0"/>
            </w:pPr>
            <w:r>
              <w:rPr>
                <w:sz w:val="24"/>
              </w:rPr>
              <w:t xml:space="preserve">2.5</w:t>
            </w:r>
          </w:p>
        </w:tc>
        <w:tc>
          <w:tcPr>
            <w:tcW w:w="2891" w:type="dxa"/>
          </w:tcPr>
          <w:p>
            <w:pPr>
              <w:pStyle w:val="0"/>
            </w:pPr>
            <w:r>
              <w:rPr>
                <w:sz w:val="24"/>
              </w:rPr>
            </w:r>
          </w:p>
        </w:tc>
        <w:tc>
          <w:tcPr>
            <w:tcW w:w="1814" w:type="dxa"/>
          </w:tcPr>
          <w:p>
            <w:pPr>
              <w:pStyle w:val="0"/>
            </w:pPr>
            <w:r>
              <w:rPr>
                <w:sz w:val="24"/>
              </w:rPr>
              <w:t xml:space="preserve">Обязательное государственное страхование жизни и здоровья военнослужащих и приравненных к ним в обязательном государственном страховании лиц</w:t>
            </w:r>
          </w:p>
        </w:tc>
        <w:tc>
          <w:tcPr>
            <w:tcW w:w="3402" w:type="dxa"/>
          </w:tcPr>
          <w:p>
            <w:pPr>
              <w:pStyle w:val="0"/>
            </w:pPr>
            <w:r>
              <w:rPr>
                <w:sz w:val="24"/>
              </w:rPr>
              <w:t xml:space="preserve">mem-int:ObzGosStrZhZdorVoenSborVDPozhUgIspNaczGvMember</w:t>
            </w:r>
          </w:p>
        </w:tc>
      </w:tr>
      <w:tr>
        <w:tc>
          <w:tcPr>
            <w:tcW w:w="964" w:type="dxa"/>
          </w:tcPr>
          <w:p>
            <w:pPr>
              <w:pStyle w:val="0"/>
            </w:pPr>
            <w:r>
              <w:rPr>
                <w:sz w:val="24"/>
              </w:rPr>
              <w:t xml:space="preserve">2.6</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владельцев транспортных средств</w:t>
            </w:r>
          </w:p>
        </w:tc>
        <w:tc>
          <w:tcPr>
            <w:tcW w:w="3402" w:type="dxa"/>
          </w:tcPr>
          <w:p>
            <w:pPr>
              <w:pStyle w:val="0"/>
            </w:pPr>
            <w:r>
              <w:rPr>
                <w:sz w:val="24"/>
              </w:rPr>
              <w:t xml:space="preserve">mem-int:ObzStrGrOtvVlTranspSrMember</w:t>
            </w:r>
          </w:p>
        </w:tc>
      </w:tr>
      <w:tr>
        <w:tc>
          <w:tcPr>
            <w:tcW w:w="964" w:type="dxa"/>
          </w:tcPr>
          <w:p>
            <w:pPr>
              <w:pStyle w:val="0"/>
            </w:pPr>
            <w:r>
              <w:rPr>
                <w:sz w:val="24"/>
              </w:rPr>
              <w:t xml:space="preserve">2.7</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владельца опасного объекта за причинение вреда в результате аварии на опасном объекте</w:t>
            </w:r>
          </w:p>
        </w:tc>
        <w:tc>
          <w:tcPr>
            <w:tcW w:w="3402" w:type="dxa"/>
          </w:tcPr>
          <w:p>
            <w:pPr>
              <w:pStyle w:val="0"/>
            </w:pPr>
            <w:r>
              <w:rPr>
                <w:sz w:val="24"/>
              </w:rPr>
              <w:t xml:space="preserve">mem-int:ObzStrGrOtvVladOpasObPrichVrAvarMember</w:t>
            </w:r>
          </w:p>
        </w:tc>
      </w:tr>
      <w:tr>
        <w:tc>
          <w:tcPr>
            <w:tcW w:w="964" w:type="dxa"/>
          </w:tcPr>
          <w:p>
            <w:pPr>
              <w:pStyle w:val="0"/>
            </w:pPr>
            <w:r>
              <w:rPr>
                <w:sz w:val="24"/>
              </w:rPr>
              <w:t xml:space="preserve">2.8</w:t>
            </w:r>
          </w:p>
        </w:tc>
        <w:tc>
          <w:tcPr>
            <w:tcW w:w="2891" w:type="dxa"/>
          </w:tcPr>
          <w:p>
            <w:pPr>
              <w:pStyle w:val="0"/>
            </w:pPr>
            <w:r>
              <w:rPr>
                <w:sz w:val="24"/>
              </w:rPr>
            </w:r>
          </w:p>
        </w:tc>
        <w:tc>
          <w:tcPr>
            <w:tcW w:w="1814" w:type="dxa"/>
          </w:tcPr>
          <w:p>
            <w:pPr>
              <w:pStyle w:val="0"/>
            </w:pPr>
            <w:r>
              <w:rPr>
                <w:sz w:val="24"/>
              </w:rPr>
              <w:t xml:space="preserve">Обязательное страхование гражданской ответственности перевозчика за причинение вреда жизни, здоровью, имуществу пассажиров</w:t>
            </w:r>
          </w:p>
        </w:tc>
        <w:tc>
          <w:tcPr>
            <w:tcW w:w="3402" w:type="dxa"/>
          </w:tcPr>
          <w:p>
            <w:pPr>
              <w:pStyle w:val="0"/>
            </w:pPr>
            <w:r>
              <w:rPr>
                <w:sz w:val="24"/>
              </w:rPr>
              <w:t xml:space="preserve">mem-int:ObzStrGrOtvPerevPrichVreZhZdorImPassMember</w:t>
            </w:r>
          </w:p>
        </w:tc>
      </w:tr>
      <w:tr>
        <w:tc>
          <w:tcPr>
            <w:tcW w:w="964" w:type="dxa"/>
          </w:tcPr>
          <w:bookmarkStart w:id="59153" w:name="P59153"/>
          <w:bookmarkEnd w:id="59153"/>
          <w:p>
            <w:pPr>
              <w:pStyle w:val="0"/>
            </w:pPr>
            <w:r>
              <w:rPr>
                <w:sz w:val="24"/>
              </w:rPr>
              <w:t xml:space="preserve">3</w:t>
            </w:r>
          </w:p>
        </w:tc>
        <w:tc>
          <w:tcPr>
            <w:tcW w:w="2891" w:type="dxa"/>
          </w:tcPr>
          <w:p>
            <w:pPr>
              <w:pStyle w:val="0"/>
            </w:pPr>
            <w:r>
              <w:rPr>
                <w:sz w:val="24"/>
              </w:rPr>
              <w:t xml:space="preserve">Виды страхования (справочно)</w:t>
            </w:r>
          </w:p>
        </w:tc>
        <w:tc>
          <w:tcPr>
            <w:tcW w:w="1814" w:type="dxa"/>
          </w:tcPr>
          <w:p>
            <w:pPr>
              <w:pStyle w:val="0"/>
            </w:pPr>
            <w:r>
              <w:rPr>
                <w:sz w:val="24"/>
              </w:rPr>
            </w:r>
          </w:p>
        </w:tc>
        <w:tc>
          <w:tcPr>
            <w:tcW w:w="3402" w:type="dxa"/>
          </w:tcPr>
          <w:p>
            <w:pPr>
              <w:pStyle w:val="0"/>
            </w:pPr>
            <w:r>
              <w:rPr>
                <w:sz w:val="24"/>
              </w:rPr>
              <w:t xml:space="preserve">dim-int:Vidy_straxovaniyaSpravochnoAxis</w:t>
            </w:r>
          </w:p>
        </w:tc>
      </w:tr>
      <w:tr>
        <w:tc>
          <w:tcPr>
            <w:tcW w:w="964" w:type="dxa"/>
          </w:tcPr>
          <w:bookmarkStart w:id="59157" w:name="P59157"/>
          <w:bookmarkEnd w:id="59157"/>
          <w:p>
            <w:pPr>
              <w:pStyle w:val="0"/>
            </w:pPr>
            <w:r>
              <w:rPr>
                <w:sz w:val="24"/>
              </w:rPr>
              <w:t xml:space="preserve">3.1</w:t>
            </w:r>
          </w:p>
        </w:tc>
        <w:tc>
          <w:tcPr>
            <w:tcW w:w="2891" w:type="dxa"/>
          </w:tcPr>
          <w:p>
            <w:pPr>
              <w:pStyle w:val="0"/>
            </w:pPr>
            <w:r>
              <w:rPr>
                <w:sz w:val="24"/>
              </w:rPr>
            </w:r>
          </w:p>
        </w:tc>
        <w:tc>
          <w:tcPr>
            <w:tcW w:w="1814" w:type="dxa"/>
          </w:tcPr>
          <w:p>
            <w:pPr>
              <w:pStyle w:val="0"/>
            </w:pPr>
            <w:r>
              <w:rPr>
                <w:sz w:val="24"/>
              </w:rPr>
              <w:t xml:space="preserve">Добровольное страхование жилых помещений граждан</w:t>
            </w:r>
          </w:p>
        </w:tc>
        <w:tc>
          <w:tcPr>
            <w:tcW w:w="3402" w:type="dxa"/>
          </w:tcPr>
          <w:p>
            <w:pPr>
              <w:pStyle w:val="0"/>
            </w:pPr>
            <w:r>
              <w:rPr>
                <w:sz w:val="24"/>
              </w:rPr>
              <w:t xml:space="preserve">mem-int:DobrStrZhilPomMember</w:t>
            </w:r>
          </w:p>
        </w:tc>
      </w:tr>
      <w:tr>
        <w:tc>
          <w:tcPr>
            <w:tcW w:w="964" w:type="dxa"/>
          </w:tcPr>
          <w:bookmarkStart w:id="59161" w:name="P59161"/>
          <w:bookmarkEnd w:id="59161"/>
          <w:p>
            <w:pPr>
              <w:pStyle w:val="0"/>
            </w:pPr>
            <w:r>
              <w:rPr>
                <w:sz w:val="24"/>
              </w:rPr>
              <w:t xml:space="preserve">3.1.1</w:t>
            </w:r>
          </w:p>
        </w:tc>
        <w:tc>
          <w:tcPr>
            <w:tcW w:w="2891" w:type="dxa"/>
          </w:tcPr>
          <w:p>
            <w:pPr>
              <w:pStyle w:val="0"/>
            </w:pPr>
            <w:r>
              <w:rPr>
                <w:sz w:val="24"/>
              </w:rPr>
            </w:r>
          </w:p>
        </w:tc>
        <w:tc>
          <w:tcPr>
            <w:tcW w:w="1814" w:type="dxa"/>
          </w:tcPr>
          <w:p>
            <w:pPr>
              <w:pStyle w:val="0"/>
            </w:pPr>
            <w:r>
              <w:rPr>
                <w:sz w:val="24"/>
              </w:rPr>
              <w:t xml:space="preserve">Добровольное страхование жилых помещений граждан в рамках программы</w:t>
            </w:r>
          </w:p>
        </w:tc>
        <w:tc>
          <w:tcPr>
            <w:tcW w:w="3402" w:type="dxa"/>
          </w:tcPr>
          <w:p>
            <w:pPr>
              <w:pStyle w:val="0"/>
            </w:pPr>
            <w:r>
              <w:rPr>
                <w:sz w:val="24"/>
              </w:rPr>
              <w:t xml:space="preserve">mem-int:DobrStrZhilPomVRamkProgrMember</w:t>
            </w:r>
          </w:p>
        </w:tc>
      </w:tr>
      <w:tr>
        <w:tc>
          <w:tcPr>
            <w:tcW w:w="964" w:type="dxa"/>
          </w:tcPr>
          <w:p>
            <w:pPr>
              <w:pStyle w:val="0"/>
            </w:pPr>
            <w:r>
              <w:rPr>
                <w:sz w:val="24"/>
              </w:rPr>
              <w:t xml:space="preserve">4</w:t>
            </w:r>
          </w:p>
        </w:tc>
        <w:tc>
          <w:tcPr>
            <w:tcW w:w="2891" w:type="dxa"/>
          </w:tcPr>
          <w:p>
            <w:pPr>
              <w:pStyle w:val="0"/>
            </w:pPr>
            <w:r>
              <w:rPr>
                <w:sz w:val="24"/>
              </w:rPr>
              <w:t xml:space="preserve">Государственная поддержка</w:t>
            </w:r>
          </w:p>
        </w:tc>
        <w:tc>
          <w:tcPr>
            <w:tcW w:w="1814" w:type="dxa"/>
          </w:tcPr>
          <w:p>
            <w:pPr>
              <w:pStyle w:val="0"/>
            </w:pPr>
            <w:r>
              <w:rPr>
                <w:sz w:val="24"/>
              </w:rPr>
            </w:r>
          </w:p>
        </w:tc>
        <w:tc>
          <w:tcPr>
            <w:tcW w:w="3402" w:type="dxa"/>
          </w:tcPr>
          <w:p>
            <w:pPr>
              <w:pStyle w:val="0"/>
            </w:pPr>
            <w:r>
              <w:rPr>
                <w:sz w:val="24"/>
              </w:rPr>
              <w:t xml:space="preserve">dim-int:Gospodderzhka_Axis</w:t>
            </w:r>
          </w:p>
        </w:tc>
      </w:tr>
      <w:tr>
        <w:tc>
          <w:tcPr>
            <w:tcW w:w="964" w:type="dxa"/>
          </w:tcPr>
          <w:p>
            <w:pPr>
              <w:pStyle w:val="0"/>
            </w:pPr>
            <w:r>
              <w:rPr>
                <w:sz w:val="24"/>
              </w:rPr>
              <w:t xml:space="preserve">4.1</w:t>
            </w:r>
          </w:p>
        </w:tc>
        <w:tc>
          <w:tcPr>
            <w:tcW w:w="2891" w:type="dxa"/>
          </w:tcPr>
          <w:p>
            <w:pPr>
              <w:pStyle w:val="0"/>
            </w:pPr>
            <w:r>
              <w:rPr>
                <w:sz w:val="24"/>
              </w:rPr>
            </w:r>
          </w:p>
        </w:tc>
        <w:tc>
          <w:tcPr>
            <w:tcW w:w="1814" w:type="dxa"/>
          </w:tcPr>
          <w:p>
            <w:pPr>
              <w:pStyle w:val="0"/>
            </w:pPr>
            <w:r>
              <w:rPr>
                <w:sz w:val="24"/>
              </w:rPr>
              <w:t xml:space="preserve">Добровольное сельскохозяйственное страхование, осуществляемое с государственной поддержкой</w:t>
            </w:r>
          </w:p>
        </w:tc>
        <w:tc>
          <w:tcPr>
            <w:tcW w:w="3402" w:type="dxa"/>
          </w:tcPr>
          <w:p>
            <w:pPr>
              <w:pStyle w:val="0"/>
            </w:pPr>
            <w:r>
              <w:rPr>
                <w:sz w:val="24"/>
              </w:rPr>
              <w:t xml:space="preserve">mem-int:Strax_Sx_Gos_Pod_Member</w:t>
            </w:r>
          </w:p>
        </w:tc>
      </w:tr>
      <w:tr>
        <w:tc>
          <w:tcPr>
            <w:tcW w:w="964" w:type="dxa"/>
          </w:tcPr>
          <w:p>
            <w:pPr>
              <w:pStyle w:val="0"/>
            </w:pPr>
            <w:r>
              <w:rPr>
                <w:sz w:val="24"/>
              </w:rPr>
              <w:t xml:space="preserve">5</w:t>
            </w:r>
          </w:p>
        </w:tc>
        <w:tc>
          <w:tcPr>
            <w:tcW w:w="2891" w:type="dxa"/>
          </w:tcPr>
          <w:p>
            <w:pPr>
              <w:pStyle w:val="0"/>
            </w:pPr>
            <w:r>
              <w:rPr>
                <w:sz w:val="24"/>
              </w:rPr>
              <w:t xml:space="preserve">Схема уплаты страховой премии</w:t>
            </w:r>
          </w:p>
        </w:tc>
        <w:tc>
          <w:tcPr>
            <w:tcW w:w="1814" w:type="dxa"/>
          </w:tcPr>
          <w:p>
            <w:pPr>
              <w:pStyle w:val="0"/>
            </w:pPr>
            <w:r>
              <w:rPr>
                <w:sz w:val="24"/>
              </w:rPr>
            </w:r>
          </w:p>
        </w:tc>
        <w:tc>
          <w:tcPr>
            <w:tcW w:w="3402" w:type="dxa"/>
          </w:tcPr>
          <w:p>
            <w:pPr>
              <w:pStyle w:val="0"/>
            </w:pPr>
            <w:r>
              <w:rPr>
                <w:sz w:val="24"/>
              </w:rPr>
              <w:t xml:space="preserve">dim-int:Sxema_Upl_Straxprem_Axis</w:t>
            </w:r>
          </w:p>
        </w:tc>
      </w:tr>
      <w:tr>
        <w:tc>
          <w:tcPr>
            <w:tcW w:w="964" w:type="dxa"/>
          </w:tcPr>
          <w:p>
            <w:pPr>
              <w:pStyle w:val="0"/>
            </w:pPr>
            <w:r>
              <w:rPr>
                <w:sz w:val="24"/>
              </w:rPr>
              <w:t xml:space="preserve">5.1</w:t>
            </w:r>
          </w:p>
        </w:tc>
        <w:tc>
          <w:tcPr>
            <w:tcW w:w="2891" w:type="dxa"/>
          </w:tcPr>
          <w:p>
            <w:pPr>
              <w:pStyle w:val="0"/>
            </w:pPr>
            <w:r>
              <w:rPr>
                <w:sz w:val="24"/>
              </w:rPr>
            </w:r>
          </w:p>
        </w:tc>
        <w:tc>
          <w:tcPr>
            <w:tcW w:w="1814" w:type="dxa"/>
          </w:tcPr>
          <w:p>
            <w:pPr>
              <w:pStyle w:val="0"/>
            </w:pPr>
            <w:r>
              <w:rPr>
                <w:sz w:val="24"/>
              </w:rPr>
              <w:t xml:space="preserve">С единовременной уплатой страховой премии</w:t>
            </w:r>
          </w:p>
        </w:tc>
        <w:tc>
          <w:tcPr>
            <w:tcW w:w="3402" w:type="dxa"/>
          </w:tcPr>
          <w:p>
            <w:pPr>
              <w:pStyle w:val="0"/>
            </w:pPr>
            <w:r>
              <w:rPr>
                <w:sz w:val="24"/>
              </w:rPr>
              <w:t xml:space="preserve">mem-int:Ed_Upl_Straxprem_Member</w:t>
            </w:r>
          </w:p>
        </w:tc>
      </w:tr>
      <w:tr>
        <w:tc>
          <w:tcPr>
            <w:tcW w:w="964" w:type="dxa"/>
          </w:tcPr>
          <w:p>
            <w:pPr>
              <w:pStyle w:val="0"/>
            </w:pPr>
            <w:r>
              <w:rPr>
                <w:sz w:val="24"/>
              </w:rPr>
              <w:t xml:space="preserve">5.2</w:t>
            </w:r>
          </w:p>
        </w:tc>
        <w:tc>
          <w:tcPr>
            <w:tcW w:w="2891" w:type="dxa"/>
          </w:tcPr>
          <w:p>
            <w:pPr>
              <w:pStyle w:val="0"/>
            </w:pPr>
            <w:r>
              <w:rPr>
                <w:sz w:val="24"/>
              </w:rPr>
            </w:r>
          </w:p>
        </w:tc>
        <w:tc>
          <w:tcPr>
            <w:tcW w:w="1814" w:type="dxa"/>
          </w:tcPr>
          <w:p>
            <w:pPr>
              <w:pStyle w:val="0"/>
            </w:pPr>
            <w:r>
              <w:rPr>
                <w:sz w:val="24"/>
              </w:rPr>
              <w:t xml:space="preserve">С уплатой страховой премии в рассрочку</w:t>
            </w:r>
          </w:p>
        </w:tc>
        <w:tc>
          <w:tcPr>
            <w:tcW w:w="3402" w:type="dxa"/>
          </w:tcPr>
          <w:p>
            <w:pPr>
              <w:pStyle w:val="0"/>
            </w:pPr>
            <w:r>
              <w:rPr>
                <w:sz w:val="24"/>
              </w:rPr>
              <w:t xml:space="preserve">mem-int:Upl_Straxprem_Rassroch_Member</w:t>
            </w:r>
          </w:p>
        </w:tc>
      </w:tr>
      <w:tr>
        <w:tc>
          <w:tcPr>
            <w:tcW w:w="964" w:type="dxa"/>
          </w:tcPr>
          <w:p>
            <w:pPr>
              <w:pStyle w:val="0"/>
            </w:pPr>
            <w:r>
              <w:rPr>
                <w:sz w:val="24"/>
              </w:rPr>
              <w:t xml:space="preserve">6</w:t>
            </w:r>
          </w:p>
        </w:tc>
        <w:tc>
          <w:tcPr>
            <w:tcW w:w="2891" w:type="dxa"/>
          </w:tcPr>
          <w:p>
            <w:pPr>
              <w:pStyle w:val="0"/>
            </w:pPr>
            <w:r>
              <w:rPr>
                <w:sz w:val="24"/>
              </w:rPr>
              <w:t xml:space="preserve">Территориальный признак</w:t>
            </w:r>
          </w:p>
        </w:tc>
        <w:tc>
          <w:tcPr>
            <w:tcW w:w="1814" w:type="dxa"/>
          </w:tcPr>
          <w:p>
            <w:pPr>
              <w:pStyle w:val="0"/>
            </w:pPr>
            <w:r>
              <w:rPr>
                <w:sz w:val="24"/>
              </w:rPr>
            </w:r>
          </w:p>
        </w:tc>
        <w:tc>
          <w:tcPr>
            <w:tcW w:w="3402" w:type="dxa"/>
          </w:tcPr>
          <w:p>
            <w:pPr>
              <w:pStyle w:val="0"/>
            </w:pPr>
            <w:r>
              <w:rPr>
                <w:sz w:val="24"/>
              </w:rPr>
              <w:t xml:space="preserve">dim-int:Terr_Priznak_Axis</w:t>
            </w:r>
          </w:p>
        </w:tc>
      </w:tr>
      <w:tr>
        <w:tc>
          <w:tcPr>
            <w:tcW w:w="964" w:type="dxa"/>
          </w:tcPr>
          <w:p>
            <w:pPr>
              <w:pStyle w:val="0"/>
            </w:pPr>
            <w:r>
              <w:rPr>
                <w:sz w:val="24"/>
              </w:rPr>
              <w:t xml:space="preserve">6.1</w:t>
            </w:r>
          </w:p>
        </w:tc>
        <w:tc>
          <w:tcPr>
            <w:tcW w:w="2891" w:type="dxa"/>
          </w:tcPr>
          <w:p>
            <w:pPr>
              <w:pStyle w:val="0"/>
            </w:pPr>
            <w:r>
              <w:rPr>
                <w:sz w:val="24"/>
              </w:rPr>
            </w:r>
          </w:p>
        </w:tc>
        <w:tc>
          <w:tcPr>
            <w:tcW w:w="1814" w:type="dxa"/>
          </w:tcPr>
          <w:p>
            <w:pPr>
              <w:pStyle w:val="0"/>
            </w:pPr>
            <w:r>
              <w:rPr>
                <w:sz w:val="24"/>
              </w:rPr>
              <w:t xml:space="preserve">На территории Российской Федерации</w:t>
            </w:r>
          </w:p>
        </w:tc>
        <w:tc>
          <w:tcPr>
            <w:tcW w:w="3402" w:type="dxa"/>
          </w:tcPr>
          <w:p>
            <w:pPr>
              <w:pStyle w:val="0"/>
            </w:pPr>
            <w:r>
              <w:rPr>
                <w:sz w:val="24"/>
              </w:rPr>
              <w:t xml:space="preserve">mem-int:Terr_Rf_Member</w:t>
            </w:r>
          </w:p>
        </w:tc>
      </w:tr>
      <w:tr>
        <w:tc>
          <w:tcPr>
            <w:tcW w:w="964" w:type="dxa"/>
          </w:tcPr>
          <w:p>
            <w:pPr>
              <w:pStyle w:val="0"/>
            </w:pPr>
            <w:r>
              <w:rPr>
                <w:sz w:val="24"/>
              </w:rPr>
              <w:t xml:space="preserve">6.2</w:t>
            </w:r>
          </w:p>
        </w:tc>
        <w:tc>
          <w:tcPr>
            <w:tcW w:w="2891" w:type="dxa"/>
          </w:tcPr>
          <w:p>
            <w:pPr>
              <w:pStyle w:val="0"/>
            </w:pPr>
            <w:r>
              <w:rPr>
                <w:sz w:val="24"/>
              </w:rPr>
            </w:r>
          </w:p>
        </w:tc>
        <w:tc>
          <w:tcPr>
            <w:tcW w:w="1814" w:type="dxa"/>
          </w:tcPr>
          <w:p>
            <w:pPr>
              <w:pStyle w:val="0"/>
            </w:pPr>
            <w:r>
              <w:rPr>
                <w:sz w:val="24"/>
              </w:rPr>
              <w:t xml:space="preserve">За пределами территории Российской Федерации</w:t>
            </w:r>
          </w:p>
        </w:tc>
        <w:tc>
          <w:tcPr>
            <w:tcW w:w="3402" w:type="dxa"/>
          </w:tcPr>
          <w:p>
            <w:pPr>
              <w:pStyle w:val="0"/>
            </w:pPr>
            <w:r>
              <w:rPr>
                <w:sz w:val="24"/>
              </w:rPr>
              <w:t xml:space="preserve">mem-int:Za_Predelami_Rf_Member</w:t>
            </w:r>
          </w:p>
        </w:tc>
      </w:tr>
      <w:tr>
        <w:tc>
          <w:tcPr>
            <w:tcW w:w="964" w:type="dxa"/>
          </w:tcPr>
          <w:bookmarkStart w:id="59197" w:name="P59197"/>
          <w:bookmarkEnd w:id="59197"/>
          <w:p>
            <w:pPr>
              <w:pStyle w:val="0"/>
            </w:pPr>
            <w:r>
              <w:rPr>
                <w:sz w:val="24"/>
              </w:rPr>
              <w:t xml:space="preserve">7</w:t>
            </w:r>
          </w:p>
        </w:tc>
        <w:tc>
          <w:tcPr>
            <w:tcW w:w="2891" w:type="dxa"/>
          </w:tcPr>
          <w:p>
            <w:pPr>
              <w:pStyle w:val="0"/>
            </w:pPr>
            <w:r>
              <w:rPr>
                <w:sz w:val="24"/>
              </w:rPr>
              <w:t xml:space="preserve">Формы перестрахования</w:t>
            </w:r>
          </w:p>
        </w:tc>
        <w:tc>
          <w:tcPr>
            <w:tcW w:w="1814" w:type="dxa"/>
          </w:tcPr>
          <w:p>
            <w:pPr>
              <w:pStyle w:val="0"/>
            </w:pPr>
            <w:r>
              <w:rPr>
                <w:sz w:val="24"/>
              </w:rPr>
            </w:r>
          </w:p>
        </w:tc>
        <w:tc>
          <w:tcPr>
            <w:tcW w:w="3402" w:type="dxa"/>
          </w:tcPr>
          <w:p>
            <w:pPr>
              <w:pStyle w:val="0"/>
            </w:pPr>
            <w:r>
              <w:rPr>
                <w:sz w:val="24"/>
              </w:rPr>
              <w:t xml:space="preserve">dim-int:Formy_Perestrax_Axis</w:t>
            </w:r>
          </w:p>
        </w:tc>
      </w:tr>
      <w:tr>
        <w:tc>
          <w:tcPr>
            <w:tcW w:w="964" w:type="dxa"/>
          </w:tcPr>
          <w:bookmarkStart w:id="59201" w:name="P59201"/>
          <w:bookmarkEnd w:id="59201"/>
          <w:p>
            <w:pPr>
              <w:pStyle w:val="0"/>
            </w:pPr>
            <w:r>
              <w:rPr>
                <w:sz w:val="24"/>
              </w:rPr>
              <w:t xml:space="preserve">7.1</w:t>
            </w:r>
          </w:p>
        </w:tc>
        <w:tc>
          <w:tcPr>
            <w:tcW w:w="2891" w:type="dxa"/>
          </w:tcPr>
          <w:p>
            <w:pPr>
              <w:pStyle w:val="0"/>
            </w:pPr>
            <w:r>
              <w:rPr>
                <w:sz w:val="24"/>
              </w:rPr>
            </w:r>
          </w:p>
        </w:tc>
        <w:tc>
          <w:tcPr>
            <w:tcW w:w="1814" w:type="dxa"/>
          </w:tcPr>
          <w:p>
            <w:pPr>
              <w:pStyle w:val="0"/>
            </w:pPr>
            <w:r>
              <w:rPr>
                <w:sz w:val="24"/>
              </w:rPr>
              <w:t xml:space="preserve">Факультативное</w:t>
            </w:r>
          </w:p>
        </w:tc>
        <w:tc>
          <w:tcPr>
            <w:tcW w:w="3402" w:type="dxa"/>
          </w:tcPr>
          <w:p>
            <w:pPr>
              <w:pStyle w:val="0"/>
            </w:pPr>
            <w:r>
              <w:rPr>
                <w:sz w:val="24"/>
              </w:rPr>
              <w:t xml:space="preserve">mem-int:Fakultativnoe_Member</w:t>
            </w:r>
          </w:p>
        </w:tc>
      </w:tr>
      <w:tr>
        <w:tc>
          <w:tcPr>
            <w:tcW w:w="964" w:type="dxa"/>
          </w:tcPr>
          <w:bookmarkStart w:id="59205" w:name="P59205"/>
          <w:bookmarkEnd w:id="59205"/>
          <w:p>
            <w:pPr>
              <w:pStyle w:val="0"/>
            </w:pPr>
            <w:r>
              <w:rPr>
                <w:sz w:val="24"/>
              </w:rPr>
              <w:t xml:space="preserve">7.1.1</w:t>
            </w:r>
          </w:p>
        </w:tc>
        <w:tc>
          <w:tcPr>
            <w:tcW w:w="2891" w:type="dxa"/>
          </w:tcPr>
          <w:p>
            <w:pPr>
              <w:pStyle w:val="0"/>
            </w:pPr>
            <w:r>
              <w:rPr>
                <w:sz w:val="24"/>
              </w:rPr>
            </w:r>
          </w:p>
        </w:tc>
        <w:tc>
          <w:tcPr>
            <w:tcW w:w="1814" w:type="dxa"/>
          </w:tcPr>
          <w:p>
            <w:pPr>
              <w:pStyle w:val="0"/>
            </w:pPr>
            <w:r>
              <w:rPr>
                <w:sz w:val="24"/>
              </w:rPr>
              <w:t xml:space="preserve">Факультативное пропорциональное</w:t>
            </w:r>
          </w:p>
        </w:tc>
        <w:tc>
          <w:tcPr>
            <w:tcW w:w="3402" w:type="dxa"/>
          </w:tcPr>
          <w:p>
            <w:pPr>
              <w:pStyle w:val="0"/>
            </w:pPr>
            <w:r>
              <w:rPr>
                <w:sz w:val="24"/>
              </w:rPr>
              <w:t xml:space="preserve">mem-int:Fak_Proporcz_Member</w:t>
            </w:r>
          </w:p>
        </w:tc>
      </w:tr>
      <w:tr>
        <w:tc>
          <w:tcPr>
            <w:tcW w:w="964" w:type="dxa"/>
          </w:tcPr>
          <w:bookmarkStart w:id="59209" w:name="P59209"/>
          <w:bookmarkEnd w:id="59209"/>
          <w:p>
            <w:pPr>
              <w:pStyle w:val="0"/>
            </w:pPr>
            <w:r>
              <w:rPr>
                <w:sz w:val="24"/>
              </w:rPr>
              <w:t xml:space="preserve">7.1.2</w:t>
            </w:r>
          </w:p>
        </w:tc>
        <w:tc>
          <w:tcPr>
            <w:tcW w:w="2891" w:type="dxa"/>
          </w:tcPr>
          <w:p>
            <w:pPr>
              <w:pStyle w:val="0"/>
            </w:pPr>
            <w:r>
              <w:rPr>
                <w:sz w:val="24"/>
              </w:rPr>
            </w:r>
          </w:p>
        </w:tc>
        <w:tc>
          <w:tcPr>
            <w:tcW w:w="1814" w:type="dxa"/>
          </w:tcPr>
          <w:p>
            <w:pPr>
              <w:pStyle w:val="0"/>
            </w:pPr>
            <w:r>
              <w:rPr>
                <w:sz w:val="24"/>
              </w:rPr>
              <w:t xml:space="preserve">Факультативное непропорциональное</w:t>
            </w:r>
          </w:p>
        </w:tc>
        <w:tc>
          <w:tcPr>
            <w:tcW w:w="3402" w:type="dxa"/>
          </w:tcPr>
          <w:p>
            <w:pPr>
              <w:pStyle w:val="0"/>
            </w:pPr>
            <w:r>
              <w:rPr>
                <w:sz w:val="24"/>
              </w:rPr>
              <w:t xml:space="preserve">mem-int:Fak_Neproporcz_Member</w:t>
            </w:r>
          </w:p>
        </w:tc>
      </w:tr>
      <w:tr>
        <w:tc>
          <w:tcPr>
            <w:tcW w:w="964" w:type="dxa"/>
          </w:tcPr>
          <w:bookmarkStart w:id="59213" w:name="P59213"/>
          <w:bookmarkEnd w:id="59213"/>
          <w:p>
            <w:pPr>
              <w:pStyle w:val="0"/>
            </w:pPr>
            <w:r>
              <w:rPr>
                <w:sz w:val="24"/>
              </w:rPr>
              <w:t xml:space="preserve">7.2</w:t>
            </w:r>
          </w:p>
        </w:tc>
        <w:tc>
          <w:tcPr>
            <w:tcW w:w="2891" w:type="dxa"/>
          </w:tcPr>
          <w:p>
            <w:pPr>
              <w:pStyle w:val="0"/>
            </w:pPr>
            <w:r>
              <w:rPr>
                <w:sz w:val="24"/>
              </w:rPr>
            </w:r>
          </w:p>
        </w:tc>
        <w:tc>
          <w:tcPr>
            <w:tcW w:w="1814" w:type="dxa"/>
          </w:tcPr>
          <w:p>
            <w:pPr>
              <w:pStyle w:val="0"/>
            </w:pPr>
            <w:r>
              <w:rPr>
                <w:sz w:val="24"/>
              </w:rPr>
              <w:t xml:space="preserve">Облигаторное</w:t>
            </w:r>
          </w:p>
        </w:tc>
        <w:tc>
          <w:tcPr>
            <w:tcW w:w="3402" w:type="dxa"/>
          </w:tcPr>
          <w:p>
            <w:pPr>
              <w:pStyle w:val="0"/>
            </w:pPr>
            <w:r>
              <w:rPr>
                <w:sz w:val="24"/>
              </w:rPr>
              <w:t xml:space="preserve">mem-int:Obligatornoe_Member</w:t>
            </w:r>
          </w:p>
        </w:tc>
      </w:tr>
      <w:tr>
        <w:tc>
          <w:tcPr>
            <w:tcW w:w="964" w:type="dxa"/>
          </w:tcPr>
          <w:bookmarkStart w:id="59217" w:name="P59217"/>
          <w:bookmarkEnd w:id="59217"/>
          <w:p>
            <w:pPr>
              <w:pStyle w:val="0"/>
            </w:pPr>
            <w:r>
              <w:rPr>
                <w:sz w:val="24"/>
              </w:rPr>
              <w:t xml:space="preserve">7.2.1</w:t>
            </w:r>
          </w:p>
        </w:tc>
        <w:tc>
          <w:tcPr>
            <w:tcW w:w="2891" w:type="dxa"/>
          </w:tcPr>
          <w:p>
            <w:pPr>
              <w:pStyle w:val="0"/>
            </w:pPr>
            <w:r>
              <w:rPr>
                <w:sz w:val="24"/>
              </w:rPr>
            </w:r>
          </w:p>
        </w:tc>
        <w:tc>
          <w:tcPr>
            <w:tcW w:w="1814" w:type="dxa"/>
          </w:tcPr>
          <w:p>
            <w:pPr>
              <w:pStyle w:val="0"/>
            </w:pPr>
            <w:r>
              <w:rPr>
                <w:sz w:val="24"/>
              </w:rPr>
              <w:t xml:space="preserve">Облигаторное пропорциональное</w:t>
            </w:r>
          </w:p>
        </w:tc>
        <w:tc>
          <w:tcPr>
            <w:tcW w:w="3402" w:type="dxa"/>
          </w:tcPr>
          <w:p>
            <w:pPr>
              <w:pStyle w:val="0"/>
            </w:pPr>
            <w:r>
              <w:rPr>
                <w:sz w:val="24"/>
              </w:rPr>
              <w:t xml:space="preserve">mem-int:Oblig_Proporcz_Member</w:t>
            </w:r>
          </w:p>
        </w:tc>
      </w:tr>
      <w:tr>
        <w:tc>
          <w:tcPr>
            <w:tcW w:w="964" w:type="dxa"/>
          </w:tcPr>
          <w:bookmarkStart w:id="59221" w:name="P59221"/>
          <w:bookmarkEnd w:id="59221"/>
          <w:p>
            <w:pPr>
              <w:pStyle w:val="0"/>
            </w:pPr>
            <w:r>
              <w:rPr>
                <w:sz w:val="24"/>
              </w:rPr>
              <w:t xml:space="preserve">7.2.2</w:t>
            </w:r>
          </w:p>
        </w:tc>
        <w:tc>
          <w:tcPr>
            <w:tcW w:w="2891" w:type="dxa"/>
          </w:tcPr>
          <w:p>
            <w:pPr>
              <w:pStyle w:val="0"/>
            </w:pPr>
            <w:r>
              <w:rPr>
                <w:sz w:val="24"/>
              </w:rPr>
            </w:r>
          </w:p>
        </w:tc>
        <w:tc>
          <w:tcPr>
            <w:tcW w:w="1814" w:type="dxa"/>
          </w:tcPr>
          <w:p>
            <w:pPr>
              <w:pStyle w:val="0"/>
            </w:pPr>
            <w:r>
              <w:rPr>
                <w:sz w:val="24"/>
              </w:rPr>
              <w:t xml:space="preserve">Облигаторное непропорциональное</w:t>
            </w:r>
          </w:p>
        </w:tc>
        <w:tc>
          <w:tcPr>
            <w:tcW w:w="3402" w:type="dxa"/>
          </w:tcPr>
          <w:p>
            <w:pPr>
              <w:pStyle w:val="0"/>
            </w:pPr>
            <w:r>
              <w:rPr>
                <w:sz w:val="24"/>
              </w:rPr>
              <w:t xml:space="preserve">mem-int:Oblig_NeproporczMember</w:t>
            </w:r>
          </w:p>
        </w:tc>
      </w:tr>
      <w:tr>
        <w:tc>
          <w:tcPr>
            <w:tcW w:w="964" w:type="dxa"/>
          </w:tcPr>
          <w:bookmarkStart w:id="59225" w:name="P59225"/>
          <w:bookmarkEnd w:id="59225"/>
          <w:p>
            <w:pPr>
              <w:pStyle w:val="0"/>
            </w:pPr>
            <w:r>
              <w:rPr>
                <w:sz w:val="24"/>
              </w:rPr>
              <w:t xml:space="preserve">7.3</w:t>
            </w:r>
          </w:p>
        </w:tc>
        <w:tc>
          <w:tcPr>
            <w:tcW w:w="2891" w:type="dxa"/>
          </w:tcPr>
          <w:p>
            <w:pPr>
              <w:pStyle w:val="0"/>
            </w:pPr>
            <w:r>
              <w:rPr>
                <w:sz w:val="24"/>
              </w:rPr>
            </w:r>
          </w:p>
        </w:tc>
        <w:tc>
          <w:tcPr>
            <w:tcW w:w="1814" w:type="dxa"/>
          </w:tcPr>
          <w:p>
            <w:pPr>
              <w:pStyle w:val="0"/>
            </w:pPr>
            <w:r>
              <w:rPr>
                <w:sz w:val="24"/>
              </w:rPr>
              <w:t xml:space="preserve">Факультативно-облигаторное</w:t>
            </w:r>
          </w:p>
        </w:tc>
        <w:tc>
          <w:tcPr>
            <w:tcW w:w="3402" w:type="dxa"/>
          </w:tcPr>
          <w:p>
            <w:pPr>
              <w:pStyle w:val="0"/>
            </w:pPr>
            <w:r>
              <w:rPr>
                <w:sz w:val="24"/>
              </w:rPr>
              <w:t xml:space="preserve">mem-int:Fak_Oblig_Member</w:t>
            </w:r>
          </w:p>
        </w:tc>
      </w:tr>
      <w:tr>
        <w:tc>
          <w:tcPr>
            <w:tcW w:w="964" w:type="dxa"/>
          </w:tcPr>
          <w:bookmarkStart w:id="59229" w:name="P59229"/>
          <w:bookmarkEnd w:id="59229"/>
          <w:p>
            <w:pPr>
              <w:pStyle w:val="0"/>
            </w:pPr>
            <w:r>
              <w:rPr>
                <w:sz w:val="24"/>
              </w:rPr>
              <w:t xml:space="preserve">7.3.1</w:t>
            </w:r>
          </w:p>
        </w:tc>
        <w:tc>
          <w:tcPr>
            <w:tcW w:w="2891" w:type="dxa"/>
          </w:tcPr>
          <w:p>
            <w:pPr>
              <w:pStyle w:val="0"/>
            </w:pPr>
            <w:r>
              <w:rPr>
                <w:sz w:val="24"/>
              </w:rPr>
            </w:r>
          </w:p>
        </w:tc>
        <w:tc>
          <w:tcPr>
            <w:tcW w:w="1814" w:type="dxa"/>
          </w:tcPr>
          <w:p>
            <w:pPr>
              <w:pStyle w:val="0"/>
            </w:pPr>
            <w:r>
              <w:rPr>
                <w:sz w:val="24"/>
              </w:rPr>
              <w:t xml:space="preserve">Факультативно-облигаторное пропорциональное</w:t>
            </w:r>
          </w:p>
        </w:tc>
        <w:tc>
          <w:tcPr>
            <w:tcW w:w="3402" w:type="dxa"/>
          </w:tcPr>
          <w:p>
            <w:pPr>
              <w:pStyle w:val="0"/>
            </w:pPr>
            <w:r>
              <w:rPr>
                <w:sz w:val="24"/>
              </w:rPr>
              <w:t xml:space="preserve">mem-int:Fak_Oblig_Proporcz_Member</w:t>
            </w:r>
          </w:p>
        </w:tc>
      </w:tr>
      <w:tr>
        <w:tc>
          <w:tcPr>
            <w:tcW w:w="964" w:type="dxa"/>
          </w:tcPr>
          <w:bookmarkStart w:id="59233" w:name="P59233"/>
          <w:bookmarkEnd w:id="59233"/>
          <w:p>
            <w:pPr>
              <w:pStyle w:val="0"/>
            </w:pPr>
            <w:r>
              <w:rPr>
                <w:sz w:val="24"/>
              </w:rPr>
              <w:t xml:space="preserve">7.3.2</w:t>
            </w:r>
          </w:p>
        </w:tc>
        <w:tc>
          <w:tcPr>
            <w:tcW w:w="2891" w:type="dxa"/>
          </w:tcPr>
          <w:p>
            <w:pPr>
              <w:pStyle w:val="0"/>
            </w:pPr>
            <w:r>
              <w:rPr>
                <w:sz w:val="24"/>
              </w:rPr>
            </w:r>
          </w:p>
        </w:tc>
        <w:tc>
          <w:tcPr>
            <w:tcW w:w="1814" w:type="dxa"/>
          </w:tcPr>
          <w:p>
            <w:pPr>
              <w:pStyle w:val="0"/>
            </w:pPr>
            <w:r>
              <w:rPr>
                <w:sz w:val="24"/>
              </w:rPr>
              <w:t xml:space="preserve">Факультативно-облигаторное непропорциональное</w:t>
            </w:r>
          </w:p>
        </w:tc>
        <w:tc>
          <w:tcPr>
            <w:tcW w:w="3402" w:type="dxa"/>
          </w:tcPr>
          <w:p>
            <w:pPr>
              <w:pStyle w:val="0"/>
            </w:pPr>
            <w:r>
              <w:rPr>
                <w:sz w:val="24"/>
              </w:rPr>
              <w:t xml:space="preserve">mem-int:Fak_Oblig_Neproporcz_Member</w:t>
            </w:r>
          </w:p>
        </w:tc>
      </w:tr>
      <w:tr>
        <w:tc>
          <w:tcPr>
            <w:tcW w:w="964" w:type="dxa"/>
          </w:tcPr>
          <w:bookmarkStart w:id="59237" w:name="P59237"/>
          <w:bookmarkEnd w:id="59237"/>
          <w:p>
            <w:pPr>
              <w:pStyle w:val="0"/>
            </w:pPr>
            <w:r>
              <w:rPr>
                <w:sz w:val="24"/>
              </w:rPr>
              <w:t xml:space="preserve">7.4</w:t>
            </w:r>
          </w:p>
        </w:tc>
        <w:tc>
          <w:tcPr>
            <w:tcW w:w="2891" w:type="dxa"/>
          </w:tcPr>
          <w:p>
            <w:pPr>
              <w:pStyle w:val="0"/>
            </w:pPr>
            <w:r>
              <w:rPr>
                <w:sz w:val="24"/>
              </w:rPr>
            </w:r>
          </w:p>
        </w:tc>
        <w:tc>
          <w:tcPr>
            <w:tcW w:w="1814" w:type="dxa"/>
          </w:tcPr>
          <w:p>
            <w:pPr>
              <w:pStyle w:val="0"/>
            </w:pPr>
            <w:r>
              <w:rPr>
                <w:sz w:val="24"/>
              </w:rPr>
              <w:t xml:space="preserve">Облигаторно-факультативное</w:t>
            </w:r>
          </w:p>
        </w:tc>
        <w:tc>
          <w:tcPr>
            <w:tcW w:w="3402" w:type="dxa"/>
          </w:tcPr>
          <w:p>
            <w:pPr>
              <w:pStyle w:val="0"/>
            </w:pPr>
            <w:r>
              <w:rPr>
                <w:sz w:val="24"/>
              </w:rPr>
              <w:t xml:space="preserve">mem-int:Oblig_Fak_Member</w:t>
            </w:r>
          </w:p>
        </w:tc>
      </w:tr>
      <w:tr>
        <w:tc>
          <w:tcPr>
            <w:tcW w:w="964" w:type="dxa"/>
          </w:tcPr>
          <w:bookmarkStart w:id="59241" w:name="P59241"/>
          <w:bookmarkEnd w:id="59241"/>
          <w:p>
            <w:pPr>
              <w:pStyle w:val="0"/>
            </w:pPr>
            <w:r>
              <w:rPr>
                <w:sz w:val="24"/>
              </w:rPr>
              <w:t xml:space="preserve">7.4.1</w:t>
            </w:r>
          </w:p>
        </w:tc>
        <w:tc>
          <w:tcPr>
            <w:tcW w:w="2891" w:type="dxa"/>
          </w:tcPr>
          <w:p>
            <w:pPr>
              <w:pStyle w:val="0"/>
            </w:pPr>
            <w:r>
              <w:rPr>
                <w:sz w:val="24"/>
              </w:rPr>
            </w:r>
          </w:p>
        </w:tc>
        <w:tc>
          <w:tcPr>
            <w:tcW w:w="1814" w:type="dxa"/>
          </w:tcPr>
          <w:p>
            <w:pPr>
              <w:pStyle w:val="0"/>
            </w:pPr>
            <w:r>
              <w:rPr>
                <w:sz w:val="24"/>
              </w:rPr>
              <w:t xml:space="preserve">Облигаторно-факультативное пропорциональное</w:t>
            </w:r>
          </w:p>
        </w:tc>
        <w:tc>
          <w:tcPr>
            <w:tcW w:w="3402" w:type="dxa"/>
          </w:tcPr>
          <w:p>
            <w:pPr>
              <w:pStyle w:val="0"/>
            </w:pPr>
            <w:r>
              <w:rPr>
                <w:sz w:val="24"/>
              </w:rPr>
              <w:t xml:space="preserve">mem-int:Oblig_Fak_Proporcz_Member</w:t>
            </w:r>
          </w:p>
        </w:tc>
      </w:tr>
      <w:tr>
        <w:tc>
          <w:tcPr>
            <w:tcW w:w="964" w:type="dxa"/>
          </w:tcPr>
          <w:bookmarkStart w:id="59245" w:name="P59245"/>
          <w:bookmarkEnd w:id="59245"/>
          <w:p>
            <w:pPr>
              <w:pStyle w:val="0"/>
            </w:pPr>
            <w:r>
              <w:rPr>
                <w:sz w:val="24"/>
              </w:rPr>
              <w:t xml:space="preserve">7.4.2</w:t>
            </w:r>
          </w:p>
        </w:tc>
        <w:tc>
          <w:tcPr>
            <w:tcW w:w="2891" w:type="dxa"/>
          </w:tcPr>
          <w:p>
            <w:pPr>
              <w:pStyle w:val="0"/>
            </w:pPr>
            <w:r>
              <w:rPr>
                <w:sz w:val="24"/>
              </w:rPr>
            </w:r>
          </w:p>
        </w:tc>
        <w:tc>
          <w:tcPr>
            <w:tcW w:w="1814" w:type="dxa"/>
          </w:tcPr>
          <w:p>
            <w:pPr>
              <w:pStyle w:val="0"/>
            </w:pPr>
            <w:r>
              <w:rPr>
                <w:sz w:val="24"/>
              </w:rPr>
              <w:t xml:space="preserve">Облигаторно-факультативное непропорциональное</w:t>
            </w:r>
          </w:p>
        </w:tc>
        <w:tc>
          <w:tcPr>
            <w:tcW w:w="3402" w:type="dxa"/>
          </w:tcPr>
          <w:p>
            <w:pPr>
              <w:pStyle w:val="0"/>
            </w:pPr>
            <w:r>
              <w:rPr>
                <w:sz w:val="24"/>
              </w:rPr>
              <w:t xml:space="preserve">mem-int:Oblig_Fak_Neproporcz_Member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984"/>
        <w:gridCol w:w="7087"/>
      </w:tblGrid>
      <w:tr>
        <w:tc>
          <w:tcPr>
            <w:tcW w:w="1984" w:type="dxa"/>
            <w:tcBorders>
              <w:top w:val="nil"/>
              <w:left w:val="nil"/>
              <w:bottom w:val="nil"/>
              <w:right w:val="nil"/>
            </w:tcBorders>
          </w:tcPr>
          <w:p>
            <w:pPr>
              <w:pStyle w:val="0"/>
              <w:outlineLvl w:val="3"/>
            </w:pPr>
            <w:r>
              <w:rPr>
                <w:sz w:val="24"/>
              </w:rPr>
              <w:t xml:space="preserve">Подраздел 1.9.</w:t>
            </w:r>
          </w:p>
        </w:tc>
        <w:tc>
          <w:tcPr>
            <w:tcW w:w="7087" w:type="dxa"/>
            <w:tcBorders>
              <w:top w:val="nil"/>
              <w:left w:val="nil"/>
              <w:bottom w:val="nil"/>
              <w:right w:val="nil"/>
            </w:tcBorders>
          </w:tcPr>
          <w:p>
            <w:pPr>
              <w:pStyle w:val="0"/>
              <w:jc w:val="both"/>
            </w:pPr>
            <w:hyperlink w:history="0" w:anchor="P57207" w:tooltip="Раздел 9.">
              <w:r>
                <w:rPr>
                  <w:sz w:val="24"/>
                  <w:color w:val="0000ff"/>
                </w:rPr>
                <w:t xml:space="preserve">Раздел 9</w:t>
              </w:r>
            </w:hyperlink>
            <w:r>
              <w:rPr>
                <w:sz w:val="24"/>
              </w:rPr>
              <w:t xml:space="preserve"> "Сведения о числе членов общества взаимного страхования"</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Причины прекращения членства в обществе взаимного страхования</w:t>
            </w:r>
          </w:p>
        </w:tc>
        <w:tc>
          <w:tcPr>
            <w:tcW w:w="1814" w:type="dxa"/>
          </w:tcPr>
          <w:p>
            <w:pPr>
              <w:pStyle w:val="0"/>
            </w:pPr>
            <w:r>
              <w:rPr>
                <w:sz w:val="24"/>
              </w:rPr>
            </w:r>
          </w:p>
        </w:tc>
        <w:tc>
          <w:tcPr>
            <w:tcW w:w="3402" w:type="dxa"/>
          </w:tcPr>
          <w:p>
            <w:pPr>
              <w:pStyle w:val="0"/>
            </w:pPr>
            <w:r>
              <w:rPr>
                <w:sz w:val="24"/>
              </w:rPr>
              <w:t xml:space="preserve">dim-int:Prichiny_Prekr_Chlen_Ovs_Axis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Добровольный выход члена общества из общества взаимного страхования, в том числе в случае прекращения договора страхования</w:t>
            </w:r>
          </w:p>
        </w:tc>
        <w:tc>
          <w:tcPr>
            <w:tcW w:w="3402" w:type="dxa"/>
          </w:tcPr>
          <w:p>
            <w:pPr>
              <w:pStyle w:val="0"/>
            </w:pPr>
            <w:r>
              <w:rPr>
                <w:sz w:val="24"/>
              </w:rPr>
              <w:t xml:space="preserve">mem-int:Dobr_Vyxod_Ovs_Member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r>
              <w:rPr>
                <w:sz w:val="24"/>
              </w:rPr>
              <w:t xml:space="preserve">Исключение члена общества из общества взаимного страхования по решению общего собрания членов общества</w:t>
            </w:r>
          </w:p>
        </w:tc>
        <w:tc>
          <w:tcPr>
            <w:tcW w:w="3402" w:type="dxa"/>
          </w:tcPr>
          <w:p>
            <w:pPr>
              <w:pStyle w:val="0"/>
            </w:pPr>
            <w:r>
              <w:rPr>
                <w:sz w:val="24"/>
              </w:rPr>
              <w:t xml:space="preserve">mem-int:Iskl_Ovs_Member</w:t>
            </w:r>
          </w:p>
        </w:tc>
      </w:tr>
      <w:tr>
        <w:tc>
          <w:tcPr>
            <w:tcW w:w="964" w:type="dxa"/>
          </w:tcPr>
          <w:p>
            <w:pPr>
              <w:pStyle w:val="0"/>
            </w:pPr>
            <w:r>
              <w:rPr>
                <w:sz w:val="24"/>
              </w:rPr>
              <w:t xml:space="preserve">1.3</w:t>
            </w:r>
          </w:p>
        </w:tc>
        <w:tc>
          <w:tcPr>
            <w:tcW w:w="2891" w:type="dxa"/>
          </w:tcPr>
          <w:p>
            <w:pPr>
              <w:pStyle w:val="0"/>
            </w:pPr>
            <w:r>
              <w:rPr>
                <w:sz w:val="24"/>
              </w:rPr>
            </w:r>
          </w:p>
        </w:tc>
        <w:tc>
          <w:tcPr>
            <w:tcW w:w="1814" w:type="dxa"/>
          </w:tcPr>
          <w:p>
            <w:pPr>
              <w:pStyle w:val="0"/>
            </w:pPr>
            <w:r>
              <w:rPr>
                <w:sz w:val="24"/>
              </w:rPr>
              <w:t xml:space="preserve">Смерть члена общества взаимного страхования или объявление его умершим (только для физических лиц)</w:t>
            </w:r>
          </w:p>
        </w:tc>
        <w:tc>
          <w:tcPr>
            <w:tcW w:w="3402" w:type="dxa"/>
          </w:tcPr>
          <w:p>
            <w:pPr>
              <w:pStyle w:val="0"/>
            </w:pPr>
            <w:r>
              <w:rPr>
                <w:sz w:val="24"/>
              </w:rPr>
              <w:t xml:space="preserve">mem-int:Smert_Chlen_Ovs_Member</w:t>
            </w:r>
          </w:p>
        </w:tc>
      </w:tr>
      <w:tr>
        <w:tc>
          <w:tcPr>
            <w:tcW w:w="964" w:type="dxa"/>
          </w:tcPr>
          <w:p>
            <w:pPr>
              <w:pStyle w:val="0"/>
            </w:pPr>
            <w:r>
              <w:rPr>
                <w:sz w:val="24"/>
              </w:rPr>
              <w:t xml:space="preserve">1.4</w:t>
            </w:r>
          </w:p>
        </w:tc>
        <w:tc>
          <w:tcPr>
            <w:tcW w:w="2891" w:type="dxa"/>
          </w:tcPr>
          <w:p>
            <w:pPr>
              <w:pStyle w:val="0"/>
            </w:pPr>
            <w:r>
              <w:rPr>
                <w:sz w:val="24"/>
              </w:rPr>
            </w:r>
          </w:p>
        </w:tc>
        <w:tc>
          <w:tcPr>
            <w:tcW w:w="1814" w:type="dxa"/>
          </w:tcPr>
          <w:p>
            <w:pPr>
              <w:pStyle w:val="0"/>
            </w:pPr>
            <w:r>
              <w:rPr>
                <w:sz w:val="24"/>
              </w:rPr>
              <w:t xml:space="preserve">Прекращение членом общества взаимного страхования деятельности в качестве индивидуального предпринимателя (только для физических лиц)</w:t>
            </w:r>
          </w:p>
        </w:tc>
        <w:tc>
          <w:tcPr>
            <w:tcW w:w="3402" w:type="dxa"/>
          </w:tcPr>
          <w:p>
            <w:pPr>
              <w:pStyle w:val="0"/>
            </w:pPr>
            <w:r>
              <w:rPr>
                <w:sz w:val="24"/>
              </w:rPr>
              <w:t xml:space="preserve">mem-int:PrekrashhenieCHlenOVSDeyatelnostiVKachestveIPMember</w:t>
            </w:r>
          </w:p>
        </w:tc>
      </w:tr>
      <w:tr>
        <w:tc>
          <w:tcPr>
            <w:tcW w:w="964" w:type="dxa"/>
          </w:tcPr>
          <w:p>
            <w:pPr>
              <w:pStyle w:val="0"/>
            </w:pPr>
            <w:r>
              <w:rPr>
                <w:sz w:val="24"/>
              </w:rPr>
              <w:t xml:space="preserve">1.5</w:t>
            </w:r>
          </w:p>
        </w:tc>
        <w:tc>
          <w:tcPr>
            <w:tcW w:w="2891" w:type="dxa"/>
          </w:tcPr>
          <w:p>
            <w:pPr>
              <w:pStyle w:val="0"/>
            </w:pPr>
            <w:r>
              <w:rPr>
                <w:sz w:val="24"/>
              </w:rPr>
            </w:r>
          </w:p>
        </w:tc>
        <w:tc>
          <w:tcPr>
            <w:tcW w:w="1814" w:type="dxa"/>
          </w:tcPr>
          <w:p>
            <w:pPr>
              <w:pStyle w:val="0"/>
            </w:pPr>
            <w:r>
              <w:rPr>
                <w:sz w:val="24"/>
              </w:rPr>
              <w:t xml:space="preserve">Ликвидация члена общества взаимного страхования или прекращение его деятельности в результате реорганизации (только для юридических лиц)</w:t>
            </w:r>
          </w:p>
        </w:tc>
        <w:tc>
          <w:tcPr>
            <w:tcW w:w="3402" w:type="dxa"/>
          </w:tcPr>
          <w:p>
            <w:pPr>
              <w:pStyle w:val="0"/>
            </w:pPr>
            <w:r>
              <w:rPr>
                <w:sz w:val="24"/>
              </w:rPr>
              <w:t xml:space="preserve">mem-int:Likv_Chlen_Ovs_Member</w:t>
            </w:r>
          </w:p>
        </w:tc>
      </w:tr>
      <w:tr>
        <w:tc>
          <w:tcPr>
            <w:tcW w:w="964" w:type="dxa"/>
          </w:tcPr>
          <w:p>
            <w:pPr>
              <w:pStyle w:val="0"/>
            </w:pPr>
            <w:r>
              <w:rPr>
                <w:sz w:val="24"/>
              </w:rPr>
              <w:t xml:space="preserve">2</w:t>
            </w:r>
          </w:p>
        </w:tc>
        <w:tc>
          <w:tcPr>
            <w:tcW w:w="2891" w:type="dxa"/>
          </w:tcPr>
          <w:p>
            <w:pPr>
              <w:pStyle w:val="0"/>
            </w:pPr>
            <w:r>
              <w:rPr>
                <w:sz w:val="24"/>
              </w:rPr>
              <w:t xml:space="preserve">Состав членов общества взаимного страхования</w:t>
            </w:r>
          </w:p>
        </w:tc>
        <w:tc>
          <w:tcPr>
            <w:tcW w:w="1814" w:type="dxa"/>
          </w:tcPr>
          <w:p>
            <w:pPr>
              <w:pStyle w:val="0"/>
            </w:pPr>
            <w:r>
              <w:rPr>
                <w:sz w:val="24"/>
              </w:rPr>
            </w:r>
          </w:p>
        </w:tc>
        <w:tc>
          <w:tcPr>
            <w:tcW w:w="3402" w:type="dxa"/>
          </w:tcPr>
          <w:p>
            <w:pPr>
              <w:pStyle w:val="0"/>
            </w:pPr>
            <w:r>
              <w:rPr>
                <w:sz w:val="24"/>
              </w:rPr>
              <w:t xml:space="preserve">dim-int:Sostav_Chlenov_Ovs_Axis</w:t>
            </w:r>
          </w:p>
        </w:tc>
      </w:tr>
      <w:tr>
        <w:tc>
          <w:tcPr>
            <w:tcW w:w="964" w:type="dxa"/>
          </w:tcPr>
          <w:p>
            <w:pPr>
              <w:pStyle w:val="0"/>
            </w:pPr>
            <w:r>
              <w:rPr>
                <w:sz w:val="24"/>
              </w:rPr>
              <w:t xml:space="preserve">2.1</w:t>
            </w:r>
          </w:p>
        </w:tc>
        <w:tc>
          <w:tcPr>
            <w:tcW w:w="2891" w:type="dxa"/>
          </w:tcPr>
          <w:p>
            <w:pPr>
              <w:pStyle w:val="0"/>
            </w:pPr>
            <w:r>
              <w:rPr>
                <w:sz w:val="24"/>
              </w:rPr>
            </w:r>
          </w:p>
        </w:tc>
        <w:tc>
          <w:tcPr>
            <w:tcW w:w="1814" w:type="dxa"/>
          </w:tcPr>
          <w:p>
            <w:pPr>
              <w:pStyle w:val="0"/>
            </w:pPr>
            <w:r>
              <w:rPr>
                <w:sz w:val="24"/>
              </w:rPr>
              <w:t xml:space="preserve">ФЛ - физическое лицо</w:t>
            </w:r>
          </w:p>
        </w:tc>
        <w:tc>
          <w:tcPr>
            <w:tcW w:w="3402" w:type="dxa"/>
          </w:tcPr>
          <w:p>
            <w:pPr>
              <w:pStyle w:val="0"/>
            </w:pPr>
            <w:r>
              <w:rPr>
                <w:sz w:val="24"/>
              </w:rPr>
              <w:t xml:space="preserve">mem-int:FlMember</w:t>
            </w:r>
          </w:p>
        </w:tc>
      </w:tr>
      <w:tr>
        <w:tc>
          <w:tcPr>
            <w:tcW w:w="964" w:type="dxa"/>
          </w:tcPr>
          <w:p>
            <w:pPr>
              <w:pStyle w:val="0"/>
            </w:pPr>
            <w:r>
              <w:rPr>
                <w:sz w:val="24"/>
              </w:rPr>
              <w:t xml:space="preserve">2.2</w:t>
            </w:r>
          </w:p>
        </w:tc>
        <w:tc>
          <w:tcPr>
            <w:tcW w:w="2891" w:type="dxa"/>
          </w:tcPr>
          <w:p>
            <w:pPr>
              <w:pStyle w:val="0"/>
            </w:pPr>
            <w:r>
              <w:rPr>
                <w:sz w:val="24"/>
              </w:rPr>
            </w:r>
          </w:p>
        </w:tc>
        <w:tc>
          <w:tcPr>
            <w:tcW w:w="1814" w:type="dxa"/>
          </w:tcPr>
          <w:p>
            <w:pPr>
              <w:pStyle w:val="0"/>
            </w:pPr>
            <w:r>
              <w:rPr>
                <w:sz w:val="24"/>
              </w:rPr>
              <w:t xml:space="preserve">ЮЛ - юридическое лицо</w:t>
            </w:r>
          </w:p>
        </w:tc>
        <w:tc>
          <w:tcPr>
            <w:tcW w:w="3402" w:type="dxa"/>
          </w:tcPr>
          <w:p>
            <w:pPr>
              <w:pStyle w:val="0"/>
            </w:pPr>
            <w:r>
              <w:rPr>
                <w:sz w:val="24"/>
              </w:rPr>
              <w:t xml:space="preserve">mem-int:YulMember</w:t>
            </w:r>
          </w:p>
        </w:tc>
      </w:tr>
    </w:tbl>
    <w:p>
      <w:pPr>
        <w:pStyle w:val="0"/>
        <w:jc w:val="both"/>
      </w:pPr>
      <w:r>
        <w:rPr>
          <w:sz w:val="24"/>
        </w:rPr>
      </w:r>
    </w:p>
    <w:bookmarkStart w:id="59298" w:name="P59298"/>
    <w:bookmarkEnd w:id="59298"/>
    <w:p>
      <w:pPr>
        <w:pStyle w:val="0"/>
        <w:outlineLvl w:val="1"/>
        <w:ind w:firstLine="540"/>
        <w:jc w:val="both"/>
      </w:pPr>
      <w:r>
        <w:rPr>
          <w:sz w:val="24"/>
        </w:rPr>
        <w:t xml:space="preserve">Часть III. Порядок составления статистической отчетности страховщика</w:t>
      </w:r>
    </w:p>
    <w:p>
      <w:pPr>
        <w:pStyle w:val="0"/>
        <w:jc w:val="both"/>
      </w:pPr>
      <w:r>
        <w:rPr>
          <w:sz w:val="24"/>
        </w:rPr>
      </w:r>
    </w:p>
    <w:p>
      <w:pPr>
        <w:pStyle w:val="0"/>
        <w:ind w:firstLine="540"/>
        <w:jc w:val="both"/>
      </w:pPr>
      <w:r>
        <w:rPr>
          <w:sz w:val="24"/>
        </w:rPr>
        <w:t xml:space="preserve">1. Статистическая отчетность страховщика (далее - отчетность) составляется страховщиком в виде предусмотренных в ней показателей в разрезе групп аналитических признаков (</w:t>
      </w:r>
      <w:hyperlink w:history="0" w:anchor="P54368" w:tooltip="3">
        <w:r>
          <w:rPr>
            <w:sz w:val="24"/>
            <w:color w:val="0000ff"/>
          </w:rPr>
          <w:t xml:space="preserve">графа 3 части I</w:t>
        </w:r>
      </w:hyperlink>
      <w:r>
        <w:rPr>
          <w:sz w:val="24"/>
        </w:rPr>
        <w:t xml:space="preserve"> настоящего приложения), объединяющих аналитические признаки, содержащие детализированную информацию по показателю.</w:t>
      </w:r>
    </w:p>
    <w:p>
      <w:pPr>
        <w:pStyle w:val="0"/>
        <w:spacing w:before="240" w:lineRule="auto"/>
        <w:ind w:firstLine="540"/>
        <w:jc w:val="both"/>
      </w:pPr>
      <w:r>
        <w:rPr>
          <w:sz w:val="24"/>
        </w:rPr>
        <w:t xml:space="preserve">При составлении отчетности страховщик должен использовать аналитические признаки, объединенные в группы аналитических признаков, приведенные в </w:t>
      </w:r>
      <w:hyperlink w:history="0" w:anchor="P57537" w:tooltip="Часть II.">
        <w:r>
          <w:rPr>
            <w:sz w:val="24"/>
            <w:color w:val="0000ff"/>
          </w:rPr>
          <w:t xml:space="preserve">части II</w:t>
        </w:r>
      </w:hyperlink>
      <w:r>
        <w:rPr>
          <w:sz w:val="24"/>
        </w:rPr>
        <w:t xml:space="preserve"> настоящего приложения.</w:t>
      </w:r>
    </w:p>
    <w:p>
      <w:pPr>
        <w:pStyle w:val="0"/>
        <w:spacing w:before="240" w:lineRule="auto"/>
        <w:ind w:firstLine="540"/>
        <w:jc w:val="both"/>
      </w:pPr>
      <w:r>
        <w:rPr>
          <w:sz w:val="24"/>
        </w:rPr>
        <w:t xml:space="preserve">При составлении отчетности страховщик должен для каждого показателя, каждой группы аналитических признаков и каждого аналитического признака указывать отдельный код (графа 4 </w:t>
      </w:r>
      <w:hyperlink w:history="0" w:anchor="P54351" w:tooltip="Часть I. Показатели формы статистической отчетности">
        <w:r>
          <w:rPr>
            <w:sz w:val="24"/>
            <w:color w:val="0000ff"/>
          </w:rPr>
          <w:t xml:space="preserve">частей I</w:t>
        </w:r>
      </w:hyperlink>
      <w:r>
        <w:rPr>
          <w:sz w:val="24"/>
        </w:rPr>
        <w:t xml:space="preserve"> и </w:t>
      </w:r>
      <w:hyperlink w:history="0" w:anchor="P57537" w:tooltip="Часть II.">
        <w:r>
          <w:rPr>
            <w:sz w:val="24"/>
            <w:color w:val="0000ff"/>
          </w:rPr>
          <w:t xml:space="preserve">II</w:t>
        </w:r>
      </w:hyperlink>
      <w:r>
        <w:rPr>
          <w:sz w:val="24"/>
        </w:rPr>
        <w:t xml:space="preserve"> настоящего приложения), позволяющий выделить один показатель, одну группу аналитических признаков, один аналитический признак из других показателей, групп аналитических признаков, аналитических признаков.</w:t>
      </w:r>
    </w:p>
    <w:p>
      <w:pPr>
        <w:pStyle w:val="0"/>
        <w:spacing w:before="240" w:lineRule="auto"/>
        <w:ind w:firstLine="540"/>
        <w:jc w:val="both"/>
      </w:pPr>
      <w:r>
        <w:rPr>
          <w:sz w:val="24"/>
        </w:rPr>
        <w:t xml:space="preserve">При составлении отчетности страховщик должен в форме отчетности отражать все предусмотренные в ней показатели, за исключением случаев отсутствия значений показателей.</w:t>
      </w:r>
    </w:p>
    <w:p>
      <w:pPr>
        <w:pStyle w:val="0"/>
        <w:spacing w:before="240" w:lineRule="auto"/>
        <w:ind w:firstLine="540"/>
        <w:jc w:val="both"/>
      </w:pPr>
      <w:r>
        <w:rPr>
          <w:sz w:val="24"/>
        </w:rPr>
        <w:t xml:space="preserve">2. Значения показателей отчетности указываются следующим образом:</w:t>
      </w:r>
    </w:p>
    <w:p>
      <w:pPr>
        <w:pStyle w:val="0"/>
        <w:spacing w:before="240" w:lineRule="auto"/>
        <w:ind w:firstLine="540"/>
        <w:jc w:val="both"/>
      </w:pPr>
      <w:r>
        <w:rPr>
          <w:sz w:val="24"/>
        </w:rPr>
        <w:t xml:space="preserve">сумма - в рублях с точностью до двух знаков после запятой;</w:t>
      </w:r>
    </w:p>
    <w:p>
      <w:pPr>
        <w:pStyle w:val="0"/>
        <w:spacing w:before="240" w:lineRule="auto"/>
        <w:ind w:firstLine="540"/>
        <w:jc w:val="both"/>
      </w:pPr>
      <w:r>
        <w:rPr>
          <w:sz w:val="24"/>
        </w:rPr>
        <w:t xml:space="preserve">относительные величины - с точностью до двух знаков после запятой;</w:t>
      </w:r>
    </w:p>
    <w:p>
      <w:pPr>
        <w:pStyle w:val="0"/>
        <w:spacing w:before="240" w:lineRule="auto"/>
        <w:ind w:firstLine="540"/>
        <w:jc w:val="both"/>
      </w:pPr>
      <w:r>
        <w:rPr>
          <w:sz w:val="24"/>
        </w:rPr>
        <w:t xml:space="preserve">количество - в единицах;</w:t>
      </w:r>
    </w:p>
    <w:p>
      <w:pPr>
        <w:pStyle w:val="0"/>
        <w:spacing w:before="240" w:lineRule="auto"/>
        <w:ind w:firstLine="540"/>
        <w:jc w:val="both"/>
      </w:pPr>
      <w:r>
        <w:rPr>
          <w:sz w:val="24"/>
        </w:rPr>
        <w:t xml:space="preserve">численность - в количестве человек.</w:t>
      </w:r>
    </w:p>
    <w:p>
      <w:pPr>
        <w:pStyle w:val="0"/>
        <w:spacing w:before="240" w:lineRule="auto"/>
        <w:ind w:firstLine="540"/>
        <w:jc w:val="both"/>
      </w:pPr>
      <w:r>
        <w:rPr>
          <w:sz w:val="24"/>
        </w:rPr>
        <w:t xml:space="preserve">Округление осуществляется по правилам математического округления.</w:t>
      </w:r>
    </w:p>
    <w:p>
      <w:pPr>
        <w:pStyle w:val="0"/>
        <w:spacing w:before="240" w:lineRule="auto"/>
        <w:ind w:firstLine="540"/>
        <w:jc w:val="both"/>
      </w:pPr>
      <w:r>
        <w:rPr>
          <w:sz w:val="24"/>
        </w:rPr>
        <w:t xml:space="preserve">В случае если показатель принимает отрицательное значение, он указывается со знаком "-" (минус).</w:t>
      </w:r>
    </w:p>
    <w:p>
      <w:pPr>
        <w:pStyle w:val="0"/>
        <w:spacing w:before="240" w:lineRule="auto"/>
        <w:ind w:firstLine="540"/>
        <w:jc w:val="both"/>
      </w:pPr>
      <w:r>
        <w:rPr>
          <w:sz w:val="24"/>
        </w:rPr>
        <w:t xml:space="preserve">3. Понятие "нерезидент" используется в значении, установленном </w:t>
      </w:r>
      <w:hyperlink w:history="0" r:id="rId847" w:tooltip="Федеральный закон от 10.12.2003 N 173-ФЗ (ред. от 28.12.2024) &quot;О валютном регулировании и валютном контроле&quot; {КонсультантПлюс}">
        <w:r>
          <w:rPr>
            <w:sz w:val="24"/>
            <w:color w:val="0000ff"/>
          </w:rPr>
          <w:t xml:space="preserve">пунктом 7 части 1 статьи 1</w:t>
        </w:r>
      </w:hyperlink>
      <w:r>
        <w:rPr>
          <w:sz w:val="24"/>
        </w:rPr>
        <w:t xml:space="preserve"> Федерального закона от 10 декабря 2003 года N 173-ФЗ "О валютном регулировании и валютном контроле".</w:t>
      </w:r>
    </w:p>
    <w:p>
      <w:pPr>
        <w:pStyle w:val="0"/>
        <w:spacing w:before="240" w:lineRule="auto"/>
        <w:ind w:firstLine="540"/>
        <w:jc w:val="both"/>
      </w:pPr>
      <w:r>
        <w:rPr>
          <w:sz w:val="24"/>
        </w:rPr>
        <w:t xml:space="preserve">4. Страховщик осуществляет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"Интернет" на основании </w:t>
      </w:r>
      <w:hyperlink w:history="0" r:id="rId848"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абзаца четвертого пункта 4 статьи 28</w:t>
        </w:r>
      </w:hyperlink>
      <w:r>
        <w:rPr>
          <w:sz w:val="24"/>
        </w:rPr>
        <w:t xml:space="preserve"> Закона Российской Федерации от 27 ноября 1992 года N 4015-I "Об организации страхового дела в Российской Федерации", в соответствии с требованиями </w:t>
      </w:r>
      <w:hyperlink w:history="0" w:anchor="P54304" w:tooltip="10. При составлении отчетности страховщик должен осуществлять проверку полноты и правильности составления отчетности, в том числе проверку контрольных соотношений ее показателей, размещенных на официальном сайте Банка России в информационно-телекоммуникационной сети &quot;Интернет&quot; на основании абзаца четвертого пункта 4 статьи 28 Закона Российской Федерации от 27 ноября 1992 года N 4015-I &quot;Об организации страхового дела в Российской Федерации&quot; (далее - контрольные соотношения), до отправления отчетности в Ба...">
        <w:r>
          <w:rPr>
            <w:sz w:val="24"/>
            <w:color w:val="0000ff"/>
          </w:rPr>
          <w:t xml:space="preserve">пункта 10 части IV</w:t>
        </w:r>
      </w:hyperlink>
      <w:r>
        <w:rPr>
          <w:sz w:val="24"/>
        </w:rPr>
        <w:t xml:space="preserve"> приложения 1 к настоящему Указанию.</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3</w:t>
      </w:r>
    </w:p>
    <w:p>
      <w:pPr>
        <w:pStyle w:val="0"/>
        <w:jc w:val="right"/>
      </w:pPr>
      <w:r>
        <w:rPr>
          <w:sz w:val="24"/>
        </w:rPr>
        <w:t xml:space="preserve">к Указанию Банка России</w:t>
      </w:r>
    </w:p>
    <w:p>
      <w:pPr>
        <w:pStyle w:val="0"/>
        <w:jc w:val="right"/>
      </w:pPr>
      <w:r>
        <w:rPr>
          <w:sz w:val="24"/>
        </w:rPr>
        <w:t xml:space="preserve">от 30 июня 2025 года N 7124-У</w:t>
      </w:r>
    </w:p>
    <w:p>
      <w:pPr>
        <w:pStyle w:val="0"/>
        <w:jc w:val="right"/>
      </w:pPr>
      <w:r>
        <w:rPr>
          <w:sz w:val="24"/>
        </w:rPr>
        <w:t xml:space="preserve">"О формах, сроках и порядке составления</w:t>
      </w:r>
    </w:p>
    <w:p>
      <w:pPr>
        <w:pStyle w:val="0"/>
        <w:jc w:val="right"/>
      </w:pPr>
      <w:r>
        <w:rPr>
          <w:sz w:val="24"/>
        </w:rPr>
        <w:t xml:space="preserve">и представления в Банк России</w:t>
      </w:r>
    </w:p>
    <w:p>
      <w:pPr>
        <w:pStyle w:val="0"/>
        <w:jc w:val="right"/>
      </w:pPr>
      <w:r>
        <w:rPr>
          <w:sz w:val="24"/>
        </w:rPr>
        <w:t xml:space="preserve">отчетности страховщиков, о порядке</w:t>
      </w:r>
    </w:p>
    <w:p>
      <w:pPr>
        <w:pStyle w:val="0"/>
        <w:jc w:val="right"/>
      </w:pPr>
      <w:r>
        <w:rPr>
          <w:sz w:val="24"/>
        </w:rPr>
        <w:t xml:space="preserve">сообщения страховщиками Банку России</w:t>
      </w:r>
    </w:p>
    <w:p>
      <w:pPr>
        <w:pStyle w:val="0"/>
        <w:jc w:val="right"/>
      </w:pPr>
      <w:r>
        <w:rPr>
          <w:sz w:val="24"/>
        </w:rPr>
        <w:t xml:space="preserve">информации о лицах, которым поручено</w:t>
      </w:r>
    </w:p>
    <w:p>
      <w:pPr>
        <w:pStyle w:val="0"/>
        <w:jc w:val="right"/>
      </w:pPr>
      <w:r>
        <w:rPr>
          <w:sz w:val="24"/>
        </w:rPr>
        <w:t xml:space="preserve">проведение идентификации, упрощенной</w:t>
      </w:r>
    </w:p>
    <w:p>
      <w:pPr>
        <w:pStyle w:val="0"/>
        <w:jc w:val="right"/>
      </w:pPr>
      <w:r>
        <w:rPr>
          <w:sz w:val="24"/>
        </w:rPr>
        <w:t xml:space="preserve">идентификации, обновление информации</w:t>
      </w:r>
    </w:p>
    <w:p>
      <w:pPr>
        <w:pStyle w:val="0"/>
        <w:jc w:val="right"/>
      </w:pPr>
      <w:r>
        <w:rPr>
          <w:sz w:val="24"/>
        </w:rPr>
        <w:t xml:space="preserve">о клиентах, представителях клиентов,</w:t>
      </w:r>
    </w:p>
    <w:p>
      <w:pPr>
        <w:pStyle w:val="0"/>
        <w:jc w:val="right"/>
      </w:pPr>
      <w:r>
        <w:rPr>
          <w:sz w:val="24"/>
        </w:rPr>
        <w:t xml:space="preserve">выгодоприобретателях и бенефициарных</w:t>
      </w:r>
    </w:p>
    <w:p>
      <w:pPr>
        <w:pStyle w:val="0"/>
        <w:jc w:val="right"/>
      </w:pPr>
      <w:r>
        <w:rPr>
          <w:sz w:val="24"/>
        </w:rPr>
        <w:t xml:space="preserve">владельцах, о порядке сообщения</w:t>
      </w:r>
    </w:p>
    <w:p>
      <w:pPr>
        <w:pStyle w:val="0"/>
        <w:jc w:val="right"/>
      </w:pPr>
      <w:r>
        <w:rPr>
          <w:sz w:val="24"/>
        </w:rPr>
        <w:t xml:space="preserve">страховщиками в Банк России сведений</w:t>
      </w:r>
    </w:p>
    <w:p>
      <w:pPr>
        <w:pStyle w:val="0"/>
        <w:jc w:val="right"/>
      </w:pPr>
      <w:r>
        <w:rPr>
          <w:sz w:val="24"/>
        </w:rPr>
        <w:t xml:space="preserve">об опубликовании годовой бухгалтерской</w:t>
      </w:r>
    </w:p>
    <w:p>
      <w:pPr>
        <w:pStyle w:val="0"/>
        <w:jc w:val="right"/>
      </w:pPr>
      <w:r>
        <w:rPr>
          <w:sz w:val="24"/>
        </w:rPr>
        <w:t xml:space="preserve">(финансовой) отчетности страховщика,</w:t>
      </w:r>
    </w:p>
    <w:p>
      <w:pPr>
        <w:pStyle w:val="0"/>
        <w:jc w:val="right"/>
      </w:pPr>
      <w:r>
        <w:rPr>
          <w:sz w:val="24"/>
        </w:rPr>
        <w:t xml:space="preserve">а также о порядке и сроках представления</w:t>
      </w:r>
    </w:p>
    <w:p>
      <w:pPr>
        <w:pStyle w:val="0"/>
        <w:jc w:val="right"/>
      </w:pPr>
      <w:r>
        <w:rPr>
          <w:sz w:val="24"/>
        </w:rPr>
        <w:t xml:space="preserve">страховщиками в Банк России сведений</w:t>
      </w:r>
    </w:p>
    <w:p>
      <w:pPr>
        <w:pStyle w:val="0"/>
        <w:jc w:val="right"/>
      </w:pPr>
      <w:r>
        <w:rPr>
          <w:sz w:val="24"/>
        </w:rPr>
        <w:t xml:space="preserve">и документов в отношении их филиалов,</w:t>
      </w:r>
    </w:p>
    <w:p>
      <w:pPr>
        <w:pStyle w:val="0"/>
        <w:jc w:val="right"/>
      </w:pPr>
      <w:r>
        <w:rPr>
          <w:sz w:val="24"/>
        </w:rPr>
        <w:t xml:space="preserve">представительств и иных</w:t>
      </w:r>
    </w:p>
    <w:p>
      <w:pPr>
        <w:pStyle w:val="0"/>
        <w:jc w:val="right"/>
      </w:pPr>
      <w:r>
        <w:rPr>
          <w:sz w:val="24"/>
        </w:rPr>
        <w:t xml:space="preserve">обособленных подразделений"</w:t>
      </w:r>
    </w:p>
    <w:p>
      <w:pPr>
        <w:pStyle w:val="0"/>
        <w:jc w:val="both"/>
      </w:pPr>
      <w:r>
        <w:rPr>
          <w:sz w:val="24"/>
        </w:rPr>
      </w:r>
    </w:p>
    <w:bookmarkStart w:id="59340" w:name="P59340"/>
    <w:bookmarkEnd w:id="59340"/>
    <w:p>
      <w:pPr>
        <w:pStyle w:val="2"/>
        <w:jc w:val="center"/>
      </w:pPr>
      <w:r>
        <w:rPr>
          <w:sz w:val="24"/>
        </w:rPr>
        <w:t xml:space="preserve">ПОРЯДОК И СРОКИ</w:t>
      </w:r>
    </w:p>
    <w:p>
      <w:pPr>
        <w:pStyle w:val="2"/>
        <w:jc w:val="center"/>
      </w:pPr>
      <w:r>
        <w:rPr>
          <w:sz w:val="24"/>
        </w:rPr>
        <w:t xml:space="preserve">ПРЕДСТАВЛЕНИЯ ОТЧЕТНОСТИ В ПОРЯДКЕ НАДЗОРА СТРАХОВЩИКА</w:t>
      </w:r>
    </w:p>
    <w:p>
      <w:pPr>
        <w:pStyle w:val="2"/>
        <w:jc w:val="center"/>
      </w:pPr>
      <w:r>
        <w:rPr>
          <w:sz w:val="24"/>
        </w:rPr>
        <w:t xml:space="preserve">И СТАТИСТИЧЕСКОЙ ОТЧЕТНОСТИ СТРАХОВЩИКА</w:t>
      </w:r>
    </w:p>
    <w:p>
      <w:pPr>
        <w:pStyle w:val="0"/>
        <w:jc w:val="both"/>
      </w:pPr>
      <w:r>
        <w:rPr>
          <w:sz w:val="24"/>
        </w:rPr>
      </w:r>
    </w:p>
    <w:p>
      <w:pPr>
        <w:pStyle w:val="0"/>
        <w:ind w:firstLine="540"/>
        <w:jc w:val="both"/>
      </w:pPr>
      <w:r>
        <w:rPr>
          <w:sz w:val="24"/>
        </w:rPr>
        <w:t xml:space="preserve">1. Отчетность в порядке надзора страховщика и статистическая отчетность страховщика (далее при совместном упоминании - отчетность страховщика) представляются в Банк России страховщиком, имеющим лицензию на осуществление страхования, перестрахования, взаимного страхования.</w:t>
      </w:r>
    </w:p>
    <w:p>
      <w:pPr>
        <w:pStyle w:val="0"/>
        <w:spacing w:before="240" w:lineRule="auto"/>
        <w:ind w:firstLine="540"/>
        <w:jc w:val="both"/>
      </w:pPr>
      <w:r>
        <w:rPr>
          <w:sz w:val="24"/>
        </w:rPr>
        <w:t xml:space="preserve">2. Отчетность страховщика представляется страховщиком в Банк России в форме электронного документа в порядке, установленном </w:t>
      </w:r>
      <w:hyperlink w:history="0" r:id="rId849" w:tooltip="Указание Банка России от 03.09.2024 N 6836-У (ред. от 26.05.2025) &quot;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 {КонсультантПлюс}">
        <w:r>
          <w:rPr>
            <w:sz w:val="24"/>
            <w:color w:val="0000ff"/>
          </w:rPr>
          <w:t xml:space="preserve">Указанием</w:t>
        </w:r>
      </w:hyperlink>
      <w:r>
        <w:rPr>
          <w:sz w:val="24"/>
        </w:rPr>
        <w:t xml:space="preserve"> Банка России от 3 сентября 2024 года N 6836-У "О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кабинета" &lt;1&gt; (далее - Указание Банка России N 6836-У).</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3 октября 2024 года, регистрационный N 79699, с изменениями, внесенными Указанием Банка России от 26 мая 2025 года N 7064-У (зарегистрировано Минюстом России 3 июля 2025 года, регистрационный N 82807).</w:t>
      </w:r>
    </w:p>
    <w:p>
      <w:pPr>
        <w:pStyle w:val="0"/>
        <w:jc w:val="both"/>
      </w:pPr>
      <w:r>
        <w:rPr>
          <w:sz w:val="24"/>
        </w:rPr>
      </w:r>
    </w:p>
    <w:p>
      <w:pPr>
        <w:pStyle w:val="0"/>
        <w:ind w:firstLine="540"/>
        <w:jc w:val="both"/>
      </w:pPr>
      <w:r>
        <w:rPr>
          <w:sz w:val="24"/>
        </w:rPr>
        <w:t xml:space="preserve">Отчетность страховщика, представляемая страховщиком в Банк России, подписывается лицом, осуществляющим функции единоличного исполнительного органа страховщика (лицом, временно исполняющим его обязанности), в соответствии с </w:t>
      </w:r>
      <w:hyperlink w:history="0" r:id="rId850" w:tooltip="Указание Банка России от 03.09.2024 N 6836-У (ред. от 26.05.2025) &quot;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 {КонсультантПлюс}">
        <w:r>
          <w:rPr>
            <w:sz w:val="24"/>
            <w:color w:val="0000ff"/>
          </w:rPr>
          <w:t xml:space="preserve">абзацем третьим пункта 1.1</w:t>
        </w:r>
      </w:hyperlink>
      <w:r>
        <w:rPr>
          <w:sz w:val="24"/>
        </w:rPr>
        <w:t xml:space="preserve"> Указания Банка России N 6836-У.</w:t>
      </w:r>
    </w:p>
    <w:p>
      <w:pPr>
        <w:pStyle w:val="0"/>
        <w:spacing w:before="240" w:lineRule="auto"/>
        <w:ind w:firstLine="540"/>
        <w:jc w:val="both"/>
      </w:pPr>
      <w:r>
        <w:rPr>
          <w:sz w:val="24"/>
        </w:rPr>
        <w:t xml:space="preserve">3. Визуализация отчетности страховщика, в том числе для целей ее представления третьим лицам по формам, установленным настоящим Указанием, осуществляется по выбору страховщика одним из следующих способов:</w:t>
      </w:r>
    </w:p>
    <w:p>
      <w:pPr>
        <w:pStyle w:val="0"/>
        <w:spacing w:before="240" w:lineRule="auto"/>
        <w:ind w:firstLine="540"/>
        <w:jc w:val="both"/>
      </w:pPr>
      <w:r>
        <w:rPr>
          <w:sz w:val="24"/>
        </w:rPr>
        <w:t xml:space="preserve">при помощи программного обеспечения, реализующего визуализацию отчетных данных, размещенного на официальном сайте Банка России в информационно-телекоммуникационной сети "Интернет" (далее - сеть "Интернет");</w:t>
      </w:r>
    </w:p>
    <w:p>
      <w:pPr>
        <w:pStyle w:val="0"/>
        <w:spacing w:before="240" w:lineRule="auto"/>
        <w:ind w:firstLine="540"/>
        <w:jc w:val="both"/>
      </w:pPr>
      <w:r>
        <w:rPr>
          <w:sz w:val="24"/>
        </w:rPr>
        <w:t xml:space="preserve">при помощи иного программного обеспечения, позволяющего осуществить визуализацию отчетных данных согласно визуализации, осуществляемой при помощи программного обеспечения, размещенного на официальном сайте Банка России в сети "Интернет".</w:t>
      </w:r>
    </w:p>
    <w:bookmarkStart w:id="59353" w:name="P59353"/>
    <w:bookmarkEnd w:id="59353"/>
    <w:p>
      <w:pPr>
        <w:pStyle w:val="0"/>
        <w:spacing w:before="240" w:lineRule="auto"/>
        <w:ind w:firstLine="540"/>
        <w:jc w:val="both"/>
      </w:pPr>
      <w:r>
        <w:rPr>
          <w:sz w:val="24"/>
        </w:rPr>
        <w:t xml:space="preserve">4. Формы отчетности страховщика, для которых в соответствии с </w:t>
      </w:r>
      <w:hyperlink w:history="0" w:anchor="P59418" w:tooltip="5. Отчетность страховщика в виде предусмотренных в ней показателей представляется страховщиком в Банк России по состоянию на день (включительно) и (или) за период ее составления, указанные в приложениях 1 и 2 к настоящему Указанию (далее - отчетный период), в соответствии со сроками, предусмотренными подпунктами 5.1 - 5.33 настоящего пункта.">
        <w:r>
          <w:rPr>
            <w:sz w:val="24"/>
            <w:color w:val="0000ff"/>
          </w:rPr>
          <w:t xml:space="preserve">пунктом 5</w:t>
        </w:r>
      </w:hyperlink>
      <w:r>
        <w:rPr>
          <w:sz w:val="24"/>
        </w:rPr>
        <w:t xml:space="preserve"> настоящего приложения установлен одинаковый срок представления в Банк России, представляются страховщиком в виде пакета электронных документов в соответствии с требованиями, установленными </w:t>
      </w:r>
      <w:hyperlink w:history="0" r:id="rId851" w:tooltip="Федеральный закон от 06.04.2011 N 63-ФЗ (ред. от 21.04.2025) &quot;Об электронной подписи&quot; {КонсультантПлюс}">
        <w:r>
          <w:rPr>
            <w:sz w:val="24"/>
            <w:color w:val="0000ff"/>
          </w:rPr>
          <w:t xml:space="preserve">частями 1</w:t>
        </w:r>
      </w:hyperlink>
      <w:r>
        <w:rPr>
          <w:sz w:val="24"/>
        </w:rPr>
        <w:t xml:space="preserve"> и </w:t>
      </w:r>
      <w:hyperlink w:history="0" r:id="rId852" w:tooltip="Федеральный закон от 06.04.2011 N 63-ФЗ (ред. от 21.04.2025) &quot;Об электронной подписи&quot; {КонсультантПлюс}">
        <w:r>
          <w:rPr>
            <w:sz w:val="24"/>
            <w:color w:val="0000ff"/>
          </w:rPr>
          <w:t xml:space="preserve">4 статьи 6</w:t>
        </w:r>
      </w:hyperlink>
      <w:r>
        <w:rPr>
          <w:sz w:val="24"/>
        </w:rPr>
        <w:t xml:space="preserve"> Федерального закона от 6 апреля 2011 года N 63-ФЗ "Об электронной подписи" (далее - Федеральный закон N 63-ФЗ), согласно информации о технологии подготовки и представления в Банк России электронного документа, размещенной на официальном сайте Банка России в сети "Интернет" в соответствии с </w:t>
      </w:r>
      <w:hyperlink w:history="0" r:id="rId853" w:tooltip="Указание Банка России от 03.09.2024 N 6836-У (ред. от 26.05.2025) &quot;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 {КонсультантПлюс}">
        <w:r>
          <w:rPr>
            <w:sz w:val="24"/>
            <w:color w:val="0000ff"/>
          </w:rPr>
          <w:t xml:space="preserve">абзацем третьим пункта 1.3</w:t>
        </w:r>
      </w:hyperlink>
      <w:r>
        <w:rPr>
          <w:sz w:val="24"/>
        </w:rPr>
        <w:t xml:space="preserve"> Указания Банка России N 6836-У, за исключением отчетности по </w:t>
      </w:r>
      <w:hyperlink w:history="0" w:anchor="P54356" w:tooltip="Отчетность по форме 0420162">
        <w:r>
          <w:rPr>
            <w:sz w:val="24"/>
            <w:color w:val="0000ff"/>
          </w:rPr>
          <w:t xml:space="preserve">форме 0420162</w:t>
        </w:r>
      </w:hyperlink>
      <w:r>
        <w:rPr>
          <w:sz w:val="24"/>
        </w:rPr>
        <w:t xml:space="preserve"> "Сведения о деятельности страховщика" (далее - отчетность по форме 0420162), составленной страховщиком за год, которая должна быть представлена в виде отдельного пакета электронных документов.</w:t>
      </w:r>
    </w:p>
    <w:p>
      <w:pPr>
        <w:pStyle w:val="0"/>
        <w:spacing w:before="240" w:lineRule="auto"/>
        <w:ind w:firstLine="540"/>
        <w:jc w:val="both"/>
      </w:pPr>
      <w:r>
        <w:rPr>
          <w:sz w:val="24"/>
        </w:rPr>
        <w:t xml:space="preserve">В каждый пакет электронных документов страховщик должен включать сопроводительную информацию, предусмотренную </w:t>
      </w:r>
      <w:hyperlink w:history="0" w:anchor="P59494" w:tooltip="11. Сопроводительная информация к отчетности страховщика представляется страховщиком в соответствии со следующими таблицами:">
        <w:r>
          <w:rPr>
            <w:sz w:val="24"/>
            <w:color w:val="0000ff"/>
          </w:rPr>
          <w:t xml:space="preserve">пунктом 11</w:t>
        </w:r>
      </w:hyperlink>
      <w:r>
        <w:rPr>
          <w:sz w:val="24"/>
        </w:rPr>
        <w:t xml:space="preserve"> настоящего приложения, а также файлы, предусмотренные </w:t>
      </w:r>
      <w:hyperlink w:history="0" w:anchor="P59355" w:tooltip="4.1. Файл, содержащий пояснительную записку, должен иметь следующее наименование до расширения:">
        <w:r>
          <w:rPr>
            <w:sz w:val="24"/>
            <w:color w:val="0000ff"/>
          </w:rPr>
          <w:t xml:space="preserve">подпунктами 4.1</w:t>
        </w:r>
      </w:hyperlink>
      <w:r>
        <w:rPr>
          <w:sz w:val="24"/>
        </w:rPr>
        <w:t xml:space="preserve"> - </w:t>
      </w:r>
      <w:hyperlink w:history="0" w:anchor="P59413" w:tooltip="4.9. Файл, содержащий пояснения о составлении отчетности страховщика страховщиком, являющимся правопреемником страховщика, прекратившего осуществление своей деятельности в результате реорганизации (далее соответственно - реорганизованный страховщик, правопреемник), в отношении реорганизованного страховщика, должен иметь следующее наименование до расширения:">
        <w:r>
          <w:rPr>
            <w:sz w:val="24"/>
            <w:color w:val="0000ff"/>
          </w:rPr>
          <w:t xml:space="preserve">4.9</w:t>
        </w:r>
      </w:hyperlink>
      <w:r>
        <w:rPr>
          <w:sz w:val="24"/>
        </w:rPr>
        <w:t xml:space="preserve"> настоящего пункта (при их наличии).</w:t>
      </w:r>
    </w:p>
    <w:bookmarkStart w:id="59355" w:name="P59355"/>
    <w:bookmarkEnd w:id="59355"/>
    <w:p>
      <w:pPr>
        <w:pStyle w:val="0"/>
        <w:spacing w:before="240" w:lineRule="auto"/>
        <w:ind w:firstLine="540"/>
        <w:jc w:val="both"/>
      </w:pPr>
      <w:r>
        <w:rPr>
          <w:sz w:val="24"/>
        </w:rPr>
        <w:t xml:space="preserve">4.1. Файл, содержащий пояснительную записку, должен иметь следующее наименование до расширения:</w:t>
      </w:r>
    </w:p>
    <w:p>
      <w:pPr>
        <w:pStyle w:val="0"/>
        <w:spacing w:before="240" w:lineRule="auto"/>
        <w:ind w:firstLine="540"/>
        <w:jc w:val="both"/>
      </w:pPr>
      <w:r>
        <w:rPr>
          <w:sz w:val="24"/>
        </w:rPr>
        <w:t xml:space="preserve">&lt;ИНН&gt;_PZ_&lt;ДАТА&gt;,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идентификационный номер налогоплательщика (далее - ИНН) страховщика;</w:t>
      </w:r>
    </w:p>
    <w:p>
      <w:pPr>
        <w:pStyle w:val="0"/>
        <w:spacing w:before="240" w:lineRule="auto"/>
        <w:ind w:firstLine="540"/>
        <w:jc w:val="both"/>
      </w:pPr>
      <w:r>
        <w:rPr>
          <w:sz w:val="24"/>
        </w:rPr>
        <w:t xml:space="preserve">&lt;ДАТА&gt; - дата, по состоянию на которую составлена отчетность страховщика (в виде "ггггммдд").</w:t>
      </w:r>
    </w:p>
    <w:p>
      <w:pPr>
        <w:pStyle w:val="0"/>
        <w:spacing w:before="240" w:lineRule="auto"/>
        <w:ind w:firstLine="540"/>
        <w:jc w:val="both"/>
      </w:pPr>
      <w:r>
        <w:rPr>
          <w:sz w:val="24"/>
        </w:rPr>
        <w:t xml:space="preserve">4.2. Файл, содержащий перечень неверных и (или) неактуальных значений показателей и описание причин их отражения в отчетности страховщика, а также реквизиты документа Банка России (в случае внесения исправлений в отчетность страховщика в соответствии с указанным документом Банка России), должен иметь следующее наименование до расширения:</w:t>
      </w:r>
    </w:p>
    <w:p>
      <w:pPr>
        <w:pStyle w:val="0"/>
        <w:spacing w:before="240" w:lineRule="auto"/>
        <w:ind w:firstLine="540"/>
        <w:jc w:val="both"/>
      </w:pPr>
      <w:r>
        <w:rPr>
          <w:sz w:val="24"/>
        </w:rPr>
        <w:t xml:space="preserve">&lt;ИНН&gt;_PZ_ISPR_&lt;ДАТА&gt;,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страховщика;</w:t>
      </w:r>
    </w:p>
    <w:p>
      <w:pPr>
        <w:pStyle w:val="0"/>
        <w:spacing w:before="240" w:lineRule="auto"/>
        <w:ind w:firstLine="540"/>
        <w:jc w:val="both"/>
      </w:pPr>
      <w:r>
        <w:rPr>
          <w:sz w:val="24"/>
        </w:rPr>
        <w:t xml:space="preserve">&lt;ДАТА&gt; - дата, по состоянию на которую составлена исправленная отчетность страховщика (в виде "ггггммдд").</w:t>
      </w:r>
    </w:p>
    <w:p>
      <w:pPr>
        <w:pStyle w:val="0"/>
        <w:spacing w:before="240" w:lineRule="auto"/>
        <w:ind w:firstLine="540"/>
        <w:jc w:val="both"/>
      </w:pPr>
      <w:r>
        <w:rPr>
          <w:sz w:val="24"/>
        </w:rPr>
        <w:t xml:space="preserve">4.3. Файл, содержащий пояснения о причинах расхождений между показателями отчетности страховщика, должен иметь следующее наименование до расширения:</w:t>
      </w:r>
    </w:p>
    <w:p>
      <w:pPr>
        <w:pStyle w:val="0"/>
        <w:spacing w:before="240" w:lineRule="auto"/>
        <w:ind w:firstLine="540"/>
        <w:jc w:val="both"/>
      </w:pPr>
      <w:r>
        <w:rPr>
          <w:sz w:val="24"/>
        </w:rPr>
        <w:t xml:space="preserve">&lt;ИНН&gt;_KS_&lt;ДАТА&gt;,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страховщика;</w:t>
      </w:r>
    </w:p>
    <w:p>
      <w:pPr>
        <w:pStyle w:val="0"/>
        <w:spacing w:before="240" w:lineRule="auto"/>
        <w:ind w:firstLine="540"/>
        <w:jc w:val="both"/>
      </w:pPr>
      <w:r>
        <w:rPr>
          <w:sz w:val="24"/>
        </w:rPr>
        <w:t xml:space="preserve">&lt;ДАТА&gt; - дата, по состоянию на которую составлена отчетность страховщика (в виде "ггггммдд").</w:t>
      </w:r>
    </w:p>
    <w:p>
      <w:pPr>
        <w:pStyle w:val="0"/>
        <w:spacing w:before="240" w:lineRule="auto"/>
        <w:ind w:firstLine="540"/>
        <w:jc w:val="both"/>
      </w:pPr>
      <w:r>
        <w:rPr>
          <w:sz w:val="24"/>
        </w:rPr>
        <w:t xml:space="preserve">4.4. Каждый файл, содержащий документ, подтверждающий полномочия руководителя филиала, представительства страховщика (за исключением иностранной страховой организации), должен иметь следующее наименование до расширения:</w:t>
      </w:r>
    </w:p>
    <w:p>
      <w:pPr>
        <w:pStyle w:val="0"/>
        <w:spacing w:before="240" w:lineRule="auto"/>
        <w:ind w:firstLine="540"/>
        <w:jc w:val="both"/>
      </w:pPr>
      <w:r>
        <w:rPr>
          <w:sz w:val="24"/>
        </w:rPr>
        <w:t xml:space="preserve">&lt;ИНН&gt;_&lt;ИД&gt;_OP_&lt;ДАТА&gt;,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страховщика (за исключением иностранной страховой организации);</w:t>
      </w:r>
    </w:p>
    <w:p>
      <w:pPr>
        <w:pStyle w:val="0"/>
        <w:spacing w:before="240" w:lineRule="auto"/>
        <w:ind w:firstLine="540"/>
        <w:jc w:val="both"/>
      </w:pPr>
      <w:r>
        <w:rPr>
          <w:sz w:val="24"/>
        </w:rPr>
        <w:t xml:space="preserve">&lt;ИД&gt; - идентификатор обособленного подразделения, указанный страховщиком в отчетности по </w:t>
      </w:r>
      <w:hyperlink w:history="0" w:anchor="P1001" w:tooltip="Отчетность по форме 0420151">
        <w:r>
          <w:rPr>
            <w:sz w:val="24"/>
            <w:color w:val="0000ff"/>
          </w:rPr>
          <w:t xml:space="preserve">форме 0420151</w:t>
        </w:r>
      </w:hyperlink>
      <w:r>
        <w:rPr>
          <w:sz w:val="24"/>
        </w:rPr>
        <w:t xml:space="preserve"> "Сведения об обособленных подразделениях страховщика" (далее - отчетность по форме 0420151) по группе аналитических признаков "Идентификатор обособленного подразделения";</w:t>
      </w:r>
    </w:p>
    <w:p>
      <w:pPr>
        <w:pStyle w:val="0"/>
        <w:spacing w:before="240" w:lineRule="auto"/>
        <w:ind w:firstLine="540"/>
        <w:jc w:val="both"/>
      </w:pPr>
      <w:r>
        <w:rPr>
          <w:sz w:val="24"/>
        </w:rPr>
        <w:t xml:space="preserve">&lt;ДАТА&gt; - дата, по состоянию на которую составлена отчетность по </w:t>
      </w:r>
      <w:hyperlink w:history="0" w:anchor="P1001" w:tooltip="Отчетность по форме 0420151">
        <w:r>
          <w:rPr>
            <w:sz w:val="24"/>
            <w:color w:val="0000ff"/>
          </w:rPr>
          <w:t xml:space="preserve">форме 0420151</w:t>
        </w:r>
      </w:hyperlink>
      <w:r>
        <w:rPr>
          <w:sz w:val="24"/>
        </w:rPr>
        <w:t xml:space="preserve"> (в виде "ггггммдд").</w:t>
      </w:r>
    </w:p>
    <w:p>
      <w:pPr>
        <w:pStyle w:val="0"/>
        <w:spacing w:before="240" w:lineRule="auto"/>
        <w:ind w:firstLine="540"/>
        <w:jc w:val="both"/>
      </w:pPr>
      <w:r>
        <w:rPr>
          <w:sz w:val="24"/>
        </w:rPr>
        <w:t xml:space="preserve">4.5. Каждый файл, содержащий выписку по специальному банковскому счету, подтверждающую соответствие размера находящихся на указанном счете денежных средств требованиям, установленным </w:t>
      </w:r>
      <w:hyperlink w:history="0" r:id="rId85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статьей 33.4</w:t>
        </w:r>
      </w:hyperlink>
      <w:r>
        <w:rPr>
          <w:sz w:val="24"/>
        </w:rPr>
        <w:t xml:space="preserve"> Закона Российской Федерации от 27 ноября 1992 года N 4015-I "Об организации страхового дела в Российской Федерации" (далее - Закон Российской Федерации N 4015-I) к общему размеру гарантийного депозита филиала иностранной страховой организации, созданного на территории Российской Федерации, через который иностранная страховая организация осуществляет страховую деятельность на территории Российской Федерации (далее соответственно - филиал иностранной страховой организации, выписка по специальному банковскому счету), должен иметь следующее наименование до расширения:</w:t>
      </w:r>
    </w:p>
    <w:p>
      <w:pPr>
        <w:pStyle w:val="0"/>
        <w:spacing w:before="240" w:lineRule="auto"/>
        <w:ind w:firstLine="540"/>
        <w:jc w:val="both"/>
      </w:pPr>
      <w:r>
        <w:rPr>
          <w:sz w:val="24"/>
        </w:rPr>
        <w:t xml:space="preserve">&lt;ИНН&gt;_&lt;ИД&gt;_VYPISKA_&lt;ДАТА&gt;,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иностранной страховой организации;</w:t>
      </w:r>
    </w:p>
    <w:p>
      <w:pPr>
        <w:pStyle w:val="0"/>
        <w:spacing w:before="240" w:lineRule="auto"/>
        <w:ind w:firstLine="540"/>
        <w:jc w:val="both"/>
      </w:pPr>
      <w:r>
        <w:rPr>
          <w:sz w:val="24"/>
        </w:rPr>
        <w:t xml:space="preserve">&lt;ИД&gt; - идентификатор филиала иностранной страховой организации, указанный иностранной страховой организацией в отчетности по </w:t>
      </w:r>
      <w:hyperlink w:history="0" w:anchor="P1888" w:tooltip="Отчетность по форме 0420153">
        <w:r>
          <w:rPr>
            <w:sz w:val="24"/>
            <w:color w:val="0000ff"/>
          </w:rPr>
          <w:t xml:space="preserve">форме 0420153</w:t>
        </w:r>
      </w:hyperlink>
      <w:r>
        <w:rPr>
          <w:sz w:val="24"/>
        </w:rPr>
        <w:t xml:space="preserve"> "Сведения о размере гарантийного депозита филиала иностранной страховой организации" (далее - отчетность по форме 0420153) по группе аналитических признаков "Идентификатор филиала";</w:t>
      </w:r>
    </w:p>
    <w:p>
      <w:pPr>
        <w:pStyle w:val="0"/>
        <w:spacing w:before="240" w:lineRule="auto"/>
        <w:ind w:firstLine="540"/>
        <w:jc w:val="both"/>
      </w:pPr>
      <w:r>
        <w:rPr>
          <w:sz w:val="24"/>
        </w:rPr>
        <w:t xml:space="preserve">&lt;ДАТА&gt; - дата, по состоянию на которую составлена отчетность по </w:t>
      </w:r>
      <w:hyperlink w:history="0" w:anchor="P1888" w:tooltip="Отчетность по форме 0420153">
        <w:r>
          <w:rPr>
            <w:sz w:val="24"/>
            <w:color w:val="0000ff"/>
          </w:rPr>
          <w:t xml:space="preserve">форме 0420153</w:t>
        </w:r>
      </w:hyperlink>
      <w:r>
        <w:rPr>
          <w:sz w:val="24"/>
        </w:rPr>
        <w:t xml:space="preserve"> (в виде "ггггммдд").</w:t>
      </w:r>
    </w:p>
    <w:p>
      <w:pPr>
        <w:pStyle w:val="0"/>
        <w:spacing w:before="240" w:lineRule="auto"/>
        <w:ind w:firstLine="540"/>
        <w:jc w:val="both"/>
      </w:pPr>
      <w:r>
        <w:rPr>
          <w:sz w:val="24"/>
        </w:rPr>
        <w:t xml:space="preserve">4.6. Каждый файл, содержащий актуарное заключение, подготовленное по итогам актуарного оценивания расчетного размера гарантийного депозита филиала иностранной страховой организации по итогам отчетного года в соответствии с </w:t>
      </w:r>
      <w:hyperlink w:history="0" r:id="rId85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абзацем третьим пункта 3 статьи 33.4</w:t>
        </w:r>
      </w:hyperlink>
      <w:r>
        <w:rPr>
          <w:sz w:val="24"/>
        </w:rPr>
        <w:t xml:space="preserve"> Закона Российской Федерации N 4015-I (далее - актуарное заключение), должен иметь следующее наименование до расширения:</w:t>
      </w:r>
    </w:p>
    <w:p>
      <w:pPr>
        <w:pStyle w:val="0"/>
        <w:spacing w:before="240" w:lineRule="auto"/>
        <w:ind w:firstLine="540"/>
        <w:jc w:val="both"/>
      </w:pPr>
      <w:r>
        <w:rPr>
          <w:sz w:val="24"/>
        </w:rPr>
        <w:t xml:space="preserve">&lt;ИНН&gt;_&lt;ИД&gt;_AKZ_&lt;ГОД&gt;,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иностранной страховой организации;</w:t>
      </w:r>
    </w:p>
    <w:p>
      <w:pPr>
        <w:pStyle w:val="0"/>
        <w:spacing w:before="240" w:lineRule="auto"/>
        <w:ind w:firstLine="540"/>
        <w:jc w:val="both"/>
      </w:pPr>
      <w:r>
        <w:rPr>
          <w:sz w:val="24"/>
        </w:rPr>
        <w:t xml:space="preserve">&lt;ИД&gt; - идентификатор филиала иностранной страховой организации, указанный иностранной страховой организацией в отчетности по </w:t>
      </w:r>
      <w:hyperlink w:history="0" w:anchor="P1888" w:tooltip="Отчетность по форме 0420153">
        <w:r>
          <w:rPr>
            <w:sz w:val="24"/>
            <w:color w:val="0000ff"/>
          </w:rPr>
          <w:t xml:space="preserve">форме 0420153</w:t>
        </w:r>
      </w:hyperlink>
      <w:r>
        <w:rPr>
          <w:sz w:val="24"/>
        </w:rPr>
        <w:t xml:space="preserve"> по группе аналитических признаков "Идентификатор филиала";</w:t>
      </w:r>
    </w:p>
    <w:p>
      <w:pPr>
        <w:pStyle w:val="0"/>
        <w:spacing w:before="240" w:lineRule="auto"/>
        <w:ind w:firstLine="540"/>
        <w:jc w:val="both"/>
      </w:pPr>
      <w:r>
        <w:rPr>
          <w:sz w:val="24"/>
        </w:rPr>
        <w:t xml:space="preserve">&lt;ГОД&gt; - год, по состоянию на конец которого составлена отчетность по </w:t>
      </w:r>
      <w:hyperlink w:history="0" w:anchor="P1888" w:tooltip="Отчетность по форме 0420153">
        <w:r>
          <w:rPr>
            <w:sz w:val="24"/>
            <w:color w:val="0000ff"/>
          </w:rPr>
          <w:t xml:space="preserve">форме 0420153</w:t>
        </w:r>
      </w:hyperlink>
      <w:r>
        <w:rPr>
          <w:sz w:val="24"/>
        </w:rPr>
        <w:t xml:space="preserve"> (в виде "гггг").</w:t>
      </w:r>
    </w:p>
    <w:p>
      <w:pPr>
        <w:pStyle w:val="0"/>
        <w:spacing w:before="240" w:lineRule="auto"/>
        <w:ind w:firstLine="540"/>
        <w:jc w:val="both"/>
      </w:pPr>
      <w:r>
        <w:rPr>
          <w:sz w:val="24"/>
        </w:rPr>
        <w:t xml:space="preserve">4.7. Каждый файл, содержащий документ, составленный аудиторской организацией по результатам аудита достоверности данных, использованных ответственным актуарием в расчете расчетного размера гарантийного депозита филиала иностранной страховой организации по итогам отчетного года в соответствии с </w:t>
      </w:r>
      <w:hyperlink w:history="0" r:id="rId856"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абзацем третьим пункта 3 статьи 33.4</w:t>
        </w:r>
      </w:hyperlink>
      <w:r>
        <w:rPr>
          <w:sz w:val="24"/>
        </w:rPr>
        <w:t xml:space="preserve"> Закона Российской Федерации N 4015-I (далее - документ по результатам аудита), должен иметь следующее наименование до расширения:</w:t>
      </w:r>
    </w:p>
    <w:p>
      <w:pPr>
        <w:pStyle w:val="0"/>
        <w:spacing w:before="240" w:lineRule="auto"/>
        <w:ind w:firstLine="540"/>
        <w:jc w:val="both"/>
      </w:pPr>
      <w:r>
        <w:rPr>
          <w:sz w:val="24"/>
        </w:rPr>
        <w:t xml:space="preserve">&lt;ИНН&gt;_&lt;ИД&gt;_AUD_&lt;ГОД&gt;,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иностранной страховой организации;</w:t>
      </w:r>
    </w:p>
    <w:p>
      <w:pPr>
        <w:pStyle w:val="0"/>
        <w:spacing w:before="240" w:lineRule="auto"/>
        <w:ind w:firstLine="540"/>
        <w:jc w:val="both"/>
      </w:pPr>
      <w:r>
        <w:rPr>
          <w:sz w:val="24"/>
        </w:rPr>
        <w:t xml:space="preserve">&lt;ИД&gt; - идентификатор филиала иностранной страховой организации, указанный иностранной страховой организацией в отчетности по </w:t>
      </w:r>
      <w:hyperlink w:history="0" w:anchor="P1888" w:tooltip="Отчетность по форме 0420153">
        <w:r>
          <w:rPr>
            <w:sz w:val="24"/>
            <w:color w:val="0000ff"/>
          </w:rPr>
          <w:t xml:space="preserve">форме 0420153</w:t>
        </w:r>
      </w:hyperlink>
      <w:r>
        <w:rPr>
          <w:sz w:val="24"/>
        </w:rPr>
        <w:t xml:space="preserve"> по группе аналитических признаков "Идентификатор филиала";</w:t>
      </w:r>
    </w:p>
    <w:p>
      <w:pPr>
        <w:pStyle w:val="0"/>
        <w:spacing w:before="240" w:lineRule="auto"/>
        <w:ind w:firstLine="540"/>
        <w:jc w:val="both"/>
      </w:pPr>
      <w:r>
        <w:rPr>
          <w:sz w:val="24"/>
        </w:rPr>
        <w:t xml:space="preserve">&lt;ГОД&gt; - год, по состоянию на конец которого составлена отчетность по </w:t>
      </w:r>
      <w:hyperlink w:history="0" w:anchor="P1888" w:tooltip="Отчетность по форме 0420153">
        <w:r>
          <w:rPr>
            <w:sz w:val="24"/>
            <w:color w:val="0000ff"/>
          </w:rPr>
          <w:t xml:space="preserve">форме 0420153</w:t>
        </w:r>
      </w:hyperlink>
      <w:r>
        <w:rPr>
          <w:sz w:val="24"/>
        </w:rPr>
        <w:t xml:space="preserve"> (в виде "гггг").</w:t>
      </w:r>
    </w:p>
    <w:p>
      <w:pPr>
        <w:pStyle w:val="0"/>
        <w:spacing w:before="240" w:lineRule="auto"/>
        <w:ind w:firstLine="540"/>
        <w:jc w:val="both"/>
      </w:pPr>
      <w:r>
        <w:rPr>
          <w:sz w:val="24"/>
        </w:rPr>
        <w:t xml:space="preserve">4.8. Файл, содержащий аудиторское заключение либо иной документ в соответствии со стандартами аудиторской деятельности, предусмотренными </w:t>
      </w:r>
      <w:hyperlink w:history="0" r:id="rId857" w:tooltip="Федеральный закон от 27.07.2010 N 208-ФЗ (ред. от 22.07.2024) &quot;О консолидированной финансовой отчетности&quot; {КонсультантПлюс}">
        <w:r>
          <w:rPr>
            <w:sz w:val="24"/>
            <w:color w:val="0000ff"/>
          </w:rPr>
          <w:t xml:space="preserve">частью 2 статьи 5</w:t>
        </w:r>
      </w:hyperlink>
      <w:r>
        <w:rPr>
          <w:sz w:val="24"/>
        </w:rPr>
        <w:t xml:space="preserve"> Федерального закона от 27 июля 2010 года N 208-ФЗ "О консолидированной финансовой отчетности" (далее при совместном упоминании - аудиторское заключение), должен иметь следующее наименование до расширения:</w:t>
      </w:r>
    </w:p>
    <w:p>
      <w:pPr>
        <w:pStyle w:val="0"/>
        <w:spacing w:before="240" w:lineRule="auto"/>
        <w:ind w:firstLine="540"/>
        <w:jc w:val="both"/>
      </w:pPr>
      <w:r>
        <w:rPr>
          <w:sz w:val="24"/>
        </w:rPr>
        <w:t xml:space="preserve">AudZakl_&lt;ИНН&gt;_&lt;X&gt;_&lt;ГОД&gt;_&lt;Y&gt;,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страховщика;</w:t>
      </w:r>
    </w:p>
    <w:p>
      <w:pPr>
        <w:pStyle w:val="0"/>
        <w:spacing w:before="240" w:lineRule="auto"/>
        <w:ind w:firstLine="540"/>
        <w:jc w:val="both"/>
      </w:pPr>
      <w:r>
        <w:rPr>
          <w:sz w:val="24"/>
        </w:rPr>
        <w:t xml:space="preserve">&lt;X&gt; - код, присваиваемый виду отчетности, подлежащей аудиторской проверке:</w:t>
      </w:r>
    </w:p>
    <w:p>
      <w:pPr>
        <w:pStyle w:val="0"/>
        <w:spacing w:before="240" w:lineRule="auto"/>
        <w:ind w:firstLine="540"/>
        <w:jc w:val="both"/>
      </w:pPr>
      <w:r>
        <w:rPr>
          <w:sz w:val="24"/>
        </w:rPr>
        <w:t xml:space="preserve">bfo - бухгалтерская (финансовая) отчетность, составленная в соответствии с нормативными актами Банка России;</w:t>
      </w:r>
    </w:p>
    <w:p>
      <w:pPr>
        <w:pStyle w:val="0"/>
        <w:spacing w:before="240" w:lineRule="auto"/>
        <w:ind w:firstLine="540"/>
        <w:jc w:val="both"/>
      </w:pPr>
      <w:r>
        <w:rPr>
          <w:sz w:val="24"/>
        </w:rPr>
        <w:t xml:space="preserve">kfo - консолидированная финансовая отчетность, составленная в соответствии с Международными стандартами финансовой отчетности &lt;2&gt; (далее - МСФО);</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Введены в действие на территории Российской Федерации в соответствии с </w:t>
      </w:r>
      <w:hyperlink w:history="0" r:id="rId858" w:tooltip="Постановление Правительства РФ от 25.02.2011 N 107 (ред. от 21.06.2022) &quot;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quot; {КонсультантПлюс}">
        <w:r>
          <w:rPr>
            <w:sz w:val="24"/>
            <w:color w:val="0000ff"/>
          </w:rPr>
          <w:t xml:space="preserve">постановлением</w:t>
        </w:r>
      </w:hyperlink>
      <w:r>
        <w:rPr>
          <w:sz w:val="24"/>
        </w:rPr>
        <w:t xml:space="preserve"> Правительства Российской Федерации от 25 февраля 2011 года N 107 "Об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w:t>
      </w:r>
    </w:p>
    <w:p>
      <w:pPr>
        <w:pStyle w:val="0"/>
        <w:jc w:val="both"/>
      </w:pPr>
      <w:r>
        <w:rPr>
          <w:sz w:val="24"/>
        </w:rPr>
      </w:r>
    </w:p>
    <w:p>
      <w:pPr>
        <w:pStyle w:val="0"/>
        <w:ind w:firstLine="540"/>
        <w:jc w:val="both"/>
      </w:pPr>
      <w:r>
        <w:rPr>
          <w:sz w:val="24"/>
        </w:rPr>
        <w:t xml:space="preserve">fo - финансовая отчетность, составленная в соответствии с МСФО;</w:t>
      </w:r>
    </w:p>
    <w:p>
      <w:pPr>
        <w:pStyle w:val="0"/>
        <w:spacing w:before="240" w:lineRule="auto"/>
        <w:ind w:firstLine="540"/>
        <w:jc w:val="both"/>
      </w:pPr>
      <w:r>
        <w:rPr>
          <w:sz w:val="24"/>
        </w:rPr>
        <w:t xml:space="preserve">ed - бухгалтерская (финансовая) отчетность, составленная в соответствии с нормативными актами Банка России и МСФО;</w:t>
      </w:r>
    </w:p>
    <w:p>
      <w:pPr>
        <w:pStyle w:val="0"/>
        <w:spacing w:before="240" w:lineRule="auto"/>
        <w:ind w:firstLine="540"/>
        <w:jc w:val="both"/>
      </w:pPr>
      <w:r>
        <w:rPr>
          <w:sz w:val="24"/>
        </w:rPr>
        <w:t xml:space="preserve">&lt;ГОД&gt; - год, за который (за период которого) составлена отчетность, в отношении которой аудиторской организацией составлено аудиторское заключение (в виде "гггг");</w:t>
      </w:r>
    </w:p>
    <w:p>
      <w:pPr>
        <w:pStyle w:val="0"/>
        <w:spacing w:before="240" w:lineRule="auto"/>
        <w:ind w:firstLine="540"/>
        <w:jc w:val="both"/>
      </w:pPr>
      <w:r>
        <w:rPr>
          <w:sz w:val="24"/>
        </w:rPr>
        <w:t xml:space="preserve">&lt;Y&gt; - код, присваиваемый периоду, за который составлена отчетность, в отношении которой аудиторской организацией составлено аудиторское заключение:</w:t>
      </w:r>
    </w:p>
    <w:p>
      <w:pPr>
        <w:pStyle w:val="0"/>
        <w:spacing w:before="240" w:lineRule="auto"/>
        <w:ind w:firstLine="540"/>
        <w:jc w:val="both"/>
      </w:pPr>
      <w:r>
        <w:rPr>
          <w:sz w:val="24"/>
        </w:rPr>
        <w:t xml:space="preserve">12 - год;</w:t>
      </w:r>
    </w:p>
    <w:p>
      <w:pPr>
        <w:pStyle w:val="0"/>
        <w:spacing w:before="240" w:lineRule="auto"/>
        <w:ind w:firstLine="540"/>
        <w:jc w:val="both"/>
      </w:pPr>
      <w:r>
        <w:rPr>
          <w:sz w:val="24"/>
        </w:rPr>
        <w:t xml:space="preserve">9 - 9 месяцев;</w:t>
      </w:r>
    </w:p>
    <w:p>
      <w:pPr>
        <w:pStyle w:val="0"/>
        <w:spacing w:before="240" w:lineRule="auto"/>
        <w:ind w:firstLine="540"/>
        <w:jc w:val="both"/>
      </w:pPr>
      <w:r>
        <w:rPr>
          <w:sz w:val="24"/>
        </w:rPr>
        <w:t xml:space="preserve">6 - первое полугодие;</w:t>
      </w:r>
    </w:p>
    <w:p>
      <w:pPr>
        <w:pStyle w:val="0"/>
        <w:spacing w:before="240" w:lineRule="auto"/>
        <w:ind w:firstLine="540"/>
        <w:jc w:val="both"/>
      </w:pPr>
      <w:r>
        <w:rPr>
          <w:sz w:val="24"/>
        </w:rPr>
        <w:t xml:space="preserve">3 - I квартал;</w:t>
      </w:r>
    </w:p>
    <w:p>
      <w:pPr>
        <w:pStyle w:val="0"/>
        <w:spacing w:before="240" w:lineRule="auto"/>
        <w:ind w:firstLine="540"/>
        <w:jc w:val="both"/>
      </w:pPr>
      <w:r>
        <w:rPr>
          <w:sz w:val="24"/>
        </w:rPr>
        <w:t xml:space="preserve">i - иной период.</w:t>
      </w:r>
    </w:p>
    <w:bookmarkStart w:id="59413" w:name="P59413"/>
    <w:bookmarkEnd w:id="59413"/>
    <w:p>
      <w:pPr>
        <w:pStyle w:val="0"/>
        <w:spacing w:before="240" w:lineRule="auto"/>
        <w:ind w:firstLine="540"/>
        <w:jc w:val="both"/>
      </w:pPr>
      <w:r>
        <w:rPr>
          <w:sz w:val="24"/>
        </w:rPr>
        <w:t xml:space="preserve">4.9. Файл, содержащий пояснения о составлении отчетности страховщика страховщиком, являющимся правопреемником страховщика, прекратившего осуществление своей деятельности в результате реорганизации (далее соответственно - реорганизованный страховщик, правопреемник), в отношении реорганизованного страховщика, должен иметь следующее наименование до расширения:</w:t>
      </w:r>
    </w:p>
    <w:p>
      <w:pPr>
        <w:pStyle w:val="0"/>
        <w:spacing w:before="240" w:lineRule="auto"/>
        <w:ind w:firstLine="540"/>
        <w:jc w:val="both"/>
      </w:pPr>
      <w:r>
        <w:rPr>
          <w:sz w:val="24"/>
        </w:rPr>
        <w:t xml:space="preserve">&lt;ИНН&gt;_REORG_&lt;ДАТА&gt;,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реорганизованного страховщика;</w:t>
      </w:r>
    </w:p>
    <w:p>
      <w:pPr>
        <w:pStyle w:val="0"/>
        <w:spacing w:before="240" w:lineRule="auto"/>
        <w:ind w:firstLine="540"/>
        <w:jc w:val="both"/>
      </w:pPr>
      <w:r>
        <w:rPr>
          <w:sz w:val="24"/>
        </w:rPr>
        <w:t xml:space="preserve">&lt;ДАТА&gt; - дата, по состоянию на которую составлена отчетность страховщика в отношении реорганизованного страховщика (в виде "ггггммдд").</w:t>
      </w:r>
    </w:p>
    <w:bookmarkStart w:id="59418" w:name="P59418"/>
    <w:bookmarkEnd w:id="59418"/>
    <w:p>
      <w:pPr>
        <w:pStyle w:val="0"/>
        <w:spacing w:before="240" w:lineRule="auto"/>
        <w:ind w:firstLine="540"/>
        <w:jc w:val="both"/>
      </w:pPr>
      <w:r>
        <w:rPr>
          <w:sz w:val="24"/>
        </w:rPr>
        <w:t xml:space="preserve">5. Отчетность страховщика в виде предусмотренных в ней показателей представляется страховщиком в Банк России по состоянию на день (включительно) и (или) за период ее составления, указанные в </w:t>
      </w:r>
      <w:hyperlink w:history="0" w:anchor="P67" w:tooltip="ФОРМЫ ОТЧЕТНОСТИ">
        <w:r>
          <w:rPr>
            <w:sz w:val="24"/>
            <w:color w:val="0000ff"/>
          </w:rPr>
          <w:t xml:space="preserve">приложениях 1</w:t>
        </w:r>
      </w:hyperlink>
      <w:r>
        <w:rPr>
          <w:sz w:val="24"/>
        </w:rPr>
        <w:t xml:space="preserve"> и </w:t>
      </w:r>
      <w:hyperlink w:history="0" w:anchor="P54348" w:tooltip="ФОРМА СТАТИСТИЧЕСКОЙ ОТЧЕТНОСТИ">
        <w:r>
          <w:rPr>
            <w:sz w:val="24"/>
            <w:color w:val="0000ff"/>
          </w:rPr>
          <w:t xml:space="preserve">2</w:t>
        </w:r>
      </w:hyperlink>
      <w:r>
        <w:rPr>
          <w:sz w:val="24"/>
        </w:rPr>
        <w:t xml:space="preserve"> к настоящему Указанию (далее - отчетный период), в соответствии со сроками, предусмотренными </w:t>
      </w:r>
      <w:hyperlink w:history="0" w:anchor="P59419" w:tooltip="5.1. Показатели раздела 1 отчетности по форме 0420150 &quot;Общие сведения о страховщике&quot; (далее - отчетность по форме 0420150) представляются страховщиком вместе с показателями отчетности по формам и в сроки, которые предусмотрены абзацами вторым и пятым подпункта 5.7, подпунктами 5.8 - 5.24, абзацем вторым подпункта 5.27, подпунктами 5.28, 5.30 настоящего пункта.">
        <w:r>
          <w:rPr>
            <w:sz w:val="24"/>
            <w:color w:val="0000ff"/>
          </w:rPr>
          <w:t xml:space="preserve">подпунктами 5.1</w:t>
        </w:r>
      </w:hyperlink>
      <w:r>
        <w:rPr>
          <w:sz w:val="24"/>
        </w:rPr>
        <w:t xml:space="preserve"> - </w:t>
      </w:r>
      <w:hyperlink w:history="0" w:anchor="P59476" w:tooltip="5.33. Показатели отчетности по форме 0420175 &quot;Сведения об оценке выполнения требований к обеспечению защиты информации страховой организацией&quot; представляются страховой организацией, указанной в абзаце пятом подпункта 1.4.3 пункта 1.4 Положения Банка России от 20 апреля 2021 года N 757-П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
        <w:r>
          <w:rPr>
            <w:sz w:val="24"/>
            <w:color w:val="0000ff"/>
          </w:rPr>
          <w:t xml:space="preserve">5.33</w:t>
        </w:r>
      </w:hyperlink>
      <w:r>
        <w:rPr>
          <w:sz w:val="24"/>
        </w:rPr>
        <w:t xml:space="preserve"> настоящего пункта.</w:t>
      </w:r>
    </w:p>
    <w:bookmarkStart w:id="59419" w:name="P59419"/>
    <w:bookmarkEnd w:id="59419"/>
    <w:p>
      <w:pPr>
        <w:pStyle w:val="0"/>
        <w:spacing w:before="240" w:lineRule="auto"/>
        <w:ind w:firstLine="540"/>
        <w:jc w:val="both"/>
      </w:pPr>
      <w:r>
        <w:rPr>
          <w:sz w:val="24"/>
        </w:rPr>
        <w:t xml:space="preserve">5.1. Показатели </w:t>
      </w:r>
      <w:hyperlink w:history="0" w:anchor="P90" w:tooltip="Раздел 1. Общие сведения">
        <w:r>
          <w:rPr>
            <w:sz w:val="24"/>
            <w:color w:val="0000ff"/>
          </w:rPr>
          <w:t xml:space="preserve">раздела 1</w:t>
        </w:r>
      </w:hyperlink>
      <w:r>
        <w:rPr>
          <w:sz w:val="24"/>
        </w:rPr>
        <w:t xml:space="preserve"> отчетности по форме 0420150 "Общие сведения о страховщике" (далее - отчетность по форме 0420150) представляются страховщиком вместе с показателями отчетности по формам и в сроки, которые предусмотрены </w:t>
      </w:r>
      <w:hyperlink w:history="0" w:anchor="P59426" w:tooltip="ежегодно - в течение 35 рабочих дней после дня окончания отчетного периода;">
        <w:r>
          <w:rPr>
            <w:sz w:val="24"/>
            <w:color w:val="0000ff"/>
          </w:rPr>
          <w:t xml:space="preserve">абзацами вторым</w:t>
        </w:r>
      </w:hyperlink>
      <w:r>
        <w:rPr>
          <w:sz w:val="24"/>
        </w:rPr>
        <w:t xml:space="preserve"> и </w:t>
      </w:r>
      <w:hyperlink w:history="0" w:anchor="P59429" w:tooltip="Показатели отчетности по форме 0420151 представляются иностранной страховой организацией за I, II и III кварталы в течение 10 рабочих дней после дня окончания отчетного периода, за IV квартал указанные показатели представляются дважды - в течение 10 рабочих дней после дня окончания отчетного периода и 35 рабочих дней после дня окончания отчетного периода.">
        <w:r>
          <w:rPr>
            <w:sz w:val="24"/>
            <w:color w:val="0000ff"/>
          </w:rPr>
          <w:t xml:space="preserve">пятым подпункта 5.7</w:t>
        </w:r>
      </w:hyperlink>
      <w:r>
        <w:rPr>
          <w:sz w:val="24"/>
        </w:rPr>
        <w:t xml:space="preserve">, </w:t>
      </w:r>
      <w:hyperlink w:history="0" w:anchor="P59430" w:tooltip="5.8. Показатели раздела 1 отчетности по форме 0420152 &quot;Отчет об акционерах (участниках) и сведения об аффилированных лицах страховой организации&quot; (далее - отчетность по форме 0420152) представляются страховой организацией ежегодно в течение 10 рабочих дней после дня окончания отчетного периода.">
        <w:r>
          <w:rPr>
            <w:sz w:val="24"/>
            <w:color w:val="0000ff"/>
          </w:rPr>
          <w:t xml:space="preserve">подпунктами 5.8</w:t>
        </w:r>
      </w:hyperlink>
      <w:r>
        <w:rPr>
          <w:sz w:val="24"/>
        </w:rPr>
        <w:t xml:space="preserve"> - </w:t>
      </w:r>
      <w:hyperlink w:history="0" w:anchor="P59452" w:tooltip="5.24. Показатели отчетности по форме 0420165 &quot;Отчет о финансовых результатах страховщика (по символам доходов и расходов)&quot; (далее - отчетность по форме 0420165) представляются страховщиком (за исключением страховой медицинской организации, осуществляющей исключительно обязательное медицинское страхование, иностранной страховой организации и страховой организации, соответствующей критериям, предусмотренным абзацами вторым - четвертым пункта 6 настоящего приложения) ежемесячно в течение 10 рабочих дней пос...">
        <w:r>
          <w:rPr>
            <w:sz w:val="24"/>
            <w:color w:val="0000ff"/>
          </w:rPr>
          <w:t xml:space="preserve">5.24</w:t>
        </w:r>
      </w:hyperlink>
      <w:r>
        <w:rPr>
          <w:sz w:val="24"/>
        </w:rPr>
        <w:t xml:space="preserve">, </w:t>
      </w:r>
      <w:hyperlink w:history="0" w:anchor="P59468" w:tooltip="за год - в течение 10 рабочих дней после дня окончания календарного года;">
        <w:r>
          <w:rPr>
            <w:sz w:val="24"/>
            <w:color w:val="0000ff"/>
          </w:rPr>
          <w:t xml:space="preserve">абзацем вторым подпункта 5.27</w:t>
        </w:r>
      </w:hyperlink>
      <w:r>
        <w:rPr>
          <w:sz w:val="24"/>
        </w:rPr>
        <w:t xml:space="preserve">, </w:t>
      </w:r>
      <w:hyperlink w:history="0" w:anchor="P59470" w:tooltip="5.28. Показатели отчетности по форме 0420169 &quot;Сведения для расчета размера (квоты) участия иностранного капитала в совокупном уставном капитале страховых организаций, имеющих лицензию на осуществление страховой деятельности&quot; представляются страховой организацией, имеющей долю иностранных инвесторов в своем уставном капитале, за 9 месяцев и год в течение 10 рабочих дней после дня окончания отчетного периода.">
        <w:r>
          <w:rPr>
            <w:sz w:val="24"/>
            <w:color w:val="0000ff"/>
          </w:rPr>
          <w:t xml:space="preserve">подпунктами 5.28</w:t>
        </w:r>
      </w:hyperlink>
      <w:r>
        <w:rPr>
          <w:sz w:val="24"/>
        </w:rPr>
        <w:t xml:space="preserve">, </w:t>
      </w:r>
      <w:hyperlink w:history="0" w:anchor="P59472" w:tooltip="5.30. Показатели строк 1 - 25 отчетности по форме 0420172 &quot;Расшифровка отдельных показателей деятельности страховщика&quot; (далее - отчетность по форме 0420172) представляются страховщиком (за исключением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
        <w:r>
          <w:rPr>
            <w:sz w:val="24"/>
            <w:color w:val="0000ff"/>
          </w:rPr>
          <w:t xml:space="preserve">5.30</w:t>
        </w:r>
      </w:hyperlink>
      <w:r>
        <w:rPr>
          <w:sz w:val="24"/>
        </w:rPr>
        <w:t xml:space="preserve"> настоящего пункта.</w:t>
      </w:r>
    </w:p>
    <w:p>
      <w:pPr>
        <w:pStyle w:val="0"/>
        <w:spacing w:before="240" w:lineRule="auto"/>
        <w:ind w:firstLine="540"/>
        <w:jc w:val="both"/>
      </w:pPr>
      <w:r>
        <w:rPr>
          <w:sz w:val="24"/>
        </w:rPr>
        <w:t xml:space="preserve">5.2. Показатели </w:t>
      </w:r>
      <w:hyperlink w:history="0" w:anchor="P247" w:tooltip="Раздел 2. Сведения о численности работников страховщика">
        <w:r>
          <w:rPr>
            <w:sz w:val="24"/>
            <w:color w:val="0000ff"/>
          </w:rPr>
          <w:t xml:space="preserve">разделов 2</w:t>
        </w:r>
      </w:hyperlink>
      <w:r>
        <w:rPr>
          <w:sz w:val="24"/>
        </w:rPr>
        <w:t xml:space="preserve"> и </w:t>
      </w:r>
      <w:hyperlink w:history="0" w:anchor="P252" w:tooltip="Раздел 3. Сведения о членстве в саморегулируемой организации в сфере финансового рынка и объединениях субъектов страхового дела">
        <w:r>
          <w:rPr>
            <w:sz w:val="24"/>
            <w:color w:val="0000ff"/>
          </w:rPr>
          <w:t xml:space="preserve">3</w:t>
        </w:r>
      </w:hyperlink>
      <w:r>
        <w:rPr>
          <w:sz w:val="24"/>
        </w:rPr>
        <w:t xml:space="preserve"> отчетности по форме 0420150 представляются страховщиком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w:t>
      </w:r>
    </w:p>
    <w:p>
      <w:pPr>
        <w:pStyle w:val="0"/>
        <w:spacing w:before="240" w:lineRule="auto"/>
        <w:ind w:firstLine="540"/>
        <w:jc w:val="both"/>
      </w:pPr>
      <w:r>
        <w:rPr>
          <w:sz w:val="24"/>
        </w:rPr>
        <w:t xml:space="preserve">5.3. Показатели </w:t>
      </w:r>
      <w:hyperlink w:history="0" w:anchor="P261" w:tooltip="Раздел 4. Перечень групп видов страхования и портфелей договоров">
        <w:r>
          <w:rPr>
            <w:sz w:val="24"/>
            <w:color w:val="0000ff"/>
          </w:rPr>
          <w:t xml:space="preserve">раздела 4</w:t>
        </w:r>
      </w:hyperlink>
      <w:r>
        <w:rPr>
          <w:sz w:val="24"/>
        </w:rPr>
        <w:t xml:space="preserve"> отчетности по форме 0420150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вместе с показателями </w:t>
      </w:r>
      <w:hyperlink w:history="0" w:anchor="P32952" w:tooltip="Раздел 1.">
        <w:r>
          <w:rPr>
            <w:sz w:val="24"/>
            <w:color w:val="0000ff"/>
          </w:rPr>
          <w:t xml:space="preserve">разделов 1</w:t>
        </w:r>
      </w:hyperlink>
      <w:r>
        <w:rPr>
          <w:sz w:val="24"/>
        </w:rPr>
        <w:t xml:space="preserve"> и </w:t>
      </w:r>
      <w:hyperlink w:history="0" w:anchor="P33222" w:tooltip="Раздел 2.">
        <w:r>
          <w:rPr>
            <w:sz w:val="24"/>
            <w:color w:val="0000ff"/>
          </w:rPr>
          <w:t xml:space="preserve">2</w:t>
        </w:r>
      </w:hyperlink>
      <w:r>
        <w:rPr>
          <w:sz w:val="24"/>
        </w:rPr>
        <w:t xml:space="preserve"> отчетности по форме 0420158 "Отчет о структуре финансового результата страховщика" (далее - отчетность по форме 0420158) и в сроки, которые предусмотрены </w:t>
      </w:r>
      <w:hyperlink w:history="0" w:anchor="P59441" w:tooltip="5.15. Показатели раздела 1 отчетности по форме 042015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за I квартал, первое полугодие, 9 месяцев в течение 10 рабочих дней после дня окончания отчетного периода, за год указанные показатели представляются дважды - в течение 10 рабочих дней после дня окончания отчетного периода и 35 рабочих дней после дня...">
        <w:r>
          <w:rPr>
            <w:sz w:val="24"/>
            <w:color w:val="0000ff"/>
          </w:rPr>
          <w:t xml:space="preserve">подпунктами 5.15</w:t>
        </w:r>
      </w:hyperlink>
      <w:r>
        <w:rPr>
          <w:sz w:val="24"/>
        </w:rPr>
        <w:t xml:space="preserve"> и </w:t>
      </w:r>
      <w:hyperlink w:history="0" w:anchor="P59442" w:tooltip="5.16. Показатели раздела 2 отчетности по форме 042015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ежегодно в течение 35 рабочих дней после дня окончания отчетного периода.">
        <w:r>
          <w:rPr>
            <w:sz w:val="24"/>
            <w:color w:val="0000ff"/>
          </w:rPr>
          <w:t xml:space="preserve">5.16</w:t>
        </w:r>
      </w:hyperlink>
      <w:r>
        <w:rPr>
          <w:sz w:val="24"/>
        </w:rPr>
        <w:t xml:space="preserve"> настоящего пункта.</w:t>
      </w:r>
    </w:p>
    <w:p>
      <w:pPr>
        <w:pStyle w:val="0"/>
        <w:spacing w:before="240" w:lineRule="auto"/>
        <w:ind w:firstLine="540"/>
        <w:jc w:val="both"/>
      </w:pPr>
      <w:r>
        <w:rPr>
          <w:sz w:val="24"/>
        </w:rPr>
        <w:t xml:space="preserve">5.4. Показатели </w:t>
      </w:r>
      <w:hyperlink w:history="0" w:anchor="P286" w:tooltip="Раздел 5. Сведения из аудиторского заключения о годовой бухгалтерской (финансовой) отчетности страховщика">
        <w:r>
          <w:rPr>
            <w:sz w:val="24"/>
            <w:color w:val="0000ff"/>
          </w:rPr>
          <w:t xml:space="preserve">раздела 5</w:t>
        </w:r>
      </w:hyperlink>
      <w:r>
        <w:rPr>
          <w:sz w:val="24"/>
        </w:rPr>
        <w:t xml:space="preserve"> отчетности по форме 0420150 представляются страховщиком (за исключением иностранной страховой организации) в течение 35 рабочих дней после дня окончания календарного года.</w:t>
      </w:r>
    </w:p>
    <w:p>
      <w:pPr>
        <w:pStyle w:val="0"/>
        <w:spacing w:before="240" w:lineRule="auto"/>
        <w:ind w:firstLine="540"/>
        <w:jc w:val="both"/>
      </w:pPr>
      <w:r>
        <w:rPr>
          <w:sz w:val="24"/>
        </w:rPr>
        <w:t xml:space="preserve">5.5. Показатели </w:t>
      </w:r>
      <w:hyperlink w:history="0" w:anchor="P359" w:tooltip="Раздел 6. Сведения об опубликовании годовой бухгалтерской (финансовой) отчетности страховщика">
        <w:r>
          <w:rPr>
            <w:sz w:val="24"/>
            <w:color w:val="0000ff"/>
          </w:rPr>
          <w:t xml:space="preserve">раздела 6</w:t>
        </w:r>
      </w:hyperlink>
      <w:r>
        <w:rPr>
          <w:sz w:val="24"/>
        </w:rPr>
        <w:t xml:space="preserve"> отчетности по форме 0420150 представляются страховщиком (за исключением иностранной страховой организации) в целях выполнения требования </w:t>
      </w:r>
      <w:hyperlink w:history="0" r:id="rId85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пункта 6 статьи 29</w:t>
        </w:r>
      </w:hyperlink>
      <w:r>
        <w:rPr>
          <w:sz w:val="24"/>
        </w:rPr>
        <w:t xml:space="preserve"> Закона Российской Федерации N 4015-I в течение 10 рабочих дней после дня окончания первого полугодия.</w:t>
      </w:r>
    </w:p>
    <w:p>
      <w:pPr>
        <w:pStyle w:val="0"/>
        <w:spacing w:before="240" w:lineRule="auto"/>
        <w:ind w:firstLine="540"/>
        <w:jc w:val="both"/>
      </w:pPr>
      <w:r>
        <w:rPr>
          <w:sz w:val="24"/>
        </w:rPr>
        <w:t xml:space="preserve">5.6. Показатели </w:t>
      </w:r>
      <w:hyperlink w:history="0" w:anchor="P372" w:tooltip="Раздел 7. Реестр контрагентов страховщика">
        <w:r>
          <w:rPr>
            <w:sz w:val="24"/>
            <w:color w:val="0000ff"/>
          </w:rPr>
          <w:t xml:space="preserve">раздела 7</w:t>
        </w:r>
      </w:hyperlink>
      <w:r>
        <w:rPr>
          <w:sz w:val="24"/>
        </w:rPr>
        <w:t xml:space="preserve"> отчетности по форме 0420150 представляются страховщиком вместе с показателями отчетности по формам и в сроки, которые предусмотрены </w:t>
      </w:r>
      <w:hyperlink w:history="0" w:anchor="P59430" w:tooltip="5.8. Показатели раздела 1 отчетности по форме 0420152 &quot;Отчет об акционерах (участниках) и сведения об аффилированных лицах страховой организации&quot; (далее - отчетность по форме 0420152) представляются страховой организацией ежегодно в течение 10 рабочих дней после дня окончания отчетного периода.">
        <w:r>
          <w:rPr>
            <w:sz w:val="24"/>
            <w:color w:val="0000ff"/>
          </w:rPr>
          <w:t xml:space="preserve">подпунктами 5.8</w:t>
        </w:r>
      </w:hyperlink>
      <w:r>
        <w:rPr>
          <w:sz w:val="24"/>
        </w:rPr>
        <w:t xml:space="preserve"> - </w:t>
      </w:r>
      <w:hyperlink w:history="0" w:anchor="P59436" w:tooltip="5.11. Показатели отчетности по форме 0420154 &quot;Отчет об активах и обязательствах страховщика&quot; (далее - отчетность по форме 0420154) представляются страховщиком (за исключением иностранной страховой организации) ежемесячно в течение 10 рабочих дней после дня окончания отчетного периода (кроме декабря), за декабрь указанные показатели представляются дважды - в течение 10 рабочих дней после дня окончания отчетного периода (кроме показателей раздела 11 отчетности по форме 0420154) и в течение 35 рабочих дней ...">
        <w:r>
          <w:rPr>
            <w:sz w:val="24"/>
            <w:color w:val="0000ff"/>
          </w:rPr>
          <w:t xml:space="preserve">5.11</w:t>
        </w:r>
      </w:hyperlink>
      <w:r>
        <w:rPr>
          <w:sz w:val="24"/>
        </w:rPr>
        <w:t xml:space="preserve">, </w:t>
      </w:r>
      <w:hyperlink w:history="0" w:anchor="P59440" w:tooltip="5.14. Показатели отчетности по форме 0420157 &quot;Отчет об операциях перестрахования страховщика&quot;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
        <w:r>
          <w:rPr>
            <w:sz w:val="24"/>
            <w:color w:val="0000ff"/>
          </w:rPr>
          <w:t xml:space="preserve">5.14</w:t>
        </w:r>
      </w:hyperlink>
      <w:r>
        <w:rPr>
          <w:sz w:val="24"/>
        </w:rPr>
        <w:t xml:space="preserve">, </w:t>
      </w:r>
      <w:hyperlink w:history="0" w:anchor="P59444" w:tooltip="5.18. Показатели отчетности по форме 0420159 &quot;Сведения о сделках страховщика&quot;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
        <w:r>
          <w:rPr>
            <w:sz w:val="24"/>
            <w:color w:val="0000ff"/>
          </w:rPr>
          <w:t xml:space="preserve">5.18</w:t>
        </w:r>
      </w:hyperlink>
      <w:r>
        <w:rPr>
          <w:sz w:val="24"/>
        </w:rPr>
        <w:t xml:space="preserve"> - </w:t>
      </w:r>
      <w:hyperlink w:history="0" w:anchor="P59446" w:tooltip="5.20. Показатели отчетности по форме 0420161 &quot;Отчет о выданных страховщиком поручительствах, независимых гарантиях и других способах обеспечения исполнения обязательств&quot; представляются страховщиком (за исключением иностранной страховой организации) за I, II и III кварталы в течение 10 рабочих дней после дня окончания отчетного периода, за IV квартал - в течение 35 рабочих дней после дня окончания отчетного периода.">
        <w:r>
          <w:rPr>
            <w:sz w:val="24"/>
            <w:color w:val="0000ff"/>
          </w:rPr>
          <w:t xml:space="preserve">5.20</w:t>
        </w:r>
      </w:hyperlink>
      <w:r>
        <w:rPr>
          <w:sz w:val="24"/>
        </w:rPr>
        <w:t xml:space="preserve">, </w:t>
      </w:r>
      <w:hyperlink w:history="0" w:anchor="P59448" w:tooltip="5.22. Показатели отчетности по форме 0420163 &quot;Отчет об операциях со связанными сторонами страховщика&quot; представляются страховщиком (за исключением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
        <w:r>
          <w:rPr>
            <w:sz w:val="24"/>
            <w:color w:val="0000ff"/>
          </w:rPr>
          <w:t xml:space="preserve">5.22</w:t>
        </w:r>
      </w:hyperlink>
      <w:r>
        <w:rPr>
          <w:sz w:val="24"/>
        </w:rPr>
        <w:t xml:space="preserve">, </w:t>
      </w:r>
      <w:hyperlink w:history="0" w:anchor="P59470" w:tooltip="5.28. Показатели отчетности по форме 0420169 &quot;Сведения для расчета размера (квоты) участия иностранного капитала в совокупном уставном капитале страховых организаций, имеющих лицензию на осуществление страховой деятельности&quot; представляются страховой организацией, имеющей долю иностранных инвесторов в своем уставном капитале, за 9 месяцев и год в течение 10 рабочих дней после дня окончания отчетного периода.">
        <w:r>
          <w:rPr>
            <w:sz w:val="24"/>
            <w:color w:val="0000ff"/>
          </w:rPr>
          <w:t xml:space="preserve">5.28</w:t>
        </w:r>
      </w:hyperlink>
      <w:r>
        <w:rPr>
          <w:sz w:val="24"/>
        </w:rPr>
        <w:t xml:space="preserve"> настоящего пункта.</w:t>
      </w:r>
    </w:p>
    <w:p>
      <w:pPr>
        <w:pStyle w:val="0"/>
        <w:spacing w:before="240" w:lineRule="auto"/>
        <w:ind w:firstLine="540"/>
        <w:jc w:val="both"/>
      </w:pPr>
      <w:r>
        <w:rPr>
          <w:sz w:val="24"/>
        </w:rPr>
        <w:t xml:space="preserve">5.7. Показатели отчетности по </w:t>
      </w:r>
      <w:hyperlink w:history="0" w:anchor="P1001" w:tooltip="Отчетность по форме 0420151">
        <w:r>
          <w:rPr>
            <w:sz w:val="24"/>
            <w:color w:val="0000ff"/>
          </w:rPr>
          <w:t xml:space="preserve">форме 0420151</w:t>
        </w:r>
      </w:hyperlink>
      <w:r>
        <w:rPr>
          <w:sz w:val="24"/>
        </w:rPr>
        <w:t xml:space="preserve"> представляются страховщиком (за исключением иностранной страховой организации):</w:t>
      </w:r>
    </w:p>
    <w:bookmarkStart w:id="59426" w:name="P59426"/>
    <w:bookmarkEnd w:id="59426"/>
    <w:p>
      <w:pPr>
        <w:pStyle w:val="0"/>
        <w:spacing w:before="240" w:lineRule="auto"/>
        <w:ind w:firstLine="540"/>
        <w:jc w:val="both"/>
      </w:pPr>
      <w:r>
        <w:rPr>
          <w:sz w:val="24"/>
        </w:rPr>
        <w:t xml:space="preserve">ежегодно - в течение 35 рабочих дней после дня окончания отчетного периода;</w:t>
      </w:r>
    </w:p>
    <w:p>
      <w:pPr>
        <w:pStyle w:val="0"/>
        <w:spacing w:before="240" w:lineRule="auto"/>
        <w:ind w:firstLine="540"/>
        <w:jc w:val="both"/>
      </w:pPr>
      <w:r>
        <w:rPr>
          <w:sz w:val="24"/>
        </w:rPr>
        <w:t xml:space="preserve">в случае изменения в течение календарного года сведений, содержащихся в отчетности по </w:t>
      </w:r>
      <w:hyperlink w:history="0" w:anchor="P1001" w:tooltip="Отчетность по форме 0420151">
        <w:r>
          <w:rPr>
            <w:sz w:val="24"/>
            <w:color w:val="0000ff"/>
          </w:rPr>
          <w:t xml:space="preserve">форме 0420151</w:t>
        </w:r>
      </w:hyperlink>
      <w:r>
        <w:rPr>
          <w:sz w:val="24"/>
        </w:rPr>
        <w:t xml:space="preserve">, в целях выполнения требования </w:t>
      </w:r>
      <w:hyperlink w:history="0" r:id="rId860"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подпункта 5 пункта 5 статьи 30</w:t>
        </w:r>
      </w:hyperlink>
      <w:r>
        <w:rPr>
          <w:sz w:val="24"/>
        </w:rPr>
        <w:t xml:space="preserve"> Закона Российской Федерации N 4015-I - в течение 3 рабочих дней со дня внесения указанных изменений в единый государственный реестр юридических лиц (далее - ЕГРЮЛ) или в течение 4 рабочих дней со дня изменения сведений, содержащихся в отчетности по </w:t>
      </w:r>
      <w:hyperlink w:history="0" w:anchor="P1001" w:tooltip="Отчетность по форме 0420151">
        <w:r>
          <w:rPr>
            <w:sz w:val="24"/>
            <w:color w:val="0000ff"/>
          </w:rPr>
          <w:t xml:space="preserve">форме 0420151</w:t>
        </w:r>
      </w:hyperlink>
      <w:r>
        <w:rPr>
          <w:sz w:val="24"/>
        </w:rPr>
        <w:t xml:space="preserve">, если внесение изменений в ЕГРЮЛ не требуется.</w:t>
      </w:r>
    </w:p>
    <w:p>
      <w:pPr>
        <w:pStyle w:val="0"/>
        <w:spacing w:before="240" w:lineRule="auto"/>
        <w:ind w:firstLine="540"/>
        <w:jc w:val="both"/>
      </w:pPr>
      <w:r>
        <w:rPr>
          <w:sz w:val="24"/>
        </w:rPr>
        <w:t xml:space="preserve">При представлении отчетности по </w:t>
      </w:r>
      <w:hyperlink w:history="0" w:anchor="P1001" w:tooltip="Отчетность по форме 0420151">
        <w:r>
          <w:rPr>
            <w:sz w:val="24"/>
            <w:color w:val="0000ff"/>
          </w:rPr>
          <w:t xml:space="preserve">форме 0420151</w:t>
        </w:r>
      </w:hyperlink>
      <w:r>
        <w:rPr>
          <w:sz w:val="24"/>
        </w:rPr>
        <w:t xml:space="preserve"> в случае изменения содержащихся в ней сведений о руководителе филиала, представительства (в случае его назначения) к отчетности по </w:t>
      </w:r>
      <w:hyperlink w:history="0" w:anchor="P1001" w:tooltip="Отчетность по форме 0420151">
        <w:r>
          <w:rPr>
            <w:sz w:val="24"/>
            <w:color w:val="0000ff"/>
          </w:rPr>
          <w:t xml:space="preserve">форме 0420151</w:t>
        </w:r>
      </w:hyperlink>
      <w:r>
        <w:rPr>
          <w:sz w:val="24"/>
        </w:rPr>
        <w:t xml:space="preserve"> должен прилагаться документ, подтверждающий полномочия руководителя филиала, представительства (далее - подтверждающий документ), в виде электронного образа (подтверждающий документ на бумажном носителе, преобразованный в электронную форму путем сканирования с сохранением всех реквизитов).</w:t>
      </w:r>
    </w:p>
    <w:bookmarkStart w:id="59429" w:name="P59429"/>
    <w:bookmarkEnd w:id="59429"/>
    <w:p>
      <w:pPr>
        <w:pStyle w:val="0"/>
        <w:spacing w:before="240" w:lineRule="auto"/>
        <w:ind w:firstLine="540"/>
        <w:jc w:val="both"/>
      </w:pPr>
      <w:r>
        <w:rPr>
          <w:sz w:val="24"/>
        </w:rPr>
        <w:t xml:space="preserve">Показатели отчетности по </w:t>
      </w:r>
      <w:hyperlink w:history="0" w:anchor="P1001" w:tooltip="Отчетность по форме 0420151">
        <w:r>
          <w:rPr>
            <w:sz w:val="24"/>
            <w:color w:val="0000ff"/>
          </w:rPr>
          <w:t xml:space="preserve">форме 0420151</w:t>
        </w:r>
      </w:hyperlink>
      <w:r>
        <w:rPr>
          <w:sz w:val="24"/>
        </w:rPr>
        <w:t xml:space="preserve"> представляются иностранной страховой организацией за I, II и III кварталы в течение 10 рабочих дней после дня окончания отчетного периода, за IV квартал указанные показатели представляются дважды - в течение 10 рабочих дней после дня окончания отчетного периода и 35 рабочих дней после дня окончания отчетного периода.</w:t>
      </w:r>
    </w:p>
    <w:bookmarkStart w:id="59430" w:name="P59430"/>
    <w:bookmarkEnd w:id="59430"/>
    <w:p>
      <w:pPr>
        <w:pStyle w:val="0"/>
        <w:spacing w:before="240" w:lineRule="auto"/>
        <w:ind w:firstLine="540"/>
        <w:jc w:val="both"/>
      </w:pPr>
      <w:r>
        <w:rPr>
          <w:sz w:val="24"/>
        </w:rPr>
        <w:t xml:space="preserve">5.8. Показатели </w:t>
      </w:r>
      <w:hyperlink w:history="0" w:anchor="P1493" w:tooltip="Раздел 1. Состав акционеров (участников)">
        <w:r>
          <w:rPr>
            <w:sz w:val="24"/>
            <w:color w:val="0000ff"/>
          </w:rPr>
          <w:t xml:space="preserve">раздела 1</w:t>
        </w:r>
      </w:hyperlink>
      <w:r>
        <w:rPr>
          <w:sz w:val="24"/>
        </w:rPr>
        <w:t xml:space="preserve"> отчетности по форме 0420152 "Отчет об акционерах (участниках) и сведения об аффилированных лицах страховой организации" (далее - отчетность по форме 0420152) представляются страховой организацией ежегодно в течение 10 рабочих дней после дня окончания отчетного периода.</w:t>
      </w:r>
    </w:p>
    <w:p>
      <w:pPr>
        <w:pStyle w:val="0"/>
        <w:spacing w:before="240" w:lineRule="auto"/>
        <w:ind w:firstLine="540"/>
        <w:jc w:val="both"/>
      </w:pPr>
      <w:r>
        <w:rPr>
          <w:sz w:val="24"/>
        </w:rPr>
        <w:t xml:space="preserve">5.9. Показатели </w:t>
      </w:r>
      <w:hyperlink w:history="0" w:anchor="P1555" w:tooltip="Раздел 2. Сведения об аффилированных лицах">
        <w:r>
          <w:rPr>
            <w:sz w:val="24"/>
            <w:color w:val="0000ff"/>
          </w:rPr>
          <w:t xml:space="preserve">раздела 2</w:t>
        </w:r>
      </w:hyperlink>
      <w:r>
        <w:rPr>
          <w:sz w:val="24"/>
        </w:rPr>
        <w:t xml:space="preserve"> отчетности по форме 0420152 представляются страховой организацией за I, II, III и IV кварталы в течение 10 рабочих дней после дня окончания отчетного периода.</w:t>
      </w:r>
    </w:p>
    <w:bookmarkStart w:id="59432" w:name="P59432"/>
    <w:bookmarkEnd w:id="59432"/>
    <w:p>
      <w:pPr>
        <w:pStyle w:val="0"/>
        <w:spacing w:before="240" w:lineRule="auto"/>
        <w:ind w:firstLine="540"/>
        <w:jc w:val="both"/>
      </w:pPr>
      <w:r>
        <w:rPr>
          <w:sz w:val="24"/>
        </w:rPr>
        <w:t xml:space="preserve">5.10. Показатели отчетности по </w:t>
      </w:r>
      <w:hyperlink w:history="0" w:anchor="P1888" w:tooltip="Отчетность по форме 0420153">
        <w:r>
          <w:rPr>
            <w:sz w:val="24"/>
            <w:color w:val="0000ff"/>
          </w:rPr>
          <w:t xml:space="preserve">форме 0420153</w:t>
        </w:r>
      </w:hyperlink>
      <w:r>
        <w:rPr>
          <w:sz w:val="24"/>
        </w:rPr>
        <w:t xml:space="preserve"> представляются иностранной страховой организацией за I квартал, первое полугодие, 9 месяцев в течение 10 рабочих дней после дня окончания отчетного периода (кроме показателей </w:t>
      </w:r>
      <w:hyperlink w:history="0" w:anchor="P2122" w:tooltip="Раздел 4.">
        <w:r>
          <w:rPr>
            <w:sz w:val="24"/>
            <w:color w:val="0000ff"/>
          </w:rPr>
          <w:t xml:space="preserve">разделов 4</w:t>
        </w:r>
      </w:hyperlink>
      <w:r>
        <w:rPr>
          <w:sz w:val="24"/>
        </w:rPr>
        <w:t xml:space="preserve"> и </w:t>
      </w:r>
      <w:hyperlink w:history="0" w:anchor="P2204" w:tooltip="Раздел 5.">
        <w:r>
          <w:rPr>
            <w:sz w:val="24"/>
            <w:color w:val="0000ff"/>
          </w:rPr>
          <w:t xml:space="preserve">5</w:t>
        </w:r>
      </w:hyperlink>
      <w:r>
        <w:rPr>
          <w:sz w:val="24"/>
        </w:rPr>
        <w:t xml:space="preserve"> отчетности по форме 0420153), за год указанные показатели представляются дважды - в течение 10 рабочих дней после дня окончания отчетного периода (кроме показателей </w:t>
      </w:r>
      <w:hyperlink w:history="0" w:anchor="P2122" w:tooltip="Раздел 4.">
        <w:r>
          <w:rPr>
            <w:sz w:val="24"/>
            <w:color w:val="0000ff"/>
          </w:rPr>
          <w:t xml:space="preserve">разделов 4</w:t>
        </w:r>
      </w:hyperlink>
      <w:r>
        <w:rPr>
          <w:sz w:val="24"/>
        </w:rPr>
        <w:t xml:space="preserve"> и </w:t>
      </w:r>
      <w:hyperlink w:history="0" w:anchor="P2204" w:tooltip="Раздел 5.">
        <w:r>
          <w:rPr>
            <w:sz w:val="24"/>
            <w:color w:val="0000ff"/>
          </w:rPr>
          <w:t xml:space="preserve">5</w:t>
        </w:r>
      </w:hyperlink>
      <w:r>
        <w:rPr>
          <w:sz w:val="24"/>
        </w:rPr>
        <w:t xml:space="preserve"> по форме 0420153) и в течение 35 рабочих дней после дня окончания отчетного периода.</w:t>
      </w:r>
    </w:p>
    <w:p>
      <w:pPr>
        <w:pStyle w:val="0"/>
        <w:spacing w:before="240" w:lineRule="auto"/>
        <w:ind w:firstLine="540"/>
        <w:jc w:val="both"/>
      </w:pPr>
      <w:r>
        <w:rPr>
          <w:sz w:val="24"/>
        </w:rPr>
        <w:t xml:space="preserve">Иностранная страховая организация вместе с отчетностью по </w:t>
      </w:r>
      <w:hyperlink w:history="0" w:anchor="P1888" w:tooltip="Отчетность по форме 0420153">
        <w:r>
          <w:rPr>
            <w:sz w:val="24"/>
            <w:color w:val="0000ff"/>
          </w:rPr>
          <w:t xml:space="preserve">форме 0420153</w:t>
        </w:r>
      </w:hyperlink>
      <w:r>
        <w:rPr>
          <w:sz w:val="24"/>
        </w:rPr>
        <w:t xml:space="preserve"> представляет в Банк России в соответствии с </w:t>
      </w:r>
      <w:hyperlink w:history="0" r:id="rId861"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 статьи 33.4</w:t>
        </w:r>
      </w:hyperlink>
      <w:r>
        <w:rPr>
          <w:sz w:val="24"/>
        </w:rPr>
        <w:t xml:space="preserve"> Закона Российской Федерации N 4015-I выписку по специальному банковскому счету (по каждому филиалу иностранной страховой организации).</w:t>
      </w:r>
    </w:p>
    <w:p>
      <w:pPr>
        <w:pStyle w:val="0"/>
        <w:spacing w:before="240" w:lineRule="auto"/>
        <w:ind w:firstLine="540"/>
        <w:jc w:val="both"/>
      </w:pPr>
      <w:r>
        <w:rPr>
          <w:sz w:val="24"/>
        </w:rPr>
        <w:t xml:space="preserve">Иностранная страховая организация вместе с отчетностью по </w:t>
      </w:r>
      <w:hyperlink w:history="0" w:anchor="P1888" w:tooltip="Отчетность по форме 0420153">
        <w:r>
          <w:rPr>
            <w:sz w:val="24"/>
            <w:color w:val="0000ff"/>
          </w:rPr>
          <w:t xml:space="preserve">форме 0420153</w:t>
        </w:r>
      </w:hyperlink>
      <w:r>
        <w:rPr>
          <w:sz w:val="24"/>
        </w:rPr>
        <w:t xml:space="preserve"> за год, представляемой ею в течение 35 рабочих дней после дня окончания отчетного периода, представляет в Банк России в соответствии с </w:t>
      </w:r>
      <w:hyperlink w:history="0" r:id="rId86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3 статьи 33.4</w:t>
        </w:r>
      </w:hyperlink>
      <w:r>
        <w:rPr>
          <w:sz w:val="24"/>
        </w:rPr>
        <w:t xml:space="preserve"> Закона Российской Федерации N 4015-I актуарное заключение с приложением документа по результатам аудита (по каждому филиалу иностранной страховой организации).</w:t>
      </w:r>
    </w:p>
    <w:p>
      <w:pPr>
        <w:pStyle w:val="0"/>
        <w:spacing w:before="240" w:lineRule="auto"/>
        <w:ind w:firstLine="540"/>
        <w:jc w:val="both"/>
      </w:pPr>
      <w:r>
        <w:rPr>
          <w:sz w:val="24"/>
        </w:rPr>
        <w:t xml:space="preserve">Выписка по специальному банковскому счету, актуарное заключение и документ по результатам аудита представляются в виде электронных образов (документы на бумажном носителе, преобразованные в электронную форму путем сканирования с сохранением всех реквизитов).</w:t>
      </w:r>
    </w:p>
    <w:bookmarkStart w:id="59436" w:name="P59436"/>
    <w:bookmarkEnd w:id="59436"/>
    <w:p>
      <w:pPr>
        <w:pStyle w:val="0"/>
        <w:spacing w:before="240" w:lineRule="auto"/>
        <w:ind w:firstLine="540"/>
        <w:jc w:val="both"/>
      </w:pPr>
      <w:r>
        <w:rPr>
          <w:sz w:val="24"/>
        </w:rPr>
        <w:t xml:space="preserve">5.11. Показатели отчетности по </w:t>
      </w:r>
      <w:hyperlink w:history="0" w:anchor="P2335" w:tooltip="Отчетность по форме 0420154">
        <w:r>
          <w:rPr>
            <w:sz w:val="24"/>
            <w:color w:val="0000ff"/>
          </w:rPr>
          <w:t xml:space="preserve">форме 0420154</w:t>
        </w:r>
      </w:hyperlink>
      <w:r>
        <w:rPr>
          <w:sz w:val="24"/>
        </w:rPr>
        <w:t xml:space="preserve"> "Отчет об активах и обязательствах страховщика" (далее - отчетность по форме 0420154) представляются страховщиком (за исключением иностранной страховой организации) ежемесячно в течение 10 рабочих дней после дня окончания отчетного периода (кроме декабря), за декабрь указанные показатели представляются дважды - в течение 10 рабочих дней после дня окончания отчетного периода (кроме показателей </w:t>
      </w:r>
      <w:hyperlink w:history="0" w:anchor="P27770" w:tooltip="Раздел 11.">
        <w:r>
          <w:rPr>
            <w:sz w:val="24"/>
            <w:color w:val="0000ff"/>
          </w:rPr>
          <w:t xml:space="preserve">раздела 11</w:t>
        </w:r>
      </w:hyperlink>
      <w:r>
        <w:rPr>
          <w:sz w:val="24"/>
        </w:rPr>
        <w:t xml:space="preserve"> отчетности по форме 0420154) и в течение 35 рабочих дней после дня окончания отчетного периода.</w:t>
      </w:r>
    </w:p>
    <w:p>
      <w:pPr>
        <w:pStyle w:val="0"/>
        <w:spacing w:before="240" w:lineRule="auto"/>
        <w:ind w:firstLine="540"/>
        <w:jc w:val="both"/>
      </w:pPr>
      <w:r>
        <w:rPr>
          <w:sz w:val="24"/>
        </w:rPr>
        <w:t xml:space="preserve">5.12. Показатели отчетности по </w:t>
      </w:r>
      <w:hyperlink w:history="0" w:anchor="P29159" w:tooltip="Отчетность по форме 0420155">
        <w:r>
          <w:rPr>
            <w:sz w:val="24"/>
            <w:color w:val="0000ff"/>
          </w:rPr>
          <w:t xml:space="preserve">форме 0420155</w:t>
        </w:r>
      </w:hyperlink>
      <w:r>
        <w:rPr>
          <w:sz w:val="24"/>
        </w:rPr>
        <w:t xml:space="preserve"> "Отчет о страховых резервах страховщика" (далее - отчетность по форме 0420155), за исключением показателей </w:t>
      </w:r>
      <w:hyperlink w:history="0" w:anchor="P29174" w:tooltip="Раздел 1.">
        <w:r>
          <w:rPr>
            <w:sz w:val="24"/>
            <w:color w:val="0000ff"/>
          </w:rPr>
          <w:t xml:space="preserve">раздела 1</w:t>
        </w:r>
      </w:hyperlink>
      <w:r>
        <w:rPr>
          <w:sz w:val="24"/>
        </w:rPr>
        <w:t xml:space="preserve">, </w:t>
      </w:r>
      <w:hyperlink w:history="0" w:anchor="P30772" w:tooltip="Подраздел 2.25.">
        <w:r>
          <w:rPr>
            <w:sz w:val="24"/>
            <w:color w:val="0000ff"/>
          </w:rPr>
          <w:t xml:space="preserve">подразделов 2.25</w:t>
        </w:r>
      </w:hyperlink>
      <w:r>
        <w:rPr>
          <w:sz w:val="24"/>
        </w:rPr>
        <w:t xml:space="preserve">, </w:t>
      </w:r>
      <w:hyperlink w:history="0" w:anchor="P31226" w:tooltip="Подраздел 2.26.">
        <w:r>
          <w:rPr>
            <w:sz w:val="24"/>
            <w:color w:val="0000ff"/>
          </w:rPr>
          <w:t xml:space="preserve">2.26</w:t>
        </w:r>
      </w:hyperlink>
      <w:r>
        <w:rPr>
          <w:sz w:val="24"/>
        </w:rPr>
        <w:t xml:space="preserve">, </w:t>
      </w:r>
      <w:hyperlink w:history="0" w:anchor="P31604" w:tooltip="Подраздел 2.35.">
        <w:r>
          <w:rPr>
            <w:sz w:val="24"/>
            <w:color w:val="0000ff"/>
          </w:rPr>
          <w:t xml:space="preserve">2.35 раздела 2</w:t>
        </w:r>
      </w:hyperlink>
      <w:r>
        <w:rPr>
          <w:sz w:val="24"/>
        </w:rPr>
        <w:t xml:space="preserve"> и информации об актуарии, осуществившем расчет страховых резервов и доли перестраховщиков в них (далее - информация об актуарии), отчетности по </w:t>
      </w:r>
      <w:hyperlink w:history="0" w:anchor="P29159" w:tooltip="Отчетность по форме 0420155">
        <w:r>
          <w:rPr>
            <w:sz w:val="24"/>
            <w:color w:val="0000ff"/>
          </w:rPr>
          <w:t xml:space="preserve">форме 0420155</w:t>
        </w:r>
      </w:hyperlink>
      <w:r>
        <w:rPr>
          <w:sz w:val="24"/>
        </w:rPr>
        <w:t xml:space="preserve">,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за I квартал, первое полугодие, 9 месяцев в течение 10 рабочих дней после дня окончания отчетного периода. Показатели отчетности по </w:t>
      </w:r>
      <w:hyperlink w:history="0" w:anchor="P29159" w:tooltip="Отчетность по форме 0420155">
        <w:r>
          <w:rPr>
            <w:sz w:val="24"/>
            <w:color w:val="0000ff"/>
          </w:rPr>
          <w:t xml:space="preserve">форме 0420155</w:t>
        </w:r>
      </w:hyperlink>
      <w:r>
        <w:rPr>
          <w:sz w:val="24"/>
        </w:rPr>
        <w:t xml:space="preserve"> за год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течение 35 рабочих дней после дня окончания отчетного периода.</w:t>
      </w:r>
    </w:p>
    <w:p>
      <w:pPr>
        <w:pStyle w:val="0"/>
        <w:spacing w:before="240" w:lineRule="auto"/>
        <w:ind w:firstLine="540"/>
        <w:jc w:val="both"/>
      </w:pPr>
      <w:r>
        <w:rPr>
          <w:sz w:val="24"/>
        </w:rPr>
        <w:t xml:space="preserve">Показатели </w:t>
      </w:r>
      <w:hyperlink w:history="0" w:anchor="P29174" w:tooltip="Раздел 1.">
        <w:r>
          <w:rPr>
            <w:sz w:val="24"/>
            <w:color w:val="0000ff"/>
          </w:rPr>
          <w:t xml:space="preserve">раздела 1</w:t>
        </w:r>
      </w:hyperlink>
      <w:r>
        <w:rPr>
          <w:sz w:val="24"/>
        </w:rPr>
        <w:t xml:space="preserve">, </w:t>
      </w:r>
      <w:hyperlink w:history="0" w:anchor="P30772" w:tooltip="Подраздел 2.25.">
        <w:r>
          <w:rPr>
            <w:sz w:val="24"/>
            <w:color w:val="0000ff"/>
          </w:rPr>
          <w:t xml:space="preserve">подразделов 2.25</w:t>
        </w:r>
      </w:hyperlink>
      <w:r>
        <w:rPr>
          <w:sz w:val="24"/>
        </w:rPr>
        <w:t xml:space="preserve">, </w:t>
      </w:r>
      <w:hyperlink w:history="0" w:anchor="P31226" w:tooltip="Подраздел 2.26.">
        <w:r>
          <w:rPr>
            <w:sz w:val="24"/>
            <w:color w:val="0000ff"/>
          </w:rPr>
          <w:t xml:space="preserve">2.26</w:t>
        </w:r>
      </w:hyperlink>
      <w:r>
        <w:rPr>
          <w:sz w:val="24"/>
        </w:rPr>
        <w:t xml:space="preserve">, </w:t>
      </w:r>
      <w:hyperlink w:history="0" w:anchor="P31604" w:tooltip="Подраздел 2.35.">
        <w:r>
          <w:rPr>
            <w:sz w:val="24"/>
            <w:color w:val="0000ff"/>
          </w:rPr>
          <w:t xml:space="preserve">2.35 раздела 2</w:t>
        </w:r>
      </w:hyperlink>
      <w:r>
        <w:rPr>
          <w:sz w:val="24"/>
        </w:rPr>
        <w:t xml:space="preserve"> и информации об актуарии отчетности по форме 0420155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ежемесячно в течение 10 рабочих дней после дня окончания отчетного периода.</w:t>
      </w:r>
    </w:p>
    <w:p>
      <w:pPr>
        <w:pStyle w:val="0"/>
        <w:spacing w:before="240" w:lineRule="auto"/>
        <w:ind w:firstLine="540"/>
        <w:jc w:val="both"/>
      </w:pPr>
      <w:r>
        <w:rPr>
          <w:sz w:val="24"/>
        </w:rPr>
        <w:t xml:space="preserve">5.13. Показатели отчетности по </w:t>
      </w:r>
      <w:hyperlink w:history="0" w:anchor="P31933" w:tooltip="Отчетность по форме 0420156">
        <w:r>
          <w:rPr>
            <w:sz w:val="24"/>
            <w:color w:val="0000ff"/>
          </w:rPr>
          <w:t xml:space="preserve">форме 0420156</w:t>
        </w:r>
      </w:hyperlink>
      <w:r>
        <w:rPr>
          <w:sz w:val="24"/>
        </w:rPr>
        <w:t xml:space="preserve"> "Отчет о платежеспособности страховщика" представляются страховщиком (за исключением иностранной страховой организации) ежемесячно в течение 10 рабочих дней после дня окончания отчетного периода (кроме декабря), за декабрь указанные показатели представляются дважды - в течение 10 рабочих дней после дня окончания отчетного периода и 35 рабочих дней после дня окончания отчетного периода.</w:t>
      </w:r>
    </w:p>
    <w:bookmarkStart w:id="59440" w:name="P59440"/>
    <w:bookmarkEnd w:id="59440"/>
    <w:p>
      <w:pPr>
        <w:pStyle w:val="0"/>
        <w:spacing w:before="240" w:lineRule="auto"/>
        <w:ind w:firstLine="540"/>
        <w:jc w:val="both"/>
      </w:pPr>
      <w:r>
        <w:rPr>
          <w:sz w:val="24"/>
        </w:rPr>
        <w:t xml:space="preserve">5.14. Показатели отчетности по </w:t>
      </w:r>
      <w:hyperlink w:history="0" w:anchor="P32577" w:tooltip="Отчетность по форме 0420157">
        <w:r>
          <w:rPr>
            <w:sz w:val="24"/>
            <w:color w:val="0000ff"/>
          </w:rPr>
          <w:t xml:space="preserve">форме 0420157</w:t>
        </w:r>
      </w:hyperlink>
      <w:r>
        <w:rPr>
          <w:sz w:val="24"/>
        </w:rPr>
        <w:t xml:space="preserve"> "Отчет об операциях перестрахования страховщика"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w:t>
      </w:r>
    </w:p>
    <w:bookmarkStart w:id="59441" w:name="P59441"/>
    <w:bookmarkEnd w:id="59441"/>
    <w:p>
      <w:pPr>
        <w:pStyle w:val="0"/>
        <w:spacing w:before="240" w:lineRule="auto"/>
        <w:ind w:firstLine="540"/>
        <w:jc w:val="both"/>
      </w:pPr>
      <w:r>
        <w:rPr>
          <w:sz w:val="24"/>
        </w:rPr>
        <w:t xml:space="preserve">5.15. Показатели </w:t>
      </w:r>
      <w:hyperlink w:history="0" w:anchor="P32952" w:tooltip="Раздел 1.">
        <w:r>
          <w:rPr>
            <w:sz w:val="24"/>
            <w:color w:val="0000ff"/>
          </w:rPr>
          <w:t xml:space="preserve">раздела 1</w:t>
        </w:r>
      </w:hyperlink>
      <w:r>
        <w:rPr>
          <w:sz w:val="24"/>
        </w:rPr>
        <w:t xml:space="preserve"> отчетности по форме 0420158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за I квартал, первое полугодие, 9 месяцев в течение 10 рабочих дней после дня окончания отчетного периода, за год указанные показатели представляются дважды - в течение 10 рабочих дней после дня окончания отчетного периода и 35 рабочих дней после дня окончания отчетного периода.</w:t>
      </w:r>
    </w:p>
    <w:bookmarkStart w:id="59442" w:name="P59442"/>
    <w:bookmarkEnd w:id="59442"/>
    <w:p>
      <w:pPr>
        <w:pStyle w:val="0"/>
        <w:spacing w:before="240" w:lineRule="auto"/>
        <w:ind w:firstLine="540"/>
        <w:jc w:val="both"/>
      </w:pPr>
      <w:r>
        <w:rPr>
          <w:sz w:val="24"/>
        </w:rPr>
        <w:t xml:space="preserve">5.16. Показатели </w:t>
      </w:r>
      <w:hyperlink w:history="0" w:anchor="P33222" w:tooltip="Раздел 2.">
        <w:r>
          <w:rPr>
            <w:sz w:val="24"/>
            <w:color w:val="0000ff"/>
          </w:rPr>
          <w:t xml:space="preserve">раздела 2</w:t>
        </w:r>
      </w:hyperlink>
      <w:r>
        <w:rPr>
          <w:sz w:val="24"/>
        </w:rPr>
        <w:t xml:space="preserve"> отчетности по форме 0420158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ежегодно в течение 35 рабочих дней после дня окончания отчетного периода.</w:t>
      </w:r>
    </w:p>
    <w:p>
      <w:pPr>
        <w:pStyle w:val="0"/>
        <w:spacing w:before="240" w:lineRule="auto"/>
        <w:ind w:firstLine="540"/>
        <w:jc w:val="both"/>
      </w:pPr>
      <w:r>
        <w:rPr>
          <w:sz w:val="24"/>
        </w:rPr>
        <w:t xml:space="preserve">5.17. Показатели </w:t>
      </w:r>
      <w:hyperlink w:history="0" w:anchor="P33608" w:tooltip="Раздел 3.">
        <w:r>
          <w:rPr>
            <w:sz w:val="24"/>
            <w:color w:val="0000ff"/>
          </w:rPr>
          <w:t xml:space="preserve">разделов 3</w:t>
        </w:r>
      </w:hyperlink>
      <w:r>
        <w:rPr>
          <w:sz w:val="24"/>
        </w:rPr>
        <w:t xml:space="preserve"> и </w:t>
      </w:r>
      <w:hyperlink w:history="0" w:anchor="P33962" w:tooltip="Раздел 4.">
        <w:r>
          <w:rPr>
            <w:sz w:val="24"/>
            <w:color w:val="0000ff"/>
          </w:rPr>
          <w:t xml:space="preserve">4</w:t>
        </w:r>
      </w:hyperlink>
      <w:r>
        <w:rPr>
          <w:sz w:val="24"/>
        </w:rPr>
        <w:t xml:space="preserve"> отчетности по форме 0420158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ежемесячно в течение 10 рабочих дней после дня окончания отчетного периода (кроме декабря), за декабрь указанные показатели представляются дважды - в течение 10 рабочих дней после дня окончания отчетного периода и 35 рабочих дней после дня окончания отчетного периода.</w:t>
      </w:r>
    </w:p>
    <w:bookmarkStart w:id="59444" w:name="P59444"/>
    <w:bookmarkEnd w:id="59444"/>
    <w:p>
      <w:pPr>
        <w:pStyle w:val="0"/>
        <w:spacing w:before="240" w:lineRule="auto"/>
        <w:ind w:firstLine="540"/>
        <w:jc w:val="both"/>
      </w:pPr>
      <w:r>
        <w:rPr>
          <w:sz w:val="24"/>
        </w:rPr>
        <w:t xml:space="preserve">5.18. Показатели отчетности по </w:t>
      </w:r>
      <w:hyperlink w:history="0" w:anchor="P34526" w:tooltip="Отчетность по форме 0420159">
        <w:r>
          <w:rPr>
            <w:sz w:val="24"/>
            <w:color w:val="0000ff"/>
          </w:rPr>
          <w:t xml:space="preserve">форме 0420159</w:t>
        </w:r>
      </w:hyperlink>
      <w:r>
        <w:rPr>
          <w:sz w:val="24"/>
        </w:rPr>
        <w:t xml:space="preserve"> "Сведения о сделках страховщика"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w:t>
      </w:r>
    </w:p>
    <w:p>
      <w:pPr>
        <w:pStyle w:val="0"/>
        <w:spacing w:before="240" w:lineRule="auto"/>
        <w:ind w:firstLine="540"/>
        <w:jc w:val="both"/>
      </w:pPr>
      <w:r>
        <w:rPr>
          <w:sz w:val="24"/>
        </w:rPr>
        <w:t xml:space="preserve">5.19. Показатели отчетности по </w:t>
      </w:r>
      <w:hyperlink w:history="0" w:anchor="P35303" w:tooltip="Отчетность по форме 0420160">
        <w:r>
          <w:rPr>
            <w:sz w:val="24"/>
            <w:color w:val="0000ff"/>
          </w:rPr>
          <w:t xml:space="preserve">форме 0420160</w:t>
        </w:r>
      </w:hyperlink>
      <w:r>
        <w:rPr>
          <w:sz w:val="24"/>
        </w:rPr>
        <w:t xml:space="preserve"> "Сведения о привлеченных страховщиком средствах" представляются страховщиком (за исключением иностранной страховой организации) за I, II и III кварталы в течение 10 рабочих дней после дня окончания отчетного периода, за IV квартал - в течение 35 рабочих дней после дня окончания отчетного периода.</w:t>
      </w:r>
    </w:p>
    <w:bookmarkStart w:id="59446" w:name="P59446"/>
    <w:bookmarkEnd w:id="59446"/>
    <w:p>
      <w:pPr>
        <w:pStyle w:val="0"/>
        <w:spacing w:before="240" w:lineRule="auto"/>
        <w:ind w:firstLine="540"/>
        <w:jc w:val="both"/>
      </w:pPr>
      <w:r>
        <w:rPr>
          <w:sz w:val="24"/>
        </w:rPr>
        <w:t xml:space="preserve">5.20. Показатели отчетности по </w:t>
      </w:r>
      <w:hyperlink w:history="0" w:anchor="P37006" w:tooltip="Отчетность по форме 0420161">
        <w:r>
          <w:rPr>
            <w:sz w:val="24"/>
            <w:color w:val="0000ff"/>
          </w:rPr>
          <w:t xml:space="preserve">форме 0420161</w:t>
        </w:r>
      </w:hyperlink>
      <w:r>
        <w:rPr>
          <w:sz w:val="24"/>
        </w:rPr>
        <w:t xml:space="preserve"> "Отчет о выданных страховщиком поручительствах, независимых гарантиях и других способах обеспечения исполнения обязательств" представляются страховщиком (за исключением иностранной страховой организации) за I, II и III кварталы в течение 10 рабочих дней после дня окончания отчетного периода, за IV квартал - в течение 35 рабочих дней после дня окончания отчетного периода.</w:t>
      </w:r>
    </w:p>
    <w:p>
      <w:pPr>
        <w:pStyle w:val="0"/>
        <w:spacing w:before="240" w:lineRule="auto"/>
        <w:ind w:firstLine="540"/>
        <w:jc w:val="both"/>
      </w:pPr>
      <w:r>
        <w:rPr>
          <w:sz w:val="24"/>
        </w:rPr>
        <w:t xml:space="preserve">5.21. Показатели отчетности по </w:t>
      </w:r>
      <w:hyperlink w:history="0" w:anchor="P54356" w:tooltip="Отчетность по форме 0420162">
        <w:r>
          <w:rPr>
            <w:sz w:val="24"/>
            <w:color w:val="0000ff"/>
          </w:rPr>
          <w:t xml:space="preserve">форме 0420162</w:t>
        </w:r>
      </w:hyperlink>
      <w:r>
        <w:rPr>
          <w:sz w:val="24"/>
        </w:rPr>
        <w:t xml:space="preserve"> представляются страховщиком за I квартал, первое полугодие, 9 месяцев, год в течение 10 рабочих дней после дня окончания отчетного периода.</w:t>
      </w:r>
    </w:p>
    <w:bookmarkStart w:id="59448" w:name="P59448"/>
    <w:bookmarkEnd w:id="59448"/>
    <w:p>
      <w:pPr>
        <w:pStyle w:val="0"/>
        <w:spacing w:before="240" w:lineRule="auto"/>
        <w:ind w:firstLine="540"/>
        <w:jc w:val="both"/>
      </w:pPr>
      <w:r>
        <w:rPr>
          <w:sz w:val="24"/>
        </w:rPr>
        <w:t xml:space="preserve">5.22. Показатели отчетности по </w:t>
      </w:r>
      <w:hyperlink w:history="0" w:anchor="P37230" w:tooltip="Отчетность по форме 0420163">
        <w:r>
          <w:rPr>
            <w:sz w:val="24"/>
            <w:color w:val="0000ff"/>
          </w:rPr>
          <w:t xml:space="preserve">форме 0420163</w:t>
        </w:r>
      </w:hyperlink>
      <w:r>
        <w:rPr>
          <w:sz w:val="24"/>
        </w:rPr>
        <w:t xml:space="preserve"> "Отчет об операциях со связанными сторонами страховщика" представляются страховщиком (за исключением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w:t>
      </w:r>
    </w:p>
    <w:p>
      <w:pPr>
        <w:pStyle w:val="0"/>
        <w:spacing w:before="240" w:lineRule="auto"/>
        <w:ind w:firstLine="540"/>
        <w:jc w:val="both"/>
      </w:pPr>
      <w:r>
        <w:rPr>
          <w:sz w:val="24"/>
        </w:rPr>
        <w:t xml:space="preserve">5.23. Показатели отчетности по </w:t>
      </w:r>
      <w:hyperlink w:history="0" w:anchor="P37402" w:tooltip="Отчетность по форме 0420164">
        <w:r>
          <w:rPr>
            <w:sz w:val="24"/>
            <w:color w:val="0000ff"/>
          </w:rPr>
          <w:t xml:space="preserve">форме 0420164</w:t>
        </w:r>
      </w:hyperlink>
      <w:r>
        <w:rPr>
          <w:sz w:val="24"/>
        </w:rPr>
        <w:t xml:space="preserve"> "Оборотная ведомость по счетам бухгалтерского учета страховщика" (далее - отчетность по форме 0420164) представляются страховщиком (за исключением страховой медицинской организации, осуществляющей исключительно обязательное медицинское страхование, иностранной страховой организации и страховой организации,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настоящего приложения) ежемесячно в течение 10 рабочих дней после дня окончания отчетного периода.</w:t>
      </w:r>
    </w:p>
    <w:p>
      <w:pPr>
        <w:pStyle w:val="0"/>
        <w:spacing w:before="240" w:lineRule="auto"/>
        <w:ind w:firstLine="540"/>
        <w:jc w:val="both"/>
      </w:pPr>
      <w:r>
        <w:rPr>
          <w:sz w:val="24"/>
        </w:rPr>
        <w:t xml:space="preserve">Показатели отчетности по </w:t>
      </w:r>
      <w:hyperlink w:history="0" w:anchor="P37402" w:tooltip="Отчетность по форме 0420164">
        <w:r>
          <w:rPr>
            <w:sz w:val="24"/>
            <w:color w:val="0000ff"/>
          </w:rPr>
          <w:t xml:space="preserve">форме 0420164</w:t>
        </w:r>
      </w:hyperlink>
      <w:r>
        <w:rPr>
          <w:sz w:val="24"/>
        </w:rPr>
        <w:t xml:space="preserve"> представляются страховой медицинской организацией, осуществляющей исключительно обязательное медицинское страхование, и страховой организацией,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настоящего приложения, ежеквартально в течение 10 рабочих дней после дня окончания отчетного периода.</w:t>
      </w:r>
    </w:p>
    <w:p>
      <w:pPr>
        <w:pStyle w:val="0"/>
        <w:spacing w:before="240" w:lineRule="auto"/>
        <w:ind w:firstLine="540"/>
        <w:jc w:val="both"/>
      </w:pPr>
      <w:r>
        <w:rPr>
          <w:sz w:val="24"/>
        </w:rPr>
        <w:t xml:space="preserve">Показатели отдельной отчетности по </w:t>
      </w:r>
      <w:hyperlink w:history="0" w:anchor="P37402" w:tooltip="Отчетность по форме 0420164">
        <w:r>
          <w:rPr>
            <w:sz w:val="24"/>
            <w:color w:val="0000ff"/>
          </w:rPr>
          <w:t xml:space="preserve">форме 0420164</w:t>
        </w:r>
      </w:hyperlink>
      <w:r>
        <w:rPr>
          <w:sz w:val="24"/>
        </w:rPr>
        <w:t xml:space="preserve">, указанной в </w:t>
      </w:r>
      <w:hyperlink w:history="0" w:anchor="P37469" w:tooltip="Страховщик должен составлять отдельную отчетность по форме 0420164, содержащую показатели &quot;Оборот по дебету счета второго порядка&quot; (строка 1) и &quot;Оборот по кредиту счета второго порядка&quot; (строка 2) только по событиям, подтверждающим условия, существовавшие на 31 декабря календарного года, отраженным в бухгалтерском учете страховщика после окончания года, за который составляется годовая бухгалтерская (финансовая) отчетность страховщика, в период до даты составления годовой бухгалтерской (финансовой) отчетн...">
        <w:r>
          <w:rPr>
            <w:sz w:val="24"/>
            <w:color w:val="0000ff"/>
          </w:rPr>
          <w:t xml:space="preserve">абзаце втором пункта 2</w:t>
        </w:r>
      </w:hyperlink>
      <w:r>
        <w:rPr>
          <w:sz w:val="24"/>
        </w:rPr>
        <w:t xml:space="preserve"> Порядка и сроков составления отчетности по форме 0420164 "Оборотная ведомость по счетам бухгалтерского учета страховщика" (приложение 1 к настоящему Указанию), представляются страховщиком (за исключением иностранной страховой организации) в течение 35 рабочих дней после дня окончания календарного года.</w:t>
      </w:r>
    </w:p>
    <w:bookmarkStart w:id="59452" w:name="P59452"/>
    <w:bookmarkEnd w:id="59452"/>
    <w:p>
      <w:pPr>
        <w:pStyle w:val="0"/>
        <w:spacing w:before="240" w:lineRule="auto"/>
        <w:ind w:firstLine="540"/>
        <w:jc w:val="both"/>
      </w:pPr>
      <w:r>
        <w:rPr>
          <w:sz w:val="24"/>
        </w:rPr>
        <w:t xml:space="preserve">5.24. Показатели отчетности по </w:t>
      </w:r>
      <w:hyperlink w:history="0" w:anchor="P37485" w:tooltip="Отчетность по форме 0420165">
        <w:r>
          <w:rPr>
            <w:sz w:val="24"/>
            <w:color w:val="0000ff"/>
          </w:rPr>
          <w:t xml:space="preserve">форме 0420165</w:t>
        </w:r>
      </w:hyperlink>
      <w:r>
        <w:rPr>
          <w:sz w:val="24"/>
        </w:rPr>
        <w:t xml:space="preserve"> "Отчет о финансовых результатах страховщика (по символам доходов и расходов)" (далее - отчетность по форме 0420165) представляются страховщиком (за исключением страховой медицинской организации, осуществляющей исключительно обязательное медицинское страхование, иностранной страховой организации и страховой организации,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настоящего приложения) ежемесячно в течение 10 рабочих дней после дня окончания отчетного периода.</w:t>
      </w:r>
    </w:p>
    <w:p>
      <w:pPr>
        <w:pStyle w:val="0"/>
        <w:spacing w:before="240" w:lineRule="auto"/>
        <w:ind w:firstLine="540"/>
        <w:jc w:val="both"/>
      </w:pPr>
      <w:r>
        <w:rPr>
          <w:sz w:val="24"/>
        </w:rPr>
        <w:t xml:space="preserve">Показатели отчетности по </w:t>
      </w:r>
      <w:hyperlink w:history="0" w:anchor="P37485" w:tooltip="Отчетность по форме 0420165">
        <w:r>
          <w:rPr>
            <w:sz w:val="24"/>
            <w:color w:val="0000ff"/>
          </w:rPr>
          <w:t xml:space="preserve">форме 0420165</w:t>
        </w:r>
      </w:hyperlink>
      <w:r>
        <w:rPr>
          <w:sz w:val="24"/>
        </w:rPr>
        <w:t xml:space="preserve"> представляются страховой медицинской организацией, осуществляющей исключительно обязательное медицинское страхование, и страховой организацией, соответствующей критериям, предусмотренным </w:t>
      </w:r>
      <w:hyperlink w:history="0" w:anchor="P59481" w:tooltip="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
        <w:r>
          <w:rPr>
            <w:sz w:val="24"/>
            <w:color w:val="0000ff"/>
          </w:rPr>
          <w:t xml:space="preserve">абзацами вторым</w:t>
        </w:r>
      </w:hyperlink>
      <w:r>
        <w:rPr>
          <w:sz w:val="24"/>
        </w:rPr>
        <w:t xml:space="preserve"> - </w:t>
      </w:r>
      <w:hyperlink w:history="0" w:anchor="P59483" w:tooltip="сумма страховых премий по договорам страхования, сострахования, входящего перестрахования не превышает один миллиард рублей (в соответствии с данными разделов 3 и 4 отчетности по форме 0420158 за год, представляемой страховой организацией в течение 10 рабочих дней после дня окончания отчетного периода).">
        <w:r>
          <w:rPr>
            <w:sz w:val="24"/>
            <w:color w:val="0000ff"/>
          </w:rPr>
          <w:t xml:space="preserve">четвертым пункта 6</w:t>
        </w:r>
      </w:hyperlink>
      <w:r>
        <w:rPr>
          <w:sz w:val="24"/>
        </w:rPr>
        <w:t xml:space="preserve"> настоящего приложения, ежеквартально в течение 10 рабочих дней после дня окончания отчетного периода.</w:t>
      </w:r>
    </w:p>
    <w:p>
      <w:pPr>
        <w:pStyle w:val="0"/>
        <w:spacing w:before="240" w:lineRule="auto"/>
        <w:ind w:firstLine="540"/>
        <w:jc w:val="both"/>
      </w:pPr>
      <w:r>
        <w:rPr>
          <w:sz w:val="24"/>
        </w:rPr>
        <w:t xml:space="preserve">Показатели отдельной отчетности по </w:t>
      </w:r>
      <w:hyperlink w:history="0" w:anchor="P37485" w:tooltip="Отчетность по форме 0420165">
        <w:r>
          <w:rPr>
            <w:sz w:val="24"/>
            <w:color w:val="0000ff"/>
          </w:rPr>
          <w:t xml:space="preserve">форме 0420165</w:t>
        </w:r>
      </w:hyperlink>
      <w:r>
        <w:rPr>
          <w:sz w:val="24"/>
        </w:rPr>
        <w:t xml:space="preserve">, указанной в </w:t>
      </w:r>
      <w:hyperlink w:history="0" w:anchor="P37525" w:tooltip="Страховщик должен составлять отдельную отчетность по форме 0420165, содержащую показатели только по событиям, подтверждающим условия, существовавшие на 31 декабря календарного года, отраженным в бухгалтерском учете страховщика после окончания года, за который составляется годовая бухгалтерская (финансовая) отчетность страховщика, в период до даты составления годовой бухгалтерской (финансовой) отчетности страховщика.">
        <w:r>
          <w:rPr>
            <w:sz w:val="24"/>
            <w:color w:val="0000ff"/>
          </w:rPr>
          <w:t xml:space="preserve">абзаце втором пункта 2</w:t>
        </w:r>
      </w:hyperlink>
      <w:r>
        <w:rPr>
          <w:sz w:val="24"/>
        </w:rPr>
        <w:t xml:space="preserve"> Порядка и сроков составления отчетности по форме 0420165 "Отчет о финансовых результатах страховщика (по символам доходов и расходов)" (приложение 1 к настоящему Указанию), представляются страховщиком (за исключением иностранной страховой организации) в течение 35 рабочих дней после дня окончания календарного года.</w:t>
      </w:r>
    </w:p>
    <w:p>
      <w:pPr>
        <w:pStyle w:val="0"/>
        <w:spacing w:before="240" w:lineRule="auto"/>
        <w:ind w:firstLine="540"/>
        <w:jc w:val="both"/>
      </w:pPr>
      <w:r>
        <w:rPr>
          <w:sz w:val="24"/>
        </w:rPr>
        <w:t xml:space="preserve">5.25. Показатели отчетности по </w:t>
      </w:r>
      <w:hyperlink w:history="0" w:anchor="P37546" w:tooltip="Отчетность по форме 0420166">
        <w:r>
          <w:rPr>
            <w:sz w:val="24"/>
            <w:color w:val="0000ff"/>
          </w:rPr>
          <w:t xml:space="preserve">форме 0420166</w:t>
        </w:r>
      </w:hyperlink>
      <w:r>
        <w:rPr>
          <w:sz w:val="24"/>
        </w:rPr>
        <w:t xml:space="preserve"> "Сведения об утверждении уполномоченным органом страховщика повестки дня, содержащей вопрос о назначении аудиторской организации" представляются страховщиком (за исключением иностранной страховой организации) в течение 5 рабочих дней после дня наступления одного из следующих событий:</w:t>
      </w:r>
    </w:p>
    <w:p>
      <w:pPr>
        <w:pStyle w:val="0"/>
        <w:spacing w:before="240" w:lineRule="auto"/>
        <w:ind w:firstLine="540"/>
        <w:jc w:val="both"/>
      </w:pPr>
      <w:r>
        <w:rPr>
          <w:sz w:val="24"/>
        </w:rPr>
        <w:t xml:space="preserve">утверждения уполномоченным органом страховой организации, общества взаимного страхования повестки дня общего собрания акционеров (участников) страховой организации, членов общества взаимного страхования, содержащей вопрос о назначении аудиторской организации;</w:t>
      </w:r>
    </w:p>
    <w:p>
      <w:pPr>
        <w:pStyle w:val="0"/>
        <w:spacing w:before="240" w:lineRule="auto"/>
        <w:ind w:firstLine="540"/>
        <w:jc w:val="both"/>
      </w:pPr>
      <w:r>
        <w:rPr>
          <w:sz w:val="24"/>
        </w:rPr>
        <w:t xml:space="preserve">принятия решения о заседании совета директоров (наблюдательного совета) страховой организации, на котором должен быть рассмотрен вопрос о назначении аудиторской организации;</w:t>
      </w:r>
    </w:p>
    <w:p>
      <w:pPr>
        <w:pStyle w:val="0"/>
        <w:spacing w:before="240" w:lineRule="auto"/>
        <w:ind w:firstLine="540"/>
        <w:jc w:val="both"/>
      </w:pPr>
      <w:r>
        <w:rPr>
          <w:sz w:val="24"/>
        </w:rPr>
        <w:t xml:space="preserve">принятия решения о заседании правления общества взаимного страхования, на котором должен быть рассмотрен вопрос о назначении аудиторской организации;</w:t>
      </w:r>
    </w:p>
    <w:p>
      <w:pPr>
        <w:pStyle w:val="0"/>
        <w:spacing w:before="240" w:lineRule="auto"/>
        <w:ind w:firstLine="540"/>
        <w:jc w:val="both"/>
      </w:pPr>
      <w:r>
        <w:rPr>
          <w:sz w:val="24"/>
        </w:rPr>
        <w:t xml:space="preserve">принятия решения единственным акционером (участником) страховой организации о назначении аудиторской организации;</w:t>
      </w:r>
    </w:p>
    <w:p>
      <w:pPr>
        <w:pStyle w:val="0"/>
        <w:spacing w:before="240" w:lineRule="auto"/>
        <w:ind w:firstLine="540"/>
        <w:jc w:val="both"/>
      </w:pPr>
      <w:r>
        <w:rPr>
          <w:sz w:val="24"/>
        </w:rPr>
        <w:t xml:space="preserve">принятия решения собственником имущества страховой организации, созданной в форме унитарного предприятия, о назначении аудиторской организации.</w:t>
      </w:r>
    </w:p>
    <w:p>
      <w:pPr>
        <w:pStyle w:val="0"/>
        <w:spacing w:before="240" w:lineRule="auto"/>
        <w:ind w:firstLine="540"/>
        <w:jc w:val="both"/>
      </w:pPr>
      <w:r>
        <w:rPr>
          <w:sz w:val="24"/>
        </w:rPr>
        <w:t xml:space="preserve">5.26. Показатели отчетности по </w:t>
      </w:r>
      <w:hyperlink w:history="0" w:anchor="P37712" w:tooltip="Отчетность по форме 0420167">
        <w:r>
          <w:rPr>
            <w:sz w:val="24"/>
            <w:color w:val="0000ff"/>
          </w:rPr>
          <w:t xml:space="preserve">форме 0420167</w:t>
        </w:r>
      </w:hyperlink>
      <w:r>
        <w:rPr>
          <w:sz w:val="24"/>
        </w:rPr>
        <w:t xml:space="preserve"> "Сведения об аудиторской проверке отчетности страховщика" (далее - отчетность по форме 0420167) представляются страховщиком (за исключением иностранной страховой организации) в течение 5 рабочих дней после дня наступления одного из следующих событий:</w:t>
      </w:r>
    </w:p>
    <w:p>
      <w:pPr>
        <w:pStyle w:val="0"/>
        <w:spacing w:before="240" w:lineRule="auto"/>
        <w:ind w:firstLine="540"/>
        <w:jc w:val="both"/>
      </w:pPr>
      <w:r>
        <w:rPr>
          <w:sz w:val="24"/>
        </w:rPr>
        <w:t xml:space="preserve">заключения договора с аудиторской организацией на проведение аудита либо иной проверки в соответствии со стандартами аудиторской деятельности, предусмотренными </w:t>
      </w:r>
      <w:hyperlink w:history="0" r:id="rId863" w:tooltip="Федеральный закон от 27.07.2010 N 208-ФЗ (ред. от 22.07.2024) &quot;О консолидированной финансовой отчетности&quot; {КонсультантПлюс}">
        <w:r>
          <w:rPr>
            <w:sz w:val="24"/>
            <w:color w:val="0000ff"/>
          </w:rPr>
          <w:t xml:space="preserve">частью 2 статьи 5</w:t>
        </w:r>
      </w:hyperlink>
      <w:r>
        <w:rPr>
          <w:sz w:val="24"/>
        </w:rPr>
        <w:t xml:space="preserve"> Федерального закона от 27 июля 2010 года N 208-ФЗ "О консолидированной финансовой отчетности" (далее - договор на проведение аудиторской проверки);</w:t>
      </w:r>
    </w:p>
    <w:p>
      <w:pPr>
        <w:pStyle w:val="0"/>
        <w:spacing w:before="240" w:lineRule="auto"/>
        <w:ind w:firstLine="540"/>
        <w:jc w:val="both"/>
      </w:pPr>
      <w:r>
        <w:rPr>
          <w:sz w:val="24"/>
        </w:rPr>
        <w:t xml:space="preserve">заключения дополнительного соглашения к договору на проведение аудиторской проверки;</w:t>
      </w:r>
    </w:p>
    <w:p>
      <w:pPr>
        <w:pStyle w:val="0"/>
        <w:spacing w:before="240" w:lineRule="auto"/>
        <w:ind w:firstLine="540"/>
        <w:jc w:val="both"/>
      </w:pPr>
      <w:r>
        <w:rPr>
          <w:sz w:val="24"/>
        </w:rPr>
        <w:t xml:space="preserve">получения страховщиком аудиторского заключения.</w:t>
      </w:r>
    </w:p>
    <w:p>
      <w:pPr>
        <w:pStyle w:val="0"/>
        <w:spacing w:before="240" w:lineRule="auto"/>
        <w:ind w:firstLine="540"/>
        <w:jc w:val="both"/>
      </w:pPr>
      <w:r>
        <w:rPr>
          <w:sz w:val="24"/>
        </w:rPr>
        <w:t xml:space="preserve">В случае изменения сведений, содержащихся в отчетности по </w:t>
      </w:r>
      <w:hyperlink w:history="0" w:anchor="P37712" w:tooltip="Отчетность по форме 0420167">
        <w:r>
          <w:rPr>
            <w:sz w:val="24"/>
            <w:color w:val="0000ff"/>
          </w:rPr>
          <w:t xml:space="preserve">форме 0420167</w:t>
        </w:r>
      </w:hyperlink>
      <w:r>
        <w:rPr>
          <w:sz w:val="24"/>
        </w:rPr>
        <w:t xml:space="preserve">, которое не потребовало заключения дополнительного соглашения к договору на проведение аудиторской проверки, отчетность по </w:t>
      </w:r>
      <w:hyperlink w:history="0" w:anchor="P37712" w:tooltip="Отчетность по форме 0420167">
        <w:r>
          <w:rPr>
            <w:sz w:val="24"/>
            <w:color w:val="0000ff"/>
          </w:rPr>
          <w:t xml:space="preserve">форме 0420167</w:t>
        </w:r>
      </w:hyperlink>
      <w:r>
        <w:rPr>
          <w:sz w:val="24"/>
        </w:rPr>
        <w:t xml:space="preserve"> представляется в течение 15 календарных дней со дня, когда страховщику стало известно об указанном изменении.</w:t>
      </w:r>
    </w:p>
    <w:p>
      <w:pPr>
        <w:pStyle w:val="0"/>
        <w:spacing w:before="240" w:lineRule="auto"/>
        <w:ind w:firstLine="540"/>
        <w:jc w:val="both"/>
      </w:pPr>
      <w:r>
        <w:rPr>
          <w:sz w:val="24"/>
        </w:rPr>
        <w:t xml:space="preserve">В случае получения страховщиком аудиторского заключения (за исключением аудиторского заключения о годовой бухгалтерской (финансовой) отчетности, заключения аудитора, содержащего результаты проверки, указанной в </w:t>
      </w:r>
      <w:hyperlink w:history="0" r:id="rId864"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пунктах 3</w:t>
        </w:r>
      </w:hyperlink>
      <w:r>
        <w:rPr>
          <w:sz w:val="24"/>
        </w:rPr>
        <w:t xml:space="preserve"> и </w:t>
      </w:r>
      <w:hyperlink w:history="0" r:id="rId865"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4 статьи 50</w:t>
        </w:r>
      </w:hyperlink>
      <w:r>
        <w:rPr>
          <w:sz w:val="24"/>
        </w:rPr>
        <w:t xml:space="preserve"> Федерального закона от 29 ноября 2001 года N 156-ФЗ "Об инвестиционных фондах" (в случае если правилами доверительного управления паевым инвестиционным фондом предусмотрено ежегодное проведение аудиторской организацией указанной проверки), и аудиторского заключения о годовой консолидированной финансовой отчетности) вместе с отчетностью по </w:t>
      </w:r>
      <w:hyperlink w:history="0" w:anchor="P37712" w:tooltip="Отчетность по форме 0420167">
        <w:r>
          <w:rPr>
            <w:sz w:val="24"/>
            <w:color w:val="0000ff"/>
          </w:rPr>
          <w:t xml:space="preserve">форме 0420167</w:t>
        </w:r>
      </w:hyperlink>
      <w:r>
        <w:rPr>
          <w:sz w:val="24"/>
        </w:rPr>
        <w:t xml:space="preserve"> должно представляться полученное страховщиком аудиторское заключение, подписанное в соответствии с </w:t>
      </w:r>
      <w:hyperlink w:history="0" r:id="rId866" w:tooltip="Федеральный закон от 06.04.2011 N 63-ФЗ (ред. от 21.04.2025) &quot;Об электронной подписи&quot; {КонсультантПлюс}">
        <w:r>
          <w:rPr>
            <w:sz w:val="24"/>
            <w:color w:val="0000ff"/>
          </w:rPr>
          <w:t xml:space="preserve">частью 1 статьи 6</w:t>
        </w:r>
      </w:hyperlink>
      <w:r>
        <w:rPr>
          <w:sz w:val="24"/>
        </w:rPr>
        <w:t xml:space="preserve"> Федерального закона N 63-ФЗ, с приложением отчетности, в отношении которой оно составлено, в виде пакета электронных документов, предусмотренного </w:t>
      </w:r>
      <w:hyperlink w:history="0" r:id="rId867" w:tooltip="Федеральный закон от 06.04.2011 N 63-ФЗ (ред. от 21.04.2025) &quot;Об электронной подписи&quot; {КонсультантПлюс}">
        <w:r>
          <w:rPr>
            <w:sz w:val="24"/>
            <w:color w:val="0000ff"/>
          </w:rPr>
          <w:t xml:space="preserve">частью 4 статьи 6</w:t>
        </w:r>
      </w:hyperlink>
      <w:r>
        <w:rPr>
          <w:sz w:val="24"/>
        </w:rPr>
        <w:t xml:space="preserve"> Федерального закона N 63-ФЗ.</w:t>
      </w:r>
    </w:p>
    <w:p>
      <w:pPr>
        <w:pStyle w:val="0"/>
        <w:spacing w:before="240" w:lineRule="auto"/>
        <w:ind w:firstLine="540"/>
        <w:jc w:val="both"/>
      </w:pPr>
      <w:r>
        <w:rPr>
          <w:sz w:val="24"/>
        </w:rPr>
        <w:t xml:space="preserve">5.27. Показатели отчетности по </w:t>
      </w:r>
      <w:hyperlink w:history="0" w:anchor="P38506" w:tooltip="Отчетность по форме 0420168">
        <w:r>
          <w:rPr>
            <w:sz w:val="24"/>
            <w:color w:val="0000ff"/>
          </w:rPr>
          <w:t xml:space="preserve">форме 0420168</w:t>
        </w:r>
      </w:hyperlink>
      <w:r>
        <w:rPr>
          <w:sz w:val="24"/>
        </w:rPr>
        <w:t xml:space="preserve"> "Сведения об ответственном актуарии страховщика" (далее - отчетность по форме 0420168)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w:t>
      </w:r>
    </w:p>
    <w:bookmarkStart w:id="59468" w:name="P59468"/>
    <w:bookmarkEnd w:id="59468"/>
    <w:p>
      <w:pPr>
        <w:pStyle w:val="0"/>
        <w:spacing w:before="240" w:lineRule="auto"/>
        <w:ind w:firstLine="540"/>
        <w:jc w:val="both"/>
      </w:pPr>
      <w:r>
        <w:rPr>
          <w:sz w:val="24"/>
        </w:rPr>
        <w:t xml:space="preserve">за год - в течение 10 рабочих дней после дня окончания календарного года;</w:t>
      </w:r>
    </w:p>
    <w:p>
      <w:pPr>
        <w:pStyle w:val="0"/>
        <w:spacing w:before="240" w:lineRule="auto"/>
        <w:ind w:firstLine="540"/>
        <w:jc w:val="both"/>
      </w:pPr>
      <w:r>
        <w:rPr>
          <w:sz w:val="24"/>
        </w:rPr>
        <w:t xml:space="preserve">в случае изменения сведений, содержащихся в отчетности по </w:t>
      </w:r>
      <w:hyperlink w:history="0" w:anchor="P38506" w:tooltip="Отчетность по форме 0420168">
        <w:r>
          <w:rPr>
            <w:sz w:val="24"/>
            <w:color w:val="0000ff"/>
          </w:rPr>
          <w:t xml:space="preserve">форме 0420168</w:t>
        </w:r>
      </w:hyperlink>
      <w:r>
        <w:rPr>
          <w:sz w:val="24"/>
        </w:rPr>
        <w:t xml:space="preserve">, - в течение 5 рабочих дней со дня изменения сведений, содержащихся в отчетности по </w:t>
      </w:r>
      <w:hyperlink w:history="0" w:anchor="P38506" w:tooltip="Отчетность по форме 0420168">
        <w:r>
          <w:rPr>
            <w:sz w:val="24"/>
            <w:color w:val="0000ff"/>
          </w:rPr>
          <w:t xml:space="preserve">форме 0420168</w:t>
        </w:r>
      </w:hyperlink>
      <w:r>
        <w:rPr>
          <w:sz w:val="24"/>
        </w:rPr>
        <w:t xml:space="preserve">.</w:t>
      </w:r>
    </w:p>
    <w:bookmarkStart w:id="59470" w:name="P59470"/>
    <w:bookmarkEnd w:id="59470"/>
    <w:p>
      <w:pPr>
        <w:pStyle w:val="0"/>
        <w:spacing w:before="240" w:lineRule="auto"/>
        <w:ind w:firstLine="540"/>
        <w:jc w:val="both"/>
      </w:pPr>
      <w:r>
        <w:rPr>
          <w:sz w:val="24"/>
        </w:rPr>
        <w:t xml:space="preserve">5.28. Показатели отчетности по </w:t>
      </w:r>
      <w:hyperlink w:history="0" w:anchor="P38630" w:tooltip="Отчетность по форме 0420169">
        <w:r>
          <w:rPr>
            <w:sz w:val="24"/>
            <w:color w:val="0000ff"/>
          </w:rPr>
          <w:t xml:space="preserve">форме 0420169</w:t>
        </w:r>
      </w:hyperlink>
      <w:r>
        <w:rPr>
          <w:sz w:val="24"/>
        </w:rPr>
        <w:t xml:space="preserve"> "Сведения для расчета размера (квоты) участия иностранного капитала в совокупном уставном капитале страховых организаций, имеющих лицензию на осуществление страховой деятельности" представляются страховой организацией, имеющей долю иностранных инвесторов в своем уставном капитале, за 9 месяцев и год в течение 10 рабочих дней после дня окончания отчетного периода.</w:t>
      </w:r>
    </w:p>
    <w:p>
      <w:pPr>
        <w:pStyle w:val="0"/>
        <w:spacing w:before="240" w:lineRule="auto"/>
        <w:ind w:firstLine="540"/>
        <w:jc w:val="both"/>
      </w:pPr>
      <w:r>
        <w:rPr>
          <w:sz w:val="24"/>
        </w:rPr>
        <w:t xml:space="preserve">5.29. Показатели отчетности по </w:t>
      </w:r>
      <w:hyperlink w:history="0" w:anchor="P38735" w:tooltip="Отчетность по форме 0420171">
        <w:r>
          <w:rPr>
            <w:sz w:val="24"/>
            <w:color w:val="0000ff"/>
          </w:rPr>
          <w:t xml:space="preserve">форме 0420171</w:t>
        </w:r>
      </w:hyperlink>
      <w:r>
        <w:rPr>
          <w:sz w:val="24"/>
        </w:rPr>
        <w:t xml:space="preserve"> "Информация о лицах, которым страховщиком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в целях выполнения требования </w:t>
      </w:r>
      <w:hyperlink w:history="0" r:id="rId868"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пункта 1.10 статьи 7</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(далее - Федеральный закон N 115-ФЗ) в течение 5 рабочих дней после дня заключения или расторжения страховщиком договора на проведение идентификации или упрощенной идентификации, а также обновление информации о клиентах, представителях клиентов, выгодоприобретателях и бенефициарных владельцах (далее - обновление информации) с лицами, которым в соответствии с </w:t>
      </w:r>
      <w:hyperlink w:history="0" r:id="rId869"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пунктами 1.5-1</w:t>
        </w:r>
      </w:hyperlink>
      <w:r>
        <w:rPr>
          <w:sz w:val="24"/>
        </w:rPr>
        <w:t xml:space="preserve">, </w:t>
      </w:r>
      <w:hyperlink w:history="0" r:id="rId870"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1.5-8</w:t>
        </w:r>
      </w:hyperlink>
      <w:r>
        <w:rPr>
          <w:sz w:val="24"/>
        </w:rPr>
        <w:t xml:space="preserve"> и </w:t>
      </w:r>
      <w:hyperlink w:history="0" r:id="rId871"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1.5-9 статьи 7</w:t>
        </w:r>
      </w:hyperlink>
      <w:r>
        <w:rPr>
          <w:sz w:val="24"/>
        </w:rPr>
        <w:t xml:space="preserve"> Федерального закона N 115-ФЗ поручено проведение идентификации или упрощенной идентификации, обновление информации.</w:t>
      </w:r>
    </w:p>
    <w:bookmarkStart w:id="59472" w:name="P59472"/>
    <w:bookmarkEnd w:id="59472"/>
    <w:p>
      <w:pPr>
        <w:pStyle w:val="0"/>
        <w:spacing w:before="240" w:lineRule="auto"/>
        <w:ind w:firstLine="540"/>
        <w:jc w:val="both"/>
      </w:pPr>
      <w:r>
        <w:rPr>
          <w:sz w:val="24"/>
        </w:rPr>
        <w:t xml:space="preserve">5.30. Показатели </w:t>
      </w:r>
      <w:hyperlink w:history="0" w:anchor="P38924" w:tooltip="1">
        <w:r>
          <w:rPr>
            <w:sz w:val="24"/>
            <w:color w:val="0000ff"/>
          </w:rPr>
          <w:t xml:space="preserve">строк 1</w:t>
        </w:r>
      </w:hyperlink>
      <w:r>
        <w:rPr>
          <w:sz w:val="24"/>
        </w:rPr>
        <w:t xml:space="preserve"> - </w:t>
      </w:r>
      <w:hyperlink w:history="0" w:anchor="P39244" w:tooltip="25">
        <w:r>
          <w:rPr>
            <w:sz w:val="24"/>
            <w:color w:val="0000ff"/>
          </w:rPr>
          <w:t xml:space="preserve">25</w:t>
        </w:r>
      </w:hyperlink>
      <w:r>
        <w:rPr>
          <w:sz w:val="24"/>
        </w:rPr>
        <w:t xml:space="preserve"> отчетности по форме 0420172 "Расшифровка отдельных показателей деятельности страховщика" (далее - отчетность по форме 0420172) представляются страховщиком (за исключением иностранной страховой организации) за I квартал, первое полугодие, 9 месяцев в течение 10 рабочих дней после дня окончания отчетного периода, за год - в течение 35 рабочих дней после дня окончания отчетного периода.</w:t>
      </w:r>
    </w:p>
    <w:p>
      <w:pPr>
        <w:pStyle w:val="0"/>
        <w:spacing w:before="240" w:lineRule="auto"/>
        <w:ind w:firstLine="540"/>
        <w:jc w:val="both"/>
      </w:pPr>
      <w:r>
        <w:rPr>
          <w:sz w:val="24"/>
        </w:rPr>
        <w:t xml:space="preserve">Показатели </w:t>
      </w:r>
      <w:hyperlink w:history="0" w:anchor="P39260" w:tooltip="26">
        <w:r>
          <w:rPr>
            <w:sz w:val="24"/>
            <w:color w:val="0000ff"/>
          </w:rPr>
          <w:t xml:space="preserve">строк 26</w:t>
        </w:r>
      </w:hyperlink>
      <w:r>
        <w:rPr>
          <w:sz w:val="24"/>
        </w:rPr>
        <w:t xml:space="preserve"> - </w:t>
      </w:r>
      <w:hyperlink w:history="0" w:anchor="P39512" w:tooltip="46">
        <w:r>
          <w:rPr>
            <w:sz w:val="24"/>
            <w:color w:val="0000ff"/>
          </w:rPr>
          <w:t xml:space="preserve">46</w:t>
        </w:r>
      </w:hyperlink>
      <w:r>
        <w:rPr>
          <w:sz w:val="24"/>
        </w:rPr>
        <w:t xml:space="preserve"> отчетности по форме 0420172 представляются страховщиком (за исключением иностранной страховой организации) в течение 35 рабочих дней после дня окончания календарного года.</w:t>
      </w:r>
    </w:p>
    <w:p>
      <w:pPr>
        <w:pStyle w:val="0"/>
        <w:spacing w:before="240" w:lineRule="auto"/>
        <w:ind w:firstLine="540"/>
        <w:jc w:val="both"/>
      </w:pPr>
      <w:r>
        <w:rPr>
          <w:sz w:val="24"/>
        </w:rPr>
        <w:t xml:space="preserve">5.31. Показатели отчетности по </w:t>
      </w:r>
      <w:hyperlink w:history="0" w:anchor="P39603" w:tooltip="Отчетность по форме 0420173">
        <w:r>
          <w:rPr>
            <w:sz w:val="24"/>
            <w:color w:val="0000ff"/>
          </w:rPr>
          <w:t xml:space="preserve">форме 0420173</w:t>
        </w:r>
      </w:hyperlink>
      <w:r>
        <w:rPr>
          <w:sz w:val="24"/>
        </w:rPr>
        <w:t xml:space="preserve"> "Сведения о договоре об оказании услуг специализированного депозитария страховщика"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течение 3 рабочих дней после дня заключения, изменения или прекращения действия договора об оказании услуг специализированного депозитария.</w:t>
      </w:r>
    </w:p>
    <w:p>
      <w:pPr>
        <w:pStyle w:val="0"/>
        <w:spacing w:before="240" w:lineRule="auto"/>
        <w:ind w:firstLine="540"/>
        <w:jc w:val="both"/>
      </w:pPr>
      <w:r>
        <w:rPr>
          <w:sz w:val="24"/>
        </w:rPr>
        <w:t xml:space="preserve">5.32. Показатели отчетности по </w:t>
      </w:r>
      <w:hyperlink w:history="0" w:anchor="P39700" w:tooltip="Отчетность по форме 0420174">
        <w:r>
          <w:rPr>
            <w:sz w:val="24"/>
            <w:color w:val="0000ff"/>
          </w:rPr>
          <w:t xml:space="preserve">форме 0420174</w:t>
        </w:r>
      </w:hyperlink>
      <w:r>
        <w:rPr>
          <w:sz w:val="24"/>
        </w:rPr>
        <w:t xml:space="preserve"> "Сведения о показателях операционной надежности страховой организации и применяемых ею информационных технологиях" представляются страховой организацией за I, II и III кварталы в течение 15 рабочих дней после дня окончания отчетного периода, за IV квартал - не позднее 31 января года, следующего за отчетным периодом.</w:t>
      </w:r>
    </w:p>
    <w:bookmarkStart w:id="59476" w:name="P59476"/>
    <w:bookmarkEnd w:id="59476"/>
    <w:p>
      <w:pPr>
        <w:pStyle w:val="0"/>
        <w:spacing w:before="240" w:lineRule="auto"/>
        <w:ind w:firstLine="540"/>
        <w:jc w:val="both"/>
      </w:pPr>
      <w:r>
        <w:rPr>
          <w:sz w:val="24"/>
        </w:rPr>
        <w:t xml:space="preserve">5.33. Показатели отчетности по </w:t>
      </w:r>
      <w:hyperlink w:history="0" w:anchor="P40184" w:tooltip="Отчетность по форме 0420175">
        <w:r>
          <w:rPr>
            <w:sz w:val="24"/>
            <w:color w:val="0000ff"/>
          </w:rPr>
          <w:t xml:space="preserve">форме 0420175</w:t>
        </w:r>
      </w:hyperlink>
      <w:r>
        <w:rPr>
          <w:sz w:val="24"/>
        </w:rPr>
        <w:t xml:space="preserve"> "Сведения об оценке выполнения требований к обеспечению защиты информации страховой организацией" представляются страховой организацией, указанной в </w:t>
      </w:r>
      <w:hyperlink w:history="0" r:id="rId872"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абзаце пятом подпункта 1.4.3 пункта 1.4</w:t>
        </w:r>
      </w:hyperlink>
      <w:r>
        <w:rPr>
          <w:sz w:val="24"/>
        </w:rPr>
        <w:t xml:space="preserve"> Положения Банка России от 20 апреля 2021 года N 757-П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&lt;3&gt; (далее - Положение Банка России N 757-П), в течение 30 рабочих дней после дня завершения проведения оценки соответствия уровня защиты информации, предусмотренной </w:t>
      </w:r>
      <w:hyperlink w:history="0" r:id="rId873"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подпунктом 1.5.3 пункта 1.5</w:t>
        </w:r>
      </w:hyperlink>
      <w:r>
        <w:rPr>
          <w:sz w:val="24"/>
        </w:rPr>
        <w:t xml:space="preserve"> Положения Банка России N 757-П.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Зарегистрировано Минюстом России 15 июня 2021 года, регистрационный N 63880.</w:t>
      </w:r>
    </w:p>
    <w:p>
      <w:pPr>
        <w:pStyle w:val="0"/>
        <w:jc w:val="both"/>
      </w:pPr>
      <w:r>
        <w:rPr>
          <w:sz w:val="24"/>
        </w:rPr>
      </w:r>
    </w:p>
    <w:p>
      <w:pPr>
        <w:pStyle w:val="0"/>
        <w:ind w:firstLine="540"/>
        <w:jc w:val="both"/>
      </w:pPr>
      <w:r>
        <w:rPr>
          <w:sz w:val="24"/>
        </w:rPr>
        <w:t xml:space="preserve">6. По решению страховой организации (за исключением страховой медицинской организации, осуществляющей деятельность исключительно в сфере обязательного медицинского страхования) отчетность по </w:t>
      </w:r>
      <w:hyperlink w:history="0" w:anchor="P37402" w:tooltip="Отчетность по форме 0420164">
        <w:r>
          <w:rPr>
            <w:sz w:val="24"/>
            <w:color w:val="0000ff"/>
          </w:rPr>
          <w:t xml:space="preserve">форме 0420164</w:t>
        </w:r>
      </w:hyperlink>
      <w:r>
        <w:rPr>
          <w:sz w:val="24"/>
        </w:rPr>
        <w:t xml:space="preserve"> и отчетность по </w:t>
      </w:r>
      <w:hyperlink w:history="0" w:anchor="P37485" w:tooltip="Отчетность по форме 0420165">
        <w:r>
          <w:rPr>
            <w:sz w:val="24"/>
            <w:color w:val="0000ff"/>
          </w:rPr>
          <w:t xml:space="preserve">форме 0420165</w:t>
        </w:r>
      </w:hyperlink>
      <w:r>
        <w:rPr>
          <w:sz w:val="24"/>
        </w:rPr>
        <w:t xml:space="preserve"> представляются ежеквартально в течение 10 рабочих дней после дня окончания отчетного периода в случае, если страховая организация (за исключением страховой медицинской организации, осуществляющей деятельность исключительно в сфере обязательного медицинского страхования) соответствует одновременно следующим критериям:</w:t>
      </w:r>
    </w:p>
    <w:bookmarkStart w:id="59481" w:name="P59481"/>
    <w:bookmarkEnd w:id="59481"/>
    <w:p>
      <w:pPr>
        <w:pStyle w:val="0"/>
        <w:spacing w:before="240" w:lineRule="auto"/>
        <w:ind w:firstLine="540"/>
        <w:jc w:val="both"/>
      </w:pPr>
      <w:r>
        <w:rPr>
          <w:sz w:val="24"/>
        </w:rPr>
        <w:t xml:space="preserve">по состоянию на последний календарный день календарного года не имеет лицензий на осуществление добровольного страхования жизни и видов страхования, которые предусмотрены федеральными законами о конкретных видах обязательного страхования (за исключением обязательного медицинского страхования);</w:t>
      </w:r>
    </w:p>
    <w:p>
      <w:pPr>
        <w:pStyle w:val="0"/>
        <w:spacing w:before="240" w:lineRule="auto"/>
        <w:ind w:firstLine="540"/>
        <w:jc w:val="both"/>
      </w:pPr>
      <w:r>
        <w:rPr>
          <w:sz w:val="24"/>
        </w:rPr>
        <w:t xml:space="preserve">по состоянию на последний календарный день календарного года не имеет обязательств по договорам страхования гражданской ответственности застройщика за неисполнение или ненадлежащее исполнение обязательств по передаче объекта долевого строительства участнику долевого строительства по договору участия в долевом строительстве;</w:t>
      </w:r>
    </w:p>
    <w:bookmarkStart w:id="59483" w:name="P59483"/>
    <w:bookmarkEnd w:id="59483"/>
    <w:p>
      <w:pPr>
        <w:pStyle w:val="0"/>
        <w:spacing w:before="240" w:lineRule="auto"/>
        <w:ind w:firstLine="540"/>
        <w:jc w:val="both"/>
      </w:pPr>
      <w:r>
        <w:rPr>
          <w:sz w:val="24"/>
        </w:rPr>
        <w:t xml:space="preserve">сумма страховых премий по договорам страхования, сострахования, входящего перестрахования не превышает один миллиард рублей (в соответствии с данными </w:t>
      </w:r>
      <w:hyperlink w:history="0" w:anchor="P33608" w:tooltip="Раздел 3.">
        <w:r>
          <w:rPr>
            <w:sz w:val="24"/>
            <w:color w:val="0000ff"/>
          </w:rPr>
          <w:t xml:space="preserve">разделов 3</w:t>
        </w:r>
      </w:hyperlink>
      <w:r>
        <w:rPr>
          <w:sz w:val="24"/>
        </w:rPr>
        <w:t xml:space="preserve"> и </w:t>
      </w:r>
      <w:hyperlink w:history="0" w:anchor="P33962" w:tooltip="Раздел 4.">
        <w:r>
          <w:rPr>
            <w:sz w:val="24"/>
            <w:color w:val="0000ff"/>
          </w:rPr>
          <w:t xml:space="preserve">4</w:t>
        </w:r>
      </w:hyperlink>
      <w:r>
        <w:rPr>
          <w:sz w:val="24"/>
        </w:rPr>
        <w:t xml:space="preserve"> отчетности по форме 0420158 за год, представляемой страховой организацией в течение 10 рабочих дней после дня окончания отчетного периода).</w:t>
      </w:r>
    </w:p>
    <w:p>
      <w:pPr>
        <w:pStyle w:val="0"/>
        <w:spacing w:before="240" w:lineRule="auto"/>
        <w:ind w:firstLine="540"/>
        <w:jc w:val="both"/>
      </w:pPr>
      <w:r>
        <w:rPr>
          <w:sz w:val="24"/>
        </w:rPr>
        <w:t xml:space="preserve">7. В случае выявления страховщиком факта представления в Банк России отчетности страховщика, содержащей неверные и (или) неактуальные значения показателей, за любой отчетный период в течение последних 3 лет, предшествующих дню выявления указанного факта, исправленная отчетность страховщика должна быть представлена страховщиком в Банк России в течение 3 рабочих дней после дня выявления указанного факта.</w:t>
      </w:r>
    </w:p>
    <w:p>
      <w:pPr>
        <w:pStyle w:val="0"/>
        <w:spacing w:before="240" w:lineRule="auto"/>
        <w:ind w:firstLine="540"/>
        <w:jc w:val="both"/>
      </w:pPr>
      <w:r>
        <w:rPr>
          <w:sz w:val="24"/>
        </w:rPr>
        <w:t xml:space="preserve">Каждая исправленная форма отчетности страховщика за один или несколько отчетных периодов формируется перед отправлением в пакет электронных документов вместе с формами отчетности страховщика, для которых в соответствии с </w:t>
      </w:r>
      <w:hyperlink w:history="0" w:anchor="P59418" w:tooltip="5. Отчетность страховщика в виде предусмотренных в ней показателей представляется страховщиком в Банк России по состоянию на день (включительно) и (или) за период ее составления, указанные в приложениях 1 и 2 к настоящему Указанию (далее - отчетный период), в соответствии со сроками, предусмотренными подпунктами 5.1 - 5.33 настоящего пункта.">
        <w:r>
          <w:rPr>
            <w:sz w:val="24"/>
            <w:color w:val="0000ff"/>
          </w:rPr>
          <w:t xml:space="preserve">пунктом 5</w:t>
        </w:r>
      </w:hyperlink>
      <w:r>
        <w:rPr>
          <w:sz w:val="24"/>
        </w:rPr>
        <w:t xml:space="preserve"> настоящего приложения установлен одинаковый срок представления в Банк России, и представляется в Банк России в виде отдельного пакета электронных документов, в который включается файл, содержащий перечень неверных и (или) неактуальных значений показателей и описание причин их отражения в отчетности страховщика, а также реквизиты документа Банка России (в случае внесения исправлений в отчетность страховщика в соответствии с указанным документом Банка России).</w:t>
      </w:r>
    </w:p>
    <w:p>
      <w:pPr>
        <w:pStyle w:val="0"/>
        <w:spacing w:before="240" w:lineRule="auto"/>
        <w:ind w:firstLine="540"/>
        <w:jc w:val="both"/>
      </w:pPr>
      <w:r>
        <w:rPr>
          <w:sz w:val="24"/>
        </w:rPr>
        <w:t xml:space="preserve">Исправление показателей отчетности страховщика, которые основаны на данных бухгалтерской (финансовой) отчетности страховщика, осуществляется в случае, если исправления были внесены в бухгалтерскую (финансовую) отчетность страховщика за тот же отчетный период, за который представляется отчетность страховщика.</w:t>
      </w:r>
    </w:p>
    <w:p>
      <w:pPr>
        <w:pStyle w:val="0"/>
        <w:spacing w:before="240" w:lineRule="auto"/>
        <w:ind w:firstLine="540"/>
        <w:jc w:val="both"/>
      </w:pPr>
      <w:r>
        <w:rPr>
          <w:sz w:val="24"/>
        </w:rPr>
        <w:t xml:space="preserve">Отчетность в порядке надзора, составляемая по состоянию на конец отчетного года и представляемая в течение 10 рабочих дней после дня окончания отчетного года, не подлежит исправлению страховщиком в случае, если в годовой бухгалтерской (финансовой) отчетности страховщика будут отражены влияющие на значения показателей отчетности в порядке надзора события, подтверждающие условия, существовавшие на конец календарного года, отраженные в бухгалтерском учете страховщика после окончания года, за который составляется годовая бухгалтерская (финансовая) отчетность страховщика, в период до даты составления годовой бухгалтерской (финансовой) отчетности страховщика.</w:t>
      </w:r>
    </w:p>
    <w:p>
      <w:pPr>
        <w:pStyle w:val="0"/>
        <w:spacing w:before="240" w:lineRule="auto"/>
        <w:ind w:firstLine="540"/>
        <w:jc w:val="both"/>
      </w:pPr>
      <w:r>
        <w:rPr>
          <w:sz w:val="24"/>
        </w:rPr>
        <w:t xml:space="preserve">8. Правопреемник представляет в Банк России отчетность страховщика, составленную в отношении реорганизованного страховщика за отчетный период, в течение которого реорганизованный страховщик осуществлял свою деятельность (далее - последний отчетный период), в случае если реорганизованным страховщиком до завершения реорганизации не представлена в Банк России отчетность страховщика за последний отчетный период.</w:t>
      </w:r>
    </w:p>
    <w:p>
      <w:pPr>
        <w:pStyle w:val="0"/>
        <w:spacing w:before="240" w:lineRule="auto"/>
        <w:ind w:firstLine="540"/>
        <w:jc w:val="both"/>
      </w:pPr>
      <w:r>
        <w:rPr>
          <w:sz w:val="24"/>
        </w:rPr>
        <w:t xml:space="preserve">Правопреемник представляет в Банк России отчетность страховщика, составленную в отношении реорганизованного страховщика за последний отчетный период, в виде пакета электронных документов, в который включается файл, содержащий пояснения о том, что отчетность страховщика составлена правопреемником в отношении реорганизованного страховщика, с указанием полного наименования реорганизованного страховщика, его регистрационного номера записи в едином государственном реестре субъектов страхового дела, который ведется Банком России в соответствии с </w:t>
      </w:r>
      <w:hyperlink w:history="0" r:id="rId874"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подпунктом 1 пункта 4 статьи 30</w:t>
        </w:r>
      </w:hyperlink>
      <w:r>
        <w:rPr>
          <w:sz w:val="24"/>
        </w:rPr>
        <w:t xml:space="preserve"> Закона Российской Федерации N 4015-I (далее - ЕГРССД), формы, в которой произошла реорганизация, и даты внесения в ЕГРЮЛ записи о прекращении его деятельности.</w:t>
      </w:r>
    </w:p>
    <w:p>
      <w:pPr>
        <w:pStyle w:val="0"/>
        <w:spacing w:before="240" w:lineRule="auto"/>
        <w:ind w:firstLine="540"/>
        <w:jc w:val="both"/>
      </w:pPr>
      <w:r>
        <w:rPr>
          <w:sz w:val="24"/>
        </w:rPr>
        <w:t xml:space="preserve">Отчетность страховщика, составленная в отношении реорганизованного страховщика, подписывается лицом, осуществляющим функции единоличного исполнительного органа правопреемника (лицом, временно исполняющим его обязанности).</w:t>
      </w:r>
    </w:p>
    <w:p>
      <w:pPr>
        <w:pStyle w:val="0"/>
        <w:spacing w:before="240" w:lineRule="auto"/>
        <w:ind w:firstLine="540"/>
        <w:jc w:val="both"/>
      </w:pPr>
      <w:r>
        <w:rPr>
          <w:sz w:val="24"/>
        </w:rPr>
        <w:t xml:space="preserve">При реорганизации страховщика в форме преобразования отчетность страховщика должна включать в себя данные страховщика, из которого страховщик был преобразован, и представляться страховщиком в Банк России в порядке и сроки, предусмотренные настоящим приложением.</w:t>
      </w:r>
    </w:p>
    <w:p>
      <w:pPr>
        <w:pStyle w:val="0"/>
        <w:spacing w:before="240" w:lineRule="auto"/>
        <w:ind w:firstLine="540"/>
        <w:jc w:val="both"/>
      </w:pPr>
      <w:r>
        <w:rPr>
          <w:sz w:val="24"/>
        </w:rPr>
        <w:t xml:space="preserve">9. В случае если последний день срока представления отчетности страховщика приходится на выходной или нерабочий праздничный день, признаваемый таковым в соответствии со </w:t>
      </w:r>
      <w:hyperlink w:history="0" r:id="rId875" w:tooltip="&quot;Трудовой кодекс Российской Федерации&quot; от 30.12.2001 N 197-ФЗ (ред. от 28.12.2025) {КонсультантПлюс}">
        <w:r>
          <w:rPr>
            <w:sz w:val="24"/>
            <w:color w:val="0000ff"/>
          </w:rPr>
          <w:t xml:space="preserve">статьей 111</w:t>
        </w:r>
      </w:hyperlink>
      <w:r>
        <w:rPr>
          <w:sz w:val="24"/>
        </w:rPr>
        <w:t xml:space="preserve"> или </w:t>
      </w:r>
      <w:hyperlink w:history="0" r:id="rId876" w:tooltip="&quot;Трудовой кодекс Российской Федерации&quot; от 30.12.2001 N 197-ФЗ (ред. от 28.12.2025) {КонсультантПлюс}">
        <w:r>
          <w:rPr>
            <w:sz w:val="24"/>
            <w:color w:val="0000ff"/>
          </w:rPr>
          <w:t xml:space="preserve">112</w:t>
        </w:r>
      </w:hyperlink>
      <w:r>
        <w:rPr>
          <w:sz w:val="24"/>
        </w:rPr>
        <w:t xml:space="preserve"> Трудового кодекса Российской Федерации, днем окончания срока представления отчетности страховщика считается ближайший следующий за ним рабочий день.</w:t>
      </w:r>
    </w:p>
    <w:p>
      <w:pPr>
        <w:pStyle w:val="0"/>
        <w:spacing w:before="240" w:lineRule="auto"/>
        <w:ind w:firstLine="540"/>
        <w:jc w:val="both"/>
      </w:pPr>
      <w:r>
        <w:rPr>
          <w:sz w:val="24"/>
        </w:rPr>
        <w:t xml:space="preserve">10. Получение, обработка, использование, хранение и передача сведений, являющихся персональными данными в соответствии с Федеральным </w:t>
      </w:r>
      <w:hyperlink w:history="0" r:id="rId877" w:tooltip="Федеральный закон от 27.07.2006 N 152-ФЗ (ред. от 24.06.2025) &quot;О персональных данных&quot; {КонсультантПлюс}">
        <w:r>
          <w:rPr>
            <w:sz w:val="24"/>
            <w:color w:val="0000ff"/>
          </w:rPr>
          <w:t xml:space="preserve">законом</w:t>
        </w:r>
      </w:hyperlink>
      <w:r>
        <w:rPr>
          <w:sz w:val="24"/>
        </w:rPr>
        <w:t xml:space="preserve"> от 27 июля 2006 года N 152-ФЗ "О персональных данных", осуществляются в соответствии с требованиями указанного Федерального </w:t>
      </w:r>
      <w:hyperlink w:history="0" r:id="rId878" w:tooltip="Федеральный закон от 27.07.2006 N 152-ФЗ (ред. от 24.06.2025) &quot;О персональных данных&quot; {КонсультантПлюс}">
        <w:r>
          <w:rPr>
            <w:sz w:val="24"/>
            <w:color w:val="0000ff"/>
          </w:rPr>
          <w:t xml:space="preserve">закона</w:t>
        </w:r>
      </w:hyperlink>
      <w:r>
        <w:rPr>
          <w:sz w:val="24"/>
        </w:rPr>
        <w:t xml:space="preserve">.</w:t>
      </w:r>
    </w:p>
    <w:bookmarkStart w:id="59494" w:name="P59494"/>
    <w:bookmarkEnd w:id="59494"/>
    <w:p>
      <w:pPr>
        <w:pStyle w:val="0"/>
        <w:spacing w:before="240" w:lineRule="auto"/>
        <w:ind w:firstLine="540"/>
        <w:jc w:val="both"/>
      </w:pPr>
      <w:r>
        <w:rPr>
          <w:sz w:val="24"/>
        </w:rPr>
        <w:t xml:space="preserve">11. Сопроводительная информация к отчетности страховщика представляется страховщиком в соответствии со следующими таблицами:</w:t>
      </w:r>
    </w:p>
    <w:p>
      <w:pPr>
        <w:pStyle w:val="0"/>
        <w:jc w:val="both"/>
      </w:pPr>
      <w:r>
        <w:rPr>
          <w:sz w:val="24"/>
        </w:rPr>
      </w:r>
    </w:p>
    <w:tbl>
      <w:tblPr>
        <w:tblInd w:w="0" w:type="dxa"/>
        <w:tblLayout w:type="fixed"/>
        <w:tblCellMar>
          <w:top w:w="102" w:type="dxa"/>
          <w:left w:w="62" w:type="dxa"/>
          <w:bottom w:w="102" w:type="dxa"/>
          <w:right w:w="62" w:type="dxa"/>
        </w:tblCellMar>
      </w:tblPr>
      <w:tblGrid>
        <w:gridCol w:w="1417"/>
        <w:gridCol w:w="7597"/>
      </w:tblGrid>
      <w:tr>
        <w:tc>
          <w:tcPr>
            <w:tcW w:w="1417" w:type="dxa"/>
            <w:tcBorders>
              <w:top w:val="nil"/>
              <w:left w:val="nil"/>
              <w:bottom w:val="nil"/>
              <w:right w:val="nil"/>
            </w:tcBorders>
          </w:tcPr>
          <w:p>
            <w:pPr>
              <w:pStyle w:val="0"/>
            </w:pPr>
            <w:r>
              <w:rPr>
                <w:sz w:val="24"/>
              </w:rPr>
              <w:t xml:space="preserve">Таблица 1.</w:t>
            </w:r>
          </w:p>
        </w:tc>
        <w:tc>
          <w:tcPr>
            <w:tcW w:w="7597" w:type="dxa"/>
            <w:tcBorders>
              <w:top w:val="nil"/>
              <w:left w:val="nil"/>
              <w:bottom w:val="nil"/>
              <w:right w:val="nil"/>
            </w:tcBorders>
          </w:tcPr>
          <w:p>
            <w:pPr>
              <w:pStyle w:val="0"/>
              <w:jc w:val="both"/>
            </w:pPr>
            <w:r>
              <w:rPr>
                <w:sz w:val="24"/>
              </w:rPr>
              <w:t xml:space="preserve">Сопроводительная информация к отчетности страховщика</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показателя</w:t>
            </w:r>
          </w:p>
        </w:tc>
        <w:tc>
          <w:tcPr>
            <w:tcW w:w="1814" w:type="dxa"/>
          </w:tcPr>
          <w:p>
            <w:pPr>
              <w:pStyle w:val="0"/>
              <w:jc w:val="center"/>
            </w:pPr>
            <w:r>
              <w:rPr>
                <w:sz w:val="24"/>
              </w:rPr>
              <w:t xml:space="preserve">Наименование группы аналитических признаков</w:t>
            </w:r>
          </w:p>
        </w:tc>
        <w:tc>
          <w:tcPr>
            <w:tcW w:w="3402" w:type="dxa"/>
          </w:tcPr>
          <w:p>
            <w:pPr>
              <w:pStyle w:val="0"/>
              <w:jc w:val="center"/>
            </w:pPr>
            <w:r>
              <w:rPr>
                <w:sz w:val="24"/>
              </w:rPr>
              <w:t xml:space="preserve">Код показателя, группы аналитических признаков</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bookmarkStart w:id="59507" w:name="P59507"/>
          <w:bookmarkEnd w:id="59507"/>
          <w:p>
            <w:pPr>
              <w:pStyle w:val="0"/>
            </w:pPr>
            <w:r>
              <w:rPr>
                <w:sz w:val="24"/>
              </w:rPr>
              <w:t xml:space="preserve">1</w:t>
            </w:r>
          </w:p>
        </w:tc>
        <w:tc>
          <w:tcPr>
            <w:tcW w:w="2891" w:type="dxa"/>
          </w:tcPr>
          <w:p>
            <w:pPr>
              <w:pStyle w:val="0"/>
            </w:pPr>
            <w:r>
              <w:rPr>
                <w:sz w:val="24"/>
              </w:rPr>
              <w:t xml:space="preserve">Полное наименование</w:t>
            </w:r>
          </w:p>
        </w:tc>
        <w:tc>
          <w:tcPr>
            <w:tcW w:w="1814" w:type="dxa"/>
          </w:tcPr>
          <w:p>
            <w:pPr>
              <w:pStyle w:val="0"/>
            </w:pPr>
            <w:r>
              <w:rPr>
                <w:sz w:val="24"/>
              </w:rPr>
            </w:r>
          </w:p>
        </w:tc>
        <w:tc>
          <w:tcPr>
            <w:tcW w:w="3402" w:type="dxa"/>
          </w:tcPr>
          <w:p>
            <w:pPr>
              <w:pStyle w:val="0"/>
            </w:pPr>
            <w:r>
              <w:rPr>
                <w:sz w:val="24"/>
              </w:rPr>
              <w:t xml:space="preserve">nfo-dic:PolnNaim</w:t>
            </w:r>
          </w:p>
        </w:tc>
      </w:tr>
      <w:tr>
        <w:tc>
          <w:tcPr>
            <w:tcW w:w="964" w:type="dxa"/>
          </w:tcPr>
          <w:bookmarkStart w:id="59511" w:name="P59511"/>
          <w:bookmarkEnd w:id="59511"/>
          <w:p>
            <w:pPr>
              <w:pStyle w:val="0"/>
            </w:pPr>
            <w:r>
              <w:rPr>
                <w:sz w:val="24"/>
              </w:rPr>
              <w:t xml:space="preserve">2</w:t>
            </w:r>
          </w:p>
        </w:tc>
        <w:tc>
          <w:tcPr>
            <w:tcW w:w="2891" w:type="dxa"/>
          </w:tcPr>
          <w:p>
            <w:pPr>
              <w:pStyle w:val="0"/>
            </w:pPr>
            <w:r>
              <w:rPr>
                <w:sz w:val="24"/>
              </w:rPr>
              <w:t xml:space="preserve">Сокращенное наименование (при наличии)</w:t>
            </w:r>
          </w:p>
        </w:tc>
        <w:tc>
          <w:tcPr>
            <w:tcW w:w="1814" w:type="dxa"/>
          </w:tcPr>
          <w:p>
            <w:pPr>
              <w:pStyle w:val="0"/>
            </w:pPr>
            <w:r>
              <w:rPr>
                <w:sz w:val="24"/>
              </w:rPr>
            </w:r>
          </w:p>
        </w:tc>
        <w:tc>
          <w:tcPr>
            <w:tcW w:w="3402" w:type="dxa"/>
          </w:tcPr>
          <w:p>
            <w:pPr>
              <w:pStyle w:val="0"/>
            </w:pPr>
            <w:r>
              <w:rPr>
                <w:sz w:val="24"/>
              </w:rPr>
              <w:t xml:space="preserve">nfo-dic:SokrNaim</w:t>
            </w:r>
          </w:p>
        </w:tc>
      </w:tr>
      <w:tr>
        <w:tc>
          <w:tcPr>
            <w:tcW w:w="964" w:type="dxa"/>
          </w:tcPr>
          <w:bookmarkStart w:id="59515" w:name="P59515"/>
          <w:bookmarkEnd w:id="59515"/>
          <w:p>
            <w:pPr>
              <w:pStyle w:val="0"/>
            </w:pPr>
            <w:r>
              <w:rPr>
                <w:sz w:val="24"/>
              </w:rPr>
              <w:t xml:space="preserve">3</w:t>
            </w:r>
          </w:p>
        </w:tc>
        <w:tc>
          <w:tcPr>
            <w:tcW w:w="2891" w:type="dxa"/>
          </w:tcPr>
          <w:p>
            <w:pPr>
              <w:pStyle w:val="0"/>
            </w:pPr>
            <w:r>
              <w:rPr>
                <w:sz w:val="24"/>
              </w:rPr>
              <w:t xml:space="preserve">Идентификационный номер налогоплательщика (ИНН)</w:t>
            </w:r>
          </w:p>
        </w:tc>
        <w:tc>
          <w:tcPr>
            <w:tcW w:w="1814" w:type="dxa"/>
          </w:tcPr>
          <w:p>
            <w:pPr>
              <w:pStyle w:val="0"/>
            </w:pPr>
            <w:r>
              <w:rPr>
                <w:sz w:val="24"/>
              </w:rPr>
            </w:r>
          </w:p>
        </w:tc>
        <w:tc>
          <w:tcPr>
            <w:tcW w:w="3402" w:type="dxa"/>
          </w:tcPr>
          <w:p>
            <w:pPr>
              <w:pStyle w:val="0"/>
            </w:pPr>
            <w:r>
              <w:rPr>
                <w:sz w:val="24"/>
              </w:rPr>
              <w:t xml:space="preserve">nfo-dic:INN_NFO</w:t>
            </w:r>
          </w:p>
        </w:tc>
      </w:tr>
      <w:tr>
        <w:tc>
          <w:tcPr>
            <w:tcW w:w="964" w:type="dxa"/>
          </w:tcPr>
          <w:bookmarkStart w:id="59519" w:name="P59519"/>
          <w:bookmarkEnd w:id="59519"/>
          <w:p>
            <w:pPr>
              <w:pStyle w:val="0"/>
            </w:pPr>
            <w:r>
              <w:rPr>
                <w:sz w:val="24"/>
              </w:rPr>
              <w:t xml:space="preserve">4</w:t>
            </w:r>
          </w:p>
        </w:tc>
        <w:tc>
          <w:tcPr>
            <w:tcW w:w="2891" w:type="dxa"/>
          </w:tcPr>
          <w:p>
            <w:pPr>
              <w:pStyle w:val="0"/>
            </w:pPr>
            <w:r>
              <w:rPr>
                <w:sz w:val="24"/>
              </w:rPr>
              <w:t xml:space="preserve">Основной государственный регистрационный номер (ОГРН)</w:t>
            </w:r>
          </w:p>
        </w:tc>
        <w:tc>
          <w:tcPr>
            <w:tcW w:w="1814" w:type="dxa"/>
          </w:tcPr>
          <w:p>
            <w:pPr>
              <w:pStyle w:val="0"/>
            </w:pPr>
            <w:r>
              <w:rPr>
                <w:sz w:val="24"/>
              </w:rPr>
            </w:r>
          </w:p>
        </w:tc>
        <w:tc>
          <w:tcPr>
            <w:tcW w:w="3402" w:type="dxa"/>
          </w:tcPr>
          <w:p>
            <w:pPr>
              <w:pStyle w:val="0"/>
            </w:pPr>
            <w:r>
              <w:rPr>
                <w:sz w:val="24"/>
              </w:rPr>
              <w:t xml:space="preserve">nfo-dic:OGRN</w:t>
            </w:r>
          </w:p>
        </w:tc>
      </w:tr>
      <w:tr>
        <w:tc>
          <w:tcPr>
            <w:tcW w:w="964" w:type="dxa"/>
          </w:tcPr>
          <w:bookmarkStart w:id="59523" w:name="P59523"/>
          <w:bookmarkEnd w:id="59523"/>
          <w:p>
            <w:pPr>
              <w:pStyle w:val="0"/>
            </w:pPr>
            <w:r>
              <w:rPr>
                <w:sz w:val="24"/>
              </w:rPr>
              <w:t xml:space="preserve">5</w:t>
            </w:r>
          </w:p>
        </w:tc>
        <w:tc>
          <w:tcPr>
            <w:tcW w:w="2891" w:type="dxa"/>
          </w:tcPr>
          <w:p>
            <w:pPr>
              <w:pStyle w:val="0"/>
            </w:pPr>
            <w:r>
              <w:rPr>
                <w:sz w:val="24"/>
              </w:rPr>
              <w:t xml:space="preserve">Регистрационный номер записи в едином государственном реестре субъектов страхового дела</w:t>
            </w:r>
          </w:p>
        </w:tc>
        <w:tc>
          <w:tcPr>
            <w:tcW w:w="1814" w:type="dxa"/>
          </w:tcPr>
          <w:p>
            <w:pPr>
              <w:pStyle w:val="0"/>
            </w:pPr>
            <w:r>
              <w:rPr>
                <w:sz w:val="24"/>
              </w:rPr>
            </w:r>
          </w:p>
        </w:tc>
        <w:tc>
          <w:tcPr>
            <w:tcW w:w="3402" w:type="dxa"/>
          </w:tcPr>
          <w:p>
            <w:pPr>
              <w:pStyle w:val="0"/>
            </w:pPr>
            <w:r>
              <w:rPr>
                <w:sz w:val="24"/>
              </w:rPr>
              <w:t xml:space="preserve">ins-dic:RegNomerZapisiVEdinomGosReestreSSD</w:t>
            </w:r>
          </w:p>
        </w:tc>
      </w:tr>
      <w:tr>
        <w:tc>
          <w:tcPr>
            <w:tcW w:w="964" w:type="dxa"/>
          </w:tcPr>
          <w:bookmarkStart w:id="59527" w:name="P59527"/>
          <w:bookmarkEnd w:id="59527"/>
          <w:p>
            <w:pPr>
              <w:pStyle w:val="0"/>
            </w:pPr>
            <w:r>
              <w:rPr>
                <w:sz w:val="24"/>
              </w:rPr>
              <w:t xml:space="preserve">6</w:t>
            </w:r>
          </w:p>
        </w:tc>
        <w:tc>
          <w:tcPr>
            <w:tcW w:w="2891" w:type="dxa"/>
          </w:tcPr>
          <w:p>
            <w:pPr>
              <w:pStyle w:val="0"/>
            </w:pPr>
            <w:r>
              <w:rPr>
                <w:sz w:val="24"/>
              </w:rPr>
              <w:t xml:space="preserve">Дата составления отчетности</w:t>
            </w:r>
          </w:p>
        </w:tc>
        <w:tc>
          <w:tcPr>
            <w:tcW w:w="1814" w:type="dxa"/>
          </w:tcPr>
          <w:p>
            <w:pPr>
              <w:pStyle w:val="0"/>
            </w:pPr>
            <w:r>
              <w:rPr>
                <w:sz w:val="24"/>
              </w:rPr>
            </w:r>
          </w:p>
        </w:tc>
        <w:tc>
          <w:tcPr>
            <w:tcW w:w="3402" w:type="dxa"/>
          </w:tcPr>
          <w:p>
            <w:pPr>
              <w:pStyle w:val="0"/>
            </w:pPr>
            <w:r>
              <w:rPr>
                <w:sz w:val="24"/>
              </w:rPr>
              <w:t xml:space="preserve">nfo-dic:DataSostOtch</w:t>
            </w:r>
          </w:p>
        </w:tc>
      </w:tr>
      <w:tr>
        <w:tc>
          <w:tcPr>
            <w:tcW w:w="964" w:type="dxa"/>
          </w:tcPr>
          <w:bookmarkStart w:id="59531" w:name="P59531"/>
          <w:bookmarkEnd w:id="59531"/>
          <w:p>
            <w:pPr>
              <w:pStyle w:val="0"/>
            </w:pPr>
            <w:r>
              <w:rPr>
                <w:sz w:val="24"/>
              </w:rPr>
              <w:t xml:space="preserve">7</w:t>
            </w:r>
          </w:p>
        </w:tc>
        <w:tc>
          <w:tcPr>
            <w:tcW w:w="2891" w:type="dxa"/>
          </w:tcPr>
          <w:p>
            <w:pPr>
              <w:pStyle w:val="0"/>
            </w:pPr>
            <w:r>
              <w:rPr>
                <w:sz w:val="24"/>
              </w:rPr>
              <w:t xml:space="preserve">Дата подписания отчетности</w:t>
            </w:r>
          </w:p>
        </w:tc>
        <w:tc>
          <w:tcPr>
            <w:tcW w:w="1814" w:type="dxa"/>
          </w:tcPr>
          <w:p>
            <w:pPr>
              <w:pStyle w:val="0"/>
            </w:pPr>
            <w:r>
              <w:rPr>
                <w:sz w:val="24"/>
              </w:rPr>
            </w:r>
          </w:p>
        </w:tc>
        <w:tc>
          <w:tcPr>
            <w:tcW w:w="3402" w:type="dxa"/>
          </w:tcPr>
          <w:p>
            <w:pPr>
              <w:pStyle w:val="0"/>
            </w:pPr>
            <w:r>
              <w:rPr>
                <w:sz w:val="24"/>
              </w:rPr>
              <w:t xml:space="preserve">nfo-dic:DataPodpOtch</w:t>
            </w:r>
          </w:p>
        </w:tc>
      </w:tr>
      <w:tr>
        <w:tc>
          <w:tcPr>
            <w:tcW w:w="964" w:type="dxa"/>
          </w:tcPr>
          <w:bookmarkStart w:id="59535" w:name="P59535"/>
          <w:bookmarkEnd w:id="59535"/>
          <w:p>
            <w:pPr>
              <w:pStyle w:val="0"/>
            </w:pPr>
            <w:r>
              <w:rPr>
                <w:sz w:val="24"/>
              </w:rPr>
              <w:t xml:space="preserve">8</w:t>
            </w:r>
          </w:p>
        </w:tc>
        <w:tc>
          <w:tcPr>
            <w:tcW w:w="2891" w:type="dxa"/>
          </w:tcPr>
          <w:p>
            <w:pPr>
              <w:pStyle w:val="0"/>
            </w:pPr>
            <w:r>
              <w:rPr>
                <w:sz w:val="24"/>
              </w:rPr>
              <w:t xml:space="preserve">Фамилия, имя, отчество (при наличии) должностного лица, подписавшего отчетность</w:t>
            </w:r>
          </w:p>
        </w:tc>
        <w:tc>
          <w:tcPr>
            <w:tcW w:w="1814" w:type="dxa"/>
          </w:tcPr>
          <w:p>
            <w:pPr>
              <w:pStyle w:val="0"/>
            </w:pPr>
            <w:r>
              <w:rPr>
                <w:sz w:val="24"/>
              </w:rPr>
            </w:r>
          </w:p>
        </w:tc>
        <w:tc>
          <w:tcPr>
            <w:tcW w:w="3402" w:type="dxa"/>
          </w:tcPr>
          <w:p>
            <w:pPr>
              <w:pStyle w:val="0"/>
            </w:pPr>
            <w:r>
              <w:rPr>
                <w:sz w:val="24"/>
              </w:rPr>
              <w:t xml:space="preserve">ins-dic:FIODLPodpOtch</w:t>
            </w:r>
          </w:p>
        </w:tc>
      </w:tr>
      <w:tr>
        <w:tc>
          <w:tcPr>
            <w:tcW w:w="964" w:type="dxa"/>
          </w:tcPr>
          <w:bookmarkStart w:id="59539" w:name="P59539"/>
          <w:bookmarkEnd w:id="59539"/>
          <w:p>
            <w:pPr>
              <w:pStyle w:val="0"/>
            </w:pPr>
            <w:r>
              <w:rPr>
                <w:sz w:val="24"/>
              </w:rPr>
              <w:t xml:space="preserve">9</w:t>
            </w:r>
          </w:p>
        </w:tc>
        <w:tc>
          <w:tcPr>
            <w:tcW w:w="2891" w:type="dxa"/>
          </w:tcPr>
          <w:p>
            <w:pPr>
              <w:pStyle w:val="0"/>
            </w:pPr>
            <w:r>
              <w:rPr>
                <w:sz w:val="24"/>
              </w:rPr>
              <w:t xml:space="preserve">Должность должностного лица, подписавшего отчетность</w:t>
            </w:r>
          </w:p>
        </w:tc>
        <w:tc>
          <w:tcPr>
            <w:tcW w:w="1814" w:type="dxa"/>
          </w:tcPr>
          <w:p>
            <w:pPr>
              <w:pStyle w:val="0"/>
            </w:pPr>
            <w:r>
              <w:rPr>
                <w:sz w:val="24"/>
              </w:rPr>
            </w:r>
          </w:p>
        </w:tc>
        <w:tc>
          <w:tcPr>
            <w:tcW w:w="3402" w:type="dxa"/>
          </w:tcPr>
          <w:p>
            <w:pPr>
              <w:pStyle w:val="0"/>
            </w:pPr>
            <w:r>
              <w:rPr>
                <w:sz w:val="24"/>
              </w:rPr>
              <w:t xml:space="preserve">nfo-dic:DolzhDLPodpOtch</w:t>
            </w:r>
          </w:p>
        </w:tc>
      </w:tr>
      <w:tr>
        <w:tc>
          <w:tcPr>
            <w:tcW w:w="964" w:type="dxa"/>
          </w:tcPr>
          <w:bookmarkStart w:id="59543" w:name="P59543"/>
          <w:bookmarkEnd w:id="59543"/>
          <w:p>
            <w:pPr>
              <w:pStyle w:val="0"/>
            </w:pPr>
            <w:r>
              <w:rPr>
                <w:sz w:val="24"/>
              </w:rPr>
              <w:t xml:space="preserve">10</w:t>
            </w:r>
          </w:p>
        </w:tc>
        <w:tc>
          <w:tcPr>
            <w:tcW w:w="2891" w:type="dxa"/>
          </w:tcPr>
          <w:p>
            <w:pPr>
              <w:pStyle w:val="0"/>
            </w:pPr>
            <w:r>
              <w:rPr>
                <w:sz w:val="24"/>
              </w:rPr>
              <w:t xml:space="preserve">Номер телефона должностного лица, подписавшего отчетность</w:t>
            </w:r>
          </w:p>
        </w:tc>
        <w:tc>
          <w:tcPr>
            <w:tcW w:w="1814" w:type="dxa"/>
          </w:tcPr>
          <w:p>
            <w:pPr>
              <w:pStyle w:val="0"/>
            </w:pPr>
            <w:r>
              <w:rPr>
                <w:sz w:val="24"/>
              </w:rPr>
            </w:r>
          </w:p>
        </w:tc>
        <w:tc>
          <w:tcPr>
            <w:tcW w:w="3402" w:type="dxa"/>
          </w:tcPr>
          <w:p>
            <w:pPr>
              <w:pStyle w:val="0"/>
            </w:pPr>
            <w:r>
              <w:rPr>
                <w:sz w:val="24"/>
              </w:rPr>
              <w:t xml:space="preserve">nfo-dic:TelDLPodpOtch</w:t>
            </w:r>
          </w:p>
        </w:tc>
      </w:tr>
      <w:tr>
        <w:tc>
          <w:tcPr>
            <w:tcW w:w="964" w:type="dxa"/>
          </w:tcPr>
          <w:bookmarkStart w:id="59547" w:name="P59547"/>
          <w:bookmarkEnd w:id="59547"/>
          <w:p>
            <w:pPr>
              <w:pStyle w:val="0"/>
            </w:pPr>
            <w:r>
              <w:rPr>
                <w:sz w:val="24"/>
              </w:rPr>
              <w:t xml:space="preserve">11</w:t>
            </w:r>
          </w:p>
        </w:tc>
        <w:tc>
          <w:tcPr>
            <w:tcW w:w="2891" w:type="dxa"/>
          </w:tcPr>
          <w:p>
            <w:pPr>
              <w:pStyle w:val="0"/>
            </w:pPr>
            <w:r>
              <w:rPr>
                <w:sz w:val="24"/>
              </w:rPr>
              <w:t xml:space="preserve">Фамилия, имя, отчество (при наличии) должностного лица, составившего отчетность</w:t>
            </w:r>
          </w:p>
        </w:tc>
        <w:tc>
          <w:tcPr>
            <w:tcW w:w="1814" w:type="dxa"/>
          </w:tcPr>
          <w:p>
            <w:pPr>
              <w:pStyle w:val="0"/>
            </w:pPr>
            <w:r>
              <w:rPr>
                <w:sz w:val="24"/>
              </w:rPr>
            </w:r>
          </w:p>
        </w:tc>
        <w:tc>
          <w:tcPr>
            <w:tcW w:w="3402" w:type="dxa"/>
          </w:tcPr>
          <w:p>
            <w:pPr>
              <w:pStyle w:val="0"/>
            </w:pPr>
            <w:r>
              <w:rPr>
                <w:sz w:val="24"/>
              </w:rPr>
              <w:t xml:space="preserve">ins-dic:FIODLSostOtch</w:t>
            </w:r>
          </w:p>
        </w:tc>
      </w:tr>
      <w:tr>
        <w:tc>
          <w:tcPr>
            <w:tcW w:w="964" w:type="dxa"/>
          </w:tcPr>
          <w:bookmarkStart w:id="59551" w:name="P59551"/>
          <w:bookmarkEnd w:id="59551"/>
          <w:p>
            <w:pPr>
              <w:pStyle w:val="0"/>
            </w:pPr>
            <w:r>
              <w:rPr>
                <w:sz w:val="24"/>
              </w:rPr>
              <w:t xml:space="preserve">12</w:t>
            </w:r>
          </w:p>
        </w:tc>
        <w:tc>
          <w:tcPr>
            <w:tcW w:w="2891" w:type="dxa"/>
          </w:tcPr>
          <w:p>
            <w:pPr>
              <w:pStyle w:val="0"/>
            </w:pPr>
            <w:r>
              <w:rPr>
                <w:sz w:val="24"/>
              </w:rPr>
              <w:t xml:space="preserve">Должность должностного лица, составившего отчетность</w:t>
            </w:r>
          </w:p>
        </w:tc>
        <w:tc>
          <w:tcPr>
            <w:tcW w:w="1814" w:type="dxa"/>
          </w:tcPr>
          <w:p>
            <w:pPr>
              <w:pStyle w:val="0"/>
            </w:pPr>
            <w:r>
              <w:rPr>
                <w:sz w:val="24"/>
              </w:rPr>
            </w:r>
          </w:p>
        </w:tc>
        <w:tc>
          <w:tcPr>
            <w:tcW w:w="3402" w:type="dxa"/>
          </w:tcPr>
          <w:p>
            <w:pPr>
              <w:pStyle w:val="0"/>
            </w:pPr>
            <w:r>
              <w:rPr>
                <w:sz w:val="24"/>
              </w:rPr>
              <w:t xml:space="preserve">nfo-dic:DolzhDLSostOtch</w:t>
            </w:r>
          </w:p>
        </w:tc>
      </w:tr>
      <w:tr>
        <w:tc>
          <w:tcPr>
            <w:tcW w:w="964" w:type="dxa"/>
          </w:tcPr>
          <w:bookmarkStart w:id="59555" w:name="P59555"/>
          <w:bookmarkEnd w:id="59555"/>
          <w:p>
            <w:pPr>
              <w:pStyle w:val="0"/>
            </w:pPr>
            <w:r>
              <w:rPr>
                <w:sz w:val="24"/>
              </w:rPr>
              <w:t xml:space="preserve">13</w:t>
            </w:r>
          </w:p>
        </w:tc>
        <w:tc>
          <w:tcPr>
            <w:tcW w:w="2891" w:type="dxa"/>
          </w:tcPr>
          <w:p>
            <w:pPr>
              <w:pStyle w:val="0"/>
            </w:pPr>
            <w:r>
              <w:rPr>
                <w:sz w:val="24"/>
              </w:rPr>
              <w:t xml:space="preserve">Номер телефона должностного лица, составившего отчетность</w:t>
            </w:r>
          </w:p>
        </w:tc>
        <w:tc>
          <w:tcPr>
            <w:tcW w:w="1814" w:type="dxa"/>
          </w:tcPr>
          <w:p>
            <w:pPr>
              <w:pStyle w:val="0"/>
            </w:pPr>
            <w:r>
              <w:rPr>
                <w:sz w:val="24"/>
              </w:rPr>
            </w:r>
          </w:p>
        </w:tc>
        <w:tc>
          <w:tcPr>
            <w:tcW w:w="3402" w:type="dxa"/>
          </w:tcPr>
          <w:p>
            <w:pPr>
              <w:pStyle w:val="0"/>
            </w:pPr>
            <w:r>
              <w:rPr>
                <w:sz w:val="24"/>
              </w:rPr>
              <w:t xml:space="preserve">nfo-dic:TelDLSostOtch</w:t>
            </w:r>
          </w:p>
        </w:tc>
      </w:tr>
      <w:tr>
        <w:tc>
          <w:tcPr>
            <w:tcW w:w="964" w:type="dxa"/>
          </w:tcPr>
          <w:bookmarkStart w:id="59559" w:name="P59559"/>
          <w:bookmarkEnd w:id="59559"/>
          <w:p>
            <w:pPr>
              <w:pStyle w:val="0"/>
            </w:pPr>
            <w:r>
              <w:rPr>
                <w:sz w:val="24"/>
              </w:rPr>
              <w:t xml:space="preserve">14</w:t>
            </w:r>
          </w:p>
        </w:tc>
        <w:tc>
          <w:tcPr>
            <w:tcW w:w="2891" w:type="dxa"/>
          </w:tcPr>
          <w:p>
            <w:pPr>
              <w:pStyle w:val="0"/>
            </w:pPr>
            <w:r>
              <w:rPr>
                <w:sz w:val="24"/>
              </w:rPr>
              <w:t xml:space="preserve">Адрес электронной почты должностного лица, составившего отчетность</w:t>
            </w:r>
          </w:p>
        </w:tc>
        <w:tc>
          <w:tcPr>
            <w:tcW w:w="1814" w:type="dxa"/>
          </w:tcPr>
          <w:p>
            <w:pPr>
              <w:pStyle w:val="0"/>
            </w:pPr>
            <w:r>
              <w:rPr>
                <w:sz w:val="24"/>
              </w:rPr>
            </w:r>
          </w:p>
        </w:tc>
        <w:tc>
          <w:tcPr>
            <w:tcW w:w="3402" w:type="dxa"/>
          </w:tcPr>
          <w:p>
            <w:pPr>
              <w:pStyle w:val="0"/>
            </w:pPr>
            <w:r>
              <w:rPr>
                <w:sz w:val="24"/>
              </w:rPr>
              <w:t xml:space="preserve">nfo-dic:AdrElPochtLiczSostOtch</w:t>
            </w:r>
          </w:p>
        </w:tc>
      </w:tr>
      <w:tr>
        <w:tc>
          <w:tcPr>
            <w:tcW w:w="964" w:type="dxa"/>
          </w:tcPr>
          <w:bookmarkStart w:id="59563" w:name="P59563"/>
          <w:bookmarkEnd w:id="59563"/>
          <w:p>
            <w:pPr>
              <w:pStyle w:val="0"/>
            </w:pPr>
            <w:r>
              <w:rPr>
                <w:sz w:val="24"/>
              </w:rPr>
              <w:t xml:space="preserve">15</w:t>
            </w:r>
          </w:p>
        </w:tc>
        <w:tc>
          <w:tcPr>
            <w:tcW w:w="2891" w:type="dxa"/>
          </w:tcPr>
          <w:p>
            <w:pPr>
              <w:pStyle w:val="0"/>
            </w:pPr>
            <w:r>
              <w:rPr>
                <w:sz w:val="24"/>
              </w:rPr>
              <w:t xml:space="preserve">Фамилия, имя, отчество (при наличии) должностного лица, ответственного за предметную область отчетности</w:t>
            </w:r>
          </w:p>
        </w:tc>
        <w:tc>
          <w:tcPr>
            <w:tcW w:w="1814" w:type="dxa"/>
          </w:tcPr>
          <w:p>
            <w:pPr>
              <w:pStyle w:val="0"/>
            </w:pPr>
            <w:r>
              <w:rPr>
                <w:sz w:val="24"/>
              </w:rPr>
            </w:r>
          </w:p>
        </w:tc>
        <w:tc>
          <w:tcPr>
            <w:tcW w:w="3402" w:type="dxa"/>
          </w:tcPr>
          <w:p>
            <w:pPr>
              <w:pStyle w:val="0"/>
            </w:pPr>
            <w:r>
              <w:rPr>
                <w:sz w:val="24"/>
              </w:rPr>
              <w:t xml:space="preserve">ins-dic:LiczoOtvZaPrOblast</w:t>
            </w:r>
          </w:p>
        </w:tc>
      </w:tr>
      <w:tr>
        <w:tc>
          <w:tcPr>
            <w:tcW w:w="964" w:type="dxa"/>
          </w:tcPr>
          <w:p>
            <w:pPr>
              <w:pStyle w:val="0"/>
            </w:pPr>
            <w:r>
              <w:rPr>
                <w:sz w:val="24"/>
              </w:rPr>
              <w:t xml:space="preserve">15.1</w:t>
            </w:r>
          </w:p>
        </w:tc>
        <w:tc>
          <w:tcPr>
            <w:tcW w:w="2891" w:type="dxa"/>
          </w:tcPr>
          <w:p>
            <w:pPr>
              <w:pStyle w:val="0"/>
            </w:pPr>
            <w:r>
              <w:rPr>
                <w:sz w:val="24"/>
              </w:rPr>
            </w:r>
          </w:p>
        </w:tc>
        <w:tc>
          <w:tcPr>
            <w:tcW w:w="1814" w:type="dxa"/>
          </w:tcPr>
          <w:p>
            <w:pPr>
              <w:pStyle w:val="0"/>
            </w:pPr>
            <w:r>
              <w:rPr>
                <w:sz w:val="24"/>
              </w:rPr>
              <w:t xml:space="preserve">Предметная область отчетности</w:t>
            </w:r>
          </w:p>
        </w:tc>
        <w:tc>
          <w:tcPr>
            <w:tcW w:w="3402" w:type="dxa"/>
          </w:tcPr>
          <w:p>
            <w:pPr>
              <w:pStyle w:val="0"/>
            </w:pPr>
            <w:r>
              <w:rPr>
                <w:sz w:val="24"/>
              </w:rPr>
              <w:t xml:space="preserve">dim-int:PrOblastOtcetnostiTaxis</w:t>
            </w:r>
          </w:p>
        </w:tc>
      </w:tr>
      <w:tr>
        <w:tc>
          <w:tcPr>
            <w:tcW w:w="964" w:type="dxa"/>
          </w:tcPr>
          <w:bookmarkStart w:id="59571" w:name="P59571"/>
          <w:bookmarkEnd w:id="59571"/>
          <w:p>
            <w:pPr>
              <w:pStyle w:val="0"/>
            </w:pPr>
            <w:r>
              <w:rPr>
                <w:sz w:val="24"/>
              </w:rPr>
              <w:t xml:space="preserve">16</w:t>
            </w:r>
          </w:p>
        </w:tc>
        <w:tc>
          <w:tcPr>
            <w:tcW w:w="2891" w:type="dxa"/>
          </w:tcPr>
          <w:p>
            <w:pPr>
              <w:pStyle w:val="0"/>
            </w:pPr>
            <w:r>
              <w:rPr>
                <w:sz w:val="24"/>
              </w:rPr>
              <w:t xml:space="preserve">Должность должностного лица, ответственного за предметную область отчетности</w:t>
            </w:r>
          </w:p>
        </w:tc>
        <w:tc>
          <w:tcPr>
            <w:tcW w:w="1814" w:type="dxa"/>
          </w:tcPr>
          <w:p>
            <w:pPr>
              <w:pStyle w:val="0"/>
            </w:pPr>
            <w:r>
              <w:rPr>
                <w:sz w:val="24"/>
              </w:rPr>
            </w:r>
          </w:p>
        </w:tc>
        <w:tc>
          <w:tcPr>
            <w:tcW w:w="3402" w:type="dxa"/>
          </w:tcPr>
          <w:p>
            <w:pPr>
              <w:pStyle w:val="0"/>
            </w:pPr>
            <w:r>
              <w:rPr>
                <w:sz w:val="24"/>
              </w:rPr>
              <w:t xml:space="preserve">ins-dic:DolzhLiczaOtvZaPrOblast</w:t>
            </w:r>
          </w:p>
        </w:tc>
      </w:tr>
      <w:tr>
        <w:tc>
          <w:tcPr>
            <w:tcW w:w="964" w:type="dxa"/>
          </w:tcPr>
          <w:p>
            <w:pPr>
              <w:pStyle w:val="0"/>
            </w:pPr>
            <w:r>
              <w:rPr>
                <w:sz w:val="24"/>
              </w:rPr>
              <w:t xml:space="preserve">16.1</w:t>
            </w:r>
          </w:p>
        </w:tc>
        <w:tc>
          <w:tcPr>
            <w:tcW w:w="2891" w:type="dxa"/>
          </w:tcPr>
          <w:p>
            <w:pPr>
              <w:pStyle w:val="0"/>
            </w:pPr>
            <w:r>
              <w:rPr>
                <w:sz w:val="24"/>
              </w:rPr>
            </w:r>
          </w:p>
        </w:tc>
        <w:tc>
          <w:tcPr>
            <w:tcW w:w="1814" w:type="dxa"/>
          </w:tcPr>
          <w:p>
            <w:pPr>
              <w:pStyle w:val="0"/>
            </w:pPr>
            <w:r>
              <w:rPr>
                <w:sz w:val="24"/>
              </w:rPr>
              <w:t xml:space="preserve">Предметная область отчетности</w:t>
            </w:r>
          </w:p>
        </w:tc>
        <w:tc>
          <w:tcPr>
            <w:tcW w:w="3402" w:type="dxa"/>
          </w:tcPr>
          <w:p>
            <w:pPr>
              <w:pStyle w:val="0"/>
            </w:pPr>
            <w:r>
              <w:rPr>
                <w:sz w:val="24"/>
              </w:rPr>
              <w:t xml:space="preserve">dim-int:PrOblastOtcetnostiTaxis</w:t>
            </w:r>
          </w:p>
        </w:tc>
      </w:tr>
      <w:tr>
        <w:tc>
          <w:tcPr>
            <w:tcW w:w="964" w:type="dxa"/>
          </w:tcPr>
          <w:bookmarkStart w:id="59579" w:name="P59579"/>
          <w:bookmarkEnd w:id="59579"/>
          <w:p>
            <w:pPr>
              <w:pStyle w:val="0"/>
            </w:pPr>
            <w:r>
              <w:rPr>
                <w:sz w:val="24"/>
              </w:rPr>
              <w:t xml:space="preserve">17</w:t>
            </w:r>
          </w:p>
        </w:tc>
        <w:tc>
          <w:tcPr>
            <w:tcW w:w="2891" w:type="dxa"/>
          </w:tcPr>
          <w:p>
            <w:pPr>
              <w:pStyle w:val="0"/>
            </w:pPr>
            <w:r>
              <w:rPr>
                <w:sz w:val="24"/>
              </w:rPr>
              <w:t xml:space="preserve">Номер телефона должностного лица, ответственного за предметную область отчетности</w:t>
            </w:r>
          </w:p>
        </w:tc>
        <w:tc>
          <w:tcPr>
            <w:tcW w:w="1814" w:type="dxa"/>
          </w:tcPr>
          <w:p>
            <w:pPr>
              <w:pStyle w:val="0"/>
            </w:pPr>
            <w:r>
              <w:rPr>
                <w:sz w:val="24"/>
              </w:rPr>
            </w:r>
          </w:p>
        </w:tc>
        <w:tc>
          <w:tcPr>
            <w:tcW w:w="3402" w:type="dxa"/>
          </w:tcPr>
          <w:p>
            <w:pPr>
              <w:pStyle w:val="0"/>
            </w:pPr>
            <w:r>
              <w:rPr>
                <w:sz w:val="24"/>
              </w:rPr>
              <w:t xml:space="preserve">ins-dic:KontInfLiczaOtvZaPrOblast</w:t>
            </w:r>
          </w:p>
        </w:tc>
      </w:tr>
      <w:tr>
        <w:tc>
          <w:tcPr>
            <w:tcW w:w="964" w:type="dxa"/>
          </w:tcPr>
          <w:p>
            <w:pPr>
              <w:pStyle w:val="0"/>
            </w:pPr>
            <w:r>
              <w:rPr>
                <w:sz w:val="24"/>
              </w:rPr>
              <w:t xml:space="preserve">17.1</w:t>
            </w:r>
          </w:p>
        </w:tc>
        <w:tc>
          <w:tcPr>
            <w:tcW w:w="2891" w:type="dxa"/>
          </w:tcPr>
          <w:p>
            <w:pPr>
              <w:pStyle w:val="0"/>
            </w:pPr>
            <w:r>
              <w:rPr>
                <w:sz w:val="24"/>
              </w:rPr>
            </w:r>
          </w:p>
        </w:tc>
        <w:tc>
          <w:tcPr>
            <w:tcW w:w="1814" w:type="dxa"/>
          </w:tcPr>
          <w:p>
            <w:pPr>
              <w:pStyle w:val="0"/>
            </w:pPr>
            <w:r>
              <w:rPr>
                <w:sz w:val="24"/>
              </w:rPr>
              <w:t xml:space="preserve">Предметная область отчетности</w:t>
            </w:r>
          </w:p>
        </w:tc>
        <w:tc>
          <w:tcPr>
            <w:tcW w:w="3402" w:type="dxa"/>
          </w:tcPr>
          <w:p>
            <w:pPr>
              <w:pStyle w:val="0"/>
            </w:pPr>
            <w:r>
              <w:rPr>
                <w:sz w:val="24"/>
              </w:rPr>
              <w:t xml:space="preserve">dim-int:PrOblastOtcetnostiTaxis</w:t>
            </w:r>
          </w:p>
        </w:tc>
      </w:tr>
      <w:tr>
        <w:tc>
          <w:tcPr>
            <w:tcW w:w="964" w:type="dxa"/>
          </w:tcPr>
          <w:bookmarkStart w:id="59587" w:name="P59587"/>
          <w:bookmarkEnd w:id="59587"/>
          <w:p>
            <w:pPr>
              <w:pStyle w:val="0"/>
            </w:pPr>
            <w:r>
              <w:rPr>
                <w:sz w:val="24"/>
              </w:rPr>
              <w:t xml:space="preserve">18</w:t>
            </w:r>
          </w:p>
        </w:tc>
        <w:tc>
          <w:tcPr>
            <w:tcW w:w="2891" w:type="dxa"/>
          </w:tcPr>
          <w:p>
            <w:pPr>
              <w:pStyle w:val="0"/>
            </w:pPr>
            <w:r>
              <w:rPr>
                <w:sz w:val="24"/>
              </w:rPr>
              <w:t xml:space="preserve">Признак нулевого отчета</w:t>
            </w:r>
          </w:p>
        </w:tc>
        <w:tc>
          <w:tcPr>
            <w:tcW w:w="1814" w:type="dxa"/>
          </w:tcPr>
          <w:p>
            <w:pPr>
              <w:pStyle w:val="0"/>
            </w:pPr>
            <w:r>
              <w:rPr>
                <w:sz w:val="24"/>
              </w:rPr>
            </w:r>
          </w:p>
        </w:tc>
        <w:tc>
          <w:tcPr>
            <w:tcW w:w="3402" w:type="dxa"/>
          </w:tcPr>
          <w:p>
            <w:pPr>
              <w:pStyle w:val="0"/>
            </w:pPr>
            <w:r>
              <w:rPr>
                <w:sz w:val="24"/>
              </w:rPr>
              <w:t xml:space="preserve">nfo-dic:PriznakNulevogoOtchetaEnumerator</w:t>
            </w:r>
          </w:p>
        </w:tc>
      </w:tr>
      <w:tr>
        <w:tc>
          <w:tcPr>
            <w:tcW w:w="964" w:type="dxa"/>
          </w:tcPr>
          <w:p>
            <w:pPr>
              <w:pStyle w:val="0"/>
            </w:pPr>
            <w:r>
              <w:rPr>
                <w:sz w:val="24"/>
              </w:rPr>
              <w:t xml:space="preserve">18.1</w:t>
            </w:r>
          </w:p>
        </w:tc>
        <w:tc>
          <w:tcPr>
            <w:tcW w:w="2891" w:type="dxa"/>
          </w:tcPr>
          <w:p>
            <w:pPr>
              <w:pStyle w:val="0"/>
            </w:pPr>
            <w:r>
              <w:rPr>
                <w:sz w:val="24"/>
              </w:rPr>
            </w:r>
          </w:p>
        </w:tc>
        <w:tc>
          <w:tcPr>
            <w:tcW w:w="1814" w:type="dxa"/>
          </w:tcPr>
          <w:p>
            <w:pPr>
              <w:pStyle w:val="0"/>
            </w:pPr>
            <w:hyperlink w:history="0" r:id="rId87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59661" w:tooltip="&lt;1&gt; Общероссийский классификатор управленческой документации.">
              <w:r>
                <w:rPr>
                  <w:sz w:val="24"/>
                  <w:color w:val="0000ff"/>
                </w:rPr>
                <w:t xml:space="preserve">&lt;1&gt;</w:t>
              </w:r>
            </w:hyperlink>
          </w:p>
        </w:tc>
        <w:tc>
          <w:tcPr>
            <w:tcW w:w="3402" w:type="dxa"/>
          </w:tcPr>
          <w:p>
            <w:pPr>
              <w:pStyle w:val="0"/>
            </w:pPr>
            <w:r>
              <w:rPr>
                <w:sz w:val="24"/>
              </w:rPr>
              <w:t xml:space="preserve">dim-int:OKUDAxis</w:t>
            </w:r>
          </w:p>
        </w:tc>
      </w:tr>
      <w:tr>
        <w:tc>
          <w:tcPr>
            <w:tcW w:w="964" w:type="dxa"/>
          </w:tcPr>
          <w:bookmarkStart w:id="59595" w:name="P59595"/>
          <w:bookmarkEnd w:id="59595"/>
          <w:p>
            <w:pPr>
              <w:pStyle w:val="0"/>
            </w:pPr>
            <w:r>
              <w:rPr>
                <w:sz w:val="24"/>
              </w:rPr>
              <w:t xml:space="preserve">19</w:t>
            </w:r>
          </w:p>
        </w:tc>
        <w:tc>
          <w:tcPr>
            <w:tcW w:w="2891" w:type="dxa"/>
          </w:tcPr>
          <w:p>
            <w:pPr>
              <w:pStyle w:val="0"/>
            </w:pPr>
            <w:r>
              <w:rPr>
                <w:sz w:val="24"/>
              </w:rPr>
              <w:t xml:space="preserve">Причина непредставления формы</w:t>
            </w:r>
          </w:p>
        </w:tc>
        <w:tc>
          <w:tcPr>
            <w:tcW w:w="1814" w:type="dxa"/>
          </w:tcPr>
          <w:p>
            <w:pPr>
              <w:pStyle w:val="0"/>
            </w:pPr>
            <w:r>
              <w:rPr>
                <w:sz w:val="24"/>
              </w:rPr>
            </w:r>
          </w:p>
        </w:tc>
        <w:tc>
          <w:tcPr>
            <w:tcW w:w="3402" w:type="dxa"/>
          </w:tcPr>
          <w:p>
            <w:pPr>
              <w:pStyle w:val="0"/>
            </w:pPr>
            <w:r>
              <w:rPr>
                <w:sz w:val="24"/>
              </w:rPr>
              <w:t xml:space="preserve">nfo-dic:PrichinaNepredstavleniyaFormy</w:t>
            </w:r>
          </w:p>
        </w:tc>
      </w:tr>
      <w:tr>
        <w:tc>
          <w:tcPr>
            <w:tcW w:w="964" w:type="dxa"/>
          </w:tcPr>
          <w:p>
            <w:pPr>
              <w:pStyle w:val="0"/>
            </w:pPr>
            <w:r>
              <w:rPr>
                <w:sz w:val="24"/>
              </w:rPr>
              <w:t xml:space="preserve">19.1</w:t>
            </w:r>
          </w:p>
        </w:tc>
        <w:tc>
          <w:tcPr>
            <w:tcW w:w="2891" w:type="dxa"/>
          </w:tcPr>
          <w:p>
            <w:pPr>
              <w:pStyle w:val="0"/>
            </w:pPr>
            <w:r>
              <w:rPr>
                <w:sz w:val="24"/>
              </w:rPr>
            </w:r>
          </w:p>
        </w:tc>
        <w:tc>
          <w:tcPr>
            <w:tcW w:w="1814" w:type="dxa"/>
          </w:tcPr>
          <w:p>
            <w:pPr>
              <w:pStyle w:val="0"/>
            </w:pPr>
            <w:hyperlink w:history="0" r:id="rId88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p>
        </w:tc>
        <w:tc>
          <w:tcPr>
            <w:tcW w:w="3402" w:type="dxa"/>
          </w:tcPr>
          <w:p>
            <w:pPr>
              <w:pStyle w:val="0"/>
            </w:pPr>
            <w:r>
              <w:rPr>
                <w:sz w:val="24"/>
              </w:rPr>
              <w:t xml:space="preserve">dim-int:OKUDAxis</w:t>
            </w:r>
          </w:p>
        </w:tc>
      </w:tr>
      <w:tr>
        <w:tc>
          <w:tcPr>
            <w:tcW w:w="964" w:type="dxa"/>
          </w:tcPr>
          <w:bookmarkStart w:id="59603" w:name="P59603"/>
          <w:bookmarkEnd w:id="59603"/>
          <w:p>
            <w:pPr>
              <w:pStyle w:val="0"/>
            </w:pPr>
            <w:r>
              <w:rPr>
                <w:sz w:val="24"/>
              </w:rPr>
              <w:t xml:space="preserve">20</w:t>
            </w:r>
          </w:p>
        </w:tc>
        <w:tc>
          <w:tcPr>
            <w:tcW w:w="2891" w:type="dxa"/>
          </w:tcPr>
          <w:p>
            <w:pPr>
              <w:pStyle w:val="0"/>
            </w:pPr>
            <w:r>
              <w:rPr>
                <w:sz w:val="24"/>
              </w:rPr>
              <w:t xml:space="preserve">Программное обеспечение, использованное для формирования файла отчетности</w:t>
            </w:r>
          </w:p>
        </w:tc>
        <w:tc>
          <w:tcPr>
            <w:tcW w:w="1814" w:type="dxa"/>
          </w:tcPr>
          <w:p>
            <w:pPr>
              <w:pStyle w:val="0"/>
            </w:pPr>
            <w:r>
              <w:rPr>
                <w:sz w:val="24"/>
              </w:rPr>
            </w:r>
          </w:p>
        </w:tc>
        <w:tc>
          <w:tcPr>
            <w:tcW w:w="3402" w:type="dxa"/>
          </w:tcPr>
          <w:p>
            <w:pPr>
              <w:pStyle w:val="0"/>
            </w:pPr>
            <w:r>
              <w:rPr>
                <w:sz w:val="24"/>
              </w:rPr>
              <w:t xml:space="preserve">nfo-dic:PONaKotPodgotovPaketOtch</w:t>
            </w:r>
          </w:p>
        </w:tc>
      </w:tr>
      <w:tr>
        <w:tc>
          <w:tcPr>
            <w:tcW w:w="964" w:type="dxa"/>
          </w:tcPr>
          <w:bookmarkStart w:id="59607" w:name="P59607"/>
          <w:bookmarkEnd w:id="59607"/>
          <w:p>
            <w:pPr>
              <w:pStyle w:val="0"/>
            </w:pPr>
            <w:r>
              <w:rPr>
                <w:sz w:val="24"/>
              </w:rPr>
              <w:t xml:space="preserve">21</w:t>
            </w:r>
          </w:p>
        </w:tc>
        <w:tc>
          <w:tcPr>
            <w:tcW w:w="2891" w:type="dxa"/>
          </w:tcPr>
          <w:p>
            <w:pPr>
              <w:pStyle w:val="0"/>
            </w:pPr>
            <w:r>
              <w:rPr>
                <w:sz w:val="24"/>
              </w:rPr>
              <w:t xml:space="preserve">Дата решения о предоставлении лицензии управляющей компании</w:t>
            </w:r>
          </w:p>
        </w:tc>
        <w:tc>
          <w:tcPr>
            <w:tcW w:w="1814" w:type="dxa"/>
          </w:tcPr>
          <w:p>
            <w:pPr>
              <w:pStyle w:val="0"/>
            </w:pPr>
            <w:r>
              <w:rPr>
                <w:sz w:val="24"/>
              </w:rPr>
            </w:r>
          </w:p>
        </w:tc>
        <w:tc>
          <w:tcPr>
            <w:tcW w:w="3402" w:type="dxa"/>
          </w:tcPr>
          <w:p>
            <w:pPr>
              <w:pStyle w:val="0"/>
            </w:pPr>
            <w:r>
              <w:rPr>
                <w:sz w:val="24"/>
              </w:rPr>
              <w:t xml:space="preserve">ins-dic:DataReshOPredostLiczenzUK</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417"/>
        <w:gridCol w:w="7597"/>
      </w:tblGrid>
      <w:tr>
        <w:tc>
          <w:tcPr>
            <w:tcW w:w="1417" w:type="dxa"/>
            <w:tcBorders>
              <w:top w:val="nil"/>
              <w:left w:val="nil"/>
              <w:bottom w:val="nil"/>
              <w:right w:val="nil"/>
            </w:tcBorders>
          </w:tcPr>
          <w:p>
            <w:pPr>
              <w:pStyle w:val="0"/>
            </w:pPr>
            <w:r>
              <w:rPr>
                <w:sz w:val="24"/>
              </w:rPr>
              <w:t xml:space="preserve">Таблица 2.</w:t>
            </w:r>
          </w:p>
        </w:tc>
        <w:tc>
          <w:tcPr>
            <w:tcW w:w="7597" w:type="dxa"/>
            <w:tcBorders>
              <w:top w:val="nil"/>
              <w:left w:val="nil"/>
              <w:bottom w:val="nil"/>
              <w:right w:val="nil"/>
            </w:tcBorders>
          </w:tcPr>
          <w:p>
            <w:pPr>
              <w:pStyle w:val="0"/>
              <w:jc w:val="both"/>
            </w:pPr>
            <w:r>
              <w:rPr>
                <w:sz w:val="24"/>
              </w:rPr>
              <w:t xml:space="preserve">Группа аналитических признаков и аналитические признаки для формирования показателей сопроводительной информации к отчетности страховщика</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группы аналитических признаков</w:t>
            </w:r>
          </w:p>
        </w:tc>
        <w:tc>
          <w:tcPr>
            <w:tcW w:w="1814" w:type="dxa"/>
          </w:tcPr>
          <w:p>
            <w:pPr>
              <w:pStyle w:val="0"/>
              <w:jc w:val="center"/>
            </w:pPr>
            <w:r>
              <w:rPr>
                <w:sz w:val="24"/>
              </w:rPr>
              <w:t xml:space="preserve">Наименование аналитического признака</w:t>
            </w:r>
          </w:p>
        </w:tc>
        <w:tc>
          <w:tcPr>
            <w:tcW w:w="3402" w:type="dxa"/>
          </w:tcPr>
          <w:p>
            <w:pPr>
              <w:pStyle w:val="0"/>
              <w:jc w:val="center"/>
            </w:pPr>
            <w:r>
              <w:rPr>
                <w:sz w:val="24"/>
              </w:rPr>
              <w:t xml:space="preserve">Код группы аналитических признаков, аналитического признака</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hyperlink w:history="0" r:id="rId88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p>
        </w:tc>
        <w:tc>
          <w:tcPr>
            <w:tcW w:w="1814" w:type="dxa"/>
          </w:tcPr>
          <w:p>
            <w:pPr>
              <w:pStyle w:val="0"/>
            </w:pPr>
            <w:r>
              <w:rPr>
                <w:sz w:val="24"/>
              </w:rPr>
            </w:r>
          </w:p>
        </w:tc>
        <w:tc>
          <w:tcPr>
            <w:tcW w:w="3402" w:type="dxa"/>
          </w:tcPr>
          <w:p>
            <w:pPr>
              <w:pStyle w:val="0"/>
            </w:pPr>
            <w:r>
              <w:rPr>
                <w:sz w:val="24"/>
              </w:rPr>
              <w:t xml:space="preserve">dim-int:OKUDAxis</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hyperlink w:history="0" r:id="rId882"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76" w:tooltip="Отчетность по форме 0420150 &quot;Общие сведения о страховщике&quot;">
              <w:r>
                <w:rPr>
                  <w:sz w:val="24"/>
                  <w:color w:val="0000ff"/>
                </w:rPr>
                <w:t xml:space="preserve">0420150</w:t>
              </w:r>
            </w:hyperlink>
          </w:p>
        </w:tc>
        <w:tc>
          <w:tcPr>
            <w:tcW w:w="3402" w:type="dxa"/>
          </w:tcPr>
          <w:p>
            <w:pPr>
              <w:pStyle w:val="0"/>
            </w:pPr>
            <w:r>
              <w:rPr>
                <w:sz w:val="24"/>
              </w:rPr>
              <w:t xml:space="preserve">mem-int:OKUD0420150Member</w:t>
            </w:r>
          </w:p>
        </w:tc>
      </w:tr>
      <w:tr>
        <w:tc>
          <w:tcPr>
            <w:tcW w:w="964" w:type="dxa"/>
          </w:tcPr>
          <w:p>
            <w:pPr>
              <w:pStyle w:val="0"/>
            </w:pPr>
            <w:r>
              <w:rPr>
                <w:sz w:val="24"/>
              </w:rPr>
              <w:t xml:space="preserve">1.2</w:t>
            </w:r>
          </w:p>
        </w:tc>
        <w:tc>
          <w:tcPr>
            <w:tcW w:w="2891" w:type="dxa"/>
          </w:tcPr>
          <w:p>
            <w:pPr>
              <w:pStyle w:val="0"/>
            </w:pPr>
            <w:r>
              <w:rPr>
                <w:sz w:val="24"/>
              </w:rPr>
            </w:r>
          </w:p>
        </w:tc>
        <w:tc>
          <w:tcPr>
            <w:tcW w:w="1814" w:type="dxa"/>
          </w:tcPr>
          <w:p>
            <w:pPr>
              <w:pStyle w:val="0"/>
            </w:pPr>
            <w:hyperlink w:history="0" r:id="rId883"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1001" w:tooltip="Отчетность по форме 0420151">
              <w:r>
                <w:rPr>
                  <w:sz w:val="24"/>
                  <w:color w:val="0000ff"/>
                </w:rPr>
                <w:t xml:space="preserve">0420151</w:t>
              </w:r>
            </w:hyperlink>
          </w:p>
        </w:tc>
        <w:tc>
          <w:tcPr>
            <w:tcW w:w="3402" w:type="dxa"/>
          </w:tcPr>
          <w:p>
            <w:pPr>
              <w:pStyle w:val="0"/>
            </w:pPr>
            <w:r>
              <w:rPr>
                <w:sz w:val="24"/>
              </w:rPr>
              <w:t xml:space="preserve">mem-int:OKUD0420151Member</w:t>
            </w:r>
          </w:p>
        </w:tc>
      </w:tr>
      <w:tr>
        <w:tc>
          <w:tcPr>
            <w:tcW w:w="964" w:type="dxa"/>
          </w:tcPr>
          <w:p>
            <w:pPr>
              <w:pStyle w:val="0"/>
            </w:pPr>
            <w:r>
              <w:rPr>
                <w:sz w:val="24"/>
              </w:rPr>
              <w:t xml:space="preserve">1.3</w:t>
            </w:r>
          </w:p>
        </w:tc>
        <w:tc>
          <w:tcPr>
            <w:tcW w:w="2891" w:type="dxa"/>
          </w:tcPr>
          <w:p>
            <w:pPr>
              <w:pStyle w:val="0"/>
            </w:pPr>
            <w:r>
              <w:rPr>
                <w:sz w:val="24"/>
              </w:rPr>
            </w:r>
          </w:p>
        </w:tc>
        <w:tc>
          <w:tcPr>
            <w:tcW w:w="1814" w:type="dxa"/>
          </w:tcPr>
          <w:p>
            <w:pPr>
              <w:pStyle w:val="0"/>
            </w:pPr>
            <w:hyperlink w:history="0" r:id="rId884"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1468" w:tooltip="Отчетность по форме 0420152">
              <w:r>
                <w:rPr>
                  <w:sz w:val="24"/>
                  <w:color w:val="0000ff"/>
                </w:rPr>
                <w:t xml:space="preserve">0420152</w:t>
              </w:r>
            </w:hyperlink>
          </w:p>
        </w:tc>
        <w:tc>
          <w:tcPr>
            <w:tcW w:w="3402" w:type="dxa"/>
          </w:tcPr>
          <w:p>
            <w:pPr>
              <w:pStyle w:val="0"/>
            </w:pPr>
            <w:r>
              <w:rPr>
                <w:sz w:val="24"/>
              </w:rPr>
              <w:t xml:space="preserve">mem-int:OKUD0420152Member</w:t>
            </w:r>
          </w:p>
        </w:tc>
      </w:tr>
      <w:tr>
        <w:tc>
          <w:tcPr>
            <w:tcW w:w="964" w:type="dxa"/>
          </w:tcPr>
          <w:p>
            <w:pPr>
              <w:pStyle w:val="0"/>
            </w:pPr>
            <w:r>
              <w:rPr>
                <w:sz w:val="24"/>
              </w:rPr>
              <w:t xml:space="preserve">1.4</w:t>
            </w:r>
          </w:p>
        </w:tc>
        <w:tc>
          <w:tcPr>
            <w:tcW w:w="2891" w:type="dxa"/>
          </w:tcPr>
          <w:p>
            <w:pPr>
              <w:pStyle w:val="0"/>
            </w:pPr>
            <w:r>
              <w:rPr>
                <w:sz w:val="24"/>
              </w:rPr>
            </w:r>
          </w:p>
        </w:tc>
        <w:tc>
          <w:tcPr>
            <w:tcW w:w="1814" w:type="dxa"/>
          </w:tcPr>
          <w:p>
            <w:pPr>
              <w:pStyle w:val="0"/>
            </w:pPr>
            <w:hyperlink w:history="0" r:id="rId88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1888" w:tooltip="Отчетность по форме 0420153">
              <w:r>
                <w:rPr>
                  <w:sz w:val="24"/>
                  <w:color w:val="0000ff"/>
                </w:rPr>
                <w:t xml:space="preserve">0420153</w:t>
              </w:r>
            </w:hyperlink>
          </w:p>
        </w:tc>
        <w:tc>
          <w:tcPr>
            <w:tcW w:w="3402" w:type="dxa"/>
          </w:tcPr>
          <w:p>
            <w:pPr>
              <w:pStyle w:val="0"/>
            </w:pPr>
            <w:r>
              <w:rPr>
                <w:sz w:val="24"/>
              </w:rPr>
              <w:t xml:space="preserve">mem-int:OKUD0420153Member</w:t>
            </w:r>
          </w:p>
        </w:tc>
      </w:tr>
      <w:tr>
        <w:tc>
          <w:tcPr>
            <w:tcW w:w="964" w:type="dxa"/>
          </w:tcPr>
          <w:p>
            <w:pPr>
              <w:pStyle w:val="0"/>
            </w:pPr>
            <w:r>
              <w:rPr>
                <w:sz w:val="24"/>
              </w:rPr>
              <w:t xml:space="preserve">1.5</w:t>
            </w:r>
          </w:p>
        </w:tc>
        <w:tc>
          <w:tcPr>
            <w:tcW w:w="2891" w:type="dxa"/>
          </w:tcPr>
          <w:p>
            <w:pPr>
              <w:pStyle w:val="0"/>
            </w:pPr>
            <w:r>
              <w:rPr>
                <w:sz w:val="24"/>
              </w:rPr>
            </w:r>
          </w:p>
        </w:tc>
        <w:tc>
          <w:tcPr>
            <w:tcW w:w="1814" w:type="dxa"/>
          </w:tcPr>
          <w:p>
            <w:pPr>
              <w:pStyle w:val="0"/>
            </w:pPr>
            <w:hyperlink w:history="0" r:id="rId88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2335" w:tooltip="Отчетность по форме 0420154">
              <w:r>
                <w:rPr>
                  <w:sz w:val="24"/>
                  <w:color w:val="0000ff"/>
                </w:rPr>
                <w:t xml:space="preserve">0420154</w:t>
              </w:r>
            </w:hyperlink>
          </w:p>
        </w:tc>
        <w:tc>
          <w:tcPr>
            <w:tcW w:w="3402" w:type="dxa"/>
          </w:tcPr>
          <w:p>
            <w:pPr>
              <w:pStyle w:val="0"/>
            </w:pPr>
            <w:r>
              <w:rPr>
                <w:sz w:val="24"/>
              </w:rPr>
              <w:t xml:space="preserve">mem-int:OKUD0420154Member</w:t>
            </w:r>
          </w:p>
        </w:tc>
      </w:tr>
      <w:tr>
        <w:tc>
          <w:tcPr>
            <w:tcW w:w="964" w:type="dxa"/>
          </w:tcPr>
          <w:p>
            <w:pPr>
              <w:pStyle w:val="0"/>
            </w:pPr>
            <w:r>
              <w:rPr>
                <w:sz w:val="24"/>
              </w:rPr>
              <w:t xml:space="preserve">1.6</w:t>
            </w:r>
          </w:p>
        </w:tc>
        <w:tc>
          <w:tcPr>
            <w:tcW w:w="2891" w:type="dxa"/>
          </w:tcPr>
          <w:p>
            <w:pPr>
              <w:pStyle w:val="0"/>
            </w:pPr>
            <w:r>
              <w:rPr>
                <w:sz w:val="24"/>
              </w:rPr>
            </w:r>
          </w:p>
        </w:tc>
        <w:tc>
          <w:tcPr>
            <w:tcW w:w="1814" w:type="dxa"/>
          </w:tcPr>
          <w:p>
            <w:pPr>
              <w:pStyle w:val="0"/>
            </w:pPr>
            <w:hyperlink w:history="0" r:id="rId887"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29159" w:tooltip="Отчетность по форме 0420155">
              <w:r>
                <w:rPr>
                  <w:sz w:val="24"/>
                  <w:color w:val="0000ff"/>
                </w:rPr>
                <w:t xml:space="preserve">0420155</w:t>
              </w:r>
            </w:hyperlink>
          </w:p>
        </w:tc>
        <w:tc>
          <w:tcPr>
            <w:tcW w:w="3402" w:type="dxa"/>
          </w:tcPr>
          <w:p>
            <w:pPr>
              <w:pStyle w:val="0"/>
            </w:pPr>
            <w:r>
              <w:rPr>
                <w:sz w:val="24"/>
              </w:rPr>
              <w:t xml:space="preserve">mem-int:OKUD0420155Member</w:t>
            </w:r>
          </w:p>
        </w:tc>
      </w:tr>
      <w:tr>
        <w:tc>
          <w:tcPr>
            <w:tcW w:w="964" w:type="dxa"/>
          </w:tcPr>
          <w:p>
            <w:pPr>
              <w:pStyle w:val="0"/>
            </w:pPr>
            <w:r>
              <w:rPr>
                <w:sz w:val="24"/>
              </w:rPr>
              <w:t xml:space="preserve">1.7</w:t>
            </w:r>
          </w:p>
        </w:tc>
        <w:tc>
          <w:tcPr>
            <w:tcW w:w="2891" w:type="dxa"/>
          </w:tcPr>
          <w:p>
            <w:pPr>
              <w:pStyle w:val="0"/>
            </w:pPr>
            <w:r>
              <w:rPr>
                <w:sz w:val="24"/>
              </w:rPr>
            </w:r>
          </w:p>
        </w:tc>
        <w:tc>
          <w:tcPr>
            <w:tcW w:w="1814" w:type="dxa"/>
          </w:tcPr>
          <w:p>
            <w:pPr>
              <w:pStyle w:val="0"/>
            </w:pPr>
            <w:hyperlink w:history="0" r:id="rId888"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1933" w:tooltip="Отчетность по форме 0420156">
              <w:r>
                <w:rPr>
                  <w:sz w:val="24"/>
                  <w:color w:val="0000ff"/>
                </w:rPr>
                <w:t xml:space="preserve">0420156</w:t>
              </w:r>
            </w:hyperlink>
          </w:p>
        </w:tc>
        <w:tc>
          <w:tcPr>
            <w:tcW w:w="3402" w:type="dxa"/>
          </w:tcPr>
          <w:p>
            <w:pPr>
              <w:pStyle w:val="0"/>
            </w:pPr>
            <w:r>
              <w:rPr>
                <w:sz w:val="24"/>
              </w:rPr>
              <w:t xml:space="preserve">mem-int:OKUD0420156Member</w:t>
            </w:r>
          </w:p>
        </w:tc>
      </w:tr>
      <w:tr>
        <w:tc>
          <w:tcPr>
            <w:tcW w:w="964" w:type="dxa"/>
          </w:tcPr>
          <w:p>
            <w:pPr>
              <w:pStyle w:val="0"/>
            </w:pPr>
            <w:r>
              <w:rPr>
                <w:sz w:val="24"/>
              </w:rPr>
              <w:t xml:space="preserve">1.8</w:t>
            </w:r>
          </w:p>
        </w:tc>
        <w:tc>
          <w:tcPr>
            <w:tcW w:w="2891" w:type="dxa"/>
          </w:tcPr>
          <w:p>
            <w:pPr>
              <w:pStyle w:val="0"/>
            </w:pPr>
            <w:r>
              <w:rPr>
                <w:sz w:val="24"/>
              </w:rPr>
            </w:r>
          </w:p>
        </w:tc>
        <w:tc>
          <w:tcPr>
            <w:tcW w:w="1814" w:type="dxa"/>
          </w:tcPr>
          <w:p>
            <w:pPr>
              <w:pStyle w:val="0"/>
            </w:pPr>
            <w:hyperlink w:history="0" r:id="rId88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2577" w:tooltip="Отчетность по форме 0420157">
              <w:r>
                <w:rPr>
                  <w:sz w:val="24"/>
                  <w:color w:val="0000ff"/>
                </w:rPr>
                <w:t xml:space="preserve">0420157</w:t>
              </w:r>
            </w:hyperlink>
          </w:p>
        </w:tc>
        <w:tc>
          <w:tcPr>
            <w:tcW w:w="3402" w:type="dxa"/>
          </w:tcPr>
          <w:p>
            <w:pPr>
              <w:pStyle w:val="0"/>
            </w:pPr>
            <w:r>
              <w:rPr>
                <w:sz w:val="24"/>
              </w:rPr>
              <w:t xml:space="preserve">mem-int:OKUD0420157Member</w:t>
            </w:r>
          </w:p>
        </w:tc>
      </w:tr>
    </w:tbl>
    <w:p>
      <w:pPr>
        <w:pStyle w:val="0"/>
        <w:jc w:val="both"/>
      </w:pPr>
      <w:r>
        <w:rPr>
          <w:sz w:val="24"/>
        </w:rPr>
      </w:r>
    </w:p>
    <w:p>
      <w:pPr>
        <w:pStyle w:val="0"/>
        <w:ind w:firstLine="540"/>
        <w:jc w:val="both"/>
      </w:pPr>
      <w:r>
        <w:rPr>
          <w:sz w:val="24"/>
        </w:rPr>
        <w:t xml:space="preserve">--------------------------------</w:t>
      </w:r>
    </w:p>
    <w:bookmarkStart w:id="59661" w:name="P59661"/>
    <w:bookmarkEnd w:id="59661"/>
    <w:p>
      <w:pPr>
        <w:pStyle w:val="0"/>
        <w:spacing w:before="240" w:lineRule="auto"/>
        <w:ind w:firstLine="540"/>
        <w:jc w:val="both"/>
      </w:pPr>
      <w:r>
        <w:rPr>
          <w:sz w:val="24"/>
        </w:rPr>
        <w:t xml:space="preserve">&lt;1&gt; Общероссийский </w:t>
      </w:r>
      <w:hyperlink w:history="0" r:id="rId89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классификатор</w:t>
        </w:r>
      </w:hyperlink>
      <w:r>
        <w:rPr>
          <w:sz w:val="24"/>
        </w:rPr>
        <w:t xml:space="preserve"> управленческой документации.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pPr>
            <w:r>
              <w:rPr>
                <w:sz w:val="24"/>
              </w:rPr>
            </w:r>
          </w:p>
        </w:tc>
        <w:tc>
          <w:tcPr>
            <w:tcW w:w="3402" w:type="dxa"/>
          </w:tcPr>
          <w:p>
            <w:pPr>
              <w:pStyle w:val="0"/>
              <w:jc w:val="center"/>
            </w:pPr>
            <w:r>
              <w:rPr>
                <w:sz w:val="24"/>
              </w:rPr>
              <w:t xml:space="preserve">4</w:t>
            </w:r>
          </w:p>
        </w:tc>
      </w:tr>
      <w:tr>
        <w:tc>
          <w:tcPr>
            <w:tcW w:w="964" w:type="dxa"/>
          </w:tcPr>
          <w:p>
            <w:pPr>
              <w:pStyle w:val="0"/>
            </w:pPr>
            <w:r>
              <w:rPr>
                <w:sz w:val="24"/>
              </w:rPr>
              <w:t xml:space="preserve">1.9</w:t>
            </w:r>
          </w:p>
        </w:tc>
        <w:tc>
          <w:tcPr>
            <w:tcW w:w="2891" w:type="dxa"/>
          </w:tcPr>
          <w:p>
            <w:pPr>
              <w:pStyle w:val="0"/>
            </w:pPr>
            <w:r>
              <w:rPr>
                <w:sz w:val="24"/>
              </w:rPr>
            </w:r>
          </w:p>
        </w:tc>
        <w:tc>
          <w:tcPr>
            <w:tcW w:w="1814" w:type="dxa"/>
          </w:tcPr>
          <w:p>
            <w:pPr>
              <w:pStyle w:val="0"/>
            </w:pPr>
            <w:hyperlink w:history="0" r:id="rId89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2937" w:tooltip="Отчетность по форме 0420158">
              <w:r>
                <w:rPr>
                  <w:sz w:val="24"/>
                  <w:color w:val="0000ff"/>
                </w:rPr>
                <w:t xml:space="preserve">0420158</w:t>
              </w:r>
            </w:hyperlink>
          </w:p>
        </w:tc>
        <w:tc>
          <w:tcPr>
            <w:tcW w:w="3402" w:type="dxa"/>
          </w:tcPr>
          <w:p>
            <w:pPr>
              <w:pStyle w:val="0"/>
            </w:pPr>
            <w:r>
              <w:rPr>
                <w:sz w:val="24"/>
              </w:rPr>
              <w:t xml:space="preserve">mem-int:OKUD0420158Member</w:t>
            </w:r>
          </w:p>
        </w:tc>
      </w:tr>
      <w:tr>
        <w:tc>
          <w:tcPr>
            <w:tcW w:w="964" w:type="dxa"/>
          </w:tcPr>
          <w:p>
            <w:pPr>
              <w:pStyle w:val="0"/>
            </w:pPr>
            <w:r>
              <w:rPr>
                <w:sz w:val="24"/>
              </w:rPr>
              <w:t xml:space="preserve">1.10</w:t>
            </w:r>
          </w:p>
        </w:tc>
        <w:tc>
          <w:tcPr>
            <w:tcW w:w="2891" w:type="dxa"/>
          </w:tcPr>
          <w:p>
            <w:pPr>
              <w:pStyle w:val="0"/>
            </w:pPr>
            <w:r>
              <w:rPr>
                <w:sz w:val="24"/>
              </w:rPr>
            </w:r>
          </w:p>
        </w:tc>
        <w:tc>
          <w:tcPr>
            <w:tcW w:w="1814" w:type="dxa"/>
          </w:tcPr>
          <w:p>
            <w:pPr>
              <w:pStyle w:val="0"/>
            </w:pPr>
            <w:hyperlink w:history="0" r:id="rId892"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4526" w:tooltip="Отчетность по форме 0420159">
              <w:r>
                <w:rPr>
                  <w:sz w:val="24"/>
                  <w:color w:val="0000ff"/>
                </w:rPr>
                <w:t xml:space="preserve">0420159</w:t>
              </w:r>
            </w:hyperlink>
          </w:p>
        </w:tc>
        <w:tc>
          <w:tcPr>
            <w:tcW w:w="3402" w:type="dxa"/>
          </w:tcPr>
          <w:p>
            <w:pPr>
              <w:pStyle w:val="0"/>
            </w:pPr>
            <w:r>
              <w:rPr>
                <w:sz w:val="24"/>
              </w:rPr>
              <w:t xml:space="preserve">mem-int:OKUD0420159Member</w:t>
            </w:r>
          </w:p>
        </w:tc>
      </w:tr>
      <w:tr>
        <w:tc>
          <w:tcPr>
            <w:tcW w:w="964" w:type="dxa"/>
          </w:tcPr>
          <w:p>
            <w:pPr>
              <w:pStyle w:val="0"/>
            </w:pPr>
            <w:r>
              <w:rPr>
                <w:sz w:val="24"/>
              </w:rPr>
              <w:t xml:space="preserve">1.11</w:t>
            </w:r>
          </w:p>
        </w:tc>
        <w:tc>
          <w:tcPr>
            <w:tcW w:w="2891" w:type="dxa"/>
          </w:tcPr>
          <w:p>
            <w:pPr>
              <w:pStyle w:val="0"/>
            </w:pPr>
            <w:r>
              <w:rPr>
                <w:sz w:val="24"/>
              </w:rPr>
            </w:r>
          </w:p>
        </w:tc>
        <w:tc>
          <w:tcPr>
            <w:tcW w:w="1814" w:type="dxa"/>
          </w:tcPr>
          <w:p>
            <w:pPr>
              <w:pStyle w:val="0"/>
            </w:pPr>
            <w:hyperlink w:history="0" r:id="rId893"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5303" w:tooltip="Отчетность по форме 0420160">
              <w:r>
                <w:rPr>
                  <w:sz w:val="24"/>
                  <w:color w:val="0000ff"/>
                </w:rPr>
                <w:t xml:space="preserve">0420160</w:t>
              </w:r>
            </w:hyperlink>
          </w:p>
        </w:tc>
        <w:tc>
          <w:tcPr>
            <w:tcW w:w="3402" w:type="dxa"/>
          </w:tcPr>
          <w:p>
            <w:pPr>
              <w:pStyle w:val="0"/>
            </w:pPr>
            <w:r>
              <w:rPr>
                <w:sz w:val="24"/>
              </w:rPr>
              <w:t xml:space="preserve">mem-int:OKUD0420160Member</w:t>
            </w:r>
          </w:p>
        </w:tc>
      </w:tr>
      <w:tr>
        <w:tc>
          <w:tcPr>
            <w:tcW w:w="964" w:type="dxa"/>
          </w:tcPr>
          <w:p>
            <w:pPr>
              <w:pStyle w:val="0"/>
            </w:pPr>
            <w:r>
              <w:rPr>
                <w:sz w:val="24"/>
              </w:rPr>
              <w:t xml:space="preserve">1.12</w:t>
            </w:r>
          </w:p>
        </w:tc>
        <w:tc>
          <w:tcPr>
            <w:tcW w:w="2891" w:type="dxa"/>
          </w:tcPr>
          <w:p>
            <w:pPr>
              <w:pStyle w:val="0"/>
            </w:pPr>
            <w:r>
              <w:rPr>
                <w:sz w:val="24"/>
              </w:rPr>
            </w:r>
          </w:p>
        </w:tc>
        <w:tc>
          <w:tcPr>
            <w:tcW w:w="1814" w:type="dxa"/>
          </w:tcPr>
          <w:p>
            <w:pPr>
              <w:pStyle w:val="0"/>
            </w:pPr>
            <w:hyperlink w:history="0" r:id="rId894"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006" w:tooltip="Отчетность по форме 0420161">
              <w:r>
                <w:rPr>
                  <w:sz w:val="24"/>
                  <w:color w:val="0000ff"/>
                </w:rPr>
                <w:t xml:space="preserve">0420161</w:t>
              </w:r>
            </w:hyperlink>
          </w:p>
        </w:tc>
        <w:tc>
          <w:tcPr>
            <w:tcW w:w="3402" w:type="dxa"/>
          </w:tcPr>
          <w:p>
            <w:pPr>
              <w:pStyle w:val="0"/>
            </w:pPr>
            <w:r>
              <w:rPr>
                <w:sz w:val="24"/>
              </w:rPr>
              <w:t xml:space="preserve">mem-int:OKUD0420161Member</w:t>
            </w:r>
          </w:p>
        </w:tc>
      </w:tr>
      <w:tr>
        <w:tc>
          <w:tcPr>
            <w:tcW w:w="964" w:type="dxa"/>
          </w:tcPr>
          <w:p>
            <w:pPr>
              <w:pStyle w:val="0"/>
            </w:pPr>
            <w:r>
              <w:rPr>
                <w:sz w:val="24"/>
              </w:rPr>
              <w:t xml:space="preserve">1.13</w:t>
            </w:r>
          </w:p>
        </w:tc>
        <w:tc>
          <w:tcPr>
            <w:tcW w:w="2891" w:type="dxa"/>
          </w:tcPr>
          <w:p>
            <w:pPr>
              <w:pStyle w:val="0"/>
            </w:pPr>
            <w:r>
              <w:rPr>
                <w:sz w:val="24"/>
              </w:rPr>
            </w:r>
          </w:p>
        </w:tc>
        <w:tc>
          <w:tcPr>
            <w:tcW w:w="1814" w:type="dxa"/>
          </w:tcPr>
          <w:p>
            <w:pPr>
              <w:pStyle w:val="0"/>
            </w:pPr>
            <w:hyperlink w:history="0" r:id="rId89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54356" w:tooltip="Отчетность по форме 0420162">
              <w:r>
                <w:rPr>
                  <w:sz w:val="24"/>
                  <w:color w:val="0000ff"/>
                </w:rPr>
                <w:t xml:space="preserve">0420162</w:t>
              </w:r>
            </w:hyperlink>
          </w:p>
        </w:tc>
        <w:tc>
          <w:tcPr>
            <w:tcW w:w="3402" w:type="dxa"/>
          </w:tcPr>
          <w:p>
            <w:pPr>
              <w:pStyle w:val="0"/>
            </w:pPr>
            <w:r>
              <w:rPr>
                <w:sz w:val="24"/>
              </w:rPr>
              <w:t xml:space="preserve">mem-int:OKUD0420162Member</w:t>
            </w:r>
          </w:p>
        </w:tc>
      </w:tr>
      <w:tr>
        <w:tc>
          <w:tcPr>
            <w:tcW w:w="964" w:type="dxa"/>
          </w:tcPr>
          <w:p>
            <w:pPr>
              <w:pStyle w:val="0"/>
            </w:pPr>
            <w:r>
              <w:rPr>
                <w:sz w:val="24"/>
              </w:rPr>
              <w:t xml:space="preserve">1.14</w:t>
            </w:r>
          </w:p>
        </w:tc>
        <w:tc>
          <w:tcPr>
            <w:tcW w:w="2891" w:type="dxa"/>
          </w:tcPr>
          <w:p>
            <w:pPr>
              <w:pStyle w:val="0"/>
            </w:pPr>
            <w:r>
              <w:rPr>
                <w:sz w:val="24"/>
              </w:rPr>
            </w:r>
          </w:p>
        </w:tc>
        <w:tc>
          <w:tcPr>
            <w:tcW w:w="1814" w:type="dxa"/>
          </w:tcPr>
          <w:p>
            <w:pPr>
              <w:pStyle w:val="0"/>
            </w:pPr>
            <w:hyperlink w:history="0" r:id="rId89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230" w:tooltip="Отчетность по форме 0420163">
              <w:r>
                <w:rPr>
                  <w:sz w:val="24"/>
                  <w:color w:val="0000ff"/>
                </w:rPr>
                <w:t xml:space="preserve">0420163</w:t>
              </w:r>
            </w:hyperlink>
          </w:p>
        </w:tc>
        <w:tc>
          <w:tcPr>
            <w:tcW w:w="3402" w:type="dxa"/>
          </w:tcPr>
          <w:p>
            <w:pPr>
              <w:pStyle w:val="0"/>
            </w:pPr>
            <w:r>
              <w:rPr>
                <w:sz w:val="24"/>
              </w:rPr>
              <w:t xml:space="preserve">mem-int:OKUD0420163Member</w:t>
            </w:r>
          </w:p>
        </w:tc>
      </w:tr>
      <w:tr>
        <w:tc>
          <w:tcPr>
            <w:tcW w:w="964" w:type="dxa"/>
          </w:tcPr>
          <w:p>
            <w:pPr>
              <w:pStyle w:val="0"/>
            </w:pPr>
            <w:r>
              <w:rPr>
                <w:sz w:val="24"/>
              </w:rPr>
              <w:t xml:space="preserve">1.15</w:t>
            </w:r>
          </w:p>
        </w:tc>
        <w:tc>
          <w:tcPr>
            <w:tcW w:w="2891" w:type="dxa"/>
          </w:tcPr>
          <w:p>
            <w:pPr>
              <w:pStyle w:val="0"/>
            </w:pPr>
            <w:r>
              <w:rPr>
                <w:sz w:val="24"/>
              </w:rPr>
            </w:r>
          </w:p>
        </w:tc>
        <w:tc>
          <w:tcPr>
            <w:tcW w:w="1814" w:type="dxa"/>
          </w:tcPr>
          <w:p>
            <w:pPr>
              <w:pStyle w:val="0"/>
            </w:pPr>
            <w:hyperlink w:history="0" r:id="rId897"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402" w:tooltip="Отчетность по форме 0420164">
              <w:r>
                <w:rPr>
                  <w:sz w:val="24"/>
                  <w:color w:val="0000ff"/>
                </w:rPr>
                <w:t xml:space="preserve">0420164</w:t>
              </w:r>
            </w:hyperlink>
          </w:p>
        </w:tc>
        <w:tc>
          <w:tcPr>
            <w:tcW w:w="3402" w:type="dxa"/>
          </w:tcPr>
          <w:p>
            <w:pPr>
              <w:pStyle w:val="0"/>
            </w:pPr>
            <w:r>
              <w:rPr>
                <w:sz w:val="24"/>
              </w:rPr>
              <w:t xml:space="preserve">mem-int:OKUD0420164Member</w:t>
            </w:r>
          </w:p>
        </w:tc>
      </w:tr>
      <w:tr>
        <w:tc>
          <w:tcPr>
            <w:tcW w:w="964" w:type="dxa"/>
          </w:tcPr>
          <w:p>
            <w:pPr>
              <w:pStyle w:val="0"/>
            </w:pPr>
            <w:r>
              <w:rPr>
                <w:sz w:val="24"/>
              </w:rPr>
              <w:t xml:space="preserve">1.16</w:t>
            </w:r>
          </w:p>
        </w:tc>
        <w:tc>
          <w:tcPr>
            <w:tcW w:w="2891" w:type="dxa"/>
          </w:tcPr>
          <w:p>
            <w:pPr>
              <w:pStyle w:val="0"/>
            </w:pPr>
            <w:r>
              <w:rPr>
                <w:sz w:val="24"/>
              </w:rPr>
            </w:r>
          </w:p>
        </w:tc>
        <w:tc>
          <w:tcPr>
            <w:tcW w:w="1814" w:type="dxa"/>
          </w:tcPr>
          <w:p>
            <w:pPr>
              <w:pStyle w:val="0"/>
            </w:pPr>
            <w:hyperlink w:history="0" r:id="rId898"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402" w:tooltip="Отчетность по форме 0420164">
              <w:r>
                <w:rPr>
                  <w:sz w:val="24"/>
                  <w:color w:val="0000ff"/>
                </w:rPr>
                <w:t xml:space="preserve">0420164</w:t>
              </w:r>
            </w:hyperlink>
            <w:r>
              <w:rPr>
                <w:sz w:val="24"/>
              </w:rPr>
              <w:t xml:space="preserve">_события после отчетной даты</w:t>
            </w:r>
          </w:p>
        </w:tc>
        <w:tc>
          <w:tcPr>
            <w:tcW w:w="3402" w:type="dxa"/>
          </w:tcPr>
          <w:p>
            <w:pPr>
              <w:pStyle w:val="0"/>
            </w:pPr>
            <w:r>
              <w:rPr>
                <w:sz w:val="24"/>
              </w:rPr>
              <w:t xml:space="preserve">mem-int:OKUD0420164_spodMember</w:t>
            </w:r>
          </w:p>
        </w:tc>
      </w:tr>
      <w:tr>
        <w:tc>
          <w:tcPr>
            <w:tcW w:w="964" w:type="dxa"/>
          </w:tcPr>
          <w:p>
            <w:pPr>
              <w:pStyle w:val="0"/>
            </w:pPr>
            <w:r>
              <w:rPr>
                <w:sz w:val="24"/>
              </w:rPr>
              <w:t xml:space="preserve">1.17</w:t>
            </w:r>
          </w:p>
        </w:tc>
        <w:tc>
          <w:tcPr>
            <w:tcW w:w="2891" w:type="dxa"/>
          </w:tcPr>
          <w:p>
            <w:pPr>
              <w:pStyle w:val="0"/>
            </w:pPr>
            <w:r>
              <w:rPr>
                <w:sz w:val="24"/>
              </w:rPr>
            </w:r>
          </w:p>
        </w:tc>
        <w:tc>
          <w:tcPr>
            <w:tcW w:w="1814" w:type="dxa"/>
          </w:tcPr>
          <w:p>
            <w:pPr>
              <w:pStyle w:val="0"/>
            </w:pPr>
            <w:hyperlink w:history="0" r:id="rId89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485" w:tooltip="Отчетность по форме 0420165">
              <w:r>
                <w:rPr>
                  <w:sz w:val="24"/>
                  <w:color w:val="0000ff"/>
                </w:rPr>
                <w:t xml:space="preserve">0420165</w:t>
              </w:r>
            </w:hyperlink>
          </w:p>
        </w:tc>
        <w:tc>
          <w:tcPr>
            <w:tcW w:w="3402" w:type="dxa"/>
          </w:tcPr>
          <w:p>
            <w:pPr>
              <w:pStyle w:val="0"/>
            </w:pPr>
            <w:r>
              <w:rPr>
                <w:sz w:val="24"/>
              </w:rPr>
              <w:t xml:space="preserve">mem-int:OKUD0420165Member</w:t>
            </w:r>
          </w:p>
        </w:tc>
      </w:tr>
      <w:tr>
        <w:tc>
          <w:tcPr>
            <w:tcW w:w="964" w:type="dxa"/>
          </w:tcPr>
          <w:p>
            <w:pPr>
              <w:pStyle w:val="0"/>
            </w:pPr>
            <w:r>
              <w:rPr>
                <w:sz w:val="24"/>
              </w:rPr>
              <w:t xml:space="preserve">1.18</w:t>
            </w:r>
          </w:p>
        </w:tc>
        <w:tc>
          <w:tcPr>
            <w:tcW w:w="2891" w:type="dxa"/>
          </w:tcPr>
          <w:p>
            <w:pPr>
              <w:pStyle w:val="0"/>
            </w:pPr>
            <w:r>
              <w:rPr>
                <w:sz w:val="24"/>
              </w:rPr>
            </w:r>
          </w:p>
        </w:tc>
        <w:tc>
          <w:tcPr>
            <w:tcW w:w="1814" w:type="dxa"/>
          </w:tcPr>
          <w:p>
            <w:pPr>
              <w:pStyle w:val="0"/>
            </w:pPr>
            <w:hyperlink w:history="0" r:id="rId90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485" w:tooltip="Отчетность по форме 0420165">
              <w:r>
                <w:rPr>
                  <w:sz w:val="24"/>
                  <w:color w:val="0000ff"/>
                </w:rPr>
                <w:t xml:space="preserve">0420165</w:t>
              </w:r>
            </w:hyperlink>
            <w:r>
              <w:rPr>
                <w:sz w:val="24"/>
              </w:rPr>
              <w:t xml:space="preserve">_события после отчетной даты</w:t>
            </w:r>
          </w:p>
        </w:tc>
        <w:tc>
          <w:tcPr>
            <w:tcW w:w="3402" w:type="dxa"/>
          </w:tcPr>
          <w:p>
            <w:pPr>
              <w:pStyle w:val="0"/>
            </w:pPr>
            <w:r>
              <w:rPr>
                <w:sz w:val="24"/>
              </w:rPr>
              <w:t xml:space="preserve">mem-int:OKUD0420165_spodMember</w:t>
            </w:r>
          </w:p>
        </w:tc>
      </w:tr>
      <w:tr>
        <w:tc>
          <w:tcPr>
            <w:tcW w:w="964" w:type="dxa"/>
          </w:tcPr>
          <w:p>
            <w:pPr>
              <w:pStyle w:val="0"/>
            </w:pPr>
            <w:r>
              <w:rPr>
                <w:sz w:val="24"/>
              </w:rPr>
              <w:t xml:space="preserve">1.19</w:t>
            </w:r>
          </w:p>
        </w:tc>
        <w:tc>
          <w:tcPr>
            <w:tcW w:w="2891" w:type="dxa"/>
          </w:tcPr>
          <w:p>
            <w:pPr>
              <w:pStyle w:val="0"/>
            </w:pPr>
            <w:r>
              <w:rPr>
                <w:sz w:val="24"/>
              </w:rPr>
            </w:r>
          </w:p>
        </w:tc>
        <w:tc>
          <w:tcPr>
            <w:tcW w:w="1814" w:type="dxa"/>
          </w:tcPr>
          <w:p>
            <w:pPr>
              <w:pStyle w:val="0"/>
            </w:pPr>
            <w:hyperlink w:history="0" r:id="rId901"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546" w:tooltip="Отчетность по форме 0420166">
              <w:r>
                <w:rPr>
                  <w:sz w:val="24"/>
                  <w:color w:val="0000ff"/>
                </w:rPr>
                <w:t xml:space="preserve">0420166</w:t>
              </w:r>
            </w:hyperlink>
          </w:p>
        </w:tc>
        <w:tc>
          <w:tcPr>
            <w:tcW w:w="3402" w:type="dxa"/>
          </w:tcPr>
          <w:p>
            <w:pPr>
              <w:pStyle w:val="0"/>
            </w:pPr>
            <w:r>
              <w:rPr>
                <w:sz w:val="24"/>
              </w:rPr>
              <w:t xml:space="preserve">mem-int:OKUD0420166Member</w:t>
            </w:r>
          </w:p>
        </w:tc>
      </w:tr>
      <w:tr>
        <w:tc>
          <w:tcPr>
            <w:tcW w:w="964" w:type="dxa"/>
          </w:tcPr>
          <w:p>
            <w:pPr>
              <w:pStyle w:val="0"/>
            </w:pPr>
            <w:r>
              <w:rPr>
                <w:sz w:val="24"/>
              </w:rPr>
              <w:t xml:space="preserve">1.20</w:t>
            </w:r>
          </w:p>
        </w:tc>
        <w:tc>
          <w:tcPr>
            <w:tcW w:w="2891" w:type="dxa"/>
          </w:tcPr>
          <w:p>
            <w:pPr>
              <w:pStyle w:val="0"/>
            </w:pPr>
            <w:r>
              <w:rPr>
                <w:sz w:val="24"/>
              </w:rPr>
            </w:r>
          </w:p>
        </w:tc>
        <w:tc>
          <w:tcPr>
            <w:tcW w:w="1814" w:type="dxa"/>
          </w:tcPr>
          <w:p>
            <w:pPr>
              <w:pStyle w:val="0"/>
            </w:pPr>
            <w:hyperlink w:history="0" r:id="rId902"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7712" w:tooltip="Отчетность по форме 0420167">
              <w:r>
                <w:rPr>
                  <w:sz w:val="24"/>
                  <w:color w:val="0000ff"/>
                </w:rPr>
                <w:t xml:space="preserve">0420167</w:t>
              </w:r>
            </w:hyperlink>
          </w:p>
        </w:tc>
        <w:tc>
          <w:tcPr>
            <w:tcW w:w="3402" w:type="dxa"/>
          </w:tcPr>
          <w:p>
            <w:pPr>
              <w:pStyle w:val="0"/>
            </w:pPr>
            <w:r>
              <w:rPr>
                <w:sz w:val="24"/>
              </w:rPr>
              <w:t xml:space="preserve">mem-int:OKUD0420167Member</w:t>
            </w:r>
          </w:p>
        </w:tc>
      </w:tr>
      <w:tr>
        <w:tc>
          <w:tcPr>
            <w:tcW w:w="964" w:type="dxa"/>
          </w:tcPr>
          <w:p>
            <w:pPr>
              <w:pStyle w:val="0"/>
            </w:pPr>
            <w:r>
              <w:rPr>
                <w:sz w:val="24"/>
              </w:rPr>
              <w:t xml:space="preserve">1.21</w:t>
            </w:r>
          </w:p>
        </w:tc>
        <w:tc>
          <w:tcPr>
            <w:tcW w:w="2891" w:type="dxa"/>
          </w:tcPr>
          <w:p>
            <w:pPr>
              <w:pStyle w:val="0"/>
            </w:pPr>
            <w:r>
              <w:rPr>
                <w:sz w:val="24"/>
              </w:rPr>
            </w:r>
          </w:p>
        </w:tc>
        <w:tc>
          <w:tcPr>
            <w:tcW w:w="1814" w:type="dxa"/>
          </w:tcPr>
          <w:p>
            <w:pPr>
              <w:pStyle w:val="0"/>
            </w:pPr>
            <w:hyperlink w:history="0" r:id="rId903"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506" w:tooltip="Отчетность по форме 0420168">
              <w:r>
                <w:rPr>
                  <w:sz w:val="24"/>
                  <w:color w:val="0000ff"/>
                </w:rPr>
                <w:t xml:space="preserve">0420168</w:t>
              </w:r>
            </w:hyperlink>
          </w:p>
        </w:tc>
        <w:tc>
          <w:tcPr>
            <w:tcW w:w="3402" w:type="dxa"/>
          </w:tcPr>
          <w:p>
            <w:pPr>
              <w:pStyle w:val="0"/>
            </w:pPr>
            <w:r>
              <w:rPr>
                <w:sz w:val="24"/>
              </w:rPr>
              <w:t xml:space="preserve">mem-int:OKUD0420168Member</w:t>
            </w:r>
          </w:p>
        </w:tc>
      </w:tr>
      <w:tr>
        <w:tc>
          <w:tcPr>
            <w:tcW w:w="964" w:type="dxa"/>
          </w:tcPr>
          <w:p>
            <w:pPr>
              <w:pStyle w:val="0"/>
            </w:pPr>
            <w:r>
              <w:rPr>
                <w:sz w:val="24"/>
              </w:rPr>
              <w:t xml:space="preserve">1.22</w:t>
            </w:r>
          </w:p>
        </w:tc>
        <w:tc>
          <w:tcPr>
            <w:tcW w:w="2891" w:type="dxa"/>
          </w:tcPr>
          <w:p>
            <w:pPr>
              <w:pStyle w:val="0"/>
            </w:pPr>
            <w:r>
              <w:rPr>
                <w:sz w:val="24"/>
              </w:rPr>
            </w:r>
          </w:p>
        </w:tc>
        <w:tc>
          <w:tcPr>
            <w:tcW w:w="1814" w:type="dxa"/>
          </w:tcPr>
          <w:p>
            <w:pPr>
              <w:pStyle w:val="0"/>
            </w:pPr>
            <w:hyperlink w:history="0" r:id="rId904"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630" w:tooltip="Отчетность по форме 0420169">
              <w:r>
                <w:rPr>
                  <w:sz w:val="24"/>
                  <w:color w:val="0000ff"/>
                </w:rPr>
                <w:t xml:space="preserve">0420169</w:t>
              </w:r>
            </w:hyperlink>
          </w:p>
        </w:tc>
        <w:tc>
          <w:tcPr>
            <w:tcW w:w="3402" w:type="dxa"/>
          </w:tcPr>
          <w:p>
            <w:pPr>
              <w:pStyle w:val="0"/>
            </w:pPr>
            <w:r>
              <w:rPr>
                <w:sz w:val="24"/>
              </w:rPr>
              <w:t xml:space="preserve">mem-int:OKUD0420169Member</w:t>
            </w:r>
          </w:p>
        </w:tc>
      </w:tr>
      <w:tr>
        <w:tc>
          <w:tcPr>
            <w:tcW w:w="964" w:type="dxa"/>
          </w:tcPr>
          <w:p>
            <w:pPr>
              <w:pStyle w:val="0"/>
            </w:pPr>
            <w:r>
              <w:rPr>
                <w:sz w:val="24"/>
              </w:rPr>
              <w:t xml:space="preserve">1.23</w:t>
            </w:r>
          </w:p>
        </w:tc>
        <w:tc>
          <w:tcPr>
            <w:tcW w:w="2891" w:type="dxa"/>
          </w:tcPr>
          <w:p>
            <w:pPr>
              <w:pStyle w:val="0"/>
            </w:pPr>
            <w:r>
              <w:rPr>
                <w:sz w:val="24"/>
              </w:rPr>
            </w:r>
          </w:p>
        </w:tc>
        <w:tc>
          <w:tcPr>
            <w:tcW w:w="1814" w:type="dxa"/>
          </w:tcPr>
          <w:p>
            <w:pPr>
              <w:pStyle w:val="0"/>
            </w:pPr>
            <w:hyperlink w:history="0" r:id="rId905"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735" w:tooltip="Отчетность по форме 0420171">
              <w:r>
                <w:rPr>
                  <w:sz w:val="24"/>
                  <w:color w:val="0000ff"/>
                </w:rPr>
                <w:t xml:space="preserve">0420171</w:t>
              </w:r>
            </w:hyperlink>
          </w:p>
        </w:tc>
        <w:tc>
          <w:tcPr>
            <w:tcW w:w="3402" w:type="dxa"/>
          </w:tcPr>
          <w:p>
            <w:pPr>
              <w:pStyle w:val="0"/>
            </w:pPr>
            <w:r>
              <w:rPr>
                <w:sz w:val="24"/>
              </w:rPr>
              <w:t xml:space="preserve">mem-int:OKUD0420171Member</w:t>
            </w:r>
          </w:p>
        </w:tc>
      </w:tr>
      <w:tr>
        <w:tc>
          <w:tcPr>
            <w:tcW w:w="964" w:type="dxa"/>
          </w:tcPr>
          <w:p>
            <w:pPr>
              <w:pStyle w:val="0"/>
            </w:pPr>
            <w:r>
              <w:rPr>
                <w:sz w:val="24"/>
              </w:rPr>
              <w:t xml:space="preserve">1.24</w:t>
            </w:r>
          </w:p>
        </w:tc>
        <w:tc>
          <w:tcPr>
            <w:tcW w:w="2891" w:type="dxa"/>
          </w:tcPr>
          <w:p>
            <w:pPr>
              <w:pStyle w:val="0"/>
            </w:pPr>
            <w:r>
              <w:rPr>
                <w:sz w:val="24"/>
              </w:rPr>
            </w:r>
          </w:p>
        </w:tc>
        <w:tc>
          <w:tcPr>
            <w:tcW w:w="1814" w:type="dxa"/>
          </w:tcPr>
          <w:p>
            <w:pPr>
              <w:pStyle w:val="0"/>
            </w:pPr>
            <w:hyperlink w:history="0" r:id="rId906"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909" w:tooltip="Отчетность по форме 0420172">
              <w:r>
                <w:rPr>
                  <w:sz w:val="24"/>
                  <w:color w:val="0000ff"/>
                </w:rPr>
                <w:t xml:space="preserve">0420172</w:t>
              </w:r>
            </w:hyperlink>
          </w:p>
        </w:tc>
        <w:tc>
          <w:tcPr>
            <w:tcW w:w="3402" w:type="dxa"/>
          </w:tcPr>
          <w:p>
            <w:pPr>
              <w:pStyle w:val="0"/>
            </w:pPr>
            <w:r>
              <w:rPr>
                <w:sz w:val="24"/>
              </w:rPr>
              <w:t xml:space="preserve">mem-int:OKUD0420172Member</w:t>
            </w:r>
          </w:p>
        </w:tc>
      </w:tr>
      <w:tr>
        <w:tc>
          <w:tcPr>
            <w:tcW w:w="964" w:type="dxa"/>
          </w:tcPr>
          <w:p>
            <w:pPr>
              <w:pStyle w:val="0"/>
            </w:pPr>
            <w:r>
              <w:rPr>
                <w:sz w:val="24"/>
              </w:rPr>
              <w:t xml:space="preserve">1.25</w:t>
            </w:r>
          </w:p>
        </w:tc>
        <w:tc>
          <w:tcPr>
            <w:tcW w:w="2891" w:type="dxa"/>
          </w:tcPr>
          <w:p>
            <w:pPr>
              <w:pStyle w:val="0"/>
            </w:pPr>
            <w:r>
              <w:rPr>
                <w:sz w:val="24"/>
              </w:rPr>
            </w:r>
          </w:p>
        </w:tc>
        <w:tc>
          <w:tcPr>
            <w:tcW w:w="1814" w:type="dxa"/>
          </w:tcPr>
          <w:p>
            <w:pPr>
              <w:pStyle w:val="0"/>
            </w:pPr>
            <w:hyperlink w:history="0" r:id="rId907"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8909" w:tooltip="Отчетность по форме 0420172">
              <w:r>
                <w:rPr>
                  <w:sz w:val="24"/>
                  <w:color w:val="0000ff"/>
                </w:rPr>
                <w:t xml:space="preserve">0420172</w:t>
              </w:r>
            </w:hyperlink>
            <w:r>
              <w:rPr>
                <w:sz w:val="24"/>
              </w:rPr>
              <w:t xml:space="preserve">_события после отчетной даты</w:t>
            </w:r>
          </w:p>
        </w:tc>
        <w:tc>
          <w:tcPr>
            <w:tcW w:w="3402" w:type="dxa"/>
          </w:tcPr>
          <w:p>
            <w:pPr>
              <w:pStyle w:val="0"/>
            </w:pPr>
            <w:r>
              <w:rPr>
                <w:sz w:val="24"/>
              </w:rPr>
              <w:t xml:space="preserve">mem-int:OKUD0420172_spodMember</w:t>
            </w:r>
          </w:p>
        </w:tc>
      </w:tr>
      <w:tr>
        <w:tc>
          <w:tcPr>
            <w:tcW w:w="964" w:type="dxa"/>
          </w:tcPr>
          <w:p>
            <w:pPr>
              <w:pStyle w:val="0"/>
            </w:pPr>
            <w:r>
              <w:rPr>
                <w:sz w:val="24"/>
              </w:rPr>
              <w:t xml:space="preserve">1.26</w:t>
            </w:r>
          </w:p>
        </w:tc>
        <w:tc>
          <w:tcPr>
            <w:tcW w:w="2891" w:type="dxa"/>
          </w:tcPr>
          <w:p>
            <w:pPr>
              <w:pStyle w:val="0"/>
            </w:pPr>
            <w:r>
              <w:rPr>
                <w:sz w:val="24"/>
              </w:rPr>
            </w:r>
          </w:p>
        </w:tc>
        <w:tc>
          <w:tcPr>
            <w:tcW w:w="1814" w:type="dxa"/>
          </w:tcPr>
          <w:p>
            <w:pPr>
              <w:pStyle w:val="0"/>
            </w:pPr>
            <w:hyperlink w:history="0" r:id="rId908"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9603" w:tooltip="Отчетность по форме 0420173">
              <w:r>
                <w:rPr>
                  <w:sz w:val="24"/>
                  <w:color w:val="0000ff"/>
                </w:rPr>
                <w:t xml:space="preserve">0420173</w:t>
              </w:r>
            </w:hyperlink>
          </w:p>
        </w:tc>
        <w:tc>
          <w:tcPr>
            <w:tcW w:w="3402" w:type="dxa"/>
          </w:tcPr>
          <w:p>
            <w:pPr>
              <w:pStyle w:val="0"/>
            </w:pPr>
            <w:r>
              <w:rPr>
                <w:sz w:val="24"/>
              </w:rPr>
              <w:t xml:space="preserve">mem-int:OKUD0420173Member</w:t>
            </w:r>
          </w:p>
        </w:tc>
      </w:tr>
      <w:tr>
        <w:tc>
          <w:tcPr>
            <w:tcW w:w="964" w:type="dxa"/>
          </w:tcPr>
          <w:p>
            <w:pPr>
              <w:pStyle w:val="0"/>
            </w:pPr>
            <w:r>
              <w:rPr>
                <w:sz w:val="24"/>
              </w:rPr>
              <w:t xml:space="preserve">1.27</w:t>
            </w:r>
          </w:p>
        </w:tc>
        <w:tc>
          <w:tcPr>
            <w:tcW w:w="2891" w:type="dxa"/>
          </w:tcPr>
          <w:p>
            <w:pPr>
              <w:pStyle w:val="0"/>
            </w:pPr>
            <w:r>
              <w:rPr>
                <w:sz w:val="24"/>
              </w:rPr>
            </w:r>
          </w:p>
        </w:tc>
        <w:tc>
          <w:tcPr>
            <w:tcW w:w="1814" w:type="dxa"/>
          </w:tcPr>
          <w:p>
            <w:pPr>
              <w:pStyle w:val="0"/>
            </w:pPr>
            <w:hyperlink w:history="0" r:id="rId909"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39700" w:tooltip="Отчетность по форме 0420174">
              <w:r>
                <w:rPr>
                  <w:sz w:val="24"/>
                  <w:color w:val="0000ff"/>
                </w:rPr>
                <w:t xml:space="preserve">0420174</w:t>
              </w:r>
            </w:hyperlink>
          </w:p>
        </w:tc>
        <w:tc>
          <w:tcPr>
            <w:tcW w:w="3402" w:type="dxa"/>
          </w:tcPr>
          <w:p>
            <w:pPr>
              <w:pStyle w:val="0"/>
            </w:pPr>
            <w:r>
              <w:rPr>
                <w:sz w:val="24"/>
              </w:rPr>
              <w:t xml:space="preserve">mem-int:OKUD0420174Member</w:t>
            </w:r>
          </w:p>
        </w:tc>
      </w:tr>
      <w:tr>
        <w:tc>
          <w:tcPr>
            <w:tcW w:w="964" w:type="dxa"/>
          </w:tcPr>
          <w:p>
            <w:pPr>
              <w:pStyle w:val="0"/>
            </w:pPr>
            <w:r>
              <w:rPr>
                <w:sz w:val="24"/>
              </w:rPr>
              <w:t xml:space="preserve">1.28</w:t>
            </w:r>
          </w:p>
        </w:tc>
        <w:tc>
          <w:tcPr>
            <w:tcW w:w="2891" w:type="dxa"/>
          </w:tcPr>
          <w:p>
            <w:pPr>
              <w:pStyle w:val="0"/>
            </w:pPr>
            <w:r>
              <w:rPr>
                <w:sz w:val="24"/>
              </w:rPr>
            </w:r>
          </w:p>
        </w:tc>
        <w:tc>
          <w:tcPr>
            <w:tcW w:w="1814" w:type="dxa"/>
          </w:tcPr>
          <w:p>
            <w:pPr>
              <w:pStyle w:val="0"/>
            </w:pPr>
            <w:hyperlink w:history="0" r:id="rId910" w:tooltip="&quot;ОК 011-93. Общероссийский классификатор управленческой документации&quot; (утв. Постановлением Госстандарта России от 30.12.1993 N 299) (ред. от 11.09.2025) ------------ Недействующая редакция {КонсультантПлюс}">
              <w:r>
                <w:rPr>
                  <w:sz w:val="24"/>
                  <w:color w:val="0000ff"/>
                </w:rPr>
                <w:t xml:space="preserve">ОКУД</w:t>
              </w:r>
            </w:hyperlink>
            <w:r>
              <w:rPr>
                <w:sz w:val="24"/>
              </w:rPr>
              <w:t xml:space="preserve"> </w:t>
            </w:r>
            <w:hyperlink w:history="0" w:anchor="P40184" w:tooltip="Отчетность по форме 0420175">
              <w:r>
                <w:rPr>
                  <w:sz w:val="24"/>
                  <w:color w:val="0000ff"/>
                </w:rPr>
                <w:t xml:space="preserve">0420175</w:t>
              </w:r>
            </w:hyperlink>
          </w:p>
        </w:tc>
        <w:tc>
          <w:tcPr>
            <w:tcW w:w="3402" w:type="dxa"/>
          </w:tcPr>
          <w:p>
            <w:pPr>
              <w:pStyle w:val="0"/>
            </w:pPr>
            <w:r>
              <w:rPr>
                <w:sz w:val="24"/>
              </w:rPr>
              <w:t xml:space="preserve">mem-int:OKUD0420175Member</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417"/>
        <w:gridCol w:w="7597"/>
      </w:tblGrid>
      <w:tr>
        <w:tc>
          <w:tcPr>
            <w:tcW w:w="1417" w:type="dxa"/>
            <w:tcBorders>
              <w:top w:val="nil"/>
              <w:left w:val="nil"/>
              <w:bottom w:val="nil"/>
              <w:right w:val="nil"/>
            </w:tcBorders>
          </w:tcPr>
          <w:p>
            <w:pPr>
              <w:pStyle w:val="0"/>
            </w:pPr>
            <w:r>
              <w:rPr>
                <w:sz w:val="24"/>
              </w:rPr>
              <w:t xml:space="preserve">Таблица 3.</w:t>
            </w:r>
          </w:p>
        </w:tc>
        <w:tc>
          <w:tcPr>
            <w:tcW w:w="7597" w:type="dxa"/>
            <w:tcBorders>
              <w:top w:val="nil"/>
              <w:left w:val="nil"/>
              <w:bottom w:val="nil"/>
              <w:right w:val="nil"/>
            </w:tcBorders>
          </w:tcPr>
          <w:p>
            <w:pPr>
              <w:pStyle w:val="0"/>
              <w:jc w:val="both"/>
            </w:pPr>
            <w:r>
              <w:rPr>
                <w:sz w:val="24"/>
              </w:rPr>
              <w:t xml:space="preserve">Значения показателей для формирования показателей сопроводительной информации к отчетности страховщика</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891"/>
        <w:gridCol w:w="1814"/>
        <w:gridCol w:w="3402"/>
      </w:tblGrid>
      <w:tr>
        <w:tc>
          <w:tcPr>
            <w:tcW w:w="964" w:type="dxa"/>
          </w:tcPr>
          <w:p>
            <w:pPr>
              <w:pStyle w:val="0"/>
              <w:jc w:val="center"/>
            </w:pPr>
            <w:r>
              <w:rPr>
                <w:sz w:val="24"/>
              </w:rPr>
              <w:t xml:space="preserve">Номер строки</w:t>
            </w:r>
          </w:p>
        </w:tc>
        <w:tc>
          <w:tcPr>
            <w:tcW w:w="2891" w:type="dxa"/>
          </w:tcPr>
          <w:p>
            <w:pPr>
              <w:pStyle w:val="0"/>
              <w:jc w:val="center"/>
            </w:pPr>
            <w:r>
              <w:rPr>
                <w:sz w:val="24"/>
              </w:rPr>
              <w:t xml:space="preserve">Наименование показателя</w:t>
            </w:r>
          </w:p>
        </w:tc>
        <w:tc>
          <w:tcPr>
            <w:tcW w:w="1814" w:type="dxa"/>
          </w:tcPr>
          <w:p>
            <w:pPr>
              <w:pStyle w:val="0"/>
              <w:jc w:val="center"/>
            </w:pPr>
            <w:r>
              <w:rPr>
                <w:sz w:val="24"/>
              </w:rPr>
              <w:t xml:space="preserve">Значение показателя</w:t>
            </w:r>
          </w:p>
        </w:tc>
        <w:tc>
          <w:tcPr>
            <w:tcW w:w="3402" w:type="dxa"/>
          </w:tcPr>
          <w:p>
            <w:pPr>
              <w:pStyle w:val="0"/>
              <w:jc w:val="center"/>
            </w:pPr>
            <w:r>
              <w:rPr>
                <w:sz w:val="24"/>
              </w:rPr>
              <w:t xml:space="preserve">Код показателя, значения показателя</w:t>
            </w:r>
          </w:p>
        </w:tc>
      </w:tr>
      <w:tr>
        <w:tc>
          <w:tcPr>
            <w:tcW w:w="964" w:type="dxa"/>
          </w:tcPr>
          <w:p>
            <w:pPr>
              <w:pStyle w:val="0"/>
              <w:jc w:val="center"/>
            </w:pPr>
            <w:r>
              <w:rPr>
                <w:sz w:val="24"/>
              </w:rPr>
              <w:t xml:space="preserve">1</w:t>
            </w:r>
          </w:p>
        </w:tc>
        <w:tc>
          <w:tcPr>
            <w:tcW w:w="2891" w:type="dxa"/>
          </w:tcPr>
          <w:p>
            <w:pPr>
              <w:pStyle w:val="0"/>
              <w:jc w:val="center"/>
            </w:pPr>
            <w:r>
              <w:rPr>
                <w:sz w:val="24"/>
              </w:rPr>
              <w:t xml:space="preserve">2</w:t>
            </w:r>
          </w:p>
        </w:tc>
        <w:tc>
          <w:tcPr>
            <w:tcW w:w="1814" w:type="dxa"/>
          </w:tcPr>
          <w:p>
            <w:pPr>
              <w:pStyle w:val="0"/>
              <w:jc w:val="center"/>
            </w:pPr>
            <w:r>
              <w:rPr>
                <w:sz w:val="24"/>
              </w:rPr>
              <w:t xml:space="preserve">3</w:t>
            </w:r>
          </w:p>
        </w:tc>
        <w:tc>
          <w:tcPr>
            <w:tcW w:w="3402" w:type="dxa"/>
          </w:tcPr>
          <w:p>
            <w:pPr>
              <w:pStyle w:val="0"/>
              <w:jc w:val="center"/>
            </w:pPr>
            <w:r>
              <w:rPr>
                <w:sz w:val="24"/>
              </w:rPr>
              <w:t xml:space="preserve">4</w:t>
            </w:r>
          </w:p>
        </w:tc>
      </w:tr>
      <w:tr>
        <w:tc>
          <w:tcPr>
            <w:tcW w:w="964" w:type="dxa"/>
          </w:tcPr>
          <w:p>
            <w:pPr>
              <w:pStyle w:val="0"/>
            </w:pPr>
            <w:r>
              <w:rPr>
                <w:sz w:val="24"/>
              </w:rPr>
              <w:t xml:space="preserve">1</w:t>
            </w:r>
          </w:p>
        </w:tc>
        <w:tc>
          <w:tcPr>
            <w:tcW w:w="2891" w:type="dxa"/>
          </w:tcPr>
          <w:p>
            <w:pPr>
              <w:pStyle w:val="0"/>
            </w:pPr>
            <w:r>
              <w:rPr>
                <w:sz w:val="24"/>
              </w:rPr>
              <w:t xml:space="preserve">Признак нулевого отчета</w:t>
            </w:r>
          </w:p>
        </w:tc>
        <w:tc>
          <w:tcPr>
            <w:tcW w:w="1814" w:type="dxa"/>
          </w:tcPr>
          <w:p>
            <w:pPr>
              <w:pStyle w:val="0"/>
            </w:pPr>
            <w:r>
              <w:rPr>
                <w:sz w:val="24"/>
              </w:rPr>
            </w:r>
          </w:p>
        </w:tc>
        <w:tc>
          <w:tcPr>
            <w:tcW w:w="3402" w:type="dxa"/>
          </w:tcPr>
          <w:p>
            <w:pPr>
              <w:pStyle w:val="0"/>
            </w:pPr>
            <w:r>
              <w:rPr>
                <w:sz w:val="24"/>
              </w:rPr>
              <w:t xml:space="preserve">nfo-dic:PriznakNulevogoOtchetaEnumerator</w:t>
            </w:r>
          </w:p>
        </w:tc>
      </w:tr>
      <w:tr>
        <w:tc>
          <w:tcPr>
            <w:tcW w:w="964" w:type="dxa"/>
          </w:tcPr>
          <w:p>
            <w:pPr>
              <w:pStyle w:val="0"/>
            </w:pPr>
            <w:r>
              <w:rPr>
                <w:sz w:val="24"/>
              </w:rPr>
              <w:t xml:space="preserve">1.1</w:t>
            </w:r>
          </w:p>
        </w:tc>
        <w:tc>
          <w:tcPr>
            <w:tcW w:w="2891" w:type="dxa"/>
          </w:tcPr>
          <w:p>
            <w:pPr>
              <w:pStyle w:val="0"/>
            </w:pPr>
            <w:r>
              <w:rPr>
                <w:sz w:val="24"/>
              </w:rPr>
            </w:r>
          </w:p>
        </w:tc>
        <w:tc>
          <w:tcPr>
            <w:tcW w:w="1814" w:type="dxa"/>
          </w:tcPr>
          <w:p>
            <w:pPr>
              <w:pStyle w:val="0"/>
            </w:pPr>
            <w:r>
              <w:rPr>
                <w:sz w:val="24"/>
              </w:rPr>
              <w:t xml:space="preserve">Значения показателей отсутствуют в отчете</w:t>
            </w:r>
          </w:p>
        </w:tc>
        <w:tc>
          <w:tcPr>
            <w:tcW w:w="3402" w:type="dxa"/>
          </w:tcPr>
          <w:p>
            <w:pPr>
              <w:pStyle w:val="0"/>
            </w:pPr>
            <w:r>
              <w:rPr>
                <w:sz w:val="24"/>
              </w:rPr>
              <w:t xml:space="preserve">mem-int:ZnachPokOtsMember</w:t>
            </w:r>
          </w:p>
        </w:tc>
      </w:tr>
    </w:tbl>
    <w:p>
      <w:pPr>
        <w:pStyle w:val="0"/>
        <w:jc w:val="both"/>
      </w:pPr>
      <w:r>
        <w:rPr>
          <w:sz w:val="24"/>
        </w:rPr>
      </w:r>
    </w:p>
    <w:p>
      <w:pPr>
        <w:pStyle w:val="0"/>
        <w:ind w:firstLine="540"/>
        <w:jc w:val="both"/>
      </w:pPr>
      <w:r>
        <w:rPr>
          <w:sz w:val="24"/>
        </w:rPr>
        <w:t xml:space="preserve">11.1. По показателю "Полное наименование" </w:t>
      </w:r>
      <w:hyperlink w:history="0" w:anchor="P59507" w:tooltip="1">
        <w:r>
          <w:rPr>
            <w:sz w:val="24"/>
            <w:color w:val="0000ff"/>
          </w:rPr>
          <w:t xml:space="preserve">(строка 1 таблицы 1)</w:t>
        </w:r>
      </w:hyperlink>
      <w:r>
        <w:rPr>
          <w:sz w:val="24"/>
        </w:rPr>
        <w:t xml:space="preserve"> указывается:</w:t>
      </w:r>
    </w:p>
    <w:p>
      <w:pPr>
        <w:pStyle w:val="0"/>
        <w:spacing w:before="240" w:lineRule="auto"/>
        <w:ind w:firstLine="540"/>
        <w:jc w:val="both"/>
      </w:pPr>
      <w:r>
        <w:rPr>
          <w:sz w:val="24"/>
        </w:rPr>
        <w:t xml:space="preserve">страховой организацией - полное фирменное наименование страховой организации на русском языке, соответствующее полному фирменному наименованию на русском языке, указанному в ее уставе;</w:t>
      </w:r>
    </w:p>
    <w:p>
      <w:pPr>
        <w:pStyle w:val="0"/>
        <w:spacing w:before="240" w:lineRule="auto"/>
        <w:ind w:firstLine="540"/>
        <w:jc w:val="both"/>
      </w:pPr>
      <w:r>
        <w:rPr>
          <w:sz w:val="24"/>
        </w:rPr>
        <w:t xml:space="preserve">обществом взаимного страхования - полное наименование общества взаимного страхования на русском языке, соответствующее полному наименованию на русском языке, указанному в его уставе;</w:t>
      </w:r>
    </w:p>
    <w:p>
      <w:pPr>
        <w:pStyle w:val="0"/>
        <w:spacing w:before="240" w:lineRule="auto"/>
        <w:ind w:firstLine="540"/>
        <w:jc w:val="both"/>
      </w:pPr>
      <w:r>
        <w:rPr>
          <w:sz w:val="24"/>
        </w:rPr>
        <w:t xml:space="preserve">иностранной страховой организацией - полное наименование иностранной страховой организации на русском языке, соответствующее полному наименованию, указанному в ее учредительных документах.</w:t>
      </w:r>
    </w:p>
    <w:p>
      <w:pPr>
        <w:pStyle w:val="0"/>
        <w:spacing w:before="240" w:lineRule="auto"/>
        <w:ind w:firstLine="540"/>
        <w:jc w:val="both"/>
      </w:pPr>
      <w:r>
        <w:rPr>
          <w:sz w:val="24"/>
        </w:rPr>
        <w:t xml:space="preserve">11.2. По показателю "Сокращенное наименование (при наличии)" </w:t>
      </w:r>
      <w:hyperlink w:history="0" w:anchor="P59511" w:tooltip="2">
        <w:r>
          <w:rPr>
            <w:sz w:val="24"/>
            <w:color w:val="0000ff"/>
          </w:rPr>
          <w:t xml:space="preserve">(строка 2 таблицы 1)</w:t>
        </w:r>
      </w:hyperlink>
      <w:r>
        <w:rPr>
          <w:sz w:val="24"/>
        </w:rPr>
        <w:t xml:space="preserve"> указывается (при наличии):</w:t>
      </w:r>
    </w:p>
    <w:p>
      <w:pPr>
        <w:pStyle w:val="0"/>
        <w:spacing w:before="240" w:lineRule="auto"/>
        <w:ind w:firstLine="540"/>
        <w:jc w:val="both"/>
      </w:pPr>
      <w:r>
        <w:rPr>
          <w:sz w:val="24"/>
        </w:rPr>
        <w:t xml:space="preserve">страховой организацией - сокращенное фирменное наименование страховой организации на русском языке, соответствующее сокращенному фирменному наименованию на русском языке, указанному в ее уставе;</w:t>
      </w:r>
    </w:p>
    <w:p>
      <w:pPr>
        <w:pStyle w:val="0"/>
        <w:spacing w:before="240" w:lineRule="auto"/>
        <w:ind w:firstLine="540"/>
        <w:jc w:val="both"/>
      </w:pPr>
      <w:r>
        <w:rPr>
          <w:sz w:val="24"/>
        </w:rPr>
        <w:t xml:space="preserve">обществом взаимного страхования - сокращенное наименование общества взаимного страхования на русском языке, соответствующее сокращенному наименованию на русском языке, указанному в его уставе;</w:t>
      </w:r>
    </w:p>
    <w:p>
      <w:pPr>
        <w:pStyle w:val="0"/>
        <w:spacing w:before="240" w:lineRule="auto"/>
        <w:ind w:firstLine="540"/>
        <w:jc w:val="both"/>
      </w:pPr>
      <w:r>
        <w:rPr>
          <w:sz w:val="24"/>
        </w:rPr>
        <w:t xml:space="preserve">иностранной страховой организацией - сокращенное наименование иностранной страховой организации на русском языке, соответствующее сокращенному наименованию, указанному в ее учредительных документах.</w:t>
      </w:r>
    </w:p>
    <w:p>
      <w:pPr>
        <w:pStyle w:val="0"/>
        <w:spacing w:before="240" w:lineRule="auto"/>
        <w:ind w:firstLine="540"/>
        <w:jc w:val="both"/>
      </w:pPr>
      <w:r>
        <w:rPr>
          <w:sz w:val="24"/>
        </w:rPr>
        <w:t xml:space="preserve">11.3. По показателю "Идентификационный номер налогоплательщика (ИНН)" </w:t>
      </w:r>
      <w:hyperlink w:history="0" w:anchor="P59515" w:tooltip="3">
        <w:r>
          <w:rPr>
            <w:sz w:val="24"/>
            <w:color w:val="0000ff"/>
          </w:rPr>
          <w:t xml:space="preserve">(строка 3 таблицы 1)</w:t>
        </w:r>
      </w:hyperlink>
      <w:r>
        <w:rPr>
          <w:sz w:val="24"/>
        </w:rPr>
        <w:t xml:space="preserve"> указывается десятизначный ИНН страховщика согласно документу, подтверждающему постановку страховщика на учет в налоговом органе,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11.4. По показателю "Основной государственный регистрационный номер (ОГРН)" </w:t>
      </w:r>
      <w:hyperlink w:history="0" w:anchor="P59519" w:tooltip="4">
        <w:r>
          <w:rPr>
            <w:sz w:val="24"/>
            <w:color w:val="0000ff"/>
          </w:rPr>
          <w:t xml:space="preserve">(строка 4 таблицы 1)</w:t>
        </w:r>
      </w:hyperlink>
      <w:r>
        <w:rPr>
          <w:sz w:val="24"/>
        </w:rPr>
        <w:t xml:space="preserve"> указывается тринадцатизначный основной государственный регистрационный номер, присвоенный страховщику (за исключением иностранной страховой организации) при внесении записи о его регистрации в ЕГРЮЛ.</w:t>
      </w:r>
    </w:p>
    <w:p>
      <w:pPr>
        <w:pStyle w:val="0"/>
        <w:spacing w:before="240" w:lineRule="auto"/>
        <w:ind w:firstLine="540"/>
        <w:jc w:val="both"/>
      </w:pPr>
      <w:r>
        <w:rPr>
          <w:sz w:val="24"/>
        </w:rPr>
        <w:t xml:space="preserve">Иностранная страховая организация показатель "Основной государственный регистрационный номер (ОГРН)" </w:t>
      </w:r>
      <w:hyperlink w:history="0" w:anchor="P59519" w:tooltip="4">
        <w:r>
          <w:rPr>
            <w:sz w:val="24"/>
            <w:color w:val="0000ff"/>
          </w:rPr>
          <w:t xml:space="preserve">(строка 4 таблицы 1)</w:t>
        </w:r>
      </w:hyperlink>
      <w:r>
        <w:rPr>
          <w:sz w:val="24"/>
        </w:rPr>
        <w:t xml:space="preserve"> не формирует.</w:t>
      </w:r>
    </w:p>
    <w:p>
      <w:pPr>
        <w:pStyle w:val="0"/>
        <w:spacing w:before="240" w:lineRule="auto"/>
        <w:ind w:firstLine="540"/>
        <w:jc w:val="both"/>
      </w:pPr>
      <w:r>
        <w:rPr>
          <w:sz w:val="24"/>
        </w:rPr>
        <w:t xml:space="preserve">11.5. По показателю "Регистрационный номер записи в едином государственном реестре субъектов страхового дела" </w:t>
      </w:r>
      <w:hyperlink w:history="0" w:anchor="P59523" w:tooltip="5">
        <w:r>
          <w:rPr>
            <w:sz w:val="24"/>
            <w:color w:val="0000ff"/>
          </w:rPr>
          <w:t xml:space="preserve">(строка 5 таблицы 1)</w:t>
        </w:r>
      </w:hyperlink>
      <w:r>
        <w:rPr>
          <w:sz w:val="24"/>
        </w:rPr>
        <w:t xml:space="preserve"> указывается регистрационный номер записи страховщика в ЕГРССД (регистрационный номер включает в себя от одной до четырех цифр без лидирующих нулей).</w:t>
      </w:r>
    </w:p>
    <w:p>
      <w:pPr>
        <w:pStyle w:val="0"/>
        <w:spacing w:before="240" w:lineRule="auto"/>
        <w:ind w:firstLine="540"/>
        <w:jc w:val="both"/>
      </w:pPr>
      <w:r>
        <w:rPr>
          <w:sz w:val="24"/>
        </w:rPr>
        <w:t xml:space="preserve">11.6. По показателю "Дата составления отчетности" </w:t>
      </w:r>
      <w:hyperlink w:history="0" w:anchor="P59527" w:tooltip="6">
        <w:r>
          <w:rPr>
            <w:sz w:val="24"/>
            <w:color w:val="0000ff"/>
          </w:rPr>
          <w:t xml:space="preserve">(строка 6 таблицы 1)</w:t>
        </w:r>
      </w:hyperlink>
      <w:r>
        <w:rPr>
          <w:sz w:val="24"/>
        </w:rPr>
        <w:t xml:space="preserve"> указывается дата составления отчетности страховщика должностным лицом страховщика.</w:t>
      </w:r>
    </w:p>
    <w:p>
      <w:pPr>
        <w:pStyle w:val="0"/>
        <w:spacing w:before="240" w:lineRule="auto"/>
        <w:ind w:firstLine="540"/>
        <w:jc w:val="both"/>
      </w:pPr>
      <w:r>
        <w:rPr>
          <w:sz w:val="24"/>
        </w:rPr>
        <w:t xml:space="preserve">11.7. По показателю "Дата подписания отчетности" </w:t>
      </w:r>
      <w:hyperlink w:history="0" w:anchor="P59531" w:tooltip="7">
        <w:r>
          <w:rPr>
            <w:sz w:val="24"/>
            <w:color w:val="0000ff"/>
          </w:rPr>
          <w:t xml:space="preserve">(строка 7 таблицы 1)</w:t>
        </w:r>
      </w:hyperlink>
      <w:r>
        <w:rPr>
          <w:sz w:val="24"/>
        </w:rPr>
        <w:t xml:space="preserve"> указывается дата подписания отчетности страховщика должностным лицом страховщика.</w:t>
      </w:r>
    </w:p>
    <w:p>
      <w:pPr>
        <w:pStyle w:val="0"/>
        <w:spacing w:before="240" w:lineRule="auto"/>
        <w:ind w:firstLine="540"/>
        <w:jc w:val="both"/>
      </w:pPr>
      <w:r>
        <w:rPr>
          <w:sz w:val="24"/>
        </w:rPr>
        <w:t xml:space="preserve">11.8. По показателям "Фамилия, имя, отчество (при наличии) должностного лица, подписавшего отчетность" </w:t>
      </w:r>
      <w:hyperlink w:history="0" w:anchor="P59535" w:tooltip="8">
        <w:r>
          <w:rPr>
            <w:sz w:val="24"/>
            <w:color w:val="0000ff"/>
          </w:rPr>
          <w:t xml:space="preserve">(строка 8 таблицы 1)</w:t>
        </w:r>
      </w:hyperlink>
      <w:r>
        <w:rPr>
          <w:sz w:val="24"/>
        </w:rPr>
        <w:t xml:space="preserve">, "Должность должностного лица, подписавшего отчетность" </w:t>
      </w:r>
      <w:hyperlink w:history="0" w:anchor="P59539" w:tooltip="9">
        <w:r>
          <w:rPr>
            <w:sz w:val="24"/>
            <w:color w:val="0000ff"/>
          </w:rPr>
          <w:t xml:space="preserve">(строка 9 таблицы 1)</w:t>
        </w:r>
      </w:hyperlink>
      <w:r>
        <w:rPr>
          <w:sz w:val="24"/>
        </w:rPr>
        <w:t xml:space="preserve"> и "Номер телефона должностного лица, подписавшего отчетность" </w:t>
      </w:r>
      <w:hyperlink w:history="0" w:anchor="P59543" w:tooltip="10">
        <w:r>
          <w:rPr>
            <w:sz w:val="24"/>
            <w:color w:val="0000ff"/>
          </w:rPr>
          <w:t xml:space="preserve">(строка 10 таблицы 1)</w:t>
        </w:r>
      </w:hyperlink>
      <w:r>
        <w:rPr>
          <w:sz w:val="24"/>
        </w:rPr>
        <w:t xml:space="preserve"> указываются соответственно фамилия, имя, отчество (при наличии) и должность лица, осуществляющего функции единоличного исполнительного органа страховщика (лица, временно исполняющего его обязанности), подписавшего отчетность страховщика, а также номер телефона для взаимодействия Банка России с ним.</w:t>
      </w:r>
    </w:p>
    <w:p>
      <w:pPr>
        <w:pStyle w:val="0"/>
        <w:spacing w:before="240" w:lineRule="auto"/>
        <w:ind w:firstLine="540"/>
        <w:jc w:val="both"/>
      </w:pPr>
      <w:r>
        <w:rPr>
          <w:sz w:val="24"/>
        </w:rPr>
        <w:t xml:space="preserve">11.9. По показателям "Фамилия, имя, отчество (при наличии) должностного лица, составившего отчетность" </w:t>
      </w:r>
      <w:hyperlink w:history="0" w:anchor="P59547" w:tooltip="11">
        <w:r>
          <w:rPr>
            <w:sz w:val="24"/>
            <w:color w:val="0000ff"/>
          </w:rPr>
          <w:t xml:space="preserve">(строка 11 таблицы 1)</w:t>
        </w:r>
      </w:hyperlink>
      <w:r>
        <w:rPr>
          <w:sz w:val="24"/>
        </w:rPr>
        <w:t xml:space="preserve">, "Должность должностного лица, составившего отчетность" </w:t>
      </w:r>
      <w:hyperlink w:history="0" w:anchor="P59551" w:tooltip="12">
        <w:r>
          <w:rPr>
            <w:sz w:val="24"/>
            <w:color w:val="0000ff"/>
          </w:rPr>
          <w:t xml:space="preserve">(строка 12 таблицы 1)</w:t>
        </w:r>
      </w:hyperlink>
      <w:r>
        <w:rPr>
          <w:sz w:val="24"/>
        </w:rPr>
        <w:t xml:space="preserve">, "Номер телефона должностного лица, составившего отчетность" </w:t>
      </w:r>
      <w:hyperlink w:history="0" w:anchor="P59555" w:tooltip="13">
        <w:r>
          <w:rPr>
            <w:sz w:val="24"/>
            <w:color w:val="0000ff"/>
          </w:rPr>
          <w:t xml:space="preserve">(строка 13 таблицы 1)</w:t>
        </w:r>
      </w:hyperlink>
      <w:r>
        <w:rPr>
          <w:sz w:val="24"/>
        </w:rPr>
        <w:t xml:space="preserve"> и "Адрес электронной почты должностного лица, составившего отчетность" </w:t>
      </w:r>
      <w:hyperlink w:history="0" w:anchor="P59559" w:tooltip="14">
        <w:r>
          <w:rPr>
            <w:sz w:val="24"/>
            <w:color w:val="0000ff"/>
          </w:rPr>
          <w:t xml:space="preserve">(строка 14 таблицы 1)</w:t>
        </w:r>
      </w:hyperlink>
      <w:r>
        <w:rPr>
          <w:sz w:val="24"/>
        </w:rPr>
        <w:t xml:space="preserve"> указываются соответственно фамилия, имя, отчество (при наличии) и должность должностного лица страховщика, составившего отчетность страховщика, а также номер телефона и адрес электронной почты для взаимодействия Банка России с ним.</w:t>
      </w:r>
    </w:p>
    <w:p>
      <w:pPr>
        <w:pStyle w:val="0"/>
        <w:spacing w:before="240" w:lineRule="auto"/>
        <w:ind w:firstLine="540"/>
        <w:jc w:val="both"/>
      </w:pPr>
      <w:r>
        <w:rPr>
          <w:sz w:val="24"/>
        </w:rPr>
        <w:t xml:space="preserve">11.10. По показателям "Фамилия, имя, отчество (при наличии) должностного лица, ответственного за предметную область отчетности" </w:t>
      </w:r>
      <w:hyperlink w:history="0" w:anchor="P59563" w:tooltip="15">
        <w:r>
          <w:rPr>
            <w:sz w:val="24"/>
            <w:color w:val="0000ff"/>
          </w:rPr>
          <w:t xml:space="preserve">(строка 15 таблицы 1)</w:t>
        </w:r>
      </w:hyperlink>
      <w:r>
        <w:rPr>
          <w:sz w:val="24"/>
        </w:rPr>
        <w:t xml:space="preserve">, "Должность должностного лица, ответственного за предметную область отчетности" </w:t>
      </w:r>
      <w:hyperlink w:history="0" w:anchor="P59571" w:tooltip="16">
        <w:r>
          <w:rPr>
            <w:sz w:val="24"/>
            <w:color w:val="0000ff"/>
          </w:rPr>
          <w:t xml:space="preserve">(строка 16 таблицы 1)</w:t>
        </w:r>
      </w:hyperlink>
      <w:r>
        <w:rPr>
          <w:sz w:val="24"/>
        </w:rPr>
        <w:t xml:space="preserve"> и "Номер телефона должностного лица, ответственного за предметную область отчетности" </w:t>
      </w:r>
      <w:hyperlink w:history="0" w:anchor="P59579" w:tooltip="17">
        <w:r>
          <w:rPr>
            <w:sz w:val="24"/>
            <w:color w:val="0000ff"/>
          </w:rPr>
          <w:t xml:space="preserve">(строка 17 таблицы 1)</w:t>
        </w:r>
      </w:hyperlink>
      <w:r>
        <w:rPr>
          <w:sz w:val="24"/>
        </w:rPr>
        <w:t xml:space="preserve"> указываются соответственно фамилия, имя, отчество (при наличии) и должность должностного лица страховщика, ответственного за предметную область отчетности страховщика, а также номер телефона для взаимодействия Банка России с ним (с указанием по каждому должностному лицу предметной области, за которую он ответствен, по аналитическим признакам группы аналитических признаков "Предметная область отчетности").</w:t>
      </w:r>
    </w:p>
    <w:p>
      <w:pPr>
        <w:pStyle w:val="0"/>
        <w:spacing w:before="240" w:lineRule="auto"/>
        <w:ind w:firstLine="540"/>
        <w:jc w:val="both"/>
      </w:pPr>
      <w:r>
        <w:rPr>
          <w:sz w:val="24"/>
        </w:rPr>
        <w:t xml:space="preserve">11.11. По показателю "Признак нулевого отчета" </w:t>
      </w:r>
      <w:hyperlink w:history="0" w:anchor="P59587" w:tooltip="18">
        <w:r>
          <w:rPr>
            <w:sz w:val="24"/>
            <w:color w:val="0000ff"/>
          </w:rPr>
          <w:t xml:space="preserve">(строка 18 таблицы 1)</w:t>
        </w:r>
      </w:hyperlink>
      <w:r>
        <w:rPr>
          <w:sz w:val="24"/>
        </w:rPr>
        <w:t xml:space="preserve"> страховщиком указывается "Значения показателей отсутствуют в отчете" в отношении формы отчетности страховщика, включенной в соответствии с </w:t>
      </w:r>
      <w:hyperlink w:history="0" w:anchor="P59353" w:tooltip="4. Формы отчетности страховщика, для которых в соответствии с пунктом 5 настоящего приложения установлен одинаковый срок представления в Банк России, представляются страховщиком в виде пакета электронных документов в соответствии с требованиями, установленными частями 1 и 4 статьи 6 Федерального закона от 6 апреля 2011 года N 63-ФЗ &quot;Об электронной подписи&quot; (далее - Федеральный закон N 63-ФЗ), согласно информации о технологии подготовки и представления в Банк России электронного документа, размещенной на ...">
        <w:r>
          <w:rPr>
            <w:sz w:val="24"/>
            <w:color w:val="0000ff"/>
          </w:rPr>
          <w:t xml:space="preserve">пунктом 4</w:t>
        </w:r>
      </w:hyperlink>
      <w:r>
        <w:rPr>
          <w:sz w:val="24"/>
        </w:rPr>
        <w:t xml:space="preserve"> настоящего приложения в пакет электронных документов, по всем показателям которой у страховщика отсутствуют значения. При этом в отношении указанной формы отчетности страховщика по показателю "Причина непредставления формы" </w:t>
      </w:r>
      <w:hyperlink w:history="0" w:anchor="P59595" w:tooltip="19">
        <w:r>
          <w:rPr>
            <w:sz w:val="24"/>
            <w:color w:val="0000ff"/>
          </w:rPr>
          <w:t xml:space="preserve">(строка 19 таблицы 1)</w:t>
        </w:r>
      </w:hyperlink>
      <w:r>
        <w:rPr>
          <w:sz w:val="24"/>
        </w:rPr>
        <w:t xml:space="preserve"> указываются причины отсутствия в ней значений всех показателей.</w:t>
      </w:r>
    </w:p>
    <w:p>
      <w:pPr>
        <w:pStyle w:val="0"/>
        <w:spacing w:before="240" w:lineRule="auto"/>
        <w:ind w:firstLine="540"/>
        <w:jc w:val="both"/>
      </w:pPr>
      <w:r>
        <w:rPr>
          <w:sz w:val="24"/>
        </w:rPr>
        <w:t xml:space="preserve">Показатель "Признак нулевого отчета" </w:t>
      </w:r>
      <w:hyperlink w:history="0" w:anchor="P59587" w:tooltip="18">
        <w:r>
          <w:rPr>
            <w:sz w:val="24"/>
            <w:color w:val="0000ff"/>
          </w:rPr>
          <w:t xml:space="preserve">(строка 18 таблицы 1)</w:t>
        </w:r>
      </w:hyperlink>
      <w:r>
        <w:rPr>
          <w:sz w:val="24"/>
        </w:rPr>
        <w:t xml:space="preserve"> и показатель "Причина непредставления формы" </w:t>
      </w:r>
      <w:hyperlink w:history="0" w:anchor="P59595" w:tooltip="19">
        <w:r>
          <w:rPr>
            <w:sz w:val="24"/>
            <w:color w:val="0000ff"/>
          </w:rPr>
          <w:t xml:space="preserve">(строка 19 таблицы 1)</w:t>
        </w:r>
      </w:hyperlink>
      <w:r>
        <w:rPr>
          <w:sz w:val="24"/>
        </w:rPr>
        <w:t xml:space="preserve"> в отношении форм отчетности страховщика, включенных в соответствии с </w:t>
      </w:r>
      <w:hyperlink w:history="0" w:anchor="P59353" w:tooltip="4. Формы отчетности страховщика, для которых в соответствии с пунктом 5 настоящего приложения установлен одинаковый срок представления в Банк России, представляются страховщиком в виде пакета электронных документов в соответствии с требованиями, установленными частями 1 и 4 статьи 6 Федерального закона от 6 апреля 2011 года N 63-ФЗ &quot;Об электронной подписи&quot; (далее - Федеральный закон N 63-ФЗ), согласно информации о технологии подготовки и представления в Банк России электронного документа, размещенной на ...">
        <w:r>
          <w:rPr>
            <w:sz w:val="24"/>
            <w:color w:val="0000ff"/>
          </w:rPr>
          <w:t xml:space="preserve">пунктом 4</w:t>
        </w:r>
      </w:hyperlink>
      <w:r>
        <w:rPr>
          <w:sz w:val="24"/>
        </w:rPr>
        <w:t xml:space="preserve"> настоящего приложения в пакет электронных документов, по которым страховщиком указаны значения показателей, и в отношении форм отчетности страховщика, не включенных в соответствии с </w:t>
      </w:r>
      <w:hyperlink w:history="0" w:anchor="P59353" w:tooltip="4. Формы отчетности страховщика, для которых в соответствии с пунктом 5 настоящего приложения установлен одинаковый срок представления в Банк России, представляются страховщиком в виде пакета электронных документов в соответствии с требованиями, установленными частями 1 и 4 статьи 6 Федерального закона от 6 апреля 2011 года N 63-ФЗ &quot;Об электронной подписи&quot; (далее - Федеральный закон N 63-ФЗ), согласно информации о технологии подготовки и представления в Банк России электронного документа, размещенной на ...">
        <w:r>
          <w:rPr>
            <w:sz w:val="24"/>
            <w:color w:val="0000ff"/>
          </w:rPr>
          <w:t xml:space="preserve">пунктом 4</w:t>
        </w:r>
      </w:hyperlink>
      <w:r>
        <w:rPr>
          <w:sz w:val="24"/>
        </w:rPr>
        <w:t xml:space="preserve"> настоящего приложения в пакет электронных документов, не формируются.</w:t>
      </w:r>
    </w:p>
    <w:p>
      <w:pPr>
        <w:pStyle w:val="0"/>
        <w:spacing w:before="240" w:lineRule="auto"/>
        <w:ind w:firstLine="540"/>
        <w:jc w:val="both"/>
      </w:pPr>
      <w:r>
        <w:rPr>
          <w:sz w:val="24"/>
        </w:rPr>
        <w:t xml:space="preserve">11.12. По показателю "Программное обеспечение, использованное для формирования файла отчетности" </w:t>
      </w:r>
      <w:hyperlink w:history="0" w:anchor="P59603" w:tooltip="20">
        <w:r>
          <w:rPr>
            <w:sz w:val="24"/>
            <w:color w:val="0000ff"/>
          </w:rPr>
          <w:t xml:space="preserve">(строка 20 таблицы 1)</w:t>
        </w:r>
      </w:hyperlink>
      <w:r>
        <w:rPr>
          <w:sz w:val="24"/>
        </w:rPr>
        <w:t xml:space="preserve"> указывается программное обеспечение, использованное страховщиком для формирования файла отчетности страховщика в соответствии с </w:t>
      </w:r>
      <w:hyperlink w:history="0" w:anchor="P59353" w:tooltip="4. Формы отчетности страховщика, для которых в соответствии с пунктом 5 настоящего приложения установлен одинаковый срок представления в Банк России, представляются страховщиком в виде пакета электронных документов в соответствии с требованиями, установленными частями 1 и 4 статьи 6 Федерального закона от 6 апреля 2011 года N 63-ФЗ &quot;Об электронной подписи&quot; (далее - Федеральный закон N 63-ФЗ), согласно информации о технологии подготовки и представления в Банк России электронного документа, размещенной на ...">
        <w:r>
          <w:rPr>
            <w:sz w:val="24"/>
            <w:color w:val="0000ff"/>
          </w:rPr>
          <w:t xml:space="preserve">пунктом 4</w:t>
        </w:r>
      </w:hyperlink>
      <w:r>
        <w:rPr>
          <w:sz w:val="24"/>
        </w:rPr>
        <w:t xml:space="preserve"> настоящего приложения.</w:t>
      </w:r>
    </w:p>
    <w:p>
      <w:pPr>
        <w:pStyle w:val="0"/>
        <w:spacing w:before="240" w:lineRule="auto"/>
        <w:ind w:firstLine="540"/>
        <w:jc w:val="both"/>
      </w:pPr>
      <w:r>
        <w:rPr>
          <w:sz w:val="24"/>
        </w:rPr>
        <w:t xml:space="preserve">В случае использования страховщиком программного обеспечения, разработанного самостоятельно, по показателю "Программное обеспечение, использованное для формирования файла отчетности" </w:t>
      </w:r>
      <w:hyperlink w:history="0" w:anchor="P59603" w:tooltip="20">
        <w:r>
          <w:rPr>
            <w:sz w:val="24"/>
            <w:color w:val="0000ff"/>
          </w:rPr>
          <w:t xml:space="preserve">(строка 20 таблицы 1)</w:t>
        </w:r>
      </w:hyperlink>
      <w:r>
        <w:rPr>
          <w:sz w:val="24"/>
        </w:rPr>
        <w:t xml:space="preserve"> указывается значение "Собственная разработка".</w:t>
      </w:r>
    </w:p>
    <w:p>
      <w:pPr>
        <w:pStyle w:val="0"/>
        <w:spacing w:before="240" w:lineRule="auto"/>
        <w:ind w:firstLine="540"/>
        <w:jc w:val="both"/>
      </w:pPr>
      <w:r>
        <w:rPr>
          <w:sz w:val="24"/>
        </w:rPr>
        <w:t xml:space="preserve">11.13. По показателю "Дата решения о предоставлении лицензии управляющей компании" </w:t>
      </w:r>
      <w:hyperlink w:history="0" w:anchor="P59607" w:tooltip="21">
        <w:r>
          <w:rPr>
            <w:sz w:val="24"/>
            <w:color w:val="0000ff"/>
          </w:rPr>
          <w:t xml:space="preserve">(строка 21 таблицы 1)</w:t>
        </w:r>
      </w:hyperlink>
      <w:r>
        <w:rPr>
          <w:sz w:val="24"/>
        </w:rPr>
        <w:t xml:space="preserve"> приводится дата принятия Банком России решения о предоставлении страховой организации, имеющей лицензию на осуществление добровольного страхования жизни, лицензии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(далее - лицензия управляющей компании), указанная в выписке из реестра лицензий управляющих компаний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pPr>
        <w:pStyle w:val="0"/>
        <w:spacing w:before="240" w:lineRule="auto"/>
        <w:ind w:firstLine="540"/>
        <w:jc w:val="both"/>
      </w:pPr>
      <w:r>
        <w:rPr>
          <w:sz w:val="24"/>
        </w:rPr>
        <w:t xml:space="preserve">Страховщики, не имеющие лицензии управляющей компании, показатель "Дата решения о предоставлении лицензии управляющей компании" </w:t>
      </w:r>
      <w:hyperlink w:history="0" w:anchor="P59607" w:tooltip="21">
        <w:r>
          <w:rPr>
            <w:sz w:val="24"/>
            <w:color w:val="0000ff"/>
          </w:rPr>
          <w:t xml:space="preserve">(строка 21 таблицы 1)</w:t>
        </w:r>
      </w:hyperlink>
      <w:r>
        <w:rPr>
          <w:sz w:val="24"/>
        </w:rPr>
        <w:t xml:space="preserve"> не формируют.</w:t>
      </w:r>
    </w:p>
    <w:p>
      <w:pPr>
        <w:pStyle w:val="0"/>
        <w:spacing w:before="240" w:lineRule="auto"/>
        <w:ind w:firstLine="540"/>
        <w:jc w:val="both"/>
      </w:pPr>
      <w:r>
        <w:rPr>
          <w:sz w:val="24"/>
        </w:rPr>
        <w:t xml:space="preserve">11.14. Страховщик при представлении сопроводительной информации к отчетности страховщика должен отражать все предусмотренные в сопроводительной информации показатели, за исключением случаев отсутствия значений показателей.</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4</w:t>
      </w:r>
    </w:p>
    <w:p>
      <w:pPr>
        <w:pStyle w:val="0"/>
        <w:jc w:val="right"/>
      </w:pPr>
      <w:r>
        <w:rPr>
          <w:sz w:val="24"/>
        </w:rPr>
        <w:t xml:space="preserve">к Указанию Банка России</w:t>
      </w:r>
    </w:p>
    <w:p>
      <w:pPr>
        <w:pStyle w:val="0"/>
        <w:jc w:val="right"/>
      </w:pPr>
      <w:r>
        <w:rPr>
          <w:sz w:val="24"/>
        </w:rPr>
        <w:t xml:space="preserve">от 30 июня 2025 года N 7124-У</w:t>
      </w:r>
    </w:p>
    <w:p>
      <w:pPr>
        <w:pStyle w:val="0"/>
        <w:jc w:val="right"/>
      </w:pPr>
      <w:r>
        <w:rPr>
          <w:sz w:val="24"/>
        </w:rPr>
        <w:t xml:space="preserve">"О формах, сроках и порядке составления</w:t>
      </w:r>
    </w:p>
    <w:p>
      <w:pPr>
        <w:pStyle w:val="0"/>
        <w:jc w:val="right"/>
      </w:pPr>
      <w:r>
        <w:rPr>
          <w:sz w:val="24"/>
        </w:rPr>
        <w:t xml:space="preserve">и представления в Банк России</w:t>
      </w:r>
    </w:p>
    <w:p>
      <w:pPr>
        <w:pStyle w:val="0"/>
        <w:jc w:val="right"/>
      </w:pPr>
      <w:r>
        <w:rPr>
          <w:sz w:val="24"/>
        </w:rPr>
        <w:t xml:space="preserve">отчетности страховщиков, о порядке</w:t>
      </w:r>
    </w:p>
    <w:p>
      <w:pPr>
        <w:pStyle w:val="0"/>
        <w:jc w:val="right"/>
      </w:pPr>
      <w:r>
        <w:rPr>
          <w:sz w:val="24"/>
        </w:rPr>
        <w:t xml:space="preserve">сообщения страховщиками Банку России</w:t>
      </w:r>
    </w:p>
    <w:p>
      <w:pPr>
        <w:pStyle w:val="0"/>
        <w:jc w:val="right"/>
      </w:pPr>
      <w:r>
        <w:rPr>
          <w:sz w:val="24"/>
        </w:rPr>
        <w:t xml:space="preserve">информации о лицах, которым поручено</w:t>
      </w:r>
    </w:p>
    <w:p>
      <w:pPr>
        <w:pStyle w:val="0"/>
        <w:jc w:val="right"/>
      </w:pPr>
      <w:r>
        <w:rPr>
          <w:sz w:val="24"/>
        </w:rPr>
        <w:t xml:space="preserve">проведение идентификации, упрощенной</w:t>
      </w:r>
    </w:p>
    <w:p>
      <w:pPr>
        <w:pStyle w:val="0"/>
        <w:jc w:val="right"/>
      </w:pPr>
      <w:r>
        <w:rPr>
          <w:sz w:val="24"/>
        </w:rPr>
        <w:t xml:space="preserve">идентификации, обновление информации</w:t>
      </w:r>
    </w:p>
    <w:p>
      <w:pPr>
        <w:pStyle w:val="0"/>
        <w:jc w:val="right"/>
      </w:pPr>
      <w:r>
        <w:rPr>
          <w:sz w:val="24"/>
        </w:rPr>
        <w:t xml:space="preserve">о клиентах, представителях клиентов,</w:t>
      </w:r>
    </w:p>
    <w:p>
      <w:pPr>
        <w:pStyle w:val="0"/>
        <w:jc w:val="right"/>
      </w:pPr>
      <w:r>
        <w:rPr>
          <w:sz w:val="24"/>
        </w:rPr>
        <w:t xml:space="preserve">выгодоприобретателях и бенефициарных</w:t>
      </w:r>
    </w:p>
    <w:p>
      <w:pPr>
        <w:pStyle w:val="0"/>
        <w:jc w:val="right"/>
      </w:pPr>
      <w:r>
        <w:rPr>
          <w:sz w:val="24"/>
        </w:rPr>
        <w:t xml:space="preserve">владельцах, о порядке сообщения</w:t>
      </w:r>
    </w:p>
    <w:p>
      <w:pPr>
        <w:pStyle w:val="0"/>
        <w:jc w:val="right"/>
      </w:pPr>
      <w:r>
        <w:rPr>
          <w:sz w:val="24"/>
        </w:rPr>
        <w:t xml:space="preserve">страховщиками в Банк России сведений</w:t>
      </w:r>
    </w:p>
    <w:p>
      <w:pPr>
        <w:pStyle w:val="0"/>
        <w:jc w:val="right"/>
      </w:pPr>
      <w:r>
        <w:rPr>
          <w:sz w:val="24"/>
        </w:rPr>
        <w:t xml:space="preserve">об опубликовании годовой бухгалтерской</w:t>
      </w:r>
    </w:p>
    <w:p>
      <w:pPr>
        <w:pStyle w:val="0"/>
        <w:jc w:val="right"/>
      </w:pPr>
      <w:r>
        <w:rPr>
          <w:sz w:val="24"/>
        </w:rPr>
        <w:t xml:space="preserve">(финансовой) отчетности страховщика,</w:t>
      </w:r>
    </w:p>
    <w:p>
      <w:pPr>
        <w:pStyle w:val="0"/>
        <w:jc w:val="right"/>
      </w:pPr>
      <w:r>
        <w:rPr>
          <w:sz w:val="24"/>
        </w:rPr>
        <w:t xml:space="preserve">а также о порядке и сроках представления</w:t>
      </w:r>
    </w:p>
    <w:p>
      <w:pPr>
        <w:pStyle w:val="0"/>
        <w:jc w:val="right"/>
      </w:pPr>
      <w:r>
        <w:rPr>
          <w:sz w:val="24"/>
        </w:rPr>
        <w:t xml:space="preserve">страховщиками в Банк России сведений</w:t>
      </w:r>
    </w:p>
    <w:p>
      <w:pPr>
        <w:pStyle w:val="0"/>
        <w:jc w:val="right"/>
      </w:pPr>
      <w:r>
        <w:rPr>
          <w:sz w:val="24"/>
        </w:rPr>
        <w:t xml:space="preserve">и документов в отношении их филиалов,</w:t>
      </w:r>
    </w:p>
    <w:p>
      <w:pPr>
        <w:pStyle w:val="0"/>
        <w:jc w:val="right"/>
      </w:pPr>
      <w:r>
        <w:rPr>
          <w:sz w:val="24"/>
        </w:rPr>
        <w:t xml:space="preserve">представительств и иных</w:t>
      </w:r>
    </w:p>
    <w:p>
      <w:pPr>
        <w:pStyle w:val="0"/>
        <w:jc w:val="right"/>
      </w:pPr>
      <w:r>
        <w:rPr>
          <w:sz w:val="24"/>
        </w:rPr>
        <w:t xml:space="preserve">обособленных подразделений"</w:t>
      </w:r>
    </w:p>
    <w:p>
      <w:pPr>
        <w:pStyle w:val="0"/>
        <w:jc w:val="both"/>
      </w:pPr>
      <w:r>
        <w:rPr>
          <w:sz w:val="24"/>
        </w:rPr>
      </w:r>
    </w:p>
    <w:bookmarkStart w:id="59819" w:name="P59819"/>
    <w:bookmarkEnd w:id="59819"/>
    <w:p>
      <w:pPr>
        <w:pStyle w:val="2"/>
        <w:jc w:val="center"/>
      </w:pPr>
      <w:r>
        <w:rPr>
          <w:sz w:val="24"/>
        </w:rPr>
        <w:t xml:space="preserve">ПОРЯДОК И СРОКИ</w:t>
      </w:r>
    </w:p>
    <w:p>
      <w:pPr>
        <w:pStyle w:val="2"/>
        <w:jc w:val="center"/>
      </w:pPr>
      <w:r>
        <w:rPr>
          <w:sz w:val="24"/>
        </w:rPr>
        <w:t xml:space="preserve">ПРЕДСТАВЛЕНИЯ ОТЧЕТНОСТИ В ПОРЯДКЕ НАДЗОРА</w:t>
      </w:r>
    </w:p>
    <w:p>
      <w:pPr>
        <w:pStyle w:val="2"/>
        <w:jc w:val="center"/>
      </w:pPr>
      <w:r>
        <w:rPr>
          <w:sz w:val="24"/>
        </w:rPr>
        <w:t xml:space="preserve">СТРАХОВЩИКА И СТАТИСТИЧЕСКОЙ ОТЧЕТНОСТИ СТРАХОВЩИКА,</w:t>
      </w:r>
    </w:p>
    <w:p>
      <w:pPr>
        <w:pStyle w:val="2"/>
        <w:jc w:val="center"/>
      </w:pPr>
      <w:r>
        <w:rPr>
          <w:sz w:val="24"/>
        </w:rPr>
        <w:t xml:space="preserve">ПРЕДУСМОТРЕННЫХ ПРИЛОЖЕНИЯМИ 1 И 2 К УКАЗАНИЮ БАНКА РОССИИ</w:t>
      </w:r>
    </w:p>
    <w:p>
      <w:pPr>
        <w:pStyle w:val="2"/>
        <w:jc w:val="center"/>
      </w:pPr>
      <w:r>
        <w:rPr>
          <w:sz w:val="24"/>
        </w:rPr>
        <w:t xml:space="preserve">ОТ 15 ИЮЛЯ 2024 ГОДА N 6805-У "О ФОРМАХ, СРОКАХ И ПОРЯДКЕ</w:t>
      </w:r>
    </w:p>
    <w:p>
      <w:pPr>
        <w:pStyle w:val="2"/>
        <w:jc w:val="center"/>
      </w:pPr>
      <w:r>
        <w:rPr>
          <w:sz w:val="24"/>
        </w:rPr>
        <w:t xml:space="preserve">СОСТАВЛЕНИЯ И ПРЕДСТАВЛЕНИЯ В БАНК РОССИИ ОТЧЕТНОСТИ</w:t>
      </w:r>
    </w:p>
    <w:p>
      <w:pPr>
        <w:pStyle w:val="2"/>
        <w:jc w:val="center"/>
      </w:pPr>
      <w:r>
        <w:rPr>
          <w:sz w:val="24"/>
        </w:rPr>
        <w:t xml:space="preserve">СТРАХОВЩИКОВ, О ПОРЯДКЕ СООБЩЕНИЯ СТРАХОВЩИКАМИ БАНКУ</w:t>
      </w:r>
    </w:p>
    <w:p>
      <w:pPr>
        <w:pStyle w:val="2"/>
        <w:jc w:val="center"/>
      </w:pPr>
      <w:r>
        <w:rPr>
          <w:sz w:val="24"/>
        </w:rPr>
        <w:t xml:space="preserve">РОССИИ ИНФОРМАЦИИ О ЛИЦАХ, КОТОРЫМ ПОРУЧЕНО ПРОВЕДЕНИЕ</w:t>
      </w:r>
    </w:p>
    <w:p>
      <w:pPr>
        <w:pStyle w:val="2"/>
        <w:jc w:val="center"/>
      </w:pPr>
      <w:r>
        <w:rPr>
          <w:sz w:val="24"/>
        </w:rPr>
        <w:t xml:space="preserve">ИДЕНТИФИКАЦИИ, УПРОЩЕННОЙ ИДЕНТИФИКАЦИИ, ОБНОВЛЕНИЕ</w:t>
      </w:r>
    </w:p>
    <w:p>
      <w:pPr>
        <w:pStyle w:val="2"/>
        <w:jc w:val="center"/>
      </w:pPr>
      <w:r>
        <w:rPr>
          <w:sz w:val="24"/>
        </w:rPr>
        <w:t xml:space="preserve">ИНФОРМАЦИИ О КЛИЕНТАХ, ПРЕДСТАВИТЕЛЯХ КЛИЕНТОВ,</w:t>
      </w:r>
    </w:p>
    <w:p>
      <w:pPr>
        <w:pStyle w:val="2"/>
        <w:jc w:val="center"/>
      </w:pPr>
      <w:r>
        <w:rPr>
          <w:sz w:val="24"/>
        </w:rPr>
        <w:t xml:space="preserve">ВЫГОДОПРИОБРЕТАТЕЛЯХ И БЕНЕФИЦИАРНЫХ ВЛАДЕЛЬЦАХ,</w:t>
      </w:r>
    </w:p>
    <w:p>
      <w:pPr>
        <w:pStyle w:val="2"/>
        <w:jc w:val="center"/>
      </w:pPr>
      <w:r>
        <w:rPr>
          <w:sz w:val="24"/>
        </w:rPr>
        <w:t xml:space="preserve">О ПОРЯДКЕ СООБЩЕНИЯ СТРАХОВЩИКАМИ В БАНК РОССИИ СВЕДЕНИЙ</w:t>
      </w:r>
    </w:p>
    <w:p>
      <w:pPr>
        <w:pStyle w:val="2"/>
        <w:jc w:val="center"/>
      </w:pPr>
      <w:r>
        <w:rPr>
          <w:sz w:val="24"/>
        </w:rPr>
        <w:t xml:space="preserve">ОБ ОПУБЛИКОВАНИИ ГОДОВОЙ БУХГАЛТЕРСКОЙ (ФИНАНСОВОЙ)</w:t>
      </w:r>
    </w:p>
    <w:p>
      <w:pPr>
        <w:pStyle w:val="2"/>
        <w:jc w:val="center"/>
      </w:pPr>
      <w:r>
        <w:rPr>
          <w:sz w:val="24"/>
        </w:rPr>
        <w:t xml:space="preserve">ОТЧЕТНОСТИ СТРАХОВЩИКА, А ТАКЖЕ О ПОРЯДКЕ И СРОКАХ</w:t>
      </w:r>
    </w:p>
    <w:p>
      <w:pPr>
        <w:pStyle w:val="2"/>
        <w:jc w:val="center"/>
      </w:pPr>
      <w:r>
        <w:rPr>
          <w:sz w:val="24"/>
        </w:rPr>
        <w:t xml:space="preserve">ПРЕДСТАВЛЕНИЯ СТРАХОВЩИКАМИ В БАНК РОССИИ СВЕДЕНИЙ</w:t>
      </w:r>
    </w:p>
    <w:p>
      <w:pPr>
        <w:pStyle w:val="2"/>
        <w:jc w:val="center"/>
      </w:pPr>
      <w:r>
        <w:rPr>
          <w:sz w:val="24"/>
        </w:rPr>
        <w:t xml:space="preserve">И ДОКУМЕНТОВ В ОТНОШЕНИИ ИХ ФИЛИАЛОВ, ПРЕДСТАВИТЕЛЬСТВ</w:t>
      </w:r>
    </w:p>
    <w:p>
      <w:pPr>
        <w:pStyle w:val="2"/>
        <w:jc w:val="center"/>
      </w:pPr>
      <w:r>
        <w:rPr>
          <w:sz w:val="24"/>
        </w:rPr>
        <w:t xml:space="preserve">И ИНЫХ ОБОСОБЛЕННЫХ ПОДРАЗДЕЛЕНИЙ"</w:t>
      </w:r>
    </w:p>
    <w:p>
      <w:pPr>
        <w:pStyle w:val="0"/>
        <w:jc w:val="both"/>
      </w:pPr>
      <w:r>
        <w:rPr>
          <w:sz w:val="24"/>
        </w:rPr>
      </w:r>
    </w:p>
    <w:p>
      <w:pPr>
        <w:pStyle w:val="0"/>
        <w:ind w:firstLine="540"/>
        <w:jc w:val="both"/>
      </w:pPr>
      <w:r>
        <w:rPr>
          <w:sz w:val="24"/>
        </w:rPr>
        <w:t xml:space="preserve">1. Отчетность в порядке надзора страховщика и статистическая отчетность страховщика, предусмотренные </w:t>
      </w:r>
      <w:hyperlink w:history="0" r:id="rId91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приложениями 1</w:t>
        </w:r>
      </w:hyperlink>
      <w:r>
        <w:rPr>
          <w:sz w:val="24"/>
        </w:rPr>
        <w:t xml:space="preserve"> и </w:t>
      </w:r>
      <w:hyperlink w:history="0" r:id="rId91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2</w:t>
        </w:r>
      </w:hyperlink>
      <w:r>
        <w:rPr>
          <w:sz w:val="24"/>
        </w:rPr>
        <w:t xml:space="preserve"> к Указанию Банка России от 15 июля 2024 года N 6805-У "О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страховщика, а также о порядке и сроках представления страховщиками в Банк России сведений и документов в отношении их филиалов, представительств и иных обособленных подразделений" &lt;1&gt; (далее - Указание Банка России N 6805-У) и приведенные в </w:t>
      </w:r>
      <w:hyperlink w:history="0" w:anchor="P59891" w:tooltip="3. Отчетность страховщика в виде предусмотренных в ней показателей, составленная им за декабрь 2025 года (для ежемесячной отчетности), за IV квартал 2025 года (для ежеквартальной отчетности) и за 2025 год (для годовой отчетности) в соответствии с требованиями приложений 1 и 2 к Указанию Банка России N 6805-У, представляется в Банк России в сроки, предусмотренные подпунктами 3.1 - 3.24 настоящего пункта.">
        <w:r>
          <w:rPr>
            <w:sz w:val="24"/>
            <w:color w:val="0000ff"/>
          </w:rPr>
          <w:t xml:space="preserve">пунктах 3</w:t>
        </w:r>
      </w:hyperlink>
      <w:r>
        <w:rPr>
          <w:sz w:val="24"/>
        </w:rPr>
        <w:t xml:space="preserve"> и </w:t>
      </w:r>
      <w:hyperlink w:history="0" w:anchor="P59923" w:tooltip="4. Отчетность страховщика в виде предусмотренных в ней показателей, составленная им за период в соответствии с требованиями приложения 1 к Указанию Банка России N 6805-У (для отчетности на нерегулярной основе), представляется в Банк России страховщиком в сроки, предусмотренные подпунктами 4.1 - 4.7 настоящего пункта.">
        <w:r>
          <w:rPr>
            <w:sz w:val="24"/>
            <w:color w:val="0000ff"/>
          </w:rPr>
          <w:t xml:space="preserve">4</w:t>
        </w:r>
      </w:hyperlink>
      <w:r>
        <w:rPr>
          <w:sz w:val="24"/>
        </w:rPr>
        <w:t xml:space="preserve"> настоящего приложения (далее - отчетность страховщика), представляются в Банк России страховщиком, имеющим лицензию на осуществление страхования, перестрахования, взаимного страхования, вместе с пояснительной запиской (при ее наличии).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Зарегистрировано Минюстом России 8 ноября 2024 года, регистрационный N 80089.</w:t>
      </w:r>
    </w:p>
    <w:p>
      <w:pPr>
        <w:pStyle w:val="0"/>
        <w:jc w:val="both"/>
      </w:pPr>
      <w:r>
        <w:rPr>
          <w:sz w:val="24"/>
        </w:rPr>
      </w:r>
    </w:p>
    <w:p>
      <w:pPr>
        <w:pStyle w:val="0"/>
        <w:ind w:firstLine="540"/>
        <w:jc w:val="both"/>
      </w:pPr>
      <w:r>
        <w:rPr>
          <w:sz w:val="24"/>
        </w:rPr>
        <w:t xml:space="preserve">Отчетность страховщика представляется страховщиком в Банк России в форме электронного документа в порядке, установленном </w:t>
      </w:r>
      <w:hyperlink w:history="0" r:id="rId913" w:tooltip="Указание Банка России от 03.09.2024 N 6836-У (ред. от 26.05.2025) &quot;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 {КонсультантПлюс}">
        <w:r>
          <w:rPr>
            <w:sz w:val="24"/>
            <w:color w:val="0000ff"/>
          </w:rPr>
          <w:t xml:space="preserve">Указанием</w:t>
        </w:r>
      </w:hyperlink>
      <w:r>
        <w:rPr>
          <w:sz w:val="24"/>
        </w:rPr>
        <w:t xml:space="preserve"> Банка России от 3 сентября 2024 года N 6836-У "О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кабинета" &lt;2&gt; (далее - Указание Банка России N 6836-У).</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Зарегистрировано Минюстом России 3 октября 2024 года, регистрационный N 79699, с изменениями, внесенными Указанием Банка России от 26 мая 2025 года N 7064-У (зарегистрировано Минюстом России 3 июля 2025 года, регистрационный N 82807).</w:t>
      </w:r>
    </w:p>
    <w:p>
      <w:pPr>
        <w:pStyle w:val="0"/>
        <w:jc w:val="both"/>
      </w:pPr>
      <w:r>
        <w:rPr>
          <w:sz w:val="24"/>
        </w:rPr>
      </w:r>
    </w:p>
    <w:p>
      <w:pPr>
        <w:pStyle w:val="0"/>
        <w:ind w:firstLine="540"/>
        <w:jc w:val="both"/>
      </w:pPr>
      <w:r>
        <w:rPr>
          <w:sz w:val="24"/>
        </w:rPr>
        <w:t xml:space="preserve">Отчетность страховщика, представляемая страховщиком в Банк России, подписывается лицом, осуществляющим функции единоличного исполнительного органа страховщика (лицом, временно исполняющим его обязанности), в соответствии с </w:t>
      </w:r>
      <w:hyperlink w:history="0" r:id="rId914" w:tooltip="Указание Банка России от 03.09.2024 N 6836-У (ред. от 26.05.2025) &quot;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 {КонсультантПлюс}">
        <w:r>
          <w:rPr>
            <w:sz w:val="24"/>
            <w:color w:val="0000ff"/>
          </w:rPr>
          <w:t xml:space="preserve">абзацем третьим пункта 1.1</w:t>
        </w:r>
      </w:hyperlink>
      <w:r>
        <w:rPr>
          <w:sz w:val="24"/>
        </w:rPr>
        <w:t xml:space="preserve"> Указания Банка России N 6836-У.</w:t>
      </w:r>
    </w:p>
    <w:p>
      <w:pPr>
        <w:pStyle w:val="0"/>
        <w:spacing w:before="240" w:lineRule="auto"/>
        <w:ind w:firstLine="540"/>
        <w:jc w:val="both"/>
      </w:pPr>
      <w:r>
        <w:rPr>
          <w:sz w:val="24"/>
        </w:rPr>
        <w:t xml:space="preserve">2. Формы отчетности страховщика, для которых в соответствии с </w:t>
      </w:r>
      <w:hyperlink w:history="0" w:anchor="P59891" w:tooltip="3. Отчетность страховщика в виде предусмотренных в ней показателей, составленная им за декабрь 2025 года (для ежемесячной отчетности), за IV квартал 2025 года (для ежеквартальной отчетности) и за 2025 год (для годовой отчетности) в соответствии с требованиями приложений 1 и 2 к Указанию Банка России N 6805-У, представляется в Банк России в сроки, предусмотренные подпунктами 3.1 - 3.24 настоящего пункта.">
        <w:r>
          <w:rPr>
            <w:sz w:val="24"/>
            <w:color w:val="0000ff"/>
          </w:rPr>
          <w:t xml:space="preserve">пунктами 3</w:t>
        </w:r>
      </w:hyperlink>
      <w:r>
        <w:rPr>
          <w:sz w:val="24"/>
        </w:rPr>
        <w:t xml:space="preserve"> и </w:t>
      </w:r>
      <w:hyperlink w:history="0" w:anchor="P59923" w:tooltip="4. Отчетность страховщика в виде предусмотренных в ней показателей, составленная им за период в соответствии с требованиями приложения 1 к Указанию Банка России N 6805-У (для отчетности на нерегулярной основе), представляется в Банк России страховщиком в сроки, предусмотренные подпунктами 4.1 - 4.7 настоящего пункта.">
        <w:r>
          <w:rPr>
            <w:sz w:val="24"/>
            <w:color w:val="0000ff"/>
          </w:rPr>
          <w:t xml:space="preserve">4</w:t>
        </w:r>
      </w:hyperlink>
      <w:r>
        <w:rPr>
          <w:sz w:val="24"/>
        </w:rPr>
        <w:t xml:space="preserve"> настоящего приложения установлен одинаковый срок представления в Банк России, представляются страховщиком в виде пакета электронных документов в соответствии с требованиями, установленными </w:t>
      </w:r>
      <w:hyperlink w:history="0" r:id="rId915" w:tooltip="Федеральный закон от 06.04.2011 N 63-ФЗ (ред. от 21.04.2025) &quot;Об электронной подписи&quot; {КонсультантПлюс}">
        <w:r>
          <w:rPr>
            <w:sz w:val="24"/>
            <w:color w:val="0000ff"/>
          </w:rPr>
          <w:t xml:space="preserve">частями 1</w:t>
        </w:r>
      </w:hyperlink>
      <w:r>
        <w:rPr>
          <w:sz w:val="24"/>
        </w:rPr>
        <w:t xml:space="preserve"> и </w:t>
      </w:r>
      <w:hyperlink w:history="0" r:id="rId916" w:tooltip="Федеральный закон от 06.04.2011 N 63-ФЗ (ред. от 21.04.2025) &quot;Об электронной подписи&quot; {КонсультантПлюс}">
        <w:r>
          <w:rPr>
            <w:sz w:val="24"/>
            <w:color w:val="0000ff"/>
          </w:rPr>
          <w:t xml:space="preserve">4 статьи 6</w:t>
        </w:r>
      </w:hyperlink>
      <w:r>
        <w:rPr>
          <w:sz w:val="24"/>
        </w:rPr>
        <w:t xml:space="preserve"> Федерального закона от 6 апреля 2011 года N 63-ФЗ "Об электронной подписи" (далее - Федеральный закон N 63-ФЗ), согласно информации о технологии подготовки и представления в Банк России электронного документа, размещенной на официальном сайте Банка России в информационно-телекоммуникационной сети "Интернет" в соответствии с </w:t>
      </w:r>
      <w:hyperlink w:history="0" r:id="rId917" w:tooltip="Указание Банка России от 03.09.2024 N 6836-У (ред. от 26.05.2025) &quot;О порядке взаимодействия Банка России с кредитными организациями, некредитными финансовыми организациями, лицами, оказывающими профессиональные услуги на финансовом рынке, и другими участниками информационного обмена при использовании ими информационных ресурсов Банка России, в том числе личного кабинета, а также о порядке и сроках направления уведомления об использовании личного кабинета и уведомления об отказе от использования личного каби {КонсультантПлюс}">
        <w:r>
          <w:rPr>
            <w:sz w:val="24"/>
            <w:color w:val="0000ff"/>
          </w:rPr>
          <w:t xml:space="preserve">абзацем третьим пункта 1.3</w:t>
        </w:r>
      </w:hyperlink>
      <w:r>
        <w:rPr>
          <w:sz w:val="24"/>
        </w:rPr>
        <w:t xml:space="preserve"> Указания Банка России N 6836-У, за исключением отчетности по </w:t>
      </w:r>
      <w:hyperlink w:history="0" r:id="rId918"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0420162</w:t>
        </w:r>
      </w:hyperlink>
      <w:r>
        <w:rPr>
          <w:sz w:val="24"/>
        </w:rPr>
        <w:t xml:space="preserve"> "Сведения о деятельности страховщика" (далее - отчетность по форме 0420162), составленной страховщиком за год, которая должна быть представлена в виде отдельного пакета электронных документов.</w:t>
      </w:r>
    </w:p>
    <w:p>
      <w:pPr>
        <w:pStyle w:val="0"/>
        <w:spacing w:before="240" w:lineRule="auto"/>
        <w:ind w:firstLine="540"/>
        <w:jc w:val="both"/>
      </w:pPr>
      <w:r>
        <w:rPr>
          <w:sz w:val="24"/>
        </w:rPr>
        <w:t xml:space="preserve">В каждый пакет электронных документов страховщик должен включать сопроводительную информацию, предусмотренную </w:t>
      </w:r>
      <w:hyperlink w:history="0" r:id="rId91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пунктом 11</w:t>
        </w:r>
      </w:hyperlink>
      <w:r>
        <w:rPr>
          <w:sz w:val="24"/>
        </w:rPr>
        <w:t xml:space="preserve"> приложения 3 к Указанию Банка России N 6805-У, а также файлы, предусмотренные </w:t>
      </w:r>
      <w:hyperlink w:history="0" w:anchor="P59848" w:tooltip="2.1. Файл, содержащий пояснительную записку, должен иметь следующее наименование до расширения:">
        <w:r>
          <w:rPr>
            <w:sz w:val="24"/>
            <w:color w:val="0000ff"/>
          </w:rPr>
          <w:t xml:space="preserve">подпунктами 2.1</w:t>
        </w:r>
      </w:hyperlink>
      <w:r>
        <w:rPr>
          <w:sz w:val="24"/>
        </w:rPr>
        <w:t xml:space="preserve"> - </w:t>
      </w:r>
      <w:hyperlink w:history="0" w:anchor="P59886" w:tooltip="2.8. Файл, содержащий аудиторское заключение либо иной документ в соответствии со стандартами аудиторской деятельности, предусмотренными частью 2 статьи 5 Федерального закона от 27 июля 2010 года N 208-ФЗ &quot;О консолидированной финансовой отчетности&quot; (далее при совместном упоминании - аудиторское заключение), должен иметь следующее наименование до расширения:">
        <w:r>
          <w:rPr>
            <w:sz w:val="24"/>
            <w:color w:val="0000ff"/>
          </w:rPr>
          <w:t xml:space="preserve">2.8</w:t>
        </w:r>
      </w:hyperlink>
      <w:r>
        <w:rPr>
          <w:sz w:val="24"/>
        </w:rPr>
        <w:t xml:space="preserve"> настоящего пункта (при их наличии).</w:t>
      </w:r>
    </w:p>
    <w:bookmarkStart w:id="59848" w:name="P59848"/>
    <w:bookmarkEnd w:id="59848"/>
    <w:p>
      <w:pPr>
        <w:pStyle w:val="0"/>
        <w:spacing w:before="240" w:lineRule="auto"/>
        <w:ind w:firstLine="540"/>
        <w:jc w:val="both"/>
      </w:pPr>
      <w:r>
        <w:rPr>
          <w:sz w:val="24"/>
        </w:rPr>
        <w:t xml:space="preserve">2.1. Файл, содержащий пояснительную записку, должен иметь следующее наименование до расширения:</w:t>
      </w:r>
    </w:p>
    <w:p>
      <w:pPr>
        <w:pStyle w:val="0"/>
        <w:spacing w:before="240" w:lineRule="auto"/>
        <w:ind w:firstLine="540"/>
        <w:jc w:val="both"/>
      </w:pPr>
      <w:r>
        <w:rPr>
          <w:sz w:val="24"/>
        </w:rPr>
        <w:t xml:space="preserve">&lt;ИНН&gt;_ПЗ_&lt;ДАТА&gt;,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идентификационный номер налогоплательщика (далее - ИНН) страховщика;</w:t>
      </w:r>
    </w:p>
    <w:p>
      <w:pPr>
        <w:pStyle w:val="0"/>
        <w:spacing w:before="240" w:lineRule="auto"/>
        <w:ind w:firstLine="540"/>
        <w:jc w:val="both"/>
      </w:pPr>
      <w:r>
        <w:rPr>
          <w:sz w:val="24"/>
        </w:rPr>
        <w:t xml:space="preserve">&lt;ДАТА&gt; - дата, по состоянию на которую составлена отчетность страховщика (в виде "ггггммдд").</w:t>
      </w:r>
    </w:p>
    <w:p>
      <w:pPr>
        <w:pStyle w:val="0"/>
        <w:spacing w:before="240" w:lineRule="auto"/>
        <w:ind w:firstLine="540"/>
        <w:jc w:val="both"/>
      </w:pPr>
      <w:r>
        <w:rPr>
          <w:sz w:val="24"/>
        </w:rPr>
        <w:t xml:space="preserve">2.2. Файл, содержащий перечень неверных и (или) неактуальных значений показателей и описание причин их отражения в отчетности страховщика, а также реквизиты документа Банка России (в случае внесения исправлений в отчетность страховщика в соответствии с указанным документом Банка России), должен иметь следующее наименование до расширения:</w:t>
      </w:r>
    </w:p>
    <w:p>
      <w:pPr>
        <w:pStyle w:val="0"/>
        <w:spacing w:before="240" w:lineRule="auto"/>
        <w:ind w:firstLine="540"/>
        <w:jc w:val="both"/>
      </w:pPr>
      <w:r>
        <w:rPr>
          <w:sz w:val="24"/>
        </w:rPr>
        <w:t xml:space="preserve">&lt;ИНН&gt;_ПЗ_ИСПР_&lt;ДАТА&gt;,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страховщика;</w:t>
      </w:r>
    </w:p>
    <w:p>
      <w:pPr>
        <w:pStyle w:val="0"/>
        <w:spacing w:before="240" w:lineRule="auto"/>
        <w:ind w:firstLine="540"/>
        <w:jc w:val="both"/>
      </w:pPr>
      <w:r>
        <w:rPr>
          <w:sz w:val="24"/>
        </w:rPr>
        <w:t xml:space="preserve">&lt;ДАТА&gt; - дата, по состоянию на которую составлена исправленная отчетность страховщика (в виде "ггггммдд").</w:t>
      </w:r>
    </w:p>
    <w:p>
      <w:pPr>
        <w:pStyle w:val="0"/>
        <w:spacing w:before="240" w:lineRule="auto"/>
        <w:ind w:firstLine="540"/>
        <w:jc w:val="both"/>
      </w:pPr>
      <w:r>
        <w:rPr>
          <w:sz w:val="24"/>
        </w:rPr>
        <w:t xml:space="preserve">2.3. Файл, содержащий пояснения о причинах расхождений между показателями отчетности страховщика, должен иметь следующее наименование до расширения:</w:t>
      </w:r>
    </w:p>
    <w:p>
      <w:pPr>
        <w:pStyle w:val="0"/>
        <w:spacing w:before="240" w:lineRule="auto"/>
        <w:ind w:firstLine="540"/>
        <w:jc w:val="both"/>
      </w:pPr>
      <w:r>
        <w:rPr>
          <w:sz w:val="24"/>
        </w:rPr>
        <w:t xml:space="preserve">&lt;ИНН&gt;_КС_&lt;ДАТА&gt;,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страховщика;</w:t>
      </w:r>
    </w:p>
    <w:p>
      <w:pPr>
        <w:pStyle w:val="0"/>
        <w:spacing w:before="240" w:lineRule="auto"/>
        <w:ind w:firstLine="540"/>
        <w:jc w:val="both"/>
      </w:pPr>
      <w:r>
        <w:rPr>
          <w:sz w:val="24"/>
        </w:rPr>
        <w:t xml:space="preserve">&lt;ДАТА&gt; - дата, по состоянию на которую составлена отчетность страховщика (в виде "ггггммдд").</w:t>
      </w:r>
    </w:p>
    <w:p>
      <w:pPr>
        <w:pStyle w:val="0"/>
        <w:spacing w:before="240" w:lineRule="auto"/>
        <w:ind w:firstLine="540"/>
        <w:jc w:val="both"/>
      </w:pPr>
      <w:r>
        <w:rPr>
          <w:sz w:val="24"/>
        </w:rPr>
        <w:t xml:space="preserve">2.4. Каждый файл, содержащий документ, подтверждающий полномочия руководителя филиала, представительства страховщика (за исключением иностранной страховой организации), должен иметь следующее наименование до расширения:</w:t>
      </w:r>
    </w:p>
    <w:p>
      <w:pPr>
        <w:pStyle w:val="0"/>
        <w:spacing w:before="240" w:lineRule="auto"/>
        <w:ind w:firstLine="540"/>
        <w:jc w:val="both"/>
      </w:pPr>
      <w:r>
        <w:rPr>
          <w:sz w:val="24"/>
        </w:rPr>
        <w:t xml:space="preserve">&lt;ИНН&gt;_&lt;ИД&gt;_ОП_&lt;ДАТА&gt;,</w:t>
      </w:r>
    </w:p>
    <w:p>
      <w:pPr>
        <w:pStyle w:val="0"/>
        <w:spacing w:before="240" w:lineRule="auto"/>
        <w:ind w:firstLine="540"/>
        <w:jc w:val="both"/>
      </w:pPr>
      <w:r>
        <w:rPr>
          <w:sz w:val="24"/>
        </w:rPr>
        <w:t xml:space="preserve">&lt;ИНН&gt; - ИНН страховщика (за исключением иностранной страховой организации);</w:t>
      </w:r>
    </w:p>
    <w:p>
      <w:pPr>
        <w:pStyle w:val="0"/>
        <w:spacing w:before="240" w:lineRule="auto"/>
        <w:ind w:firstLine="540"/>
        <w:jc w:val="both"/>
      </w:pPr>
      <w:r>
        <w:rPr>
          <w:sz w:val="24"/>
        </w:rPr>
        <w:t xml:space="preserve">&lt;ИД&gt; - идентификатор обособленного подразделения, указанный страховщиком в отчетности по </w:t>
      </w:r>
      <w:hyperlink w:history="0" r:id="rId92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"Сведения об обособленных подразделениях страховщика" (далее - отчетность по форме 0420151) по группе аналитических признаков "Идентификатор обособленного подразделения";</w:t>
      </w:r>
    </w:p>
    <w:p>
      <w:pPr>
        <w:pStyle w:val="0"/>
        <w:spacing w:before="240" w:lineRule="auto"/>
        <w:ind w:firstLine="540"/>
        <w:jc w:val="both"/>
      </w:pPr>
      <w:r>
        <w:rPr>
          <w:sz w:val="24"/>
        </w:rPr>
        <w:t xml:space="preserve">&lt;ДАТА&gt; - дата, по состоянию на которую составлена отчетность по </w:t>
      </w:r>
      <w:hyperlink w:history="0" r:id="rId92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(в виде "ггггммдд").</w:t>
      </w:r>
    </w:p>
    <w:p>
      <w:pPr>
        <w:pStyle w:val="0"/>
        <w:spacing w:before="240" w:lineRule="auto"/>
        <w:ind w:firstLine="540"/>
        <w:jc w:val="both"/>
      </w:pPr>
      <w:r>
        <w:rPr>
          <w:sz w:val="24"/>
        </w:rPr>
        <w:t xml:space="preserve">2.5. Каждый файл, содержащий выписку по специальному банковскому счету, подтверждающую соответствие размера находящихся на указанном счете денежных средств требованиям, установленным </w:t>
      </w:r>
      <w:hyperlink w:history="0" r:id="rId922"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статьей 33.4</w:t>
        </w:r>
      </w:hyperlink>
      <w:r>
        <w:rPr>
          <w:sz w:val="24"/>
        </w:rPr>
        <w:t xml:space="preserve"> Закона Российской Федерации от 27 ноября 1992 года N 4015-I "Об организации страхового дела в Российской Федерации" (далее - Закон Российской Федерации N 4015-I) к общему размеру гарантийного депозита филиала иностранной страховой организации, созданного на территории Российской Федерации, через который иностранная страховая организация осуществляет страховую деятельность на территории Российской Федерации (далее соответственно - филиал иностранной страховой организации, выписка по специальному банковскому счету), должен иметь следующее наименование до расширения:</w:t>
      </w:r>
    </w:p>
    <w:p>
      <w:pPr>
        <w:pStyle w:val="0"/>
        <w:spacing w:before="240" w:lineRule="auto"/>
        <w:ind w:firstLine="540"/>
        <w:jc w:val="both"/>
      </w:pPr>
      <w:r>
        <w:rPr>
          <w:sz w:val="24"/>
        </w:rPr>
        <w:t xml:space="preserve">&lt;ИНН&gt;_&lt;ИД&gt;_ВЫПИСКА_&lt;ДАТА&gt;,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иностранной страховой организации;</w:t>
      </w:r>
    </w:p>
    <w:p>
      <w:pPr>
        <w:pStyle w:val="0"/>
        <w:spacing w:before="240" w:lineRule="auto"/>
        <w:ind w:firstLine="540"/>
        <w:jc w:val="both"/>
      </w:pPr>
      <w:r>
        <w:rPr>
          <w:sz w:val="24"/>
        </w:rPr>
        <w:t xml:space="preserve">&lt;ИД&gt; - идентификатор филиала иностранной страховой организации, указанный иностранной страховой организацией в отчетности по </w:t>
      </w:r>
      <w:hyperlink w:history="0" r:id="rId923"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"Сведения о размере гарантийного депозита филиала иностранной страховой организации" (далее - отчетность по форме 0420153) по группе аналитических признаков "Идентификатор филиала";</w:t>
      </w:r>
    </w:p>
    <w:p>
      <w:pPr>
        <w:pStyle w:val="0"/>
        <w:spacing w:before="240" w:lineRule="auto"/>
        <w:ind w:firstLine="540"/>
        <w:jc w:val="both"/>
      </w:pPr>
      <w:r>
        <w:rPr>
          <w:sz w:val="24"/>
        </w:rPr>
        <w:t xml:space="preserve">&lt;ДАТА&gt; - дата, по состоянию на которую составлена отчетность по </w:t>
      </w:r>
      <w:hyperlink w:history="0" r:id="rId92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(в виде "ггггммдд").</w:t>
      </w:r>
    </w:p>
    <w:p>
      <w:pPr>
        <w:pStyle w:val="0"/>
        <w:spacing w:before="240" w:lineRule="auto"/>
        <w:ind w:firstLine="540"/>
        <w:jc w:val="both"/>
      </w:pPr>
      <w:r>
        <w:rPr>
          <w:sz w:val="24"/>
        </w:rPr>
        <w:t xml:space="preserve">2.6. Каждый файл, содержащий актуарное заключение, подготовленное по итогам актуарного оценивания расчетного размера гарантийного депозита филиала иностранной страховой организации по итогам отчетного года в соответствии с </w:t>
      </w:r>
      <w:hyperlink w:history="0" r:id="rId925"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абзацем третьим пункта 3 статьи 33.4</w:t>
        </w:r>
      </w:hyperlink>
      <w:r>
        <w:rPr>
          <w:sz w:val="24"/>
        </w:rPr>
        <w:t xml:space="preserve"> Закона Российской Федерации N 4015-I (далее - актуарное заключение), должен иметь следующее наименование до расширения:</w:t>
      </w:r>
    </w:p>
    <w:p>
      <w:pPr>
        <w:pStyle w:val="0"/>
        <w:spacing w:before="240" w:lineRule="auto"/>
        <w:ind w:firstLine="540"/>
        <w:jc w:val="both"/>
      </w:pPr>
      <w:r>
        <w:rPr>
          <w:sz w:val="24"/>
        </w:rPr>
        <w:t xml:space="preserve">&lt;ИНН&gt;_&lt;ИД&gt;_АКЗ_&lt;ГОД&gt;,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иностранной страховой организации;</w:t>
      </w:r>
    </w:p>
    <w:p>
      <w:pPr>
        <w:pStyle w:val="0"/>
        <w:spacing w:before="240" w:lineRule="auto"/>
        <w:ind w:firstLine="540"/>
        <w:jc w:val="both"/>
      </w:pPr>
      <w:r>
        <w:rPr>
          <w:sz w:val="24"/>
        </w:rPr>
        <w:t xml:space="preserve">&lt;ИД&gt; - идентификатор филиала иностранной страховой организации, указанный иностранной страховой организацией в отчетности по </w:t>
      </w:r>
      <w:hyperlink w:history="0" r:id="rId92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по группе аналитических признаков "Идентификатор филиала";</w:t>
      </w:r>
    </w:p>
    <w:p>
      <w:pPr>
        <w:pStyle w:val="0"/>
        <w:spacing w:before="240" w:lineRule="auto"/>
        <w:ind w:firstLine="540"/>
        <w:jc w:val="both"/>
      </w:pPr>
      <w:r>
        <w:rPr>
          <w:sz w:val="24"/>
        </w:rPr>
        <w:t xml:space="preserve">&lt;ГОД&gt; - год, по состоянию на конец которого составлена отчетность по </w:t>
      </w:r>
      <w:hyperlink w:history="0" r:id="rId927"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(в виде "гггг").</w:t>
      </w:r>
    </w:p>
    <w:p>
      <w:pPr>
        <w:pStyle w:val="0"/>
        <w:spacing w:before="240" w:lineRule="auto"/>
        <w:ind w:firstLine="540"/>
        <w:jc w:val="both"/>
      </w:pPr>
      <w:r>
        <w:rPr>
          <w:sz w:val="24"/>
        </w:rPr>
        <w:t xml:space="preserve">2.7. Каждый файл, содержащий документ, составленный аудиторской организацией по результатам аудита достоверности данных, использованных ответственным актуарием в расчете расчетного размера гарантийного депозита филиала иностранной страховой организации по итогам отчетного года в соответствии с </w:t>
      </w:r>
      <w:hyperlink w:history="0" r:id="rId928"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абзацем третьим пункта 3 статьи 33.4</w:t>
        </w:r>
      </w:hyperlink>
      <w:r>
        <w:rPr>
          <w:sz w:val="24"/>
        </w:rPr>
        <w:t xml:space="preserve"> Закона Российской Федерации N 4015-I (далее - документ по результатам аудита), должен иметь следующее наименование до расширения:</w:t>
      </w:r>
    </w:p>
    <w:p>
      <w:pPr>
        <w:pStyle w:val="0"/>
        <w:spacing w:before="240" w:lineRule="auto"/>
        <w:ind w:firstLine="540"/>
        <w:jc w:val="both"/>
      </w:pPr>
      <w:r>
        <w:rPr>
          <w:sz w:val="24"/>
        </w:rPr>
        <w:t xml:space="preserve">&lt;ИНН&gt;_&lt;ИД&gt;_АЗ_&lt;ГОД&gt;,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иностранной страховой организации;</w:t>
      </w:r>
    </w:p>
    <w:p>
      <w:pPr>
        <w:pStyle w:val="0"/>
        <w:spacing w:before="240" w:lineRule="auto"/>
        <w:ind w:firstLine="540"/>
        <w:jc w:val="both"/>
      </w:pPr>
      <w:r>
        <w:rPr>
          <w:sz w:val="24"/>
        </w:rPr>
        <w:t xml:space="preserve">&lt;ИД&gt; - идентификатор филиала иностранной страховой организации, указанный иностранной страховой организацией в отчетности по </w:t>
      </w:r>
      <w:hyperlink w:history="0" r:id="rId92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по группе аналитических признаков "Идентификатор филиала";</w:t>
      </w:r>
    </w:p>
    <w:p>
      <w:pPr>
        <w:pStyle w:val="0"/>
        <w:spacing w:before="240" w:lineRule="auto"/>
        <w:ind w:firstLine="540"/>
        <w:jc w:val="both"/>
      </w:pPr>
      <w:r>
        <w:rPr>
          <w:sz w:val="24"/>
        </w:rPr>
        <w:t xml:space="preserve">&lt;ГОД&gt; - год, по состоянию на конец которого составлена отчетность по </w:t>
      </w:r>
      <w:hyperlink w:history="0" r:id="rId93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(в виде "гггг").</w:t>
      </w:r>
    </w:p>
    <w:bookmarkStart w:id="59886" w:name="P59886"/>
    <w:bookmarkEnd w:id="59886"/>
    <w:p>
      <w:pPr>
        <w:pStyle w:val="0"/>
        <w:spacing w:before="240" w:lineRule="auto"/>
        <w:ind w:firstLine="540"/>
        <w:jc w:val="both"/>
      </w:pPr>
      <w:r>
        <w:rPr>
          <w:sz w:val="24"/>
        </w:rPr>
        <w:t xml:space="preserve">2.8. Файл, содержащий аудиторское заключение либо иной документ в соответствии со стандартами аудиторской деятельности, предусмотренными </w:t>
      </w:r>
      <w:hyperlink w:history="0" r:id="rId931" w:tooltip="Федеральный закон от 27.07.2010 N 208-ФЗ (ред. от 22.07.2024) &quot;О консолидированной финансовой отчетности&quot; {КонсультантПлюс}">
        <w:r>
          <w:rPr>
            <w:sz w:val="24"/>
            <w:color w:val="0000ff"/>
          </w:rPr>
          <w:t xml:space="preserve">частью 2 статьи 5</w:t>
        </w:r>
      </w:hyperlink>
      <w:r>
        <w:rPr>
          <w:sz w:val="24"/>
        </w:rPr>
        <w:t xml:space="preserve"> Федерального закона от 27 июля 2010 года N 208-ФЗ "О консолидированной финансовой отчетности" (далее при совместном упоминании - аудиторское заключение), должен иметь следующее наименование до расширения:</w:t>
      </w:r>
    </w:p>
    <w:p>
      <w:pPr>
        <w:pStyle w:val="0"/>
        <w:spacing w:before="240" w:lineRule="auto"/>
        <w:ind w:firstLine="540"/>
        <w:jc w:val="both"/>
      </w:pPr>
      <w:r>
        <w:rPr>
          <w:sz w:val="24"/>
        </w:rPr>
        <w:t xml:space="preserve">&lt;ИНН&gt;_АЗ_&lt;ДАТА&gt;,</w:t>
      </w:r>
    </w:p>
    <w:p>
      <w:pPr>
        <w:pStyle w:val="0"/>
        <w:spacing w:before="240" w:lineRule="auto"/>
        <w:ind w:firstLine="540"/>
        <w:jc w:val="both"/>
      </w:pPr>
      <w:r>
        <w:rPr>
          <w:sz w:val="24"/>
        </w:rPr>
        <w:t xml:space="preserve">где:</w:t>
      </w:r>
    </w:p>
    <w:p>
      <w:pPr>
        <w:pStyle w:val="0"/>
        <w:spacing w:before="240" w:lineRule="auto"/>
        <w:ind w:firstLine="540"/>
        <w:jc w:val="both"/>
      </w:pPr>
      <w:r>
        <w:rPr>
          <w:sz w:val="24"/>
        </w:rPr>
        <w:t xml:space="preserve">&lt;ИНН&gt; - ИНН страховщика;</w:t>
      </w:r>
    </w:p>
    <w:p>
      <w:pPr>
        <w:pStyle w:val="0"/>
        <w:spacing w:before="240" w:lineRule="auto"/>
        <w:ind w:firstLine="540"/>
        <w:jc w:val="both"/>
      </w:pPr>
      <w:r>
        <w:rPr>
          <w:sz w:val="24"/>
        </w:rPr>
        <w:t xml:space="preserve">&lt;ДАТА&gt; - дата, по состоянию на которую составлена отчетность по </w:t>
      </w:r>
      <w:hyperlink w:history="0" r:id="rId93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0420167</w:t>
        </w:r>
      </w:hyperlink>
      <w:r>
        <w:rPr>
          <w:sz w:val="24"/>
        </w:rPr>
        <w:t xml:space="preserve"> "Сведения об аудиторской проверке отчетности страховщика" (далее - отчетность по форме 0420167) (в виде "ггггммдд").</w:t>
      </w:r>
    </w:p>
    <w:bookmarkStart w:id="59891" w:name="P59891"/>
    <w:bookmarkEnd w:id="59891"/>
    <w:p>
      <w:pPr>
        <w:pStyle w:val="0"/>
        <w:spacing w:before="240" w:lineRule="auto"/>
        <w:ind w:firstLine="540"/>
        <w:jc w:val="both"/>
      </w:pPr>
      <w:r>
        <w:rPr>
          <w:sz w:val="24"/>
        </w:rPr>
        <w:t xml:space="preserve">3. Отчетность страховщика в виде предусмотренных в ней показателей, составленная им за декабрь 2025 года (для ежемесячной отчетности), за IV квартал 2025 года (для ежеквартальной отчетности) и за 2025 год (для годовой отчетности) в соответствии с требованиями </w:t>
      </w:r>
      <w:hyperlink w:history="0" r:id="rId933"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приложений 1</w:t>
        </w:r>
      </w:hyperlink>
      <w:r>
        <w:rPr>
          <w:sz w:val="24"/>
        </w:rPr>
        <w:t xml:space="preserve"> и </w:t>
      </w:r>
      <w:hyperlink w:history="0" r:id="rId93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2</w:t>
        </w:r>
      </w:hyperlink>
      <w:r>
        <w:rPr>
          <w:sz w:val="24"/>
        </w:rPr>
        <w:t xml:space="preserve"> к Указанию Банка России N 6805-У, представляется в Банк России в сроки, предусмотренные </w:t>
      </w:r>
      <w:hyperlink w:history="0" w:anchor="P59892" w:tooltip="3.1. Показатели раздела 1 отчетности по форме 0420150 &quot;Общие сведения о страховщике&quot; (далее - отчетность по форме 0420150) представляются страховщиком вместе с показателями отчетности по формам и в сроки, которые предусмотрены подпунктами 3.6 - 3.23 настоящего пункта.">
        <w:r>
          <w:rPr>
            <w:sz w:val="24"/>
            <w:color w:val="0000ff"/>
          </w:rPr>
          <w:t xml:space="preserve">подпунктами 3.1</w:t>
        </w:r>
      </w:hyperlink>
      <w:r>
        <w:rPr>
          <w:sz w:val="24"/>
        </w:rPr>
        <w:t xml:space="preserve"> - </w:t>
      </w:r>
      <w:hyperlink w:history="0" w:anchor="P59922" w:tooltip="3.24. Показатели отчетности по форме 0420174 &quot;Сведения о показателях операционной надежности страховой организации и применяемых ею информационных технологиях&quot; представляются страховой организацией не позднее 31 января 2026 года.">
        <w:r>
          <w:rPr>
            <w:sz w:val="24"/>
            <w:color w:val="0000ff"/>
          </w:rPr>
          <w:t xml:space="preserve">3.24</w:t>
        </w:r>
      </w:hyperlink>
      <w:r>
        <w:rPr>
          <w:sz w:val="24"/>
        </w:rPr>
        <w:t xml:space="preserve"> настоящего пункта.</w:t>
      </w:r>
    </w:p>
    <w:bookmarkStart w:id="59892" w:name="P59892"/>
    <w:bookmarkEnd w:id="59892"/>
    <w:p>
      <w:pPr>
        <w:pStyle w:val="0"/>
        <w:spacing w:before="240" w:lineRule="auto"/>
        <w:ind w:firstLine="540"/>
        <w:jc w:val="both"/>
      </w:pPr>
      <w:r>
        <w:rPr>
          <w:sz w:val="24"/>
        </w:rPr>
        <w:t xml:space="preserve">3.1. Показатели </w:t>
      </w:r>
      <w:hyperlink w:history="0" r:id="rId93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раздела 1</w:t>
        </w:r>
      </w:hyperlink>
      <w:r>
        <w:rPr>
          <w:sz w:val="24"/>
        </w:rPr>
        <w:t xml:space="preserve"> отчетности по форме 0420150 "Общие сведения о страховщике" (далее - отчетность по форме 0420150) представляются страховщиком вместе с показателями отчетности по формам и в сроки, которые предусмотрены </w:t>
      </w:r>
      <w:hyperlink w:history="0" w:anchor="P59897" w:tooltip="3.6. Показатели отчетности по форме 0420151 представляются страховщиком (за исключением иностранной страховой организации) в течение 35 рабочих дней после 31 декабря 2025 года.">
        <w:r>
          <w:rPr>
            <w:sz w:val="24"/>
            <w:color w:val="0000ff"/>
          </w:rPr>
          <w:t xml:space="preserve">подпунктами 3.6</w:t>
        </w:r>
      </w:hyperlink>
      <w:r>
        <w:rPr>
          <w:sz w:val="24"/>
        </w:rPr>
        <w:t xml:space="preserve"> - </w:t>
      </w:r>
      <w:hyperlink w:history="0" w:anchor="P59921" w:tooltip="3.23. Показатели отчетности по форме 0420172 &quot;Расшифровка отдельных показателей деятельности страховщика&quot; представляются страховщиком (за исключением иностранной страховой организации) в течение 35 рабочих дней после 31 декабря 2025 года.">
        <w:r>
          <w:rPr>
            <w:sz w:val="24"/>
            <w:color w:val="0000ff"/>
          </w:rPr>
          <w:t xml:space="preserve">3.23</w:t>
        </w:r>
      </w:hyperlink>
      <w:r>
        <w:rPr>
          <w:sz w:val="24"/>
        </w:rPr>
        <w:t xml:space="preserve"> настоящего пункта.</w:t>
      </w:r>
    </w:p>
    <w:p>
      <w:pPr>
        <w:pStyle w:val="0"/>
        <w:spacing w:before="240" w:lineRule="auto"/>
        <w:ind w:firstLine="540"/>
        <w:jc w:val="both"/>
      </w:pPr>
      <w:r>
        <w:rPr>
          <w:sz w:val="24"/>
        </w:rPr>
        <w:t xml:space="preserve">3.2. Показатели </w:t>
      </w:r>
      <w:hyperlink w:history="0" r:id="rId93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разделов 2</w:t>
        </w:r>
      </w:hyperlink>
      <w:r>
        <w:rPr>
          <w:sz w:val="24"/>
        </w:rPr>
        <w:t xml:space="preserve"> и </w:t>
      </w:r>
      <w:hyperlink w:history="0" r:id="rId937"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3</w:t>
        </w:r>
      </w:hyperlink>
      <w:r>
        <w:rPr>
          <w:sz w:val="24"/>
        </w:rPr>
        <w:t xml:space="preserve"> отчетности по форме 0420150 представляются страховщиком в течение 35 рабочих дней после 31 декабря 2025 года.</w:t>
      </w:r>
    </w:p>
    <w:p>
      <w:pPr>
        <w:pStyle w:val="0"/>
        <w:spacing w:before="240" w:lineRule="auto"/>
        <w:ind w:firstLine="540"/>
        <w:jc w:val="both"/>
      </w:pPr>
      <w:r>
        <w:rPr>
          <w:sz w:val="24"/>
        </w:rPr>
        <w:t xml:space="preserve">3.3. Показатели </w:t>
      </w:r>
      <w:hyperlink w:history="0" r:id="rId938"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раздела 4</w:t>
        </w:r>
      </w:hyperlink>
      <w:r>
        <w:rPr>
          <w:sz w:val="24"/>
        </w:rPr>
        <w:t xml:space="preserve"> отчетности по форме 0420150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вместе с показателями отчетности по </w:t>
      </w:r>
      <w:hyperlink w:history="0" r:id="rId93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0420158</w:t>
        </w:r>
      </w:hyperlink>
      <w:r>
        <w:rPr>
          <w:sz w:val="24"/>
        </w:rPr>
        <w:t xml:space="preserve"> "Отчет о структуре финансового результата страховщика" (далее - отчетность по форме 0420158) и в сроки, которые предусмотрены </w:t>
      </w:r>
      <w:hyperlink w:history="0" w:anchor="P59909" w:tooltip="3.13. Показатели отчетности по форме 042015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дважды - в течение 10 рабочих дней после 31 декабря 2025 года и 35 рабочих дней после 31 декабря 2025 года.">
        <w:r>
          <w:rPr>
            <w:sz w:val="24"/>
            <w:color w:val="0000ff"/>
          </w:rPr>
          <w:t xml:space="preserve">подпунктом 3.13</w:t>
        </w:r>
      </w:hyperlink>
      <w:r>
        <w:rPr>
          <w:sz w:val="24"/>
        </w:rPr>
        <w:t xml:space="preserve"> настоящего пункта.</w:t>
      </w:r>
    </w:p>
    <w:p>
      <w:pPr>
        <w:pStyle w:val="0"/>
        <w:spacing w:before="240" w:lineRule="auto"/>
        <w:ind w:firstLine="540"/>
        <w:jc w:val="both"/>
      </w:pPr>
      <w:r>
        <w:rPr>
          <w:sz w:val="24"/>
        </w:rPr>
        <w:t xml:space="preserve">3.4. Показатели </w:t>
      </w:r>
      <w:hyperlink w:history="0" r:id="rId94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раздела 5</w:t>
        </w:r>
      </w:hyperlink>
      <w:r>
        <w:rPr>
          <w:sz w:val="24"/>
        </w:rPr>
        <w:t xml:space="preserve"> отчетности по форме 0420150 представляются страховщиком (за исключением иностранной страховой организации) в течение 35 рабочих дней после 31 декабря 2025 года.</w:t>
      </w:r>
    </w:p>
    <w:p>
      <w:pPr>
        <w:pStyle w:val="0"/>
        <w:spacing w:before="240" w:lineRule="auto"/>
        <w:ind w:firstLine="540"/>
        <w:jc w:val="both"/>
      </w:pPr>
      <w:r>
        <w:rPr>
          <w:sz w:val="24"/>
        </w:rPr>
        <w:t xml:space="preserve">3.5. Показатели </w:t>
      </w:r>
      <w:hyperlink w:history="0" r:id="rId94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раздела 7</w:t>
        </w:r>
      </w:hyperlink>
      <w:r>
        <w:rPr>
          <w:sz w:val="24"/>
        </w:rPr>
        <w:t xml:space="preserve"> отчетности по форме 0420150 представляются страховщиком вместе с показателями отчетности по формам и в сроки, которые предусмотрены </w:t>
      </w:r>
      <w:hyperlink w:history="0" w:anchor="P59899" w:tooltip="3.7. Показатели отчетности по форме 0420152 &quot;Отчет об акционерах (участниках) и список аффилированных лиц страховой организации&quot; представляются страховой организацией в течение 10 рабочих дней после 31 декабря 2025 года.">
        <w:r>
          <w:rPr>
            <w:sz w:val="24"/>
            <w:color w:val="0000ff"/>
          </w:rPr>
          <w:t xml:space="preserve">подпунктами 3.7</w:t>
        </w:r>
      </w:hyperlink>
      <w:r>
        <w:rPr>
          <w:sz w:val="24"/>
        </w:rPr>
        <w:t xml:space="preserve"> - </w:t>
      </w:r>
      <w:hyperlink w:history="0" w:anchor="P59904" w:tooltip="3.9. Показатели отчетности по форме 0420154 &quot;Отчет об активах и обязательствах страховщика&quot; (далее - отчетность по форме 0420154) представляются страховщиком дважды - в течение 10 рабочих дней после 31 декабря 2025 года (кроме показателей раздела 9 отчетности по форме 0420154) и в течение 35 рабочих дней после 31 декабря 2025 года.">
        <w:r>
          <w:rPr>
            <w:sz w:val="24"/>
            <w:color w:val="0000ff"/>
          </w:rPr>
          <w:t xml:space="preserve">3.9</w:t>
        </w:r>
      </w:hyperlink>
      <w:r>
        <w:rPr>
          <w:sz w:val="24"/>
        </w:rPr>
        <w:t xml:space="preserve">, </w:t>
      </w:r>
      <w:hyperlink w:history="0" w:anchor="P59908" w:tooltip="3.12. Показатели отчетности по форме 0420157 &quot;Отчет об операциях перестрахования страховщика&quot;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течение 35 рабочих дней после 31 декабря 2025 года.">
        <w:r>
          <w:rPr>
            <w:sz w:val="24"/>
            <w:color w:val="0000ff"/>
          </w:rPr>
          <w:t xml:space="preserve">3.12</w:t>
        </w:r>
      </w:hyperlink>
      <w:r>
        <w:rPr>
          <w:sz w:val="24"/>
        </w:rPr>
        <w:t xml:space="preserve">, </w:t>
      </w:r>
      <w:hyperlink w:history="0" w:anchor="P59910" w:tooltip="3.14. Показатели отчетности по форме 0420159 &quot;Сведения о сделках страховой организации&quot; представляются страховой организацией в течение 35 рабочих дней после 31 декабря 2025 года.">
        <w:r>
          <w:rPr>
            <w:sz w:val="24"/>
            <w:color w:val="0000ff"/>
          </w:rPr>
          <w:t xml:space="preserve">3.14</w:t>
        </w:r>
      </w:hyperlink>
      <w:r>
        <w:rPr>
          <w:sz w:val="24"/>
        </w:rPr>
        <w:t xml:space="preserve"> - </w:t>
      </w:r>
      <w:hyperlink w:history="0" w:anchor="P59912" w:tooltip="3.16. Показатели отчетности по форме 0420161 &quot;Отчет о выданных страховщиком поручительствах, независимых гарантиях и других обеспечениях исполнения обязательств&quot; представляются страховщиком (за исключением иностранной страховой организации) в течение 35 рабочих дней после 31 декабря 2025 года.">
        <w:r>
          <w:rPr>
            <w:sz w:val="24"/>
            <w:color w:val="0000ff"/>
          </w:rPr>
          <w:t xml:space="preserve">3.16</w:t>
        </w:r>
      </w:hyperlink>
      <w:r>
        <w:rPr>
          <w:sz w:val="24"/>
        </w:rPr>
        <w:t xml:space="preserve">, </w:t>
      </w:r>
      <w:hyperlink w:history="0" w:anchor="P59914" w:tooltip="3.18. Показатели отчетности по форме 0420163 &quot;Отчет об операциях со связанными сторонами страховщика&quot; представляются страховщиком (за исключением иностранной страховой организации) в течение 35 рабочих дней после 31 декабря 2025 года.">
        <w:r>
          <w:rPr>
            <w:sz w:val="24"/>
            <w:color w:val="0000ff"/>
          </w:rPr>
          <w:t xml:space="preserve">3.18</w:t>
        </w:r>
      </w:hyperlink>
      <w:r>
        <w:rPr>
          <w:sz w:val="24"/>
        </w:rPr>
        <w:t xml:space="preserve">, </w:t>
      </w:r>
      <w:hyperlink w:history="0" w:anchor="P59920" w:tooltip="3.22. Показатели отчетности по форме 0420169 &quot;Сведения для расчета размера (квоты) участия иностранного капитала в совокупном уставном капитале страховых организаций, имеющих лицензию на осуществление страховой деятельности&quot; представляются страховой организацией, имеющей долю иностранных инвесторов в своем уставном капитале, в течение 10 рабочих дней после 31 декабря 2025 года.">
        <w:r>
          <w:rPr>
            <w:sz w:val="24"/>
            <w:color w:val="0000ff"/>
          </w:rPr>
          <w:t xml:space="preserve">3.22</w:t>
        </w:r>
      </w:hyperlink>
      <w:r>
        <w:rPr>
          <w:sz w:val="24"/>
        </w:rPr>
        <w:t xml:space="preserve"> настоящего пункта.</w:t>
      </w:r>
    </w:p>
    <w:bookmarkStart w:id="59897" w:name="P59897"/>
    <w:bookmarkEnd w:id="59897"/>
    <w:p>
      <w:pPr>
        <w:pStyle w:val="0"/>
        <w:spacing w:before="240" w:lineRule="auto"/>
        <w:ind w:firstLine="540"/>
        <w:jc w:val="both"/>
      </w:pPr>
      <w:r>
        <w:rPr>
          <w:sz w:val="24"/>
        </w:rPr>
        <w:t xml:space="preserve">3.6. Показатели отчетности по </w:t>
      </w:r>
      <w:hyperlink w:history="0" r:id="rId94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представляются страховщиком (за исключением иностранной страховой организации) в течение 35 рабочих дней после 31 декабря 2025 года.</w:t>
      </w:r>
    </w:p>
    <w:p>
      <w:pPr>
        <w:pStyle w:val="0"/>
        <w:spacing w:before="240" w:lineRule="auto"/>
        <w:ind w:firstLine="540"/>
        <w:jc w:val="both"/>
      </w:pPr>
      <w:r>
        <w:rPr>
          <w:sz w:val="24"/>
        </w:rPr>
        <w:t xml:space="preserve">Показатели отчетности по </w:t>
      </w:r>
      <w:hyperlink w:history="0" r:id="rId943"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представляются иностранной страховой организацией дважды - в течение 10 рабочих дней после 31 декабря 2025 года и 35 рабочих дней после 31 декабря 2025 года.</w:t>
      </w:r>
    </w:p>
    <w:bookmarkStart w:id="59899" w:name="P59899"/>
    <w:bookmarkEnd w:id="59899"/>
    <w:p>
      <w:pPr>
        <w:pStyle w:val="0"/>
        <w:spacing w:before="240" w:lineRule="auto"/>
        <w:ind w:firstLine="540"/>
        <w:jc w:val="both"/>
      </w:pPr>
      <w:r>
        <w:rPr>
          <w:sz w:val="24"/>
        </w:rPr>
        <w:t xml:space="preserve">3.7. Показатели отчетности по </w:t>
      </w:r>
      <w:hyperlink w:history="0" r:id="rId94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0420152</w:t>
        </w:r>
      </w:hyperlink>
      <w:r>
        <w:rPr>
          <w:sz w:val="24"/>
        </w:rPr>
        <w:t xml:space="preserve"> "Отчет об акционерах (участниках) и список аффилированных лиц страховой организации" представляются страховой организацией в течение 10 рабочих дней после 31 декабря 2025 года.</w:t>
      </w:r>
    </w:p>
    <w:p>
      <w:pPr>
        <w:pStyle w:val="0"/>
        <w:spacing w:before="240" w:lineRule="auto"/>
        <w:ind w:firstLine="540"/>
        <w:jc w:val="both"/>
      </w:pPr>
      <w:r>
        <w:rPr>
          <w:sz w:val="24"/>
        </w:rPr>
        <w:t xml:space="preserve">3.8. Показатели отчетности по </w:t>
      </w:r>
      <w:hyperlink w:history="0" r:id="rId94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представляются иностранной страховой организацией дважды - в течение 10 рабочих дней после 31 декабря 2025 года (кроме показателей </w:t>
      </w:r>
      <w:hyperlink w:history="0" r:id="rId94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разделов 4</w:t>
        </w:r>
      </w:hyperlink>
      <w:r>
        <w:rPr>
          <w:sz w:val="24"/>
        </w:rPr>
        <w:t xml:space="preserve"> и </w:t>
      </w:r>
      <w:hyperlink w:history="0" r:id="rId947"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5</w:t>
        </w:r>
      </w:hyperlink>
      <w:r>
        <w:rPr>
          <w:sz w:val="24"/>
        </w:rPr>
        <w:t xml:space="preserve"> отчетности по форме 0420153) и в течение 35 рабочих дней после 31 декабря 2025 года.</w:t>
      </w:r>
    </w:p>
    <w:p>
      <w:pPr>
        <w:pStyle w:val="0"/>
        <w:spacing w:before="240" w:lineRule="auto"/>
        <w:ind w:firstLine="540"/>
        <w:jc w:val="both"/>
      </w:pPr>
      <w:r>
        <w:rPr>
          <w:sz w:val="24"/>
        </w:rPr>
        <w:t xml:space="preserve">Иностранная страховая организация вместе с отчетностью по </w:t>
      </w:r>
      <w:hyperlink w:history="0" r:id="rId948"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представляет в Банк России в соответствии с </w:t>
      </w:r>
      <w:hyperlink w:history="0" r:id="rId94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4 статьи 33.4</w:t>
        </w:r>
      </w:hyperlink>
      <w:r>
        <w:rPr>
          <w:sz w:val="24"/>
        </w:rPr>
        <w:t xml:space="preserve"> Закона Российской Федерации N 4015-I выписку по специальному банковскому счету (по каждому филиалу иностранной страховой организации).</w:t>
      </w:r>
    </w:p>
    <w:p>
      <w:pPr>
        <w:pStyle w:val="0"/>
        <w:spacing w:before="240" w:lineRule="auto"/>
        <w:ind w:firstLine="540"/>
        <w:jc w:val="both"/>
      </w:pPr>
      <w:r>
        <w:rPr>
          <w:sz w:val="24"/>
        </w:rPr>
        <w:t xml:space="preserve">Иностранная страховая организация вместе с отчетностью по </w:t>
      </w:r>
      <w:hyperlink w:history="0" r:id="rId95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0420153</w:t>
        </w:r>
      </w:hyperlink>
      <w:r>
        <w:rPr>
          <w:sz w:val="24"/>
        </w:rPr>
        <w:t xml:space="preserve"> за год, представляемой ею в течение 35 рабочих дней после 31 декабря 2025 года, представляет в Банк России в соответствии с </w:t>
      </w:r>
      <w:hyperlink w:history="0" r:id="rId951"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пунктом 3 статьи 33.4</w:t>
        </w:r>
      </w:hyperlink>
      <w:r>
        <w:rPr>
          <w:sz w:val="24"/>
        </w:rPr>
        <w:t xml:space="preserve"> Закона Российской Федерации N 4015-I актуарное заключение с приложением документа по результатам аудита (по каждому филиалу иностранной страховой организации).</w:t>
      </w:r>
    </w:p>
    <w:p>
      <w:pPr>
        <w:pStyle w:val="0"/>
        <w:spacing w:before="240" w:lineRule="auto"/>
        <w:ind w:firstLine="540"/>
        <w:jc w:val="both"/>
      </w:pPr>
      <w:r>
        <w:rPr>
          <w:sz w:val="24"/>
        </w:rPr>
        <w:t xml:space="preserve">Выписка по специальному банковскому счету, актуарное заключение и документ по результатам аудита представляются в виде электронных образов (документы на бумажном носителе, преобразованные в электронную форму путем сканирования с сохранением всех реквизитов).</w:t>
      </w:r>
    </w:p>
    <w:bookmarkStart w:id="59904" w:name="P59904"/>
    <w:bookmarkEnd w:id="59904"/>
    <w:p>
      <w:pPr>
        <w:pStyle w:val="0"/>
        <w:spacing w:before="240" w:lineRule="auto"/>
        <w:ind w:firstLine="540"/>
        <w:jc w:val="both"/>
      </w:pPr>
      <w:r>
        <w:rPr>
          <w:sz w:val="24"/>
        </w:rPr>
        <w:t xml:space="preserve">3.9. Показатели отчетности по </w:t>
      </w:r>
      <w:hyperlink w:history="0" r:id="rId95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0420154</w:t>
        </w:r>
      </w:hyperlink>
      <w:r>
        <w:rPr>
          <w:sz w:val="24"/>
        </w:rPr>
        <w:t xml:space="preserve"> "Отчет об активах и обязательствах страховщика" (далее - отчетность по форме 0420154) представляются страховщиком дважды - в течение 10 рабочих дней после 31 декабря 2025 года (кроме показателей </w:t>
      </w:r>
      <w:hyperlink w:history="0" r:id="rId953"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раздела 9</w:t>
        </w:r>
      </w:hyperlink>
      <w:r>
        <w:rPr>
          <w:sz w:val="24"/>
        </w:rPr>
        <w:t xml:space="preserve"> отчетности по форме 0420154) и в течение 35 рабочих дней после 31 декабря 2025 года.</w:t>
      </w:r>
    </w:p>
    <w:p>
      <w:pPr>
        <w:pStyle w:val="0"/>
        <w:spacing w:before="240" w:lineRule="auto"/>
        <w:ind w:firstLine="540"/>
        <w:jc w:val="both"/>
      </w:pPr>
      <w:r>
        <w:rPr>
          <w:sz w:val="24"/>
        </w:rPr>
        <w:t xml:space="preserve">3.10. Показатели отчетности по </w:t>
      </w:r>
      <w:hyperlink w:history="0" r:id="rId95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0420155</w:t>
        </w:r>
      </w:hyperlink>
      <w:r>
        <w:rPr>
          <w:sz w:val="24"/>
        </w:rPr>
        <w:t xml:space="preserve"> "Отчет о страховых резервах страховщика" (далее - отчетность по форме 0420155), за исключением показателей </w:t>
      </w:r>
      <w:hyperlink w:history="0" r:id="rId95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подразделов 1.1</w:t>
        </w:r>
      </w:hyperlink>
      <w:r>
        <w:rPr>
          <w:sz w:val="24"/>
        </w:rPr>
        <w:t xml:space="preserve"> - </w:t>
      </w:r>
      <w:hyperlink w:history="0" r:id="rId95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1.3</w:t>
        </w:r>
      </w:hyperlink>
      <w:r>
        <w:rPr>
          <w:sz w:val="24"/>
        </w:rPr>
        <w:t xml:space="preserve">, </w:t>
      </w:r>
      <w:hyperlink w:history="0" r:id="rId957"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20.1</w:t>
        </w:r>
      </w:hyperlink>
      <w:r>
        <w:rPr>
          <w:sz w:val="24"/>
        </w:rPr>
        <w:t xml:space="preserve">, </w:t>
      </w:r>
      <w:hyperlink w:history="0" r:id="rId958"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20.2</w:t>
        </w:r>
      </w:hyperlink>
      <w:r>
        <w:rPr>
          <w:sz w:val="24"/>
        </w:rPr>
        <w:t xml:space="preserve"> и </w:t>
      </w:r>
      <w:hyperlink w:history="0" r:id="rId95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информации</w:t>
        </w:r>
      </w:hyperlink>
      <w:r>
        <w:rPr>
          <w:sz w:val="24"/>
        </w:rPr>
        <w:t xml:space="preserve"> об актуарии, осуществившем расчет страховых резервов и доли перестраховщиков в них (далее - информация об актуарии), отчетности по </w:t>
      </w:r>
      <w:hyperlink w:history="0" r:id="rId96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0420155</w:t>
        </w:r>
      </w:hyperlink>
      <w:r>
        <w:rPr>
          <w:sz w:val="24"/>
        </w:rPr>
        <w:t xml:space="preserve">,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течение 35 рабочих дней после 31 декабря 2025 года.</w:t>
      </w:r>
    </w:p>
    <w:p>
      <w:pPr>
        <w:pStyle w:val="0"/>
        <w:spacing w:before="240" w:lineRule="auto"/>
        <w:ind w:firstLine="540"/>
        <w:jc w:val="both"/>
      </w:pPr>
      <w:r>
        <w:rPr>
          <w:sz w:val="24"/>
        </w:rPr>
        <w:t xml:space="preserve">Показатели </w:t>
      </w:r>
      <w:hyperlink w:history="0" r:id="rId96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подразделов 1.1</w:t>
        </w:r>
      </w:hyperlink>
      <w:r>
        <w:rPr>
          <w:sz w:val="24"/>
        </w:rPr>
        <w:t xml:space="preserve"> - </w:t>
      </w:r>
      <w:hyperlink w:history="0" r:id="rId96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1.3</w:t>
        </w:r>
      </w:hyperlink>
      <w:r>
        <w:rPr>
          <w:sz w:val="24"/>
        </w:rPr>
        <w:t xml:space="preserve">, </w:t>
      </w:r>
      <w:hyperlink w:history="0" r:id="rId963"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20.1</w:t>
        </w:r>
      </w:hyperlink>
      <w:r>
        <w:rPr>
          <w:sz w:val="24"/>
        </w:rPr>
        <w:t xml:space="preserve">, </w:t>
      </w:r>
      <w:hyperlink w:history="0" r:id="rId96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20.2</w:t>
        </w:r>
      </w:hyperlink>
      <w:r>
        <w:rPr>
          <w:sz w:val="24"/>
        </w:rPr>
        <w:t xml:space="preserve"> и </w:t>
      </w:r>
      <w:hyperlink w:history="0" r:id="rId96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информации</w:t>
        </w:r>
      </w:hyperlink>
      <w:r>
        <w:rPr>
          <w:sz w:val="24"/>
        </w:rPr>
        <w:t xml:space="preserve"> об актуарии отчетности по форме 0420155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течение 10 рабочих дней после 31 декабря 2025 года.</w:t>
      </w:r>
    </w:p>
    <w:p>
      <w:pPr>
        <w:pStyle w:val="0"/>
        <w:spacing w:before="240" w:lineRule="auto"/>
        <w:ind w:firstLine="540"/>
        <w:jc w:val="both"/>
      </w:pPr>
      <w:r>
        <w:rPr>
          <w:sz w:val="24"/>
        </w:rPr>
        <w:t xml:space="preserve">3.11. Показатели отчетности по </w:t>
      </w:r>
      <w:hyperlink w:history="0" r:id="rId96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0420156</w:t>
        </w:r>
      </w:hyperlink>
      <w:r>
        <w:rPr>
          <w:sz w:val="24"/>
        </w:rPr>
        <w:t xml:space="preserve"> "Отчет о платежеспособности страховой организации" представляются страховой организацией дважды - в течение 10 рабочих дней после 31 декабря 2025 года и 35 рабочих дней после 31 декабря 2025 года.</w:t>
      </w:r>
    </w:p>
    <w:bookmarkStart w:id="59908" w:name="P59908"/>
    <w:bookmarkEnd w:id="59908"/>
    <w:p>
      <w:pPr>
        <w:pStyle w:val="0"/>
        <w:spacing w:before="240" w:lineRule="auto"/>
        <w:ind w:firstLine="540"/>
        <w:jc w:val="both"/>
      </w:pPr>
      <w:r>
        <w:rPr>
          <w:sz w:val="24"/>
        </w:rPr>
        <w:t xml:space="preserve">3.12. Показатели отчетности по </w:t>
      </w:r>
      <w:hyperlink w:history="0" r:id="rId967"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0420157</w:t>
        </w:r>
      </w:hyperlink>
      <w:r>
        <w:rPr>
          <w:sz w:val="24"/>
        </w:rPr>
        <w:t xml:space="preserve"> "Отчет об операциях перестрахования страховщика"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течение 35 рабочих дней после 31 декабря 2025 года.</w:t>
      </w:r>
    </w:p>
    <w:bookmarkStart w:id="59909" w:name="P59909"/>
    <w:bookmarkEnd w:id="59909"/>
    <w:p>
      <w:pPr>
        <w:pStyle w:val="0"/>
        <w:spacing w:before="240" w:lineRule="auto"/>
        <w:ind w:firstLine="540"/>
        <w:jc w:val="both"/>
      </w:pPr>
      <w:r>
        <w:rPr>
          <w:sz w:val="24"/>
        </w:rPr>
        <w:t xml:space="preserve">3.13. Показатели отчетности по </w:t>
      </w:r>
      <w:hyperlink w:history="0" r:id="rId968"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0420158</w:t>
        </w:r>
      </w:hyperlink>
      <w:r>
        <w:rPr>
          <w:sz w:val="24"/>
        </w:rPr>
        <w:t xml:space="preserve">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дважды - в течение 10 рабочих дней после 31 декабря 2025 года и 35 рабочих дней после 31 декабря 2025 года.</w:t>
      </w:r>
    </w:p>
    <w:bookmarkStart w:id="59910" w:name="P59910"/>
    <w:bookmarkEnd w:id="59910"/>
    <w:p>
      <w:pPr>
        <w:pStyle w:val="0"/>
        <w:spacing w:before="240" w:lineRule="auto"/>
        <w:ind w:firstLine="540"/>
        <w:jc w:val="both"/>
      </w:pPr>
      <w:r>
        <w:rPr>
          <w:sz w:val="24"/>
        </w:rPr>
        <w:t xml:space="preserve">3.14. Показатели отчетности по </w:t>
      </w:r>
      <w:hyperlink w:history="0" r:id="rId96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0420159</w:t>
        </w:r>
      </w:hyperlink>
      <w:r>
        <w:rPr>
          <w:sz w:val="24"/>
        </w:rPr>
        <w:t xml:space="preserve"> "Сведения о сделках страховой организации" представляются страховой организацией в течение 35 рабочих дней после 31 декабря 2025 года.</w:t>
      </w:r>
    </w:p>
    <w:p>
      <w:pPr>
        <w:pStyle w:val="0"/>
        <w:spacing w:before="240" w:lineRule="auto"/>
        <w:ind w:firstLine="540"/>
        <w:jc w:val="both"/>
      </w:pPr>
      <w:r>
        <w:rPr>
          <w:sz w:val="24"/>
        </w:rPr>
        <w:t xml:space="preserve">3.15. Показатели отчетности по </w:t>
      </w:r>
      <w:hyperlink w:history="0" r:id="rId97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0420160</w:t>
        </w:r>
      </w:hyperlink>
      <w:r>
        <w:rPr>
          <w:sz w:val="24"/>
        </w:rPr>
        <w:t xml:space="preserve"> "Сведения о привлеченных страховщиком средствах" представляются страховщиком (за исключением иностранной страховой организации) в течение 35 рабочих дней после 31 декабря 2025 года.</w:t>
      </w:r>
    </w:p>
    <w:bookmarkStart w:id="59912" w:name="P59912"/>
    <w:bookmarkEnd w:id="59912"/>
    <w:p>
      <w:pPr>
        <w:pStyle w:val="0"/>
        <w:spacing w:before="240" w:lineRule="auto"/>
        <w:ind w:firstLine="540"/>
        <w:jc w:val="both"/>
      </w:pPr>
      <w:r>
        <w:rPr>
          <w:sz w:val="24"/>
        </w:rPr>
        <w:t xml:space="preserve">3.16. Показатели отчетности по </w:t>
      </w:r>
      <w:hyperlink w:history="0" r:id="rId97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0420161</w:t>
        </w:r>
      </w:hyperlink>
      <w:r>
        <w:rPr>
          <w:sz w:val="24"/>
        </w:rPr>
        <w:t xml:space="preserve"> "Отчет о выданных страховщиком поручительствах, независимых гарантиях и других обеспечениях исполнения обязательств" представляются страховщиком (за исключением иностранной страховой организации) в течение 35 рабочих дней после 31 декабря 2025 года.</w:t>
      </w:r>
    </w:p>
    <w:p>
      <w:pPr>
        <w:pStyle w:val="0"/>
        <w:spacing w:before="240" w:lineRule="auto"/>
        <w:ind w:firstLine="540"/>
        <w:jc w:val="both"/>
      </w:pPr>
      <w:r>
        <w:rPr>
          <w:sz w:val="24"/>
        </w:rPr>
        <w:t xml:space="preserve">3.17. Показатели отчетности по </w:t>
      </w:r>
      <w:hyperlink w:history="0" r:id="rId97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0420162</w:t>
        </w:r>
      </w:hyperlink>
      <w:r>
        <w:rPr>
          <w:sz w:val="24"/>
        </w:rPr>
        <w:t xml:space="preserve"> представляются страховщиком в течение 10 рабочих дней после 31 декабря 2025 года.</w:t>
      </w:r>
    </w:p>
    <w:bookmarkStart w:id="59914" w:name="P59914"/>
    <w:bookmarkEnd w:id="59914"/>
    <w:p>
      <w:pPr>
        <w:pStyle w:val="0"/>
        <w:spacing w:before="240" w:lineRule="auto"/>
        <w:ind w:firstLine="540"/>
        <w:jc w:val="both"/>
      </w:pPr>
      <w:r>
        <w:rPr>
          <w:sz w:val="24"/>
        </w:rPr>
        <w:t xml:space="preserve">3.18. Показатели отчетности по </w:t>
      </w:r>
      <w:hyperlink w:history="0" r:id="rId973"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0420163</w:t>
        </w:r>
      </w:hyperlink>
      <w:r>
        <w:rPr>
          <w:sz w:val="24"/>
        </w:rPr>
        <w:t xml:space="preserve"> "Отчет об операциях со связанными сторонами страховщика" представляются страховщиком (за исключением иностранной страховой организации) в течение 35 рабочих дней после 31 декабря 2025 года.</w:t>
      </w:r>
    </w:p>
    <w:p>
      <w:pPr>
        <w:pStyle w:val="0"/>
        <w:spacing w:before="240" w:lineRule="auto"/>
        <w:ind w:firstLine="540"/>
        <w:jc w:val="both"/>
      </w:pPr>
      <w:r>
        <w:rPr>
          <w:sz w:val="24"/>
        </w:rPr>
        <w:t xml:space="preserve">3.19. Показатели отчетности по </w:t>
      </w:r>
      <w:hyperlink w:history="0" r:id="rId97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0420164</w:t>
        </w:r>
      </w:hyperlink>
      <w:r>
        <w:rPr>
          <w:sz w:val="24"/>
        </w:rPr>
        <w:t xml:space="preserve"> "Оборотная ведомость по счетам бухгалтерского учета страховщика" (далее - отчетность по форме 0420164) представляются страховщиком (за исключением иностранной страховой организации) в течение 10 рабочих дней после 31 декабря 2025 года.</w:t>
      </w:r>
    </w:p>
    <w:p>
      <w:pPr>
        <w:pStyle w:val="0"/>
        <w:spacing w:before="240" w:lineRule="auto"/>
        <w:ind w:firstLine="540"/>
        <w:jc w:val="both"/>
      </w:pPr>
      <w:r>
        <w:rPr>
          <w:sz w:val="24"/>
        </w:rPr>
        <w:t xml:space="preserve">Показатели отдельной отчетности по </w:t>
      </w:r>
      <w:hyperlink w:history="0" r:id="rId97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0420164</w:t>
        </w:r>
      </w:hyperlink>
      <w:r>
        <w:rPr>
          <w:sz w:val="24"/>
        </w:rPr>
        <w:t xml:space="preserve">, указанной в </w:t>
      </w:r>
      <w:hyperlink w:history="0" r:id="rId97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абзаце втором пункта 2</w:t>
        </w:r>
      </w:hyperlink>
      <w:r>
        <w:rPr>
          <w:sz w:val="24"/>
        </w:rPr>
        <w:t xml:space="preserve"> Порядка и сроков составления отчетности по форме 0420164 "Оборотная ведомость по счетам бухгалтерского учета страховщика" (приложение 1 к Указанию Банка России N 6805-У), представляются в течение 35 рабочих дней после 31 декабря 2025 года.</w:t>
      </w:r>
    </w:p>
    <w:p>
      <w:pPr>
        <w:pStyle w:val="0"/>
        <w:spacing w:before="240" w:lineRule="auto"/>
        <w:ind w:firstLine="540"/>
        <w:jc w:val="both"/>
      </w:pPr>
      <w:r>
        <w:rPr>
          <w:sz w:val="24"/>
        </w:rPr>
        <w:t xml:space="preserve">3.20. Показатели отчетности по </w:t>
      </w:r>
      <w:hyperlink w:history="0" r:id="rId977"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0420165</w:t>
        </w:r>
      </w:hyperlink>
      <w:r>
        <w:rPr>
          <w:sz w:val="24"/>
        </w:rPr>
        <w:t xml:space="preserve"> "Отчет о финансовых результатах страховщика (по символам доходов и расходов)" (далее - отчетность по форме 0420165) представляются страховщиком (за исключением иностранной страховой организации) в течение 10 рабочих дней после 31 декабря 2025 года.</w:t>
      </w:r>
    </w:p>
    <w:p>
      <w:pPr>
        <w:pStyle w:val="0"/>
        <w:spacing w:before="240" w:lineRule="auto"/>
        <w:ind w:firstLine="540"/>
        <w:jc w:val="both"/>
      </w:pPr>
      <w:r>
        <w:rPr>
          <w:sz w:val="24"/>
        </w:rPr>
        <w:t xml:space="preserve">Показатели отдельной отчетности по </w:t>
      </w:r>
      <w:hyperlink w:history="0" r:id="rId978"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0420165</w:t>
        </w:r>
      </w:hyperlink>
      <w:r>
        <w:rPr>
          <w:sz w:val="24"/>
        </w:rPr>
        <w:t xml:space="preserve">, указанной в </w:t>
      </w:r>
      <w:hyperlink w:history="0" r:id="rId97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абзаце втором пункта 2</w:t>
        </w:r>
      </w:hyperlink>
      <w:r>
        <w:rPr>
          <w:sz w:val="24"/>
        </w:rPr>
        <w:t xml:space="preserve"> Порядка и сроков составления отчетности по форме 0420165 "Отчет о финансовых результатах страховщика (по символам доходов и расходов)" (приложение 1 к Указанию Банка России N 6805-У), представляются в течение 35 рабочих дней после 31 декабря 2025 года.</w:t>
      </w:r>
    </w:p>
    <w:p>
      <w:pPr>
        <w:pStyle w:val="0"/>
        <w:spacing w:before="240" w:lineRule="auto"/>
        <w:ind w:firstLine="540"/>
        <w:jc w:val="both"/>
      </w:pPr>
      <w:r>
        <w:rPr>
          <w:sz w:val="24"/>
        </w:rPr>
        <w:t xml:space="preserve">3.21. Показатели отчетности по </w:t>
      </w:r>
      <w:hyperlink w:history="0" r:id="rId98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0420168</w:t>
        </w:r>
      </w:hyperlink>
      <w:r>
        <w:rPr>
          <w:sz w:val="24"/>
        </w:rPr>
        <w:t xml:space="preserve"> "Сведения об ответственном актуарии страховщика" (далее - отчетность по форме 0420168)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течение 10 рабочих дней после 31 декабря 2025 года.</w:t>
      </w:r>
    </w:p>
    <w:bookmarkStart w:id="59920" w:name="P59920"/>
    <w:bookmarkEnd w:id="59920"/>
    <w:p>
      <w:pPr>
        <w:pStyle w:val="0"/>
        <w:spacing w:before="240" w:lineRule="auto"/>
        <w:ind w:firstLine="540"/>
        <w:jc w:val="both"/>
      </w:pPr>
      <w:r>
        <w:rPr>
          <w:sz w:val="24"/>
        </w:rPr>
        <w:t xml:space="preserve">3.22. Показатели отчетности по </w:t>
      </w:r>
      <w:hyperlink w:history="0" r:id="rId98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0420169</w:t>
        </w:r>
      </w:hyperlink>
      <w:r>
        <w:rPr>
          <w:sz w:val="24"/>
        </w:rPr>
        <w:t xml:space="preserve"> "Сведения для расчета размера (квоты) участия иностранного капитала в совокупном уставном капитале страховых организаций, имеющих лицензию на осуществление страховой деятельности" представляются страховой организацией, имеющей долю иностранных инвесторов в своем уставном капитале, в течение 10 рабочих дней после 31 декабря 2025 года.</w:t>
      </w:r>
    </w:p>
    <w:bookmarkStart w:id="59921" w:name="P59921"/>
    <w:bookmarkEnd w:id="59921"/>
    <w:p>
      <w:pPr>
        <w:pStyle w:val="0"/>
        <w:spacing w:before="240" w:lineRule="auto"/>
        <w:ind w:firstLine="540"/>
        <w:jc w:val="both"/>
      </w:pPr>
      <w:r>
        <w:rPr>
          <w:sz w:val="24"/>
        </w:rPr>
        <w:t xml:space="preserve">3.23. Показатели отчетности по </w:t>
      </w:r>
      <w:hyperlink w:history="0" r:id="rId98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0420172</w:t>
        </w:r>
      </w:hyperlink>
      <w:r>
        <w:rPr>
          <w:sz w:val="24"/>
        </w:rPr>
        <w:t xml:space="preserve"> "Расшифровка отдельных показателей деятельности страховщика" представляются страховщиком (за исключением иностранной страховой организации) в течение 35 рабочих дней после 31 декабря 2025 года.</w:t>
      </w:r>
    </w:p>
    <w:bookmarkStart w:id="59922" w:name="P59922"/>
    <w:bookmarkEnd w:id="59922"/>
    <w:p>
      <w:pPr>
        <w:pStyle w:val="0"/>
        <w:spacing w:before="240" w:lineRule="auto"/>
        <w:ind w:firstLine="540"/>
        <w:jc w:val="both"/>
      </w:pPr>
      <w:r>
        <w:rPr>
          <w:sz w:val="24"/>
        </w:rPr>
        <w:t xml:space="preserve">3.24. Показатели отчетности по </w:t>
      </w:r>
      <w:hyperlink w:history="0" r:id="rId983"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0420174</w:t>
        </w:r>
      </w:hyperlink>
      <w:r>
        <w:rPr>
          <w:sz w:val="24"/>
        </w:rPr>
        <w:t xml:space="preserve"> "Сведения о показателях операционной надежности страховой организации и применяемых ею информационных технологиях" представляются страховой организацией не позднее 31 января 2026 года.</w:t>
      </w:r>
    </w:p>
    <w:bookmarkStart w:id="59923" w:name="P59923"/>
    <w:bookmarkEnd w:id="59923"/>
    <w:p>
      <w:pPr>
        <w:pStyle w:val="0"/>
        <w:spacing w:before="240" w:lineRule="auto"/>
        <w:ind w:firstLine="540"/>
        <w:jc w:val="both"/>
      </w:pPr>
      <w:r>
        <w:rPr>
          <w:sz w:val="24"/>
        </w:rPr>
        <w:t xml:space="preserve">4. Отчетность страховщика в виде предусмотренных в ней показателей, составленная им за период в соответствии с требованиями </w:t>
      </w:r>
      <w:hyperlink w:history="0" r:id="rId98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приложения 1</w:t>
        </w:r>
      </w:hyperlink>
      <w:r>
        <w:rPr>
          <w:sz w:val="24"/>
        </w:rPr>
        <w:t xml:space="preserve"> к Указанию Банка России N 6805-У (для отчетности на нерегулярной основе), представляется в Банк России страховщиком в сроки, предусмотренные </w:t>
      </w:r>
      <w:hyperlink w:history="0" w:anchor="P59924" w:tooltip="4.1. Показатели отчетности по форме 0420151 в случае изменения в течение календарного года сведений, содержащихся в отчетности по форме 0420151, представляются страховщиком (за исключением иностранной страховой организации) в целях выполнения требования подпункта 5 пункта 5 статьи 30 Закона Российской Федерации N 4015-I в течение 3 рабочих дней со дня внесения указанных изменений в единый государственный реестр юридических лиц (далее - ЕГРЮЛ) или в течение 4 рабочих дней со дня изменения сведений, содерж...">
        <w:r>
          <w:rPr>
            <w:sz w:val="24"/>
            <w:color w:val="0000ff"/>
          </w:rPr>
          <w:t xml:space="preserve">подпунктами 4.1</w:t>
        </w:r>
      </w:hyperlink>
      <w:r>
        <w:rPr>
          <w:sz w:val="24"/>
        </w:rPr>
        <w:t xml:space="preserve"> - </w:t>
      </w:r>
      <w:hyperlink w:history="0" w:anchor="P59941" w:tooltip="4.7. Показатели отчетности по форме 0420175 &quot;Сведения об оценке выполнения требований к обеспечению защиты информации страховой организацией&quot; представляются страховой организацией, указанной в абзаце пятом подпункта 1.4.3 пункта 1.4 Положения Банка России от 20 апреля 2021 года N 757-П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
        <w:r>
          <w:rPr>
            <w:sz w:val="24"/>
            <w:color w:val="0000ff"/>
          </w:rPr>
          <w:t xml:space="preserve">4.7</w:t>
        </w:r>
      </w:hyperlink>
      <w:r>
        <w:rPr>
          <w:sz w:val="24"/>
        </w:rPr>
        <w:t xml:space="preserve"> настоящего пункта.</w:t>
      </w:r>
    </w:p>
    <w:bookmarkStart w:id="59924" w:name="P59924"/>
    <w:bookmarkEnd w:id="59924"/>
    <w:p>
      <w:pPr>
        <w:pStyle w:val="0"/>
        <w:spacing w:before="240" w:lineRule="auto"/>
        <w:ind w:firstLine="540"/>
        <w:jc w:val="both"/>
      </w:pPr>
      <w:r>
        <w:rPr>
          <w:sz w:val="24"/>
        </w:rPr>
        <w:t xml:space="preserve">4.1. Показатели отчетности по </w:t>
      </w:r>
      <w:hyperlink w:history="0" r:id="rId98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в случае изменения в течение календарного года сведений, содержащихся в отчетности по </w:t>
      </w:r>
      <w:hyperlink w:history="0" r:id="rId98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представляются страховщиком (за исключением иностранной страховой организации) в целях выполнения требования </w:t>
      </w:r>
      <w:hyperlink w:history="0" r:id="rId987"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подпункта 5 пункта 5 статьи 30</w:t>
        </w:r>
      </w:hyperlink>
      <w:r>
        <w:rPr>
          <w:sz w:val="24"/>
        </w:rPr>
        <w:t xml:space="preserve"> Закона Российской Федерации N 4015-I в течение 3 рабочих дней со дня внесения указанных изменений в единый государственный реестр юридических лиц (далее - ЕГРЮЛ) или в течение 4 рабочих дней со дня изменения сведений, содержащихся в отчетности по </w:t>
      </w:r>
      <w:hyperlink w:history="0" r:id="rId988"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если внесение изменений в ЕГРЮЛ не требуется (в случае изменения указанных сведений до 31 декабря 2025 года включительно).</w:t>
      </w:r>
    </w:p>
    <w:p>
      <w:pPr>
        <w:pStyle w:val="0"/>
        <w:spacing w:before="240" w:lineRule="auto"/>
        <w:ind w:firstLine="540"/>
        <w:jc w:val="both"/>
      </w:pPr>
      <w:r>
        <w:rPr>
          <w:sz w:val="24"/>
        </w:rPr>
        <w:t xml:space="preserve">При представлении отчетности по </w:t>
      </w:r>
      <w:hyperlink w:history="0" r:id="rId98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в случае изменения содержащихся в ней сведений о руководителе филиала, представительства (в случае его назначения) к отчетности по </w:t>
      </w:r>
      <w:hyperlink w:history="0" r:id="rId99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0420151</w:t>
        </w:r>
      </w:hyperlink>
      <w:r>
        <w:rPr>
          <w:sz w:val="24"/>
        </w:rPr>
        <w:t xml:space="preserve"> должен прилагаться документ, подтверждающий полномочия руководителя филиала, представительства (далее - подтверждающий документ), в виде электронного образа (подтверждающий документ на бумажном носителе, преобразованный в электронную форму путем сканирования с сохранением всех реквизитов).</w:t>
      </w:r>
    </w:p>
    <w:p>
      <w:pPr>
        <w:pStyle w:val="0"/>
        <w:spacing w:before="240" w:lineRule="auto"/>
        <w:ind w:firstLine="540"/>
        <w:jc w:val="both"/>
      </w:pPr>
      <w:r>
        <w:rPr>
          <w:sz w:val="24"/>
        </w:rPr>
        <w:t xml:space="preserve">4.2. Показатели отчетности по </w:t>
      </w:r>
      <w:hyperlink w:history="0" r:id="rId991"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0420166</w:t>
        </w:r>
      </w:hyperlink>
      <w:r>
        <w:rPr>
          <w:sz w:val="24"/>
        </w:rPr>
        <w:t xml:space="preserve"> "Сведения об утверждении уполномоченным органом страховщика повестки дня, содержащей вопрос о назначении аудиторской организации" представляются страховщиком (за исключением иностранной страховой организации) в течение 5 рабочих дней после дня наступления одного из следующих событий (в случае наступления события до 31 декабря 2025 года включительно):</w:t>
      </w:r>
    </w:p>
    <w:p>
      <w:pPr>
        <w:pStyle w:val="0"/>
        <w:spacing w:before="240" w:lineRule="auto"/>
        <w:ind w:firstLine="540"/>
        <w:jc w:val="both"/>
      </w:pPr>
      <w:r>
        <w:rPr>
          <w:sz w:val="24"/>
        </w:rPr>
        <w:t xml:space="preserve">утверждения уполномоченным органом страховщика повестки дня общего собрания акционеров (участников) страховой организации, членов общества взаимного страхования, содержащей вопрос о назначении аудиторской организации;</w:t>
      </w:r>
    </w:p>
    <w:p>
      <w:pPr>
        <w:pStyle w:val="0"/>
        <w:spacing w:before="240" w:lineRule="auto"/>
        <w:ind w:firstLine="540"/>
        <w:jc w:val="both"/>
      </w:pPr>
      <w:r>
        <w:rPr>
          <w:sz w:val="24"/>
        </w:rPr>
        <w:t xml:space="preserve">принятия решения о заседании совета директоров (наблюдательного совета), на котором должен быть рассмотрен вопрос о назначении аудиторской организации;</w:t>
      </w:r>
    </w:p>
    <w:p>
      <w:pPr>
        <w:pStyle w:val="0"/>
        <w:spacing w:before="240" w:lineRule="auto"/>
        <w:ind w:firstLine="540"/>
        <w:jc w:val="both"/>
      </w:pPr>
      <w:r>
        <w:rPr>
          <w:sz w:val="24"/>
        </w:rPr>
        <w:t xml:space="preserve">принятия решения о заседании правления общества взаимного страхования, на котором должен быть рассмотрен вопрос о назначении аудиторской организации;</w:t>
      </w:r>
    </w:p>
    <w:p>
      <w:pPr>
        <w:pStyle w:val="0"/>
        <w:spacing w:before="240" w:lineRule="auto"/>
        <w:ind w:firstLine="540"/>
        <w:jc w:val="both"/>
      </w:pPr>
      <w:r>
        <w:rPr>
          <w:sz w:val="24"/>
        </w:rPr>
        <w:t xml:space="preserve">принятия решения единственным участником (акционером) страховой организации о назначении аудиторской организации;</w:t>
      </w:r>
    </w:p>
    <w:p>
      <w:pPr>
        <w:pStyle w:val="0"/>
        <w:spacing w:before="240" w:lineRule="auto"/>
        <w:ind w:firstLine="540"/>
        <w:jc w:val="both"/>
      </w:pPr>
      <w:r>
        <w:rPr>
          <w:sz w:val="24"/>
        </w:rPr>
        <w:t xml:space="preserve">принятия решения собственником имущества страховой организации, созданной в форме унитарного предприятия, о назначении аудиторской организации.</w:t>
      </w:r>
    </w:p>
    <w:p>
      <w:pPr>
        <w:pStyle w:val="0"/>
        <w:spacing w:before="240" w:lineRule="auto"/>
        <w:ind w:firstLine="540"/>
        <w:jc w:val="both"/>
      </w:pPr>
      <w:r>
        <w:rPr>
          <w:sz w:val="24"/>
        </w:rPr>
        <w:t xml:space="preserve">4.3. Показатели отчетности по </w:t>
      </w:r>
      <w:hyperlink w:history="0" r:id="rId992"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0420167</w:t>
        </w:r>
      </w:hyperlink>
      <w:r>
        <w:rPr>
          <w:sz w:val="24"/>
        </w:rPr>
        <w:t xml:space="preserve"> представляются страховщиком (за исключением иностранной страховой организации) в течение 5 рабочих дней после дня наступления одного из следующих событий (в случае наступления события до 31 декабря 2025 года включительно):</w:t>
      </w:r>
    </w:p>
    <w:p>
      <w:pPr>
        <w:pStyle w:val="0"/>
        <w:spacing w:before="240" w:lineRule="auto"/>
        <w:ind w:firstLine="540"/>
        <w:jc w:val="both"/>
      </w:pPr>
      <w:r>
        <w:rPr>
          <w:sz w:val="24"/>
        </w:rPr>
        <w:t xml:space="preserve">заключения договора с аудиторской организацией на проведение аудита либо иной проверки в соответствии со стандартами аудиторской деятельности, предусмотренными </w:t>
      </w:r>
      <w:hyperlink w:history="0" r:id="rId993" w:tooltip="Федеральный закон от 27.07.2010 N 208-ФЗ (ред. от 22.07.2024) &quot;О консолидированной финансовой отчетности&quot; {КонсультантПлюс}">
        <w:r>
          <w:rPr>
            <w:sz w:val="24"/>
            <w:color w:val="0000ff"/>
          </w:rPr>
          <w:t xml:space="preserve">частью 2 статьи 5</w:t>
        </w:r>
      </w:hyperlink>
      <w:r>
        <w:rPr>
          <w:sz w:val="24"/>
        </w:rPr>
        <w:t xml:space="preserve"> Федерального закона от 27 июля 2010 года N 208-ФЗ "О консолидированной финансовой отчетности" (далее - договор на проведение аудиторской проверки);</w:t>
      </w:r>
    </w:p>
    <w:p>
      <w:pPr>
        <w:pStyle w:val="0"/>
        <w:spacing w:before="240" w:lineRule="auto"/>
        <w:ind w:firstLine="540"/>
        <w:jc w:val="both"/>
      </w:pPr>
      <w:r>
        <w:rPr>
          <w:sz w:val="24"/>
        </w:rPr>
        <w:t xml:space="preserve">заключения дополнительного соглашения к договору на проведение аудиторской проверки;</w:t>
      </w:r>
    </w:p>
    <w:p>
      <w:pPr>
        <w:pStyle w:val="0"/>
        <w:spacing w:before="240" w:lineRule="auto"/>
        <w:ind w:firstLine="540"/>
        <w:jc w:val="both"/>
      </w:pPr>
      <w:r>
        <w:rPr>
          <w:sz w:val="24"/>
        </w:rPr>
        <w:t xml:space="preserve">получения страховщиком аудиторского заключения.</w:t>
      </w:r>
    </w:p>
    <w:p>
      <w:pPr>
        <w:pStyle w:val="0"/>
        <w:spacing w:before="240" w:lineRule="auto"/>
        <w:ind w:firstLine="540"/>
        <w:jc w:val="both"/>
      </w:pPr>
      <w:r>
        <w:rPr>
          <w:sz w:val="24"/>
        </w:rPr>
        <w:t xml:space="preserve">В случае изменения сведений, содержащихся в отчетности по </w:t>
      </w:r>
      <w:hyperlink w:history="0" r:id="rId994"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0420167</w:t>
        </w:r>
      </w:hyperlink>
      <w:r>
        <w:rPr>
          <w:sz w:val="24"/>
        </w:rPr>
        <w:t xml:space="preserve">, которое не потребовало заключения дополнительного соглашения к договору на проведение аудиторской проверки, отчетность по </w:t>
      </w:r>
      <w:hyperlink w:history="0" r:id="rId99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0420167</w:t>
        </w:r>
      </w:hyperlink>
      <w:r>
        <w:rPr>
          <w:sz w:val="24"/>
        </w:rPr>
        <w:t xml:space="preserve"> представляется в течение 15 календарных дней со дня, когда страховщику стало известно об указанном изменении (в случае изменения сведений до 31 декабря 2025 года включительно).</w:t>
      </w:r>
    </w:p>
    <w:p>
      <w:pPr>
        <w:pStyle w:val="0"/>
        <w:spacing w:before="240" w:lineRule="auto"/>
        <w:ind w:firstLine="540"/>
        <w:jc w:val="both"/>
      </w:pPr>
      <w:r>
        <w:rPr>
          <w:sz w:val="24"/>
        </w:rPr>
        <w:t xml:space="preserve">В случае получения страховщиком аудиторского заключения (за исключением аудиторского заключения о годовой бухгалтерской (финансовой) отчетности и аудиторского заключения о годовой консолидированной финансовой отчетности) вместе с отчетностью по </w:t>
      </w:r>
      <w:hyperlink w:history="0" r:id="rId99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0420167</w:t>
        </w:r>
      </w:hyperlink>
      <w:r>
        <w:rPr>
          <w:sz w:val="24"/>
        </w:rPr>
        <w:t xml:space="preserve"> должно представляться полученное страховщиком аудиторское заключение, подписанное в соответствии с </w:t>
      </w:r>
      <w:hyperlink w:history="0" r:id="rId997" w:tooltip="Федеральный закон от 06.04.2011 N 63-ФЗ (ред. от 21.04.2025) &quot;Об электронной подписи&quot; {КонсультантПлюс}">
        <w:r>
          <w:rPr>
            <w:sz w:val="24"/>
            <w:color w:val="0000ff"/>
          </w:rPr>
          <w:t xml:space="preserve">частью 1 статьи 6</w:t>
        </w:r>
      </w:hyperlink>
      <w:r>
        <w:rPr>
          <w:sz w:val="24"/>
        </w:rPr>
        <w:t xml:space="preserve"> Федерального закона N 63-ФЗ, с приложением отчетности, в отношении которой оно составлено, в виде пакета электронных документов, предусмотренного </w:t>
      </w:r>
      <w:hyperlink w:history="0" r:id="rId998" w:tooltip="Федеральный закон от 06.04.2011 N 63-ФЗ (ред. от 21.04.2025) &quot;Об электронной подписи&quot; {КонсультантПлюс}">
        <w:r>
          <w:rPr>
            <w:sz w:val="24"/>
            <w:color w:val="0000ff"/>
          </w:rPr>
          <w:t xml:space="preserve">частью 4 статьи 6</w:t>
        </w:r>
      </w:hyperlink>
      <w:r>
        <w:rPr>
          <w:sz w:val="24"/>
        </w:rPr>
        <w:t xml:space="preserve"> Федерального закона N 63-ФЗ, или в виде электронного образа (документы на бумажном носителе, преобразованные в электронную форму путем сканирования с сохранением всех реквизитов).</w:t>
      </w:r>
    </w:p>
    <w:p>
      <w:pPr>
        <w:pStyle w:val="0"/>
        <w:spacing w:before="240" w:lineRule="auto"/>
        <w:ind w:firstLine="540"/>
        <w:jc w:val="both"/>
      </w:pPr>
      <w:r>
        <w:rPr>
          <w:sz w:val="24"/>
        </w:rPr>
        <w:t xml:space="preserve">4.4. Показатели отчетности по </w:t>
      </w:r>
      <w:hyperlink w:history="0" r:id="rId999"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0420168</w:t>
        </w:r>
      </w:hyperlink>
      <w:r>
        <w:rPr>
          <w:sz w:val="24"/>
        </w:rPr>
        <w:t xml:space="preserve">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иностранной страховой организации) в случае изменения содержащихся в ней сведений в течение 5 рабочих дней со дня изменения сведений (в случае изменения сведений до 31 декабря 2025 года включительно).</w:t>
      </w:r>
    </w:p>
    <w:p>
      <w:pPr>
        <w:pStyle w:val="0"/>
        <w:spacing w:before="240" w:lineRule="auto"/>
        <w:ind w:firstLine="540"/>
        <w:jc w:val="both"/>
      </w:pPr>
      <w:r>
        <w:rPr>
          <w:sz w:val="24"/>
        </w:rPr>
        <w:t xml:space="preserve">4.5. Показатели отчетности по </w:t>
      </w:r>
      <w:hyperlink w:history="0" r:id="rId1000"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0420171</w:t>
        </w:r>
      </w:hyperlink>
      <w:r>
        <w:rPr>
          <w:sz w:val="24"/>
        </w:rPr>
        <w:t xml:space="preserve"> "Информация о лицах, которым страховщиком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представляются страховщиком (за исключением страховой медицинской организации, осуществляющей деятельность исключительно в сфере обязательного медицинского страхования) в целях выполнения требования </w:t>
      </w:r>
      <w:hyperlink w:history="0" r:id="rId1001"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пункта 1.10 статьи 7</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(далее - Федеральный закон N 115-ФЗ) в течение 5 рабочих дней после дня заключения или расторжения договора на проведение идентификации или упрощенной идентификации, а также обновление информации о клиентах, представителях клиентов, выгодоприобретателях и бенефициарных владельцах (далее - обновление информации) с лицами, которым в соответствии с </w:t>
      </w:r>
      <w:hyperlink w:history="0" r:id="rId1002"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пунктами 1.5-1</w:t>
        </w:r>
      </w:hyperlink>
      <w:r>
        <w:rPr>
          <w:sz w:val="24"/>
        </w:rPr>
        <w:t xml:space="preserve">, </w:t>
      </w:r>
      <w:hyperlink w:history="0" r:id="rId1003"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1.5-8</w:t>
        </w:r>
      </w:hyperlink>
      <w:r>
        <w:rPr>
          <w:sz w:val="24"/>
        </w:rPr>
        <w:t xml:space="preserve"> и </w:t>
      </w:r>
      <w:hyperlink w:history="0" r:id="rId1004"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1.5-9 статьи 7</w:t>
        </w:r>
      </w:hyperlink>
      <w:r>
        <w:rPr>
          <w:sz w:val="24"/>
        </w:rPr>
        <w:t xml:space="preserve"> Федерального закона N 115-ФЗ поручено проведение идентификации или упрощенной идентификации, обновление информации (в случае заключения или расторжения указанного договора до 31 декабря 2025 года включительно).</w:t>
      </w:r>
    </w:p>
    <w:p>
      <w:pPr>
        <w:pStyle w:val="0"/>
        <w:spacing w:before="240" w:lineRule="auto"/>
        <w:ind w:firstLine="540"/>
        <w:jc w:val="both"/>
      </w:pPr>
      <w:r>
        <w:rPr>
          <w:sz w:val="24"/>
        </w:rPr>
        <w:t xml:space="preserve">4.6. Показатели отчетности по </w:t>
      </w:r>
      <w:hyperlink w:history="0" r:id="rId1005"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0420173</w:t>
        </w:r>
      </w:hyperlink>
      <w:r>
        <w:rPr>
          <w:sz w:val="24"/>
        </w:rPr>
        <w:t xml:space="preserve"> "Сведения о договоре об оказании услуг специализированного депозитария страховой организации" представляются страховой организацией (за исключением страховой медицинской организации, осуществляющей деятельность исключительно в сфере обязательного медицинского страхования) в течение 3 рабочих дней после дня заключения, изменения или прекращения действия договора об оказании услуг специализированного депозитария (в случае соответственно заключения, изменения или прекращения действия указанного договора до 31 декабря 2025 года включительно).</w:t>
      </w:r>
    </w:p>
    <w:bookmarkStart w:id="59941" w:name="P59941"/>
    <w:bookmarkEnd w:id="59941"/>
    <w:p>
      <w:pPr>
        <w:pStyle w:val="0"/>
        <w:spacing w:before="240" w:lineRule="auto"/>
        <w:ind w:firstLine="540"/>
        <w:jc w:val="both"/>
      </w:pPr>
      <w:r>
        <w:rPr>
          <w:sz w:val="24"/>
        </w:rPr>
        <w:t xml:space="preserve">4.7. Показатели отчетности по </w:t>
      </w:r>
      <w:hyperlink w:history="0" r:id="rId1006" w:tooltip="Указание Банка России от 15.07.2024 N 6805-У &quot;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 ------------ Утратил силу или отменен {КонсультантПлюс}">
        <w:r>
          <w:rPr>
            <w:sz w:val="24"/>
            <w:color w:val="0000ff"/>
          </w:rPr>
          <w:t xml:space="preserve">форме 0420175</w:t>
        </w:r>
      </w:hyperlink>
      <w:r>
        <w:rPr>
          <w:sz w:val="24"/>
        </w:rPr>
        <w:t xml:space="preserve"> "Сведения об оценке выполнения требований к обеспечению защиты информации страховой организацией" представляются страховой организацией, указанной в </w:t>
      </w:r>
      <w:hyperlink w:history="0" r:id="rId1007"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абзаце пятом подпункта 1.4.3 пункта 1.4</w:t>
        </w:r>
      </w:hyperlink>
      <w:r>
        <w:rPr>
          <w:sz w:val="24"/>
        </w:rPr>
        <w:t xml:space="preserve"> Положения Банка России от 20 апреля 2021 года N 757-П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&lt;3&gt; (далее - Положение Банка России N 757-П), в течение 30 рабочих дней после дня завершения проведения оценки соответствия уровня защиты информации, предусмотренной </w:t>
      </w:r>
      <w:hyperlink w:history="0" r:id="rId1008" w:tooltip="Положение Банка России от 20.04.2021 N 757-П (ред. от 20.04.2021) &quot;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quot; (Зарегистрировано в Минюсте России 15.06.2021 N 63880) {КонсультантПлюс}">
        <w:r>
          <w:rPr>
            <w:sz w:val="24"/>
            <w:color w:val="0000ff"/>
          </w:rPr>
          <w:t xml:space="preserve">подпунктом 1.5.3 пункта 1.5</w:t>
        </w:r>
      </w:hyperlink>
      <w:r>
        <w:rPr>
          <w:sz w:val="24"/>
        </w:rPr>
        <w:t xml:space="preserve"> Положения Банка России N 757-П (в случае завершения проведения указанной оценки до 31 декабря 2025 года включительно).</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Зарегистрировано Минюстом России 15 июня 2021 года, регистрационный N 63880.</w:t>
      </w:r>
    </w:p>
    <w:p>
      <w:pPr>
        <w:pStyle w:val="0"/>
        <w:jc w:val="both"/>
      </w:pPr>
      <w:r>
        <w:rPr>
          <w:sz w:val="24"/>
        </w:rPr>
      </w:r>
    </w:p>
    <w:p>
      <w:pPr>
        <w:pStyle w:val="0"/>
        <w:ind w:firstLine="540"/>
        <w:jc w:val="both"/>
      </w:pPr>
      <w:r>
        <w:rPr>
          <w:sz w:val="24"/>
        </w:rPr>
        <w:t xml:space="preserve">5. Страховщик, являющийся правопреемником страховщика, прекратившего осуществление своей деятельности в результате реорганизации (далее соответственно - реорганизованный страховщик, правопреемник), представляет в Банк России отчетность страховщика, составленную в отношении реорганизованного страховщика за указанный в </w:t>
      </w:r>
      <w:hyperlink w:history="0" w:anchor="P59891" w:tooltip="3. Отчетность страховщика в виде предусмотренных в ней показателей, составленная им за декабрь 2025 года (для ежемесячной отчетности), за IV квартал 2025 года (для ежеквартальной отчетности) и за 2025 год (для годовой отчетности) в соответствии с требованиями приложений 1 и 2 к Указанию Банка России N 6805-У, представляется в Банк России в сроки, предусмотренные подпунктами 3.1 - 3.24 настоящего пункта.">
        <w:r>
          <w:rPr>
            <w:sz w:val="24"/>
            <w:color w:val="0000ff"/>
          </w:rPr>
          <w:t xml:space="preserve">пунктах 3</w:t>
        </w:r>
      </w:hyperlink>
      <w:r>
        <w:rPr>
          <w:sz w:val="24"/>
        </w:rPr>
        <w:t xml:space="preserve"> и </w:t>
      </w:r>
      <w:hyperlink w:history="0" w:anchor="P59923" w:tooltip="4. Отчетность страховщика в виде предусмотренных в ней показателей, составленная им за период в соответствии с требованиями приложения 1 к Указанию Банка России N 6805-У (для отчетности на нерегулярной основе), представляется в Банк России страховщиком в сроки, предусмотренные подпунктами 4.1 - 4.7 настоящего пункта.">
        <w:r>
          <w:rPr>
            <w:sz w:val="24"/>
            <w:color w:val="0000ff"/>
          </w:rPr>
          <w:t xml:space="preserve">4</w:t>
        </w:r>
      </w:hyperlink>
      <w:r>
        <w:rPr>
          <w:sz w:val="24"/>
        </w:rPr>
        <w:t xml:space="preserve"> настоящего приложения период, в течение которого реорганизованный страховщик осуществлял свою деятельность (далее - последний отчетный период), в случае если реорганизованным страховщиком до завершения реорганизации не представлена в Банк России отчетность страховщика за последний отчетный период.</w:t>
      </w:r>
    </w:p>
    <w:p>
      <w:pPr>
        <w:pStyle w:val="0"/>
        <w:spacing w:before="240" w:lineRule="auto"/>
        <w:ind w:firstLine="540"/>
        <w:jc w:val="both"/>
      </w:pPr>
      <w:r>
        <w:rPr>
          <w:sz w:val="24"/>
        </w:rPr>
        <w:t xml:space="preserve">Правопреемник представляет в Банк России отчетность страховщика, составленную в отношении реорганизованного страховщика за последний отчетный период, в виде пакета электронных документов, в который включается файл, содержащий пояснения о том, что отчетность страховщика составлена правопреемником в отношении реорганизованного страховщика, с указанием полного наименования реорганизованного страховщика, его регистрационного номера записи в едином государственном реестре субъектов страхового дела, который ведется Банком России в соответствии с </w:t>
      </w:r>
      <w:hyperlink w:history="0" r:id="rId1009"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подпунктом 1 пункта 4 статьи 30</w:t>
        </w:r>
      </w:hyperlink>
      <w:r>
        <w:rPr>
          <w:sz w:val="24"/>
        </w:rPr>
        <w:t xml:space="preserve"> Закона Российской Федерации N 4015-I, формы, в которой произошла реорганизация, и даты внесения в ЕГРЮЛ записи о прекращении его деятельности.</w:t>
      </w:r>
    </w:p>
    <w:p>
      <w:pPr>
        <w:pStyle w:val="0"/>
        <w:spacing w:before="240" w:lineRule="auto"/>
        <w:ind w:firstLine="540"/>
        <w:jc w:val="both"/>
      </w:pPr>
      <w:r>
        <w:rPr>
          <w:sz w:val="24"/>
        </w:rPr>
        <w:t xml:space="preserve">Отчетность страховщика, составленная в отношении реорганизованного страховщика, подписывается лицом, осуществляющим функции единоличного исполнительного органа правопреемника (лицом, временно исполняющим его обязанности).</w:t>
      </w:r>
    </w:p>
    <w:p>
      <w:pPr>
        <w:pStyle w:val="0"/>
        <w:spacing w:before="240" w:lineRule="auto"/>
        <w:ind w:firstLine="540"/>
        <w:jc w:val="both"/>
      </w:pPr>
      <w:r>
        <w:rPr>
          <w:sz w:val="24"/>
        </w:rPr>
        <w:t xml:space="preserve">При реорганизации страховщика в форме преобразования отчетность страховщика должна включать в себя данные страховщика, из которого страховщик был преобразован, и представляться страховщиком в Банк России в порядке и сроки, предусмотренные настоящим приложением.</w:t>
      </w:r>
    </w:p>
    <w:p>
      <w:pPr>
        <w:pStyle w:val="0"/>
        <w:spacing w:before="240" w:lineRule="auto"/>
        <w:ind w:firstLine="540"/>
        <w:jc w:val="both"/>
      </w:pPr>
      <w:r>
        <w:rPr>
          <w:sz w:val="24"/>
        </w:rPr>
        <w:t xml:space="preserve">6. В случае если последний день срока представления отчетности страховщика приходится на выходной или нерабочий праздничный день, признаваемый таковым в соответствии со </w:t>
      </w:r>
      <w:hyperlink w:history="0" r:id="rId1010" w:tooltip="&quot;Трудовой кодекс Российской Федерации&quot; от 30.12.2001 N 197-ФЗ (ред. от 28.12.2025) {КонсультантПлюс}">
        <w:r>
          <w:rPr>
            <w:sz w:val="24"/>
            <w:color w:val="0000ff"/>
          </w:rPr>
          <w:t xml:space="preserve">статьей 111</w:t>
        </w:r>
      </w:hyperlink>
      <w:r>
        <w:rPr>
          <w:sz w:val="24"/>
        </w:rPr>
        <w:t xml:space="preserve"> или </w:t>
      </w:r>
      <w:hyperlink w:history="0" r:id="rId1011" w:tooltip="&quot;Трудовой кодекс Российской Федерации&quot; от 30.12.2001 N 197-ФЗ (ред. от 28.12.2025) {КонсультантПлюс}">
        <w:r>
          <w:rPr>
            <w:sz w:val="24"/>
            <w:color w:val="0000ff"/>
          </w:rPr>
          <w:t xml:space="preserve">112</w:t>
        </w:r>
      </w:hyperlink>
      <w:r>
        <w:rPr>
          <w:sz w:val="24"/>
        </w:rPr>
        <w:t xml:space="preserve"> Трудового кодекса Российской Федерации, днем окончания срока представления отчетности страховщика считается ближайший следующий за ним рабочий день.</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Указание Банка России от 30.06.2025 N 7124-У</w:t>
            <w:br/>
            <w:t>"О формах, сроках и порядке составления и представления в Банк России отчет...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25.01.2026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509513&amp;date=25.01.2026&amp;dst=383&amp;field=134&amp;demo=2" TargetMode = "External"/><Relationship Id="rId9" Type="http://schemas.openxmlformats.org/officeDocument/2006/relationships/hyperlink" Target="https://login.consultant.ru/link/?req=doc&amp;base=LAW&amp;n=509513&amp;date=25.01.2026&amp;dst=1305&amp;field=134&amp;demo=2" TargetMode = "External"/><Relationship Id="rId10" Type="http://schemas.openxmlformats.org/officeDocument/2006/relationships/hyperlink" Target="https://login.consultant.ru/link/?req=doc&amp;base=LAW&amp;n=509513&amp;date=25.01.2026&amp;dst=1395&amp;field=134&amp;demo=2" TargetMode = "External"/><Relationship Id="rId11" Type="http://schemas.openxmlformats.org/officeDocument/2006/relationships/hyperlink" Target="https://login.consultant.ru/link/?req=doc&amp;base=LAW&amp;n=509513&amp;date=25.01.2026&amp;dst=721&amp;field=134&amp;demo=2" TargetMode = "External"/><Relationship Id="rId12" Type="http://schemas.openxmlformats.org/officeDocument/2006/relationships/hyperlink" Target="https://login.consultant.ru/link/?req=doc&amp;base=LAW&amp;n=509513&amp;date=25.01.2026&amp;dst=1412&amp;field=134&amp;demo=2" TargetMode = "External"/><Relationship Id="rId13" Type="http://schemas.openxmlformats.org/officeDocument/2006/relationships/hyperlink" Target="https://login.consultant.ru/link/?req=doc&amp;base=LAW&amp;n=509513&amp;date=25.01.2026&amp;dst=1474&amp;field=134&amp;demo=2" TargetMode = "External"/><Relationship Id="rId14" Type="http://schemas.openxmlformats.org/officeDocument/2006/relationships/hyperlink" Target="https://login.consultant.ru/link/?req=doc&amp;base=LAW&amp;n=509513&amp;date=25.01.2026&amp;dst=1475&amp;field=134&amp;demo=2" TargetMode = "External"/><Relationship Id="rId15" Type="http://schemas.openxmlformats.org/officeDocument/2006/relationships/hyperlink" Target="https://login.consultant.ru/link/?req=doc&amp;base=LAW&amp;n=523565&amp;date=25.01.2026&amp;dst=644&amp;field=134&amp;demo=2" TargetMode = "External"/><Relationship Id="rId16" Type="http://schemas.openxmlformats.org/officeDocument/2006/relationships/hyperlink" Target="https://login.consultant.ru/link/?req=doc&amp;base=LAW&amp;n=523565&amp;date=25.01.2026&amp;dst=126&amp;field=134&amp;demo=2" TargetMode = "External"/><Relationship Id="rId17" Type="http://schemas.openxmlformats.org/officeDocument/2006/relationships/hyperlink" Target="https://login.consultant.ru/link/?req=doc&amp;base=LAW&amp;n=523565&amp;date=25.01.2026&amp;dst=1027&amp;field=134&amp;demo=2" TargetMode = "External"/><Relationship Id="rId18" Type="http://schemas.openxmlformats.org/officeDocument/2006/relationships/hyperlink" Target="https://login.consultant.ru/link/?req=doc&amp;base=LAW&amp;n=523566&amp;date=25.01.2026&amp;dst=308&amp;field=134&amp;demo=2" TargetMode = "External"/><Relationship Id="rId19" Type="http://schemas.openxmlformats.org/officeDocument/2006/relationships/hyperlink" Target="https://login.consultant.ru/link/?req=doc&amp;base=LAW&amp;n=523566&amp;date=25.01.2026&amp;dst=908&amp;field=134&amp;demo=2" TargetMode = "External"/><Relationship Id="rId20" Type="http://schemas.openxmlformats.org/officeDocument/2006/relationships/hyperlink" Target="https://login.consultant.ru/link/?req=doc&amp;base=LAW&amp;n=201178&amp;date=25.01.2026&amp;dst=100028&amp;field=134&amp;demo=2" TargetMode = "External"/><Relationship Id="rId21" Type="http://schemas.openxmlformats.org/officeDocument/2006/relationships/hyperlink" Target="https://login.consultant.ru/link/?req=doc&amp;base=LAW&amp;n=221537&amp;date=25.01.2026&amp;dst=100040&amp;field=134&amp;demo=2" TargetMode = "External"/><Relationship Id="rId22" Type="http://schemas.openxmlformats.org/officeDocument/2006/relationships/hyperlink" Target="https://login.consultant.ru/link/?req=doc&amp;base=LAW&amp;n=221537&amp;date=25.01.2026&amp;dst=100323&amp;field=134&amp;demo=2" TargetMode = "External"/><Relationship Id="rId23" Type="http://schemas.openxmlformats.org/officeDocument/2006/relationships/hyperlink" Target="https://login.consultant.ru/link/?req=doc&amp;base=LAW&amp;n=221537&amp;date=25.01.2026&amp;dst=100403&amp;field=134&amp;demo=2" TargetMode = "External"/><Relationship Id="rId24" Type="http://schemas.openxmlformats.org/officeDocument/2006/relationships/hyperlink" Target="https://login.consultant.ru/link/?req=doc&amp;base=LAW&amp;n=479106&amp;date=25.01.2026&amp;dst=100017&amp;field=134&amp;demo=2" TargetMode = "External"/><Relationship Id="rId25" Type="http://schemas.openxmlformats.org/officeDocument/2006/relationships/hyperlink" Target="https://login.consultant.ru/link/?req=doc&amp;base=LAW&amp;n=479106&amp;date=25.01.2026&amp;dst=100140&amp;field=134&amp;demo=2" TargetMode = "External"/><Relationship Id="rId26" Type="http://schemas.openxmlformats.org/officeDocument/2006/relationships/hyperlink" Target="https://login.consultant.ru/link/?req=doc&amp;base=LAW&amp;n=479106&amp;date=25.01.2026&amp;dst=100167&amp;field=134&amp;demo=2" TargetMode = "External"/><Relationship Id="rId27" Type="http://schemas.openxmlformats.org/officeDocument/2006/relationships/hyperlink" Target="https://login.consultant.ru/link/?req=doc&amp;base=LAW&amp;n=479106&amp;date=25.01.2026&amp;dst=100254&amp;field=134&amp;demo=2" TargetMode = "External"/><Relationship Id="rId28" Type="http://schemas.openxmlformats.org/officeDocument/2006/relationships/hyperlink" Target="https://login.consultant.ru/link/?req=doc&amp;base=LAW&amp;n=479106&amp;date=25.01.2026&amp;dst=100255&amp;field=134&amp;demo=2" TargetMode = "External"/><Relationship Id="rId29" Type="http://schemas.openxmlformats.org/officeDocument/2006/relationships/hyperlink" Target="https://login.consultant.ru/link/?req=doc&amp;base=LAW&amp;n=481631&amp;date=25.01.2026&amp;demo=2" TargetMode = "External"/><Relationship Id="rId30" Type="http://schemas.openxmlformats.org/officeDocument/2006/relationships/hyperlink" Target="https://login.consultant.ru/link/?req=doc&amp;base=LAW&amp;n=481631&amp;date=25.01.2026&amp;dst=100025&amp;field=134&amp;demo=2" TargetMode = "External"/><Relationship Id="rId31" Type="http://schemas.openxmlformats.org/officeDocument/2006/relationships/hyperlink" Target="https://login.consultant.ru/link/?req=doc&amp;base=LAW&amp;n=481631&amp;date=25.01.2026&amp;dst=152036&amp;field=134&amp;demo=2" TargetMode = "External"/><Relationship Id="rId32" Type="http://schemas.openxmlformats.org/officeDocument/2006/relationships/hyperlink" Target="https://login.consultant.ru/link/?req=doc&amp;base=LAW&amp;n=521763&amp;date=25.01.2026&amp;demo=2" TargetMode = "External"/><Relationship Id="rId33" Type="http://schemas.openxmlformats.org/officeDocument/2006/relationships/hyperlink" Target="https://login.consultant.ru/link/?req=doc&amp;base=LAW&amp;n=516533&amp;date=25.01.2026&amp;demo=2" TargetMode = "External"/><Relationship Id="rId34" Type="http://schemas.openxmlformats.org/officeDocument/2006/relationships/hyperlink" Target="https://login.consultant.ru/link/?req=doc&amp;base=LAW&amp;n=458803&amp;date=25.01.2026&amp;dst=100008&amp;field=134&amp;demo=2" TargetMode = "External"/><Relationship Id="rId35" Type="http://schemas.openxmlformats.org/officeDocument/2006/relationships/hyperlink" Target="https://login.consultant.ru/link/?req=doc&amp;base=LAW&amp;n=149911&amp;date=25.01.2026&amp;demo=2" TargetMode = "External"/><Relationship Id="rId36" Type="http://schemas.openxmlformats.org/officeDocument/2006/relationships/hyperlink" Target="https://login.consultant.ru/link/?req=doc&amp;base=LAW&amp;n=521763&amp;date=25.01.2026&amp;demo=2" TargetMode = "External"/><Relationship Id="rId37" Type="http://schemas.openxmlformats.org/officeDocument/2006/relationships/hyperlink" Target="https://login.consultant.ru/link/?req=doc&amp;base=LAW&amp;n=510616&amp;date=25.01.2026&amp;demo=2" TargetMode = "External"/><Relationship Id="rId38" Type="http://schemas.openxmlformats.org/officeDocument/2006/relationships/hyperlink" Target="https://login.consultant.ru/link/?req=doc&amp;base=LAW&amp;n=509513&amp;date=25.01.2026&amp;dst=931&amp;field=134&amp;demo=2" TargetMode = "External"/><Relationship Id="rId39" Type="http://schemas.openxmlformats.org/officeDocument/2006/relationships/hyperlink" Target="https://login.consultant.ru/link/?req=doc&amp;base=LAW&amp;n=516533&amp;date=25.01.2026&amp;demo=2" TargetMode = "External"/><Relationship Id="rId40" Type="http://schemas.openxmlformats.org/officeDocument/2006/relationships/hyperlink" Target="https://login.consultant.ru/link/?req=doc&amp;base=LAW&amp;n=516533&amp;date=25.01.2026&amp;demo=2" TargetMode = "External"/><Relationship Id="rId41" Type="http://schemas.openxmlformats.org/officeDocument/2006/relationships/hyperlink" Target="https://login.consultant.ru/link/?req=doc&amp;base=LAW&amp;n=516533&amp;date=25.01.2026&amp;demo=2" TargetMode = "External"/><Relationship Id="rId42" Type="http://schemas.openxmlformats.org/officeDocument/2006/relationships/hyperlink" Target="https://login.consultant.ru/link/?req=doc&amp;base=LAW&amp;n=458803&amp;date=25.01.2026&amp;dst=100008&amp;field=134&amp;demo=2" TargetMode = "External"/><Relationship Id="rId43" Type="http://schemas.openxmlformats.org/officeDocument/2006/relationships/hyperlink" Target="https://login.consultant.ru/link/?req=doc&amp;base=LAW&amp;n=458803&amp;date=25.01.2026&amp;dst=100008&amp;field=134&amp;demo=2" TargetMode = "External"/><Relationship Id="rId44" Type="http://schemas.openxmlformats.org/officeDocument/2006/relationships/hyperlink" Target="https://login.consultant.ru/link/?req=doc&amp;base=LAW&amp;n=458803&amp;date=25.01.2026&amp;dst=100008&amp;field=134&amp;demo=2" TargetMode = "External"/><Relationship Id="rId45" Type="http://schemas.openxmlformats.org/officeDocument/2006/relationships/hyperlink" Target="https://login.consultant.ru/link/?req=doc&amp;base=LAW&amp;n=149911&amp;date=25.01.2026&amp;demo=2" TargetMode = "External"/><Relationship Id="rId46" Type="http://schemas.openxmlformats.org/officeDocument/2006/relationships/hyperlink" Target="https://login.consultant.ru/link/?req=doc&amp;base=LAW&amp;n=149911&amp;date=25.01.2026&amp;dst=122336&amp;field=134&amp;demo=2" TargetMode = "External"/><Relationship Id="rId47" Type="http://schemas.openxmlformats.org/officeDocument/2006/relationships/hyperlink" Target="https://login.consultant.ru/link/?req=doc&amp;base=LAW&amp;n=149911&amp;date=25.01.2026&amp;demo=2" TargetMode = "External"/><Relationship Id="rId48" Type="http://schemas.openxmlformats.org/officeDocument/2006/relationships/hyperlink" Target="https://login.consultant.ru/link/?req=doc&amp;base=LAW&amp;n=149911&amp;date=25.01.2026&amp;dst=122336&amp;field=134&amp;demo=2" TargetMode = "External"/><Relationship Id="rId49" Type="http://schemas.openxmlformats.org/officeDocument/2006/relationships/hyperlink" Target="https://login.consultant.ru/link/?req=doc&amp;base=LAW&amp;n=149911&amp;date=25.01.2026&amp;demo=2" TargetMode = "External"/><Relationship Id="rId50" Type="http://schemas.openxmlformats.org/officeDocument/2006/relationships/hyperlink" Target="https://login.consultant.ru/link/?req=doc&amp;base=LAW&amp;n=149911&amp;date=25.01.2026&amp;demo=2" TargetMode = "External"/><Relationship Id="rId51" Type="http://schemas.openxmlformats.org/officeDocument/2006/relationships/hyperlink" Target="https://login.consultant.ru/link/?req=doc&amp;base=LAW&amp;n=408602&amp;date=25.01.2026&amp;demo=2" TargetMode = "External"/><Relationship Id="rId52" Type="http://schemas.openxmlformats.org/officeDocument/2006/relationships/hyperlink" Target="https://login.consultant.ru/link/?req=doc&amp;base=LAW&amp;n=202317&amp;date=25.01.2026&amp;demo=2" TargetMode = "External"/><Relationship Id="rId53" Type="http://schemas.openxmlformats.org/officeDocument/2006/relationships/hyperlink" Target="https://login.consultant.ru/link/?req=doc&amp;base=LAW&amp;n=492324&amp;date=25.01.2026&amp;demo=2" TargetMode = "External"/><Relationship Id="rId54" Type="http://schemas.openxmlformats.org/officeDocument/2006/relationships/hyperlink" Target="https://login.consultant.ru/link/?req=doc&amp;base=LAW&amp;n=509513&amp;date=25.01.2026&amp;dst=718&amp;field=134&amp;demo=2" TargetMode = "External"/><Relationship Id="rId55" Type="http://schemas.openxmlformats.org/officeDocument/2006/relationships/hyperlink" Target="https://login.consultant.ru/link/?req=doc&amp;base=LAW&amp;n=499494&amp;date=25.01.2026&amp;dst=370&amp;field=134&amp;demo=2" TargetMode = "External"/><Relationship Id="rId56" Type="http://schemas.openxmlformats.org/officeDocument/2006/relationships/hyperlink" Target="https://login.consultant.ru/link/?req=doc&amp;base=LAW&amp;n=509513&amp;date=25.01.2026&amp;dst=721&amp;field=134&amp;demo=2" TargetMode = "External"/><Relationship Id="rId57" Type="http://schemas.openxmlformats.org/officeDocument/2006/relationships/hyperlink" Target="https://login.consultant.ru/link/?req=doc&amp;base=LAW&amp;n=509513&amp;date=25.01.2026&amp;dst=1343&amp;field=134&amp;demo=2" TargetMode = "External"/><Relationship Id="rId58" Type="http://schemas.openxmlformats.org/officeDocument/2006/relationships/hyperlink" Target="https://login.consultant.ru/link/?req=doc&amp;base=LAW&amp;n=509513&amp;date=25.01.2026&amp;dst=719&amp;field=134&amp;demo=2" TargetMode = "External"/><Relationship Id="rId59" Type="http://schemas.openxmlformats.org/officeDocument/2006/relationships/hyperlink" Target="https://login.consultant.ru/link/?req=doc&amp;base=LAW&amp;n=509513&amp;date=25.01.2026&amp;dst=1403&amp;field=134&amp;demo=2" TargetMode = "External"/><Relationship Id="rId60" Type="http://schemas.openxmlformats.org/officeDocument/2006/relationships/hyperlink" Target="https://login.consultant.ru/link/?req=doc&amp;base=LAW&amp;n=482675&amp;date=25.01.2026&amp;dst=4&amp;field=134&amp;demo=2" TargetMode = "External"/><Relationship Id="rId61" Type="http://schemas.openxmlformats.org/officeDocument/2006/relationships/hyperlink" Target="https://login.consultant.ru/link/?req=doc&amp;base=LAW&amp;n=482675&amp;date=25.01.2026&amp;dst=4&amp;field=134&amp;demo=2" TargetMode = "External"/><Relationship Id="rId62" Type="http://schemas.openxmlformats.org/officeDocument/2006/relationships/hyperlink" Target="https://login.consultant.ru/link/?req=doc&amp;base=LAW&amp;n=488655&amp;date=25.01.2026&amp;dst=100035&amp;field=134&amp;demo=2" TargetMode = "External"/><Relationship Id="rId63" Type="http://schemas.openxmlformats.org/officeDocument/2006/relationships/hyperlink" Target="https://login.consultant.ru/link/?req=doc&amp;base=LAW&amp;n=509431&amp;date=25.01.2026&amp;dst=100449&amp;field=134&amp;demo=2" TargetMode = "External"/><Relationship Id="rId64" Type="http://schemas.openxmlformats.org/officeDocument/2006/relationships/hyperlink" Target="https://login.consultant.ru/link/?req=doc&amp;base=LAW&amp;n=486066&amp;date=25.01.2026&amp;dst=100008&amp;field=134&amp;demo=2" TargetMode = "External"/><Relationship Id="rId65" Type="http://schemas.openxmlformats.org/officeDocument/2006/relationships/hyperlink" Target="https://login.consultant.ru/link/?req=doc&amp;base=LAW&amp;n=486066&amp;date=25.01.2026&amp;dst=100008&amp;field=134&amp;demo=2" TargetMode = "External"/><Relationship Id="rId66" Type="http://schemas.openxmlformats.org/officeDocument/2006/relationships/hyperlink" Target="https://login.consultant.ru/link/?req=doc&amp;base=LAW&amp;n=486066&amp;date=25.01.2026&amp;dst=100008&amp;field=134&amp;demo=2" TargetMode = "External"/><Relationship Id="rId67" Type="http://schemas.openxmlformats.org/officeDocument/2006/relationships/hyperlink" Target="https://login.consultant.ru/link/?req=doc&amp;base=LAW&amp;n=513262&amp;date=25.01.2026&amp;dst=101190&amp;field=134&amp;demo=2" TargetMode = "External"/><Relationship Id="rId68" Type="http://schemas.openxmlformats.org/officeDocument/2006/relationships/hyperlink" Target="https://login.consultant.ru/link/?req=doc&amp;base=LAW&amp;n=513262&amp;date=25.01.2026&amp;dst=101195&amp;field=134&amp;demo=2" TargetMode = "External"/><Relationship Id="rId69" Type="http://schemas.openxmlformats.org/officeDocument/2006/relationships/hyperlink" Target="https://login.consultant.ru/link/?req=doc&amp;base=LAW&amp;n=513262&amp;date=25.01.2026&amp;dst=101196&amp;field=134&amp;demo=2" TargetMode = "External"/><Relationship Id="rId70" Type="http://schemas.openxmlformats.org/officeDocument/2006/relationships/hyperlink" Target="https://login.consultant.ru/link/?req=doc&amp;base=LAW&amp;n=513262&amp;date=25.01.2026&amp;dst=101197&amp;field=134&amp;demo=2" TargetMode = "External"/><Relationship Id="rId71" Type="http://schemas.openxmlformats.org/officeDocument/2006/relationships/hyperlink" Target="https://login.consultant.ru/link/?req=doc&amp;base=LAW&amp;n=513262&amp;date=25.01.2026&amp;dst=101198&amp;field=134&amp;demo=2" TargetMode = "External"/><Relationship Id="rId72" Type="http://schemas.openxmlformats.org/officeDocument/2006/relationships/hyperlink" Target="https://login.consultant.ru/link/?req=doc&amp;base=LAW&amp;n=513262&amp;date=25.01.2026&amp;dst=101199&amp;field=134&amp;demo=2" TargetMode = "External"/><Relationship Id="rId73" Type="http://schemas.openxmlformats.org/officeDocument/2006/relationships/hyperlink" Target="https://login.consultant.ru/link/?req=doc&amp;base=LAW&amp;n=513262&amp;date=25.01.2026&amp;dst=100922&amp;field=134&amp;demo=2" TargetMode = "External"/><Relationship Id="rId74" Type="http://schemas.openxmlformats.org/officeDocument/2006/relationships/hyperlink" Target="https://login.consultant.ru/link/?req=doc&amp;base=LAW&amp;n=513262&amp;date=25.01.2026&amp;dst=100892&amp;field=134&amp;demo=2" TargetMode = "External"/><Relationship Id="rId75" Type="http://schemas.openxmlformats.org/officeDocument/2006/relationships/hyperlink" Target="https://login.consultant.ru/link/?req=doc&amp;base=LAW&amp;n=513262&amp;date=25.01.2026&amp;dst=100892&amp;field=134&amp;demo=2" TargetMode = "External"/><Relationship Id="rId76" Type="http://schemas.openxmlformats.org/officeDocument/2006/relationships/hyperlink" Target="https://login.consultant.ru/link/?req=doc&amp;base=LAW&amp;n=513262&amp;date=25.01.2026&amp;dst=100913&amp;field=134&amp;demo=2" TargetMode = "External"/><Relationship Id="rId77" Type="http://schemas.openxmlformats.org/officeDocument/2006/relationships/hyperlink" Target="https://login.consultant.ru/link/?req=doc&amp;base=LAW&amp;n=513262&amp;date=25.01.2026&amp;dst=100127&amp;field=134&amp;demo=2" TargetMode = "External"/><Relationship Id="rId78" Type="http://schemas.openxmlformats.org/officeDocument/2006/relationships/hyperlink" Target="https://login.consultant.ru/link/?req=doc&amp;base=LAW&amp;n=513262&amp;date=25.01.2026&amp;dst=101082&amp;field=134&amp;demo=2" TargetMode = "External"/><Relationship Id="rId79" Type="http://schemas.openxmlformats.org/officeDocument/2006/relationships/hyperlink" Target="https://login.consultant.ru/link/?req=doc&amp;base=LAW&amp;n=513262&amp;date=25.01.2026&amp;dst=100208&amp;field=134&amp;demo=2" TargetMode = "External"/><Relationship Id="rId80" Type="http://schemas.openxmlformats.org/officeDocument/2006/relationships/hyperlink" Target="https://login.consultant.ru/link/?req=doc&amp;base=LAW&amp;n=510750&amp;date=25.01.2026&amp;dst=426&amp;field=134&amp;demo=2" TargetMode = "External"/><Relationship Id="rId81" Type="http://schemas.openxmlformats.org/officeDocument/2006/relationships/hyperlink" Target="https://login.consultant.ru/link/?req=doc&amp;base=LAW&amp;n=513262&amp;date=25.01.2026&amp;dst=100208&amp;field=134&amp;demo=2" TargetMode = "External"/><Relationship Id="rId82" Type="http://schemas.openxmlformats.org/officeDocument/2006/relationships/hyperlink" Target="https://login.consultant.ru/link/?req=doc&amp;base=LAW&amp;n=513262&amp;date=25.01.2026&amp;dst=100203&amp;field=134&amp;demo=2" TargetMode = "External"/><Relationship Id="rId83" Type="http://schemas.openxmlformats.org/officeDocument/2006/relationships/hyperlink" Target="https://login.consultant.ru/link/?req=doc&amp;base=LAW&amp;n=513262&amp;date=25.01.2026&amp;dst=100206&amp;field=134&amp;demo=2" TargetMode = "External"/><Relationship Id="rId84" Type="http://schemas.openxmlformats.org/officeDocument/2006/relationships/hyperlink" Target="https://login.consultant.ru/link/?req=doc&amp;base=LAW&amp;n=513262&amp;date=25.01.2026&amp;dst=100203&amp;field=134&amp;demo=2" TargetMode = "External"/><Relationship Id="rId85" Type="http://schemas.openxmlformats.org/officeDocument/2006/relationships/hyperlink" Target="https://login.consultant.ru/link/?req=doc&amp;base=LAW&amp;n=513262&amp;date=25.01.2026&amp;dst=100206&amp;field=134&amp;demo=2" TargetMode = "External"/><Relationship Id="rId86" Type="http://schemas.openxmlformats.org/officeDocument/2006/relationships/hyperlink" Target="https://login.consultant.ru/link/?req=doc&amp;base=LAW&amp;n=513262&amp;date=25.01.2026&amp;dst=100202&amp;field=134&amp;demo=2" TargetMode = "External"/><Relationship Id="rId87" Type="http://schemas.openxmlformats.org/officeDocument/2006/relationships/hyperlink" Target="https://login.consultant.ru/link/?req=doc&amp;base=LAW&amp;n=513262&amp;date=25.01.2026&amp;dst=100118&amp;field=134&amp;demo=2" TargetMode = "External"/><Relationship Id="rId88" Type="http://schemas.openxmlformats.org/officeDocument/2006/relationships/hyperlink" Target="https://login.consultant.ru/link/?req=doc&amp;base=LAW&amp;n=193539&amp;date=25.01.2026&amp;demo=2" TargetMode = "External"/><Relationship Id="rId89" Type="http://schemas.openxmlformats.org/officeDocument/2006/relationships/hyperlink" Target="https://login.consultant.ru/link/?req=doc&amp;base=LAW&amp;n=492324&amp;date=25.01.2026&amp;demo=2" TargetMode = "External"/><Relationship Id="rId90" Type="http://schemas.openxmlformats.org/officeDocument/2006/relationships/hyperlink" Target="https://login.consultant.ru/link/?req=doc&amp;base=LAW&amp;n=500205&amp;date=25.01.2026&amp;dst=101311&amp;field=134&amp;demo=2" TargetMode = "External"/><Relationship Id="rId91" Type="http://schemas.openxmlformats.org/officeDocument/2006/relationships/hyperlink" Target="https://login.consultant.ru/link/?req=doc&amp;base=LAW&amp;n=523216&amp;date=25.01.2026&amp;dst=68&amp;field=134&amp;demo=2" TargetMode = "External"/><Relationship Id="rId92" Type="http://schemas.openxmlformats.org/officeDocument/2006/relationships/hyperlink" Target="https://login.consultant.ru/link/?req=doc&amp;base=LAW&amp;n=482675&amp;date=25.01.2026&amp;dst=4&amp;field=134&amp;demo=2" TargetMode = "External"/><Relationship Id="rId93" Type="http://schemas.openxmlformats.org/officeDocument/2006/relationships/hyperlink" Target="https://login.consultant.ru/link/?req=doc&amp;base=LAW&amp;n=482675&amp;date=25.01.2026&amp;dst=4&amp;field=134&amp;demo=2" TargetMode = "External"/><Relationship Id="rId94" Type="http://schemas.openxmlformats.org/officeDocument/2006/relationships/hyperlink" Target="https://login.consultant.ru/link/?req=doc&amp;base=LAW&amp;n=482675&amp;date=25.01.2026&amp;dst=4&amp;field=134&amp;demo=2" TargetMode = "External"/><Relationship Id="rId95" Type="http://schemas.openxmlformats.org/officeDocument/2006/relationships/hyperlink" Target="https://login.consultant.ru/link/?req=doc&amp;base=LAW&amp;n=482675&amp;date=25.01.2026&amp;dst=4&amp;field=134&amp;demo=2" TargetMode = "External"/><Relationship Id="rId96" Type="http://schemas.openxmlformats.org/officeDocument/2006/relationships/hyperlink" Target="https://login.consultant.ru/link/?req=doc&amp;base=LAW&amp;n=486066&amp;date=25.01.2026&amp;dst=100008&amp;field=134&amp;demo=2" TargetMode = "External"/><Relationship Id="rId97" Type="http://schemas.openxmlformats.org/officeDocument/2006/relationships/hyperlink" Target="https://login.consultant.ru/link/?req=doc&amp;base=LAW&amp;n=486066&amp;date=25.01.2026&amp;dst=100008&amp;field=134&amp;demo=2" TargetMode = "External"/><Relationship Id="rId98" Type="http://schemas.openxmlformats.org/officeDocument/2006/relationships/hyperlink" Target="https://login.consultant.ru/link/?req=doc&amp;base=LAW&amp;n=486066&amp;date=25.01.2026&amp;dst=100008&amp;field=134&amp;demo=2" TargetMode = "External"/><Relationship Id="rId99" Type="http://schemas.openxmlformats.org/officeDocument/2006/relationships/hyperlink" Target="https://login.consultant.ru/link/?req=doc&amp;base=LAW&amp;n=486066&amp;date=25.01.2026&amp;dst=100008&amp;field=134&amp;demo=2" TargetMode = "External"/><Relationship Id="rId100" Type="http://schemas.openxmlformats.org/officeDocument/2006/relationships/hyperlink" Target="https://login.consultant.ru/link/?req=doc&amp;base=LAW&amp;n=486066&amp;date=25.01.2026&amp;dst=100008&amp;field=134&amp;demo=2" TargetMode = "External"/><Relationship Id="rId101" Type="http://schemas.openxmlformats.org/officeDocument/2006/relationships/hyperlink" Target="https://login.consultant.ru/link/?req=doc&amp;base=LAW&amp;n=521763&amp;date=25.01.2026&amp;demo=2" TargetMode = "External"/><Relationship Id="rId102" Type="http://schemas.openxmlformats.org/officeDocument/2006/relationships/hyperlink" Target="https://login.consultant.ru/link/?req=doc&amp;base=LAW&amp;n=149911&amp;date=25.01.2026&amp;demo=2" TargetMode = "External"/><Relationship Id="rId103" Type="http://schemas.openxmlformats.org/officeDocument/2006/relationships/hyperlink" Target="https://login.consultant.ru/link/?req=doc&amp;base=LAW&amp;n=521763&amp;date=25.01.2026&amp;demo=2" TargetMode = "External"/><Relationship Id="rId104" Type="http://schemas.openxmlformats.org/officeDocument/2006/relationships/hyperlink" Target="https://login.consultant.ru/link/?req=doc&amp;base=LAW&amp;n=509513&amp;date=25.01.2026&amp;dst=1412&amp;field=134&amp;demo=2" TargetMode = "External"/><Relationship Id="rId105" Type="http://schemas.openxmlformats.org/officeDocument/2006/relationships/hyperlink" Target="https://login.consultant.ru/link/?req=doc&amp;base=LAW&amp;n=511359&amp;date=25.01.2026&amp;dst=406&amp;field=134&amp;demo=2" TargetMode = "External"/><Relationship Id="rId106" Type="http://schemas.openxmlformats.org/officeDocument/2006/relationships/hyperlink" Target="https://login.consultant.ru/link/?req=doc&amp;base=LAW&amp;n=495617&amp;date=25.01.2026&amp;dst=100112&amp;field=134&amp;demo=2" TargetMode = "External"/><Relationship Id="rId107" Type="http://schemas.openxmlformats.org/officeDocument/2006/relationships/hyperlink" Target="https://login.consultant.ru/link/?req=doc&amp;base=LAW&amp;n=482761&amp;date=25.01.2026&amp;dst=55&amp;field=134&amp;demo=2" TargetMode = "External"/><Relationship Id="rId108" Type="http://schemas.openxmlformats.org/officeDocument/2006/relationships/hyperlink" Target="https://login.consultant.ru/link/?req=doc&amp;base=LAW&amp;n=510616&amp;date=25.01.2026&amp;demo=2" TargetMode = "External"/><Relationship Id="rId109" Type="http://schemas.openxmlformats.org/officeDocument/2006/relationships/hyperlink" Target="https://login.consultant.ru/link/?req=doc&amp;base=LAW&amp;n=149911&amp;date=25.01.2026&amp;demo=2" TargetMode = "External"/><Relationship Id="rId110" Type="http://schemas.openxmlformats.org/officeDocument/2006/relationships/hyperlink" Target="https://login.consultant.ru/link/?req=doc&amp;base=LAW&amp;n=149911&amp;date=25.01.2026&amp;dst=122336&amp;field=134&amp;demo=2" TargetMode = "External"/><Relationship Id="rId111" Type="http://schemas.openxmlformats.org/officeDocument/2006/relationships/hyperlink" Target="https://login.consultant.ru/link/?req=doc&amp;base=LAW&amp;n=149911&amp;date=25.01.2026&amp;demo=2" TargetMode = "External"/><Relationship Id="rId112" Type="http://schemas.openxmlformats.org/officeDocument/2006/relationships/hyperlink" Target="https://login.consultant.ru/link/?req=doc&amp;base=LAW&amp;n=149911&amp;date=25.01.2026&amp;dst=122336&amp;field=134&amp;demo=2" TargetMode = "External"/><Relationship Id="rId113" Type="http://schemas.openxmlformats.org/officeDocument/2006/relationships/hyperlink" Target="https://login.consultant.ru/link/?req=doc&amp;base=LAW&amp;n=149911&amp;date=25.01.2026&amp;demo=2" TargetMode = "External"/><Relationship Id="rId114" Type="http://schemas.openxmlformats.org/officeDocument/2006/relationships/hyperlink" Target="https://login.consultant.ru/link/?req=doc&amp;base=LAW&amp;n=149911&amp;date=25.01.2026&amp;demo=2" TargetMode = "External"/><Relationship Id="rId115" Type="http://schemas.openxmlformats.org/officeDocument/2006/relationships/hyperlink" Target="https://login.consultant.ru/link/?req=doc&amp;base=LAW&amp;n=149911&amp;date=25.01.2026&amp;demo=2" TargetMode = "External"/><Relationship Id="rId116" Type="http://schemas.openxmlformats.org/officeDocument/2006/relationships/hyperlink" Target="https://login.consultant.ru/link/?req=doc&amp;base=LAW&amp;n=486066&amp;date=25.01.2026&amp;dst=100008&amp;field=134&amp;demo=2" TargetMode = "External"/><Relationship Id="rId117" Type="http://schemas.openxmlformats.org/officeDocument/2006/relationships/hyperlink" Target="https://login.consultant.ru/link/?req=doc&amp;base=LAW&amp;n=408602&amp;date=25.01.2026&amp;demo=2" TargetMode = "External"/><Relationship Id="rId118" Type="http://schemas.openxmlformats.org/officeDocument/2006/relationships/hyperlink" Target="https://login.consultant.ru/link/?req=doc&amp;base=LAW&amp;n=486066&amp;date=25.01.2026&amp;dst=100008&amp;field=134&amp;demo=2" TargetMode = "External"/><Relationship Id="rId119" Type="http://schemas.openxmlformats.org/officeDocument/2006/relationships/hyperlink" Target="https://login.consultant.ru/link/?req=doc&amp;base=LAW&amp;n=486066&amp;date=25.01.2026&amp;dst=100008&amp;field=134&amp;demo=2" TargetMode = "External"/><Relationship Id="rId120" Type="http://schemas.openxmlformats.org/officeDocument/2006/relationships/hyperlink" Target="https://login.consultant.ru/link/?req=doc&amp;base=LAW&amp;n=521763&amp;date=25.01.2026&amp;demo=2" TargetMode = "External"/><Relationship Id="rId121" Type="http://schemas.openxmlformats.org/officeDocument/2006/relationships/hyperlink" Target="https://login.consultant.ru/link/?req=doc&amp;base=LAW&amp;n=521763&amp;date=25.01.2026&amp;demo=2" TargetMode = "External"/><Relationship Id="rId122" Type="http://schemas.openxmlformats.org/officeDocument/2006/relationships/hyperlink" Target="https://login.consultant.ru/link/?req=doc&amp;base=LAW&amp;n=500205&amp;date=25.01.2026&amp;dst=101311&amp;field=134&amp;demo=2" TargetMode = "External"/><Relationship Id="rId123" Type="http://schemas.openxmlformats.org/officeDocument/2006/relationships/hyperlink" Target="https://login.consultant.ru/link/?req=doc&amp;base=LAW&amp;n=511285&amp;date=25.01.2026&amp;dst=100027&amp;field=134&amp;demo=2" TargetMode = "External"/><Relationship Id="rId124" Type="http://schemas.openxmlformats.org/officeDocument/2006/relationships/hyperlink" Target="https://login.consultant.ru/link/?req=doc&amp;base=LAW&amp;n=500132&amp;date=25.01.2026&amp;dst=289&amp;field=134&amp;demo=2" TargetMode = "External"/><Relationship Id="rId125" Type="http://schemas.openxmlformats.org/officeDocument/2006/relationships/hyperlink" Target="https://login.consultant.ru/link/?req=doc&amp;base=LAW&amp;n=511574&amp;date=25.01.2026&amp;dst=1210&amp;field=134&amp;demo=2" TargetMode = "External"/><Relationship Id="rId126" Type="http://schemas.openxmlformats.org/officeDocument/2006/relationships/hyperlink" Target="https://login.consultant.ru/link/?req=doc&amp;base=LAW&amp;n=500132&amp;date=25.01.2026&amp;dst=289&amp;field=134&amp;demo=2" TargetMode = "External"/><Relationship Id="rId127" Type="http://schemas.openxmlformats.org/officeDocument/2006/relationships/hyperlink" Target="https://login.consultant.ru/link/?req=doc&amp;base=LAW&amp;n=500132&amp;date=25.01.2026&amp;dst=289&amp;field=134&amp;demo=2" TargetMode = "External"/><Relationship Id="rId128" Type="http://schemas.openxmlformats.org/officeDocument/2006/relationships/hyperlink" Target="https://login.consultant.ru/link/?req=doc&amp;base=LAW&amp;n=500132&amp;date=25.01.2026&amp;dst=289&amp;field=134&amp;demo=2" TargetMode = "External"/><Relationship Id="rId129" Type="http://schemas.openxmlformats.org/officeDocument/2006/relationships/hyperlink" Target="https://login.consultant.ru/link/?req=doc&amp;base=LAW&amp;n=500132&amp;date=25.01.2026&amp;dst=290&amp;field=134&amp;demo=2" TargetMode = "External"/><Relationship Id="rId130" Type="http://schemas.openxmlformats.org/officeDocument/2006/relationships/hyperlink" Target="https://login.consultant.ru/link/?req=doc&amp;base=LAW&amp;n=500132&amp;date=25.01.2026&amp;dst=733&amp;field=134&amp;demo=2" TargetMode = "External"/><Relationship Id="rId131" Type="http://schemas.openxmlformats.org/officeDocument/2006/relationships/hyperlink" Target="https://login.consultant.ru/link/?req=doc&amp;base=LAW&amp;n=500132&amp;date=25.01.2026&amp;dst=292&amp;field=134&amp;demo=2" TargetMode = "External"/><Relationship Id="rId132" Type="http://schemas.openxmlformats.org/officeDocument/2006/relationships/hyperlink" Target="https://login.consultant.ru/link/?req=doc&amp;base=LAW&amp;n=500132&amp;date=25.01.2026&amp;dst=734&amp;field=134&amp;demo=2" TargetMode = "External"/><Relationship Id="rId133" Type="http://schemas.openxmlformats.org/officeDocument/2006/relationships/hyperlink" Target="https://login.consultant.ru/link/?req=doc&amp;base=LAW&amp;n=500132&amp;date=25.01.2026&amp;dst=294&amp;field=134&amp;demo=2" TargetMode = "External"/><Relationship Id="rId134" Type="http://schemas.openxmlformats.org/officeDocument/2006/relationships/hyperlink" Target="https://login.consultant.ru/link/?req=doc&amp;base=LAW&amp;n=500132&amp;date=25.01.2026&amp;dst=295&amp;field=134&amp;demo=2" TargetMode = "External"/><Relationship Id="rId135" Type="http://schemas.openxmlformats.org/officeDocument/2006/relationships/hyperlink" Target="https://login.consultant.ru/link/?req=doc&amp;base=LAW&amp;n=500132&amp;date=25.01.2026&amp;dst=296&amp;field=134&amp;demo=2" TargetMode = "External"/><Relationship Id="rId136" Type="http://schemas.openxmlformats.org/officeDocument/2006/relationships/hyperlink" Target="https://login.consultant.ru/link/?req=doc&amp;base=LAW&amp;n=500132&amp;date=25.01.2026&amp;dst=298&amp;field=134&amp;demo=2" TargetMode = "External"/><Relationship Id="rId137" Type="http://schemas.openxmlformats.org/officeDocument/2006/relationships/hyperlink" Target="https://login.consultant.ru/link/?req=doc&amp;base=LAW&amp;n=500132&amp;date=25.01.2026&amp;dst=290&amp;field=134&amp;demo=2" TargetMode = "External"/><Relationship Id="rId138" Type="http://schemas.openxmlformats.org/officeDocument/2006/relationships/hyperlink" Target="https://login.consultant.ru/link/?req=doc&amp;base=LAW&amp;n=500132&amp;date=25.01.2026&amp;dst=297&amp;field=134&amp;demo=2" TargetMode = "External"/><Relationship Id="rId139" Type="http://schemas.openxmlformats.org/officeDocument/2006/relationships/hyperlink" Target="https://login.consultant.ru/link/?req=doc&amp;base=LAW&amp;n=500132&amp;date=25.01.2026&amp;dst=734&amp;field=134&amp;demo=2" TargetMode = "External"/><Relationship Id="rId140" Type="http://schemas.openxmlformats.org/officeDocument/2006/relationships/hyperlink" Target="https://login.consultant.ru/link/?req=doc&amp;base=LAW&amp;n=500132&amp;date=25.01.2026&amp;dst=296&amp;field=134&amp;demo=2" TargetMode = "External"/><Relationship Id="rId141" Type="http://schemas.openxmlformats.org/officeDocument/2006/relationships/hyperlink" Target="https://login.consultant.ru/link/?req=doc&amp;base=LAW&amp;n=500132&amp;date=25.01.2026&amp;dst=296&amp;field=134&amp;demo=2" TargetMode = "External"/><Relationship Id="rId142" Type="http://schemas.openxmlformats.org/officeDocument/2006/relationships/hyperlink" Target="https://login.consultant.ru/link/?req=doc&amp;base=LAW&amp;n=500132&amp;date=25.01.2026&amp;dst=290&amp;field=134&amp;demo=2" TargetMode = "External"/><Relationship Id="rId143" Type="http://schemas.openxmlformats.org/officeDocument/2006/relationships/hyperlink" Target="https://login.consultant.ru/link/?req=doc&amp;base=LAW&amp;n=500132&amp;date=25.01.2026&amp;dst=292&amp;field=134&amp;demo=2" TargetMode = "External"/><Relationship Id="rId144" Type="http://schemas.openxmlformats.org/officeDocument/2006/relationships/hyperlink" Target="https://login.consultant.ru/link/?req=doc&amp;base=LAW&amp;n=500132&amp;date=25.01.2026&amp;dst=294&amp;field=134&amp;demo=2" TargetMode = "External"/><Relationship Id="rId145" Type="http://schemas.openxmlformats.org/officeDocument/2006/relationships/hyperlink" Target="https://login.consultant.ru/link/?req=doc&amp;base=LAW&amp;n=500132&amp;date=25.01.2026&amp;dst=295&amp;field=134&amp;demo=2" TargetMode = "External"/><Relationship Id="rId146" Type="http://schemas.openxmlformats.org/officeDocument/2006/relationships/hyperlink" Target="https://login.consultant.ru/link/?req=doc&amp;base=LAW&amp;n=500132&amp;date=25.01.2026&amp;dst=298&amp;field=134&amp;demo=2" TargetMode = "External"/><Relationship Id="rId147" Type="http://schemas.openxmlformats.org/officeDocument/2006/relationships/hyperlink" Target="https://login.consultant.ru/link/?req=doc&amp;base=LAW&amp;n=500132&amp;date=25.01.2026&amp;dst=289&amp;field=134&amp;demo=2" TargetMode = "External"/><Relationship Id="rId148" Type="http://schemas.openxmlformats.org/officeDocument/2006/relationships/hyperlink" Target="https://login.consultant.ru/link/?req=doc&amp;base=LAW&amp;n=521763&amp;date=25.01.2026&amp;demo=2" TargetMode = "External"/><Relationship Id="rId149" Type="http://schemas.openxmlformats.org/officeDocument/2006/relationships/hyperlink" Target="https://login.consultant.ru/link/?req=doc&amp;base=LAW&amp;n=521763&amp;date=25.01.2026&amp;demo=2" TargetMode = "External"/><Relationship Id="rId150" Type="http://schemas.openxmlformats.org/officeDocument/2006/relationships/hyperlink" Target="https://login.consultant.ru/link/?req=doc&amp;base=LAW&amp;n=509513&amp;date=25.01.2026&amp;dst=1556&amp;field=134&amp;demo=2" TargetMode = "External"/><Relationship Id="rId151" Type="http://schemas.openxmlformats.org/officeDocument/2006/relationships/hyperlink" Target="https://login.consultant.ru/link/?req=doc&amp;base=LAW&amp;n=509513&amp;date=25.01.2026&amp;dst=1565&amp;field=134&amp;demo=2" TargetMode = "External"/><Relationship Id="rId152" Type="http://schemas.openxmlformats.org/officeDocument/2006/relationships/hyperlink" Target="https://login.consultant.ru/link/?req=doc&amp;base=LAW&amp;n=509513&amp;date=25.01.2026&amp;dst=1568&amp;field=134&amp;demo=2" TargetMode = "External"/><Relationship Id="rId153" Type="http://schemas.openxmlformats.org/officeDocument/2006/relationships/hyperlink" Target="https://login.consultant.ru/link/?req=doc&amp;base=LAW&amp;n=509513&amp;date=25.01.2026&amp;dst=1569&amp;field=134&amp;demo=2" TargetMode = "External"/><Relationship Id="rId154" Type="http://schemas.openxmlformats.org/officeDocument/2006/relationships/hyperlink" Target="https://login.consultant.ru/link/?req=doc&amp;base=LAW&amp;n=509513&amp;date=25.01.2026&amp;dst=1571&amp;field=134&amp;demo=2" TargetMode = "External"/><Relationship Id="rId155" Type="http://schemas.openxmlformats.org/officeDocument/2006/relationships/hyperlink" Target="https://login.consultant.ru/link/?req=doc&amp;base=LAW&amp;n=509513&amp;date=25.01.2026&amp;dst=1570&amp;field=134&amp;demo=2" TargetMode = "External"/><Relationship Id="rId156" Type="http://schemas.openxmlformats.org/officeDocument/2006/relationships/hyperlink" Target="https://login.consultant.ru/link/?req=doc&amp;base=LAW&amp;n=398211&amp;date=25.01.2026&amp;dst=100022&amp;field=134&amp;demo=2" TargetMode = "External"/><Relationship Id="rId157" Type="http://schemas.openxmlformats.org/officeDocument/2006/relationships/hyperlink" Target="https://login.consultant.ru/link/?req=doc&amp;base=LAW&amp;n=398211&amp;date=25.01.2026&amp;dst=100101&amp;field=134&amp;demo=2" TargetMode = "External"/><Relationship Id="rId158" Type="http://schemas.openxmlformats.org/officeDocument/2006/relationships/hyperlink" Target="https://login.consultant.ru/link/?req=doc&amp;base=LAW&amp;n=398211&amp;date=25.01.2026&amp;dst=100102&amp;field=134&amp;demo=2" TargetMode = "External"/><Relationship Id="rId159" Type="http://schemas.openxmlformats.org/officeDocument/2006/relationships/hyperlink" Target="https://login.consultant.ru/link/?req=doc&amp;base=LAW&amp;n=511276&amp;date=25.01.2026&amp;dst=473&amp;field=134&amp;demo=2" TargetMode = "External"/><Relationship Id="rId160" Type="http://schemas.openxmlformats.org/officeDocument/2006/relationships/hyperlink" Target="https://login.consultant.ru/link/?req=doc&amp;base=LAW&amp;n=509513&amp;date=25.01.2026&amp;dst=1573&amp;field=134&amp;demo=2" TargetMode = "External"/><Relationship Id="rId161" Type="http://schemas.openxmlformats.org/officeDocument/2006/relationships/hyperlink" Target="https://login.consultant.ru/link/?req=doc&amp;base=LAW&amp;n=451751&amp;date=25.01.2026&amp;dst=42&amp;field=134&amp;demo=2" TargetMode = "External"/><Relationship Id="rId162" Type="http://schemas.openxmlformats.org/officeDocument/2006/relationships/hyperlink" Target="https://login.consultant.ru/link/?req=doc&amp;base=LAW&amp;n=509513&amp;date=25.01.2026&amp;dst=1573&amp;field=134&amp;demo=2" TargetMode = "External"/><Relationship Id="rId163" Type="http://schemas.openxmlformats.org/officeDocument/2006/relationships/hyperlink" Target="https://login.consultant.ru/link/?req=doc&amp;base=LAW&amp;n=499494&amp;date=25.01.2026&amp;dst=370&amp;field=134&amp;demo=2" TargetMode = "External"/><Relationship Id="rId164" Type="http://schemas.openxmlformats.org/officeDocument/2006/relationships/hyperlink" Target="https://login.consultant.ru/link/?req=doc&amp;base=LAW&amp;n=521763&amp;date=25.01.2026&amp;demo=2" TargetMode = "External"/><Relationship Id="rId165" Type="http://schemas.openxmlformats.org/officeDocument/2006/relationships/hyperlink" Target="https://login.consultant.ru/link/?req=doc&amp;base=LAW&amp;n=462842&amp;date=25.01.2026&amp;demo=2" TargetMode = "External"/><Relationship Id="rId166" Type="http://schemas.openxmlformats.org/officeDocument/2006/relationships/hyperlink" Target="https://login.consultant.ru/link/?req=doc&amp;base=LAW&amp;n=462842&amp;date=25.01.2026&amp;demo=2" TargetMode = "External"/><Relationship Id="rId167" Type="http://schemas.openxmlformats.org/officeDocument/2006/relationships/hyperlink" Target="https://login.consultant.ru/link/?req=doc&amp;base=LAW&amp;n=462842&amp;date=25.01.2026&amp;demo=2" TargetMode = "External"/><Relationship Id="rId168" Type="http://schemas.openxmlformats.org/officeDocument/2006/relationships/hyperlink" Target="https://login.consultant.ru/link/?req=doc&amp;base=LAW&amp;n=462842&amp;date=25.01.2026&amp;demo=2" TargetMode = "External"/><Relationship Id="rId169" Type="http://schemas.openxmlformats.org/officeDocument/2006/relationships/hyperlink" Target="https://login.consultant.ru/link/?req=doc&amp;base=LAW&amp;n=462842&amp;date=25.01.2026&amp;demo=2" TargetMode = "External"/><Relationship Id="rId170" Type="http://schemas.openxmlformats.org/officeDocument/2006/relationships/hyperlink" Target="https://login.consultant.ru/link/?req=doc&amp;base=LAW&amp;n=462842&amp;date=25.01.2026&amp;demo=2" TargetMode = "External"/><Relationship Id="rId171" Type="http://schemas.openxmlformats.org/officeDocument/2006/relationships/hyperlink" Target="https://login.consultant.ru/link/?req=doc&amp;base=LAW&amp;n=462842&amp;date=25.01.2026&amp;demo=2" TargetMode = "External"/><Relationship Id="rId172" Type="http://schemas.openxmlformats.org/officeDocument/2006/relationships/hyperlink" Target="https://login.consultant.ru/link/?req=doc&amp;base=LAW&amp;n=462842&amp;date=25.01.2026&amp;demo=2" TargetMode = "External"/><Relationship Id="rId173" Type="http://schemas.openxmlformats.org/officeDocument/2006/relationships/hyperlink" Target="https://login.consultant.ru/link/?req=doc&amp;base=LAW&amp;n=462842&amp;date=25.01.2026&amp;demo=2" TargetMode = "External"/><Relationship Id="rId174" Type="http://schemas.openxmlformats.org/officeDocument/2006/relationships/hyperlink" Target="https://login.consultant.ru/link/?req=doc&amp;base=LAW&amp;n=462842&amp;date=25.01.2026&amp;demo=2" TargetMode = "External"/><Relationship Id="rId175" Type="http://schemas.openxmlformats.org/officeDocument/2006/relationships/hyperlink" Target="https://login.consultant.ru/link/?req=doc&amp;base=LAW&amp;n=521763&amp;date=25.01.2026&amp;demo=2" TargetMode = "External"/><Relationship Id="rId176" Type="http://schemas.openxmlformats.org/officeDocument/2006/relationships/hyperlink" Target="https://login.consultant.ru/link/?req=doc&amp;base=LAW&amp;n=509431&amp;date=25.01.2026&amp;dst=100449&amp;field=134&amp;demo=2" TargetMode = "External"/><Relationship Id="rId177" Type="http://schemas.openxmlformats.org/officeDocument/2006/relationships/hyperlink" Target="https://login.consultant.ru/link/?req=doc&amp;base=LAW&amp;n=513262&amp;date=25.01.2026&amp;dst=100020&amp;field=134&amp;demo=2" TargetMode = "External"/><Relationship Id="rId178" Type="http://schemas.openxmlformats.org/officeDocument/2006/relationships/hyperlink" Target="https://login.consultant.ru/link/?req=doc&amp;base=LAW&amp;n=513262&amp;date=25.01.2026&amp;dst=100129&amp;field=134&amp;demo=2" TargetMode = "External"/><Relationship Id="rId179" Type="http://schemas.openxmlformats.org/officeDocument/2006/relationships/hyperlink" Target="https://login.consultant.ru/link/?req=doc&amp;base=LAW&amp;n=513262&amp;date=25.01.2026&amp;dst=100266&amp;field=134&amp;demo=2" TargetMode = "External"/><Relationship Id="rId180" Type="http://schemas.openxmlformats.org/officeDocument/2006/relationships/hyperlink" Target="https://login.consultant.ru/link/?req=doc&amp;base=LAW&amp;n=513262&amp;date=25.01.2026&amp;dst=100093&amp;field=134&amp;demo=2" TargetMode = "External"/><Relationship Id="rId181" Type="http://schemas.openxmlformats.org/officeDocument/2006/relationships/hyperlink" Target="https://login.consultant.ru/link/?req=doc&amp;base=LAW&amp;n=513262&amp;date=25.01.2026&amp;dst=100740&amp;field=134&amp;demo=2" TargetMode = "External"/><Relationship Id="rId182" Type="http://schemas.openxmlformats.org/officeDocument/2006/relationships/hyperlink" Target="https://login.consultant.ru/link/?req=doc&amp;base=LAW&amp;n=513262&amp;date=25.01.2026&amp;dst=100129&amp;field=134&amp;demo=2" TargetMode = "External"/><Relationship Id="rId183" Type="http://schemas.openxmlformats.org/officeDocument/2006/relationships/hyperlink" Target="https://login.consultant.ru/link/?req=doc&amp;base=LAW&amp;n=513262&amp;date=25.01.2026&amp;dst=100093&amp;field=134&amp;demo=2" TargetMode = "External"/><Relationship Id="rId184" Type="http://schemas.openxmlformats.org/officeDocument/2006/relationships/hyperlink" Target="https://login.consultant.ru/link/?req=doc&amp;base=LAW&amp;n=513262&amp;date=25.01.2026&amp;dst=100291&amp;field=134&amp;demo=2" TargetMode = "External"/><Relationship Id="rId185" Type="http://schemas.openxmlformats.org/officeDocument/2006/relationships/hyperlink" Target="https://login.consultant.ru/link/?req=doc&amp;base=LAW&amp;n=513262&amp;date=25.01.2026&amp;dst=100020&amp;field=134&amp;demo=2" TargetMode = "External"/><Relationship Id="rId186" Type="http://schemas.openxmlformats.org/officeDocument/2006/relationships/hyperlink" Target="https://login.consultant.ru/link/?req=doc&amp;base=LAW&amp;n=513262&amp;date=25.01.2026&amp;dst=100266&amp;field=134&amp;demo=2" TargetMode = "External"/><Relationship Id="rId187" Type="http://schemas.openxmlformats.org/officeDocument/2006/relationships/hyperlink" Target="https://login.consultant.ru/link/?req=doc&amp;base=LAW&amp;n=513262&amp;date=25.01.2026&amp;dst=100891&amp;field=134&amp;demo=2" TargetMode = "External"/><Relationship Id="rId188" Type="http://schemas.openxmlformats.org/officeDocument/2006/relationships/hyperlink" Target="https://login.consultant.ru/link/?req=doc&amp;base=LAW&amp;n=403219&amp;date=25.01.2026&amp;dst=100049&amp;field=134&amp;demo=2" TargetMode = "External"/><Relationship Id="rId189" Type="http://schemas.openxmlformats.org/officeDocument/2006/relationships/hyperlink" Target="https://login.consultant.ru/link/?req=doc&amp;base=LAW&amp;n=403219&amp;date=25.01.2026&amp;dst=100881&amp;field=134&amp;demo=2" TargetMode = "External"/><Relationship Id="rId190" Type="http://schemas.openxmlformats.org/officeDocument/2006/relationships/hyperlink" Target="https://login.consultant.ru/link/?req=doc&amp;base=LAW&amp;n=509513&amp;date=25.01.2026&amp;dst=302&amp;field=134&amp;demo=2" TargetMode = "External"/><Relationship Id="rId191" Type="http://schemas.openxmlformats.org/officeDocument/2006/relationships/hyperlink" Target="https://login.consultant.ru/link/?req=doc&amp;base=LAW&amp;n=509513&amp;date=25.01.2026&amp;dst=1919&amp;field=134&amp;demo=2" TargetMode = "External"/><Relationship Id="rId192" Type="http://schemas.openxmlformats.org/officeDocument/2006/relationships/hyperlink" Target="https://login.consultant.ru/link/?req=doc&amp;base=LAW&amp;n=513262&amp;date=25.01.2026&amp;dst=100033&amp;field=134&amp;demo=2" TargetMode = "External"/><Relationship Id="rId193" Type="http://schemas.openxmlformats.org/officeDocument/2006/relationships/hyperlink" Target="https://login.consultant.ru/link/?req=doc&amp;base=LAW&amp;n=513262&amp;date=25.01.2026&amp;dst=100207&amp;field=134&amp;demo=2" TargetMode = "External"/><Relationship Id="rId194" Type="http://schemas.openxmlformats.org/officeDocument/2006/relationships/hyperlink" Target="https://login.consultant.ru/link/?req=doc&amp;base=LAW&amp;n=509513&amp;date=25.01.2026&amp;dst=1957&amp;field=134&amp;demo=2" TargetMode = "External"/><Relationship Id="rId195" Type="http://schemas.openxmlformats.org/officeDocument/2006/relationships/hyperlink" Target="https://login.consultant.ru/link/?req=doc&amp;base=LAW&amp;n=509513&amp;date=25.01.2026&amp;dst=1958&amp;field=134&amp;demo=2" TargetMode = "External"/><Relationship Id="rId196" Type="http://schemas.openxmlformats.org/officeDocument/2006/relationships/hyperlink" Target="https://login.consultant.ru/link/?req=doc&amp;base=LAW&amp;n=513262&amp;date=25.01.2026&amp;dst=100145&amp;field=134&amp;demo=2" TargetMode = "External"/><Relationship Id="rId197" Type="http://schemas.openxmlformats.org/officeDocument/2006/relationships/hyperlink" Target="https://login.consultant.ru/link/?req=doc&amp;base=LAW&amp;n=513262&amp;date=25.01.2026&amp;dst=100128&amp;field=134&amp;demo=2" TargetMode = "External"/><Relationship Id="rId198" Type="http://schemas.openxmlformats.org/officeDocument/2006/relationships/hyperlink" Target="https://login.consultant.ru/link/?req=doc&amp;base=LAW&amp;n=513262&amp;date=25.01.2026&amp;dst=101013&amp;field=134&amp;demo=2" TargetMode = "External"/><Relationship Id="rId199" Type="http://schemas.openxmlformats.org/officeDocument/2006/relationships/hyperlink" Target="https://login.consultant.ru/link/?req=doc&amp;base=LAW&amp;n=513262&amp;date=25.01.2026&amp;dst=101014&amp;field=134&amp;demo=2" TargetMode = "External"/><Relationship Id="rId200" Type="http://schemas.openxmlformats.org/officeDocument/2006/relationships/hyperlink" Target="https://login.consultant.ru/link/?req=doc&amp;base=LAW&amp;n=513262&amp;date=25.01.2026&amp;dst=101015&amp;field=134&amp;demo=2" TargetMode = "External"/><Relationship Id="rId201" Type="http://schemas.openxmlformats.org/officeDocument/2006/relationships/hyperlink" Target="https://login.consultant.ru/link/?req=doc&amp;base=LAW&amp;n=513262&amp;date=25.01.2026&amp;dst=101017&amp;field=134&amp;demo=2" TargetMode = "External"/><Relationship Id="rId202" Type="http://schemas.openxmlformats.org/officeDocument/2006/relationships/hyperlink" Target="https://login.consultant.ru/link/?req=doc&amp;base=LAW&amp;n=513262&amp;date=25.01.2026&amp;dst=101019&amp;field=134&amp;demo=2" TargetMode = "External"/><Relationship Id="rId203" Type="http://schemas.openxmlformats.org/officeDocument/2006/relationships/hyperlink" Target="https://login.consultant.ru/link/?req=doc&amp;base=LAW&amp;n=513262&amp;date=25.01.2026&amp;dst=101020&amp;field=134&amp;demo=2" TargetMode = "External"/><Relationship Id="rId204" Type="http://schemas.openxmlformats.org/officeDocument/2006/relationships/hyperlink" Target="https://login.consultant.ru/link/?req=doc&amp;base=LAW&amp;n=513262&amp;date=25.01.2026&amp;dst=101016&amp;field=134&amp;demo=2" TargetMode = "External"/><Relationship Id="rId205" Type="http://schemas.openxmlformats.org/officeDocument/2006/relationships/hyperlink" Target="https://login.consultant.ru/link/?req=doc&amp;base=LAW&amp;n=513262&amp;date=25.01.2026&amp;dst=101018&amp;field=134&amp;demo=2" TargetMode = "External"/><Relationship Id="rId206" Type="http://schemas.openxmlformats.org/officeDocument/2006/relationships/hyperlink" Target="https://login.consultant.ru/link/?req=doc&amp;base=LAW&amp;n=513262&amp;date=25.01.2026&amp;dst=101022&amp;field=134&amp;demo=2" TargetMode = "External"/><Relationship Id="rId207" Type="http://schemas.openxmlformats.org/officeDocument/2006/relationships/hyperlink" Target="https://login.consultant.ru/link/?req=doc&amp;base=LAW&amp;n=513262&amp;date=25.01.2026&amp;dst=101013&amp;field=134&amp;demo=2" TargetMode = "External"/><Relationship Id="rId208" Type="http://schemas.openxmlformats.org/officeDocument/2006/relationships/hyperlink" Target="https://login.consultant.ru/link/?req=doc&amp;base=LAW&amp;n=513262&amp;date=25.01.2026&amp;dst=101190&amp;field=134&amp;demo=2" TargetMode = "External"/><Relationship Id="rId209" Type="http://schemas.openxmlformats.org/officeDocument/2006/relationships/hyperlink" Target="https://login.consultant.ru/link/?req=doc&amp;base=LAW&amp;n=513262&amp;date=25.01.2026&amp;dst=101195&amp;field=134&amp;demo=2" TargetMode = "External"/><Relationship Id="rId210" Type="http://schemas.openxmlformats.org/officeDocument/2006/relationships/hyperlink" Target="https://login.consultant.ru/link/?req=doc&amp;base=LAW&amp;n=513262&amp;date=25.01.2026&amp;dst=100913&amp;field=134&amp;demo=2" TargetMode = "External"/><Relationship Id="rId211" Type="http://schemas.openxmlformats.org/officeDocument/2006/relationships/hyperlink" Target="https://login.consultant.ru/link/?req=doc&amp;base=LAW&amp;n=513262&amp;date=25.01.2026&amp;dst=101190&amp;field=134&amp;demo=2" TargetMode = "External"/><Relationship Id="rId212" Type="http://schemas.openxmlformats.org/officeDocument/2006/relationships/hyperlink" Target="https://login.consultant.ru/link/?req=doc&amp;base=LAW&amp;n=513262&amp;date=25.01.2026&amp;dst=101195&amp;field=134&amp;demo=2" TargetMode = "External"/><Relationship Id="rId213" Type="http://schemas.openxmlformats.org/officeDocument/2006/relationships/hyperlink" Target="https://login.consultant.ru/link/?req=doc&amp;base=LAW&amp;n=513262&amp;date=25.01.2026&amp;dst=101200&amp;field=134&amp;demo=2" TargetMode = "External"/><Relationship Id="rId214" Type="http://schemas.openxmlformats.org/officeDocument/2006/relationships/hyperlink" Target="https://login.consultant.ru/link/?req=doc&amp;base=LAW&amp;n=513262&amp;date=25.01.2026&amp;dst=101169&amp;field=134&amp;demo=2" TargetMode = "External"/><Relationship Id="rId215" Type="http://schemas.openxmlformats.org/officeDocument/2006/relationships/hyperlink" Target="https://login.consultant.ru/link/?req=doc&amp;base=LAW&amp;n=513262&amp;date=25.01.2026&amp;dst=101159&amp;field=134&amp;demo=2" TargetMode = "External"/><Relationship Id="rId216" Type="http://schemas.openxmlformats.org/officeDocument/2006/relationships/hyperlink" Target="https://login.consultant.ru/link/?req=doc&amp;base=LAW&amp;n=513262&amp;date=25.01.2026&amp;dst=101103&amp;field=134&amp;demo=2" TargetMode = "External"/><Relationship Id="rId217" Type="http://schemas.openxmlformats.org/officeDocument/2006/relationships/hyperlink" Target="https://login.consultant.ru/link/?req=doc&amp;base=LAW&amp;n=513262&amp;date=25.01.2026&amp;dst=101111&amp;field=134&amp;demo=2" TargetMode = "External"/><Relationship Id="rId218" Type="http://schemas.openxmlformats.org/officeDocument/2006/relationships/hyperlink" Target="https://login.consultant.ru/link/?req=doc&amp;base=LAW&amp;n=513262&amp;date=25.01.2026&amp;dst=101115&amp;field=134&amp;demo=2" TargetMode = "External"/><Relationship Id="rId219" Type="http://schemas.openxmlformats.org/officeDocument/2006/relationships/hyperlink" Target="https://login.consultant.ru/link/?req=doc&amp;base=LAW&amp;n=513262&amp;date=25.01.2026&amp;dst=101088&amp;field=134&amp;demo=2" TargetMode = "External"/><Relationship Id="rId220" Type="http://schemas.openxmlformats.org/officeDocument/2006/relationships/hyperlink" Target="https://login.consultant.ru/link/?req=doc&amp;base=LAW&amp;n=308934&amp;date=25.01.2026&amp;demo=2" TargetMode = "External"/><Relationship Id="rId221" Type="http://schemas.openxmlformats.org/officeDocument/2006/relationships/hyperlink" Target="https://login.consultant.ru/link/?req=doc&amp;base=LAW&amp;n=469787&amp;date=25.01.2026&amp;dst=100198&amp;field=134&amp;demo=2" TargetMode = "External"/><Relationship Id="rId222" Type="http://schemas.openxmlformats.org/officeDocument/2006/relationships/hyperlink" Target="https://login.consultant.ru/link/?req=doc&amp;base=LAW&amp;n=469787&amp;date=25.01.2026&amp;dst=91&amp;field=134&amp;demo=2" TargetMode = "External"/><Relationship Id="rId223" Type="http://schemas.openxmlformats.org/officeDocument/2006/relationships/hyperlink" Target="https://login.consultant.ru/link/?req=doc&amp;base=LAW&amp;n=513262&amp;date=25.01.2026&amp;dst=101142&amp;field=134&amp;demo=2" TargetMode = "External"/><Relationship Id="rId224" Type="http://schemas.openxmlformats.org/officeDocument/2006/relationships/hyperlink" Target="https://login.consultant.ru/link/?req=doc&amp;base=LAW&amp;n=513262&amp;date=25.01.2026&amp;dst=100218&amp;field=134&amp;demo=2" TargetMode = "External"/><Relationship Id="rId225" Type="http://schemas.openxmlformats.org/officeDocument/2006/relationships/hyperlink" Target="https://login.consultant.ru/link/?req=doc&amp;base=LAW&amp;n=513262&amp;date=25.01.2026&amp;dst=100218&amp;field=134&amp;demo=2" TargetMode = "External"/><Relationship Id="rId226" Type="http://schemas.openxmlformats.org/officeDocument/2006/relationships/hyperlink" Target="https://login.consultant.ru/link/?req=doc&amp;base=LAW&amp;n=513262&amp;date=25.01.2026&amp;dst=101152&amp;field=134&amp;demo=2" TargetMode = "External"/><Relationship Id="rId227" Type="http://schemas.openxmlformats.org/officeDocument/2006/relationships/hyperlink" Target="https://login.consultant.ru/link/?req=doc&amp;base=LAW&amp;n=509513&amp;date=25.01.2026&amp;dst=536&amp;field=134&amp;demo=2" TargetMode = "External"/><Relationship Id="rId228" Type="http://schemas.openxmlformats.org/officeDocument/2006/relationships/hyperlink" Target="https://login.consultant.ru/link/?req=doc&amp;base=LAW&amp;n=496562&amp;date=25.01.2026&amp;dst=100121&amp;field=134&amp;demo=2" TargetMode = "External"/><Relationship Id="rId229" Type="http://schemas.openxmlformats.org/officeDocument/2006/relationships/hyperlink" Target="https://login.consultant.ru/link/?req=doc&amp;base=LAW&amp;n=513262&amp;date=25.01.2026&amp;dst=101597&amp;field=134&amp;demo=2" TargetMode = "External"/><Relationship Id="rId230" Type="http://schemas.openxmlformats.org/officeDocument/2006/relationships/hyperlink" Target="https://login.consultant.ru/link/?req=doc&amp;base=LAW&amp;n=513262&amp;date=25.01.2026&amp;dst=100184&amp;field=134&amp;demo=2" TargetMode = "External"/><Relationship Id="rId231" Type="http://schemas.openxmlformats.org/officeDocument/2006/relationships/hyperlink" Target="https://login.consultant.ru/link/?req=doc&amp;base=LAW&amp;n=513262&amp;date=25.01.2026&amp;dst=100187&amp;field=134&amp;demo=2" TargetMode = "External"/><Relationship Id="rId232" Type="http://schemas.openxmlformats.org/officeDocument/2006/relationships/hyperlink" Target="https://login.consultant.ru/link/?req=doc&amp;base=LAW&amp;n=513262&amp;date=25.01.2026&amp;dst=100188&amp;field=134&amp;demo=2" TargetMode = "External"/><Relationship Id="rId233" Type="http://schemas.openxmlformats.org/officeDocument/2006/relationships/hyperlink" Target="https://login.consultant.ru/link/?req=doc&amp;base=LAW&amp;n=513262&amp;date=25.01.2026&amp;dst=100291&amp;field=134&amp;demo=2" TargetMode = "External"/><Relationship Id="rId234" Type="http://schemas.openxmlformats.org/officeDocument/2006/relationships/hyperlink" Target="https://login.consultant.ru/link/?req=doc&amp;base=LAW&amp;n=513262&amp;date=25.01.2026&amp;dst=100291&amp;field=134&amp;demo=2" TargetMode = "External"/><Relationship Id="rId235" Type="http://schemas.openxmlformats.org/officeDocument/2006/relationships/hyperlink" Target="https://login.consultant.ru/link/?req=doc&amp;base=LAW&amp;n=513262&amp;date=25.01.2026&amp;dst=100291&amp;field=134&amp;demo=2" TargetMode = "External"/><Relationship Id="rId236" Type="http://schemas.openxmlformats.org/officeDocument/2006/relationships/hyperlink" Target="https://login.consultant.ru/link/?req=doc&amp;base=LAW&amp;n=513262&amp;date=25.01.2026&amp;dst=100020&amp;field=134&amp;demo=2" TargetMode = "External"/><Relationship Id="rId237" Type="http://schemas.openxmlformats.org/officeDocument/2006/relationships/hyperlink" Target="https://login.consultant.ru/link/?req=doc&amp;base=LAW&amp;n=513262&amp;date=25.01.2026&amp;dst=100199&amp;field=134&amp;demo=2" TargetMode = "External"/><Relationship Id="rId238" Type="http://schemas.openxmlformats.org/officeDocument/2006/relationships/hyperlink" Target="https://login.consultant.ru/link/?req=doc&amp;base=LAW&amp;n=513262&amp;date=25.01.2026&amp;dst=100199&amp;field=134&amp;demo=2" TargetMode = "External"/><Relationship Id="rId239" Type="http://schemas.openxmlformats.org/officeDocument/2006/relationships/hyperlink" Target="https://login.consultant.ru/link/?req=doc&amp;base=LAW&amp;n=513262&amp;date=25.01.2026&amp;dst=100223&amp;field=134&amp;demo=2" TargetMode = "External"/><Relationship Id="rId240" Type="http://schemas.openxmlformats.org/officeDocument/2006/relationships/hyperlink" Target="https://login.consultant.ru/link/?req=doc&amp;base=LAW&amp;n=513262&amp;date=25.01.2026&amp;dst=100223&amp;field=134&amp;demo=2" TargetMode = "External"/><Relationship Id="rId241" Type="http://schemas.openxmlformats.org/officeDocument/2006/relationships/hyperlink" Target="https://login.consultant.ru/link/?req=doc&amp;base=LAW&amp;n=513262&amp;date=25.01.2026&amp;dst=100020&amp;field=134&amp;demo=2" TargetMode = "External"/><Relationship Id="rId242" Type="http://schemas.openxmlformats.org/officeDocument/2006/relationships/hyperlink" Target="https://login.consultant.ru/link/?req=doc&amp;base=LAW&amp;n=513262&amp;date=25.01.2026&amp;dst=100128&amp;field=134&amp;demo=2" TargetMode = "External"/><Relationship Id="rId243" Type="http://schemas.openxmlformats.org/officeDocument/2006/relationships/hyperlink" Target="https://login.consultant.ru/link/?req=doc&amp;base=LAW&amp;n=513262&amp;date=25.01.2026&amp;dst=100128&amp;field=134&amp;demo=2" TargetMode = "External"/><Relationship Id="rId244" Type="http://schemas.openxmlformats.org/officeDocument/2006/relationships/hyperlink" Target="https://login.consultant.ru/link/?req=doc&amp;base=LAW&amp;n=509513&amp;date=25.01.2026&amp;dst=1957&amp;field=134&amp;demo=2" TargetMode = "External"/><Relationship Id="rId245" Type="http://schemas.openxmlformats.org/officeDocument/2006/relationships/hyperlink" Target="https://login.consultant.ru/link/?req=doc&amp;base=LAW&amp;n=509513&amp;date=25.01.2026&amp;dst=1958&amp;field=134&amp;demo=2" TargetMode = "External"/><Relationship Id="rId246" Type="http://schemas.openxmlformats.org/officeDocument/2006/relationships/hyperlink" Target="https://login.consultant.ru/link/?req=doc&amp;base=LAW&amp;n=509513&amp;date=25.01.2026&amp;dst=1957&amp;field=134&amp;demo=2" TargetMode = "External"/><Relationship Id="rId247" Type="http://schemas.openxmlformats.org/officeDocument/2006/relationships/hyperlink" Target="https://login.consultant.ru/link/?req=doc&amp;base=LAW&amp;n=509513&amp;date=25.01.2026&amp;dst=1958&amp;field=134&amp;demo=2" TargetMode = "External"/><Relationship Id="rId248" Type="http://schemas.openxmlformats.org/officeDocument/2006/relationships/hyperlink" Target="https://login.consultant.ru/link/?req=doc&amp;base=LAW&amp;n=513262&amp;date=25.01.2026&amp;dst=100260&amp;field=134&amp;demo=2" TargetMode = "External"/><Relationship Id="rId249" Type="http://schemas.openxmlformats.org/officeDocument/2006/relationships/hyperlink" Target="https://login.consultant.ru/link/?req=doc&amp;base=LAW&amp;n=513262&amp;date=25.01.2026&amp;dst=100291&amp;field=134&amp;demo=2" TargetMode = "External"/><Relationship Id="rId250" Type="http://schemas.openxmlformats.org/officeDocument/2006/relationships/hyperlink" Target="https://login.consultant.ru/link/?req=doc&amp;base=LAW&amp;n=513262&amp;date=25.01.2026&amp;dst=100291&amp;field=134&amp;demo=2" TargetMode = "External"/><Relationship Id="rId251" Type="http://schemas.openxmlformats.org/officeDocument/2006/relationships/hyperlink" Target="https://login.consultant.ru/link/?req=doc&amp;base=LAW&amp;n=507536&amp;date=25.01.2026&amp;demo=2" TargetMode = "External"/><Relationship Id="rId252" Type="http://schemas.openxmlformats.org/officeDocument/2006/relationships/hyperlink" Target="https://login.consultant.ru/link/?req=doc&amp;base=LAW&amp;n=507536&amp;date=25.01.2026&amp;dst=100320&amp;field=134&amp;demo=2" TargetMode = "External"/><Relationship Id="rId253" Type="http://schemas.openxmlformats.org/officeDocument/2006/relationships/hyperlink" Target="https://login.consultant.ru/link/?req=doc&amp;base=LAW&amp;n=462842&amp;date=25.01.2026&amp;demo=2" TargetMode = "External"/><Relationship Id="rId254" Type="http://schemas.openxmlformats.org/officeDocument/2006/relationships/hyperlink" Target="https://login.consultant.ru/link/?req=doc&amp;base=LAW&amp;n=462842&amp;date=25.01.2026&amp;demo=2" TargetMode = "External"/><Relationship Id="rId255" Type="http://schemas.openxmlformats.org/officeDocument/2006/relationships/hyperlink" Target="https://login.consultant.ru/link/?req=doc&amp;base=LAW&amp;n=384725&amp;date=25.01.2026&amp;demo=2" TargetMode = "External"/><Relationship Id="rId256" Type="http://schemas.openxmlformats.org/officeDocument/2006/relationships/hyperlink" Target="https://login.consultant.ru/link/?req=doc&amp;base=LAW&amp;n=462842&amp;date=25.01.2026&amp;demo=2" TargetMode = "External"/><Relationship Id="rId257" Type="http://schemas.openxmlformats.org/officeDocument/2006/relationships/hyperlink" Target="https://login.consultant.ru/link/?req=doc&amp;base=LAW&amp;n=462842&amp;date=25.01.2026&amp;demo=2" TargetMode = "External"/><Relationship Id="rId258" Type="http://schemas.openxmlformats.org/officeDocument/2006/relationships/hyperlink" Target="https://login.consultant.ru/link/?req=doc&amp;base=LAW&amp;n=513262&amp;date=25.01.2026&amp;dst=100460&amp;field=134&amp;demo=2" TargetMode = "External"/><Relationship Id="rId259" Type="http://schemas.openxmlformats.org/officeDocument/2006/relationships/hyperlink" Target="https://login.consultant.ru/link/?req=doc&amp;base=LAW&amp;n=513262&amp;date=25.01.2026&amp;dst=100461&amp;field=134&amp;demo=2" TargetMode = "External"/><Relationship Id="rId260" Type="http://schemas.openxmlformats.org/officeDocument/2006/relationships/hyperlink" Target="https://login.consultant.ru/link/?req=doc&amp;base=LAW&amp;n=513262&amp;date=25.01.2026&amp;dst=100315&amp;field=134&amp;demo=2" TargetMode = "External"/><Relationship Id="rId261" Type="http://schemas.openxmlformats.org/officeDocument/2006/relationships/hyperlink" Target="https://login.consultant.ru/link/?req=doc&amp;base=LAW&amp;n=513262&amp;date=25.01.2026&amp;dst=100296&amp;field=134&amp;demo=2" TargetMode = "External"/><Relationship Id="rId262" Type="http://schemas.openxmlformats.org/officeDocument/2006/relationships/hyperlink" Target="https://login.consultant.ru/link/?req=doc&amp;base=LAW&amp;n=507536&amp;date=25.01.2026&amp;demo=2" TargetMode = "External"/><Relationship Id="rId263" Type="http://schemas.openxmlformats.org/officeDocument/2006/relationships/hyperlink" Target="https://login.consultant.ru/link/?req=doc&amp;base=LAW&amp;n=462842&amp;date=25.01.2026&amp;demo=2" TargetMode = "External"/><Relationship Id="rId264" Type="http://schemas.openxmlformats.org/officeDocument/2006/relationships/hyperlink" Target="https://login.consultant.ru/link/?req=doc&amp;base=LAW&amp;n=513262&amp;date=25.01.2026&amp;dst=100020&amp;field=134&amp;demo=2" TargetMode = "External"/><Relationship Id="rId265" Type="http://schemas.openxmlformats.org/officeDocument/2006/relationships/hyperlink" Target="https://login.consultant.ru/link/?req=doc&amp;base=LAW&amp;n=513262&amp;date=25.01.2026&amp;dst=100226&amp;field=134&amp;demo=2" TargetMode = "External"/><Relationship Id="rId266" Type="http://schemas.openxmlformats.org/officeDocument/2006/relationships/hyperlink" Target="https://login.consultant.ru/link/?req=doc&amp;base=LAW&amp;n=513262&amp;date=25.01.2026&amp;dst=100136&amp;field=134&amp;demo=2" TargetMode = "External"/><Relationship Id="rId267" Type="http://schemas.openxmlformats.org/officeDocument/2006/relationships/hyperlink" Target="https://login.consultant.ru/link/?req=doc&amp;base=LAW&amp;n=513262&amp;date=25.01.2026&amp;dst=100064&amp;field=134&amp;demo=2" TargetMode = "External"/><Relationship Id="rId268" Type="http://schemas.openxmlformats.org/officeDocument/2006/relationships/hyperlink" Target="https://login.consultant.ru/link/?req=doc&amp;base=LAW&amp;n=513262&amp;date=25.01.2026&amp;dst=100064&amp;field=134&amp;demo=2" TargetMode = "External"/><Relationship Id="rId269" Type="http://schemas.openxmlformats.org/officeDocument/2006/relationships/hyperlink" Target="https://login.consultant.ru/link/?req=doc&amp;base=LAW&amp;n=513262&amp;date=25.01.2026&amp;dst=100136&amp;field=134&amp;demo=2" TargetMode = "External"/><Relationship Id="rId270" Type="http://schemas.openxmlformats.org/officeDocument/2006/relationships/hyperlink" Target="https://login.consultant.ru/link/?req=doc&amp;base=LAW&amp;n=513262&amp;date=25.01.2026&amp;dst=100131&amp;field=134&amp;demo=2" TargetMode = "External"/><Relationship Id="rId271" Type="http://schemas.openxmlformats.org/officeDocument/2006/relationships/hyperlink" Target="https://login.consultant.ru/link/?req=doc&amp;base=LAW&amp;n=513262&amp;date=25.01.2026&amp;dst=100136&amp;field=134&amp;demo=2" TargetMode = "External"/><Relationship Id="rId272" Type="http://schemas.openxmlformats.org/officeDocument/2006/relationships/hyperlink" Target="https://login.consultant.ru/link/?req=doc&amp;base=LAW&amp;n=513262&amp;date=25.01.2026&amp;dst=100143&amp;field=134&amp;demo=2" TargetMode = "External"/><Relationship Id="rId273" Type="http://schemas.openxmlformats.org/officeDocument/2006/relationships/hyperlink" Target="https://login.consultant.ru/link/?req=doc&amp;base=LAW&amp;n=513262&amp;date=25.01.2026&amp;dst=100143&amp;field=134&amp;demo=2" TargetMode = "External"/><Relationship Id="rId274" Type="http://schemas.openxmlformats.org/officeDocument/2006/relationships/hyperlink" Target="https://login.consultant.ru/link/?req=doc&amp;base=LAW&amp;n=308934&amp;date=25.01.2026&amp;demo=2" TargetMode = "External"/><Relationship Id="rId275" Type="http://schemas.openxmlformats.org/officeDocument/2006/relationships/hyperlink" Target="https://login.consultant.ru/link/?req=doc&amp;base=LAW&amp;n=308934&amp;date=25.01.2026&amp;demo=2" TargetMode = "External"/><Relationship Id="rId276" Type="http://schemas.openxmlformats.org/officeDocument/2006/relationships/hyperlink" Target="https://login.consultant.ru/link/?req=doc&amp;base=LAW&amp;n=308934&amp;date=25.01.2026&amp;demo=2" TargetMode = "External"/><Relationship Id="rId277" Type="http://schemas.openxmlformats.org/officeDocument/2006/relationships/hyperlink" Target="https://login.consultant.ru/link/?req=doc&amp;base=LAW&amp;n=490143&amp;date=25.01.2026&amp;dst=101511&amp;field=134&amp;demo=2" TargetMode = "External"/><Relationship Id="rId278" Type="http://schemas.openxmlformats.org/officeDocument/2006/relationships/hyperlink" Target="https://login.consultant.ru/link/?req=doc&amp;base=LAW&amp;n=513262&amp;date=25.01.2026&amp;dst=100935&amp;field=134&amp;demo=2" TargetMode = "External"/><Relationship Id="rId279" Type="http://schemas.openxmlformats.org/officeDocument/2006/relationships/hyperlink" Target="https://login.consultant.ru/link/?req=doc&amp;base=LAW&amp;n=513262&amp;date=25.01.2026&amp;dst=100942&amp;field=134&amp;demo=2" TargetMode = "External"/><Relationship Id="rId280" Type="http://schemas.openxmlformats.org/officeDocument/2006/relationships/hyperlink" Target="https://login.consultant.ru/link/?req=doc&amp;base=LAW&amp;n=513262&amp;date=25.01.2026&amp;dst=100935&amp;field=134&amp;demo=2" TargetMode = "External"/><Relationship Id="rId281" Type="http://schemas.openxmlformats.org/officeDocument/2006/relationships/hyperlink" Target="https://login.consultant.ru/link/?req=doc&amp;base=LAW&amp;n=513262&amp;date=25.01.2026&amp;dst=100942&amp;field=134&amp;demo=2" TargetMode = "External"/><Relationship Id="rId282" Type="http://schemas.openxmlformats.org/officeDocument/2006/relationships/hyperlink" Target="https://login.consultant.ru/link/?req=doc&amp;base=LAW&amp;n=513262&amp;date=25.01.2026&amp;dst=100145&amp;field=134&amp;demo=2" TargetMode = "External"/><Relationship Id="rId283" Type="http://schemas.openxmlformats.org/officeDocument/2006/relationships/hyperlink" Target="https://login.consultant.ru/link/?req=doc&amp;base=LAW&amp;n=513262&amp;date=25.01.2026&amp;dst=100145&amp;field=134&amp;demo=2" TargetMode = "External"/><Relationship Id="rId284" Type="http://schemas.openxmlformats.org/officeDocument/2006/relationships/hyperlink" Target="https://login.consultant.ru/link/?req=doc&amp;base=LAW&amp;n=513262&amp;date=25.01.2026&amp;dst=100145&amp;field=134&amp;demo=2" TargetMode = "External"/><Relationship Id="rId285" Type="http://schemas.openxmlformats.org/officeDocument/2006/relationships/hyperlink" Target="https://login.consultant.ru/link/?req=doc&amp;base=LAW&amp;n=513262&amp;date=25.01.2026&amp;dst=100242&amp;field=134&amp;demo=2" TargetMode = "External"/><Relationship Id="rId286" Type="http://schemas.openxmlformats.org/officeDocument/2006/relationships/hyperlink" Target="https://login.consultant.ru/link/?req=doc&amp;base=LAW&amp;n=517491&amp;date=25.01.2026&amp;dst=101733&amp;field=134&amp;demo=2" TargetMode = "External"/><Relationship Id="rId287" Type="http://schemas.openxmlformats.org/officeDocument/2006/relationships/hyperlink" Target="https://login.consultant.ru/link/?req=doc&amp;base=LAW&amp;n=513262&amp;date=25.01.2026&amp;dst=100106&amp;field=134&amp;demo=2" TargetMode = "External"/><Relationship Id="rId288" Type="http://schemas.openxmlformats.org/officeDocument/2006/relationships/hyperlink" Target="https://login.consultant.ru/link/?req=doc&amp;base=LAW&amp;n=513262&amp;date=25.01.2026&amp;dst=100228&amp;field=134&amp;demo=2" TargetMode = "External"/><Relationship Id="rId289" Type="http://schemas.openxmlformats.org/officeDocument/2006/relationships/hyperlink" Target="https://login.consultant.ru/link/?req=doc&amp;base=LAW&amp;n=513262&amp;date=25.01.2026&amp;dst=100228&amp;field=134&amp;demo=2" TargetMode = "External"/><Relationship Id="rId290" Type="http://schemas.openxmlformats.org/officeDocument/2006/relationships/hyperlink" Target="https://login.consultant.ru/link/?req=doc&amp;base=LAW&amp;n=513262&amp;date=25.01.2026&amp;dst=100106&amp;field=134&amp;demo=2" TargetMode = "External"/><Relationship Id="rId291" Type="http://schemas.openxmlformats.org/officeDocument/2006/relationships/hyperlink" Target="https://login.consultant.ru/link/?req=doc&amp;base=LAW&amp;n=513262&amp;date=25.01.2026&amp;dst=100169&amp;field=134&amp;demo=2" TargetMode = "External"/><Relationship Id="rId292" Type="http://schemas.openxmlformats.org/officeDocument/2006/relationships/hyperlink" Target="https://login.consultant.ru/link/?req=doc&amp;base=LAW&amp;n=513262&amp;date=25.01.2026&amp;dst=100173&amp;field=134&amp;demo=2" TargetMode = "External"/><Relationship Id="rId293" Type="http://schemas.openxmlformats.org/officeDocument/2006/relationships/hyperlink" Target="https://login.consultant.ru/link/?req=doc&amp;base=LAW&amp;n=513262&amp;date=25.01.2026&amp;dst=100174&amp;field=134&amp;demo=2" TargetMode = "External"/><Relationship Id="rId294" Type="http://schemas.openxmlformats.org/officeDocument/2006/relationships/hyperlink" Target="https://login.consultant.ru/link/?req=doc&amp;base=LAW&amp;n=513262&amp;date=25.01.2026&amp;dst=100102&amp;field=134&amp;demo=2" TargetMode = "External"/><Relationship Id="rId295" Type="http://schemas.openxmlformats.org/officeDocument/2006/relationships/hyperlink" Target="https://login.consultant.ru/link/?req=doc&amp;base=LAW&amp;n=513262&amp;date=25.01.2026&amp;dst=100102&amp;field=134&amp;demo=2" TargetMode = "External"/><Relationship Id="rId296" Type="http://schemas.openxmlformats.org/officeDocument/2006/relationships/hyperlink" Target="https://login.consultant.ru/link/?req=doc&amp;base=LAW&amp;n=513262&amp;date=25.01.2026&amp;dst=100175&amp;field=134&amp;demo=2" TargetMode = "External"/><Relationship Id="rId297" Type="http://schemas.openxmlformats.org/officeDocument/2006/relationships/hyperlink" Target="https://login.consultant.ru/link/?req=doc&amp;base=LAW&amp;n=513262&amp;date=25.01.2026&amp;dst=100176&amp;field=134&amp;demo=2" TargetMode = "External"/><Relationship Id="rId298" Type="http://schemas.openxmlformats.org/officeDocument/2006/relationships/hyperlink" Target="https://login.consultant.ru/link/?req=doc&amp;base=LAW&amp;n=513262&amp;date=25.01.2026&amp;dst=101190&amp;field=134&amp;demo=2" TargetMode = "External"/><Relationship Id="rId299" Type="http://schemas.openxmlformats.org/officeDocument/2006/relationships/hyperlink" Target="https://login.consultant.ru/link/?req=doc&amp;base=LAW&amp;n=513262&amp;date=25.01.2026&amp;dst=101197&amp;field=134&amp;demo=2" TargetMode = "External"/><Relationship Id="rId300" Type="http://schemas.openxmlformats.org/officeDocument/2006/relationships/hyperlink" Target="https://login.consultant.ru/link/?req=doc&amp;base=LAW&amp;n=513262&amp;date=25.01.2026&amp;dst=100922&amp;field=134&amp;demo=2" TargetMode = "External"/><Relationship Id="rId301" Type="http://schemas.openxmlformats.org/officeDocument/2006/relationships/hyperlink" Target="https://login.consultant.ru/link/?req=doc&amp;base=LAW&amp;n=513262&amp;date=25.01.2026&amp;dst=101196&amp;field=134&amp;demo=2" TargetMode = "External"/><Relationship Id="rId302" Type="http://schemas.openxmlformats.org/officeDocument/2006/relationships/hyperlink" Target="https://login.consultant.ru/link/?req=doc&amp;base=LAW&amp;n=513262&amp;date=25.01.2026&amp;dst=101199&amp;field=134&amp;demo=2" TargetMode = "External"/><Relationship Id="rId303" Type="http://schemas.openxmlformats.org/officeDocument/2006/relationships/hyperlink" Target="https://login.consultant.ru/link/?req=doc&amp;base=LAW&amp;n=513262&amp;date=25.01.2026&amp;dst=101196&amp;field=134&amp;demo=2" TargetMode = "External"/><Relationship Id="rId304" Type="http://schemas.openxmlformats.org/officeDocument/2006/relationships/hyperlink" Target="https://login.consultant.ru/link/?req=doc&amp;base=LAW&amp;n=513262&amp;date=25.01.2026&amp;dst=101197&amp;field=134&amp;demo=2" TargetMode = "External"/><Relationship Id="rId305" Type="http://schemas.openxmlformats.org/officeDocument/2006/relationships/hyperlink" Target="https://login.consultant.ru/link/?req=doc&amp;base=LAW&amp;n=513262&amp;date=25.01.2026&amp;dst=101187&amp;field=134&amp;demo=2" TargetMode = "External"/><Relationship Id="rId306" Type="http://schemas.openxmlformats.org/officeDocument/2006/relationships/hyperlink" Target="https://login.consultant.ru/link/?req=doc&amp;base=LAW&amp;n=513262&amp;date=25.01.2026&amp;dst=101190&amp;field=134&amp;demo=2" TargetMode = "External"/><Relationship Id="rId307" Type="http://schemas.openxmlformats.org/officeDocument/2006/relationships/hyperlink" Target="https://login.consultant.ru/link/?req=doc&amp;base=LAW&amp;n=513262&amp;date=25.01.2026&amp;dst=101195&amp;field=134&amp;demo=2" TargetMode = "External"/><Relationship Id="rId308" Type="http://schemas.openxmlformats.org/officeDocument/2006/relationships/hyperlink" Target="https://login.consultant.ru/link/?req=doc&amp;base=LAW&amp;n=513262&amp;date=25.01.2026&amp;dst=100922&amp;field=134&amp;demo=2" TargetMode = "External"/><Relationship Id="rId309" Type="http://schemas.openxmlformats.org/officeDocument/2006/relationships/hyperlink" Target="https://login.consultant.ru/link/?req=doc&amp;base=LAW&amp;n=513262&amp;date=25.01.2026&amp;dst=101196&amp;field=134&amp;demo=2" TargetMode = "External"/><Relationship Id="rId310" Type="http://schemas.openxmlformats.org/officeDocument/2006/relationships/hyperlink" Target="https://login.consultant.ru/link/?req=doc&amp;base=LAW&amp;n=513262&amp;date=25.01.2026&amp;dst=101199&amp;field=134&amp;demo=2" TargetMode = "External"/><Relationship Id="rId311" Type="http://schemas.openxmlformats.org/officeDocument/2006/relationships/hyperlink" Target="https://login.consultant.ru/link/?req=doc&amp;base=LAW&amp;n=513262&amp;date=25.01.2026&amp;dst=101196&amp;field=134&amp;demo=2" TargetMode = "External"/><Relationship Id="rId312" Type="http://schemas.openxmlformats.org/officeDocument/2006/relationships/hyperlink" Target="https://login.consultant.ru/link/?req=doc&amp;base=LAW&amp;n=513262&amp;date=25.01.2026&amp;dst=101197&amp;field=134&amp;demo=2" TargetMode = "External"/><Relationship Id="rId313" Type="http://schemas.openxmlformats.org/officeDocument/2006/relationships/hyperlink" Target="https://login.consultant.ru/link/?req=doc&amp;base=LAW&amp;n=513262&amp;date=25.01.2026&amp;dst=100446&amp;field=134&amp;demo=2" TargetMode = "External"/><Relationship Id="rId314" Type="http://schemas.openxmlformats.org/officeDocument/2006/relationships/hyperlink" Target="https://login.consultant.ru/link/?req=doc&amp;base=LAW&amp;n=513262&amp;date=25.01.2026&amp;dst=100891&amp;field=134&amp;demo=2" TargetMode = "External"/><Relationship Id="rId315" Type="http://schemas.openxmlformats.org/officeDocument/2006/relationships/hyperlink" Target="https://login.consultant.ru/link/?req=doc&amp;base=LAW&amp;n=513262&amp;date=25.01.2026&amp;dst=101068&amp;field=134&amp;demo=2" TargetMode = "External"/><Relationship Id="rId316" Type="http://schemas.openxmlformats.org/officeDocument/2006/relationships/hyperlink" Target="https://login.consultant.ru/link/?req=doc&amp;base=LAW&amp;n=513262&amp;date=25.01.2026&amp;dst=101068&amp;field=134&amp;demo=2" TargetMode = "External"/><Relationship Id="rId317" Type="http://schemas.openxmlformats.org/officeDocument/2006/relationships/hyperlink" Target="https://login.consultant.ru/link/?req=doc&amp;base=LAW&amp;n=513262&amp;date=25.01.2026&amp;dst=101187&amp;field=134&amp;demo=2" TargetMode = "External"/><Relationship Id="rId318" Type="http://schemas.openxmlformats.org/officeDocument/2006/relationships/hyperlink" Target="https://login.consultant.ru/link/?req=doc&amp;base=LAW&amp;n=513262&amp;date=25.01.2026&amp;dst=101187&amp;field=134&amp;demo=2" TargetMode = "External"/><Relationship Id="rId319" Type="http://schemas.openxmlformats.org/officeDocument/2006/relationships/hyperlink" Target="https://login.consultant.ru/link/?req=doc&amp;base=LAW&amp;n=513262&amp;date=25.01.2026&amp;dst=101190&amp;field=134&amp;demo=2" TargetMode = "External"/><Relationship Id="rId320" Type="http://schemas.openxmlformats.org/officeDocument/2006/relationships/hyperlink" Target="https://login.consultant.ru/link/?req=doc&amp;base=LAW&amp;n=513262&amp;date=25.01.2026&amp;dst=101197&amp;field=134&amp;demo=2" TargetMode = "External"/><Relationship Id="rId321" Type="http://schemas.openxmlformats.org/officeDocument/2006/relationships/hyperlink" Target="https://login.consultant.ru/link/?req=doc&amp;base=LAW&amp;n=513262&amp;date=25.01.2026&amp;dst=100922&amp;field=134&amp;demo=2" TargetMode = "External"/><Relationship Id="rId322" Type="http://schemas.openxmlformats.org/officeDocument/2006/relationships/hyperlink" Target="https://login.consultant.ru/link/?req=doc&amp;base=LAW&amp;n=513262&amp;date=25.01.2026&amp;dst=100372&amp;field=134&amp;demo=2" TargetMode = "External"/><Relationship Id="rId323" Type="http://schemas.openxmlformats.org/officeDocument/2006/relationships/hyperlink" Target="https://login.consultant.ru/link/?req=doc&amp;base=LAW&amp;n=513262&amp;date=25.01.2026&amp;dst=101196&amp;field=134&amp;demo=2" TargetMode = "External"/><Relationship Id="rId324" Type="http://schemas.openxmlformats.org/officeDocument/2006/relationships/hyperlink" Target="https://login.consultant.ru/link/?req=doc&amp;base=LAW&amp;n=513262&amp;date=25.01.2026&amp;dst=101199&amp;field=134&amp;demo=2" TargetMode = "External"/><Relationship Id="rId325" Type="http://schemas.openxmlformats.org/officeDocument/2006/relationships/hyperlink" Target="https://login.consultant.ru/link/?req=doc&amp;base=LAW&amp;n=513262&amp;date=25.01.2026&amp;dst=101196&amp;field=134&amp;demo=2" TargetMode = "External"/><Relationship Id="rId326" Type="http://schemas.openxmlformats.org/officeDocument/2006/relationships/hyperlink" Target="https://login.consultant.ru/link/?req=doc&amp;base=LAW&amp;n=513262&amp;date=25.01.2026&amp;dst=101197&amp;field=134&amp;demo=2" TargetMode = "External"/><Relationship Id="rId327" Type="http://schemas.openxmlformats.org/officeDocument/2006/relationships/hyperlink" Target="https://login.consultant.ru/link/?req=doc&amp;base=LAW&amp;n=513262&amp;date=25.01.2026&amp;dst=100179&amp;field=134&amp;demo=2" TargetMode = "External"/><Relationship Id="rId328" Type="http://schemas.openxmlformats.org/officeDocument/2006/relationships/hyperlink" Target="https://login.consultant.ru/link/?req=doc&amp;base=LAW&amp;n=511276&amp;date=25.01.2026&amp;dst=473&amp;field=134&amp;demo=2" TargetMode = "External"/><Relationship Id="rId329" Type="http://schemas.openxmlformats.org/officeDocument/2006/relationships/hyperlink" Target="https://login.consultant.ru/link/?req=doc&amp;base=LAW&amp;n=513262&amp;date=25.01.2026&amp;dst=100189&amp;field=134&amp;demo=2" TargetMode = "External"/><Relationship Id="rId330" Type="http://schemas.openxmlformats.org/officeDocument/2006/relationships/hyperlink" Target="https://login.consultant.ru/link/?req=doc&amp;base=LAW&amp;n=150689&amp;date=25.01.2026&amp;dst=100014&amp;field=134&amp;demo=2" TargetMode = "External"/><Relationship Id="rId331" Type="http://schemas.openxmlformats.org/officeDocument/2006/relationships/hyperlink" Target="https://login.consultant.ru/link/?req=doc&amp;base=LAW&amp;n=150689&amp;date=25.01.2026&amp;demo=2" TargetMode = "External"/><Relationship Id="rId332" Type="http://schemas.openxmlformats.org/officeDocument/2006/relationships/hyperlink" Target="https://login.consultant.ru/link/?req=doc&amp;base=LAW&amp;n=509513&amp;date=25.01.2026&amp;dst=100300&amp;field=134&amp;demo=2" TargetMode = "External"/><Relationship Id="rId333" Type="http://schemas.openxmlformats.org/officeDocument/2006/relationships/hyperlink" Target="https://login.consultant.ru/link/?req=doc&amp;base=LAW&amp;n=513262&amp;date=25.01.2026&amp;dst=100197&amp;field=134&amp;demo=2" TargetMode = "External"/><Relationship Id="rId334" Type="http://schemas.openxmlformats.org/officeDocument/2006/relationships/hyperlink" Target="https://login.consultant.ru/link/?req=doc&amp;base=LAW&amp;n=513262&amp;date=25.01.2026&amp;dst=100225&amp;field=134&amp;demo=2" TargetMode = "External"/><Relationship Id="rId335" Type="http://schemas.openxmlformats.org/officeDocument/2006/relationships/hyperlink" Target="https://login.consultant.ru/link/?req=doc&amp;base=LAW&amp;n=513262&amp;date=25.01.2026&amp;dst=100225&amp;field=134&amp;demo=2" TargetMode = "External"/><Relationship Id="rId336" Type="http://schemas.openxmlformats.org/officeDocument/2006/relationships/hyperlink" Target="https://login.consultant.ru/link/?req=doc&amp;base=LAW&amp;n=513262&amp;date=25.01.2026&amp;dst=102243&amp;field=134&amp;demo=2" TargetMode = "External"/><Relationship Id="rId337" Type="http://schemas.openxmlformats.org/officeDocument/2006/relationships/hyperlink" Target="https://login.consultant.ru/link/?req=doc&amp;base=LAW&amp;n=513262&amp;date=25.01.2026&amp;dst=100192&amp;field=134&amp;demo=2" TargetMode = "External"/><Relationship Id="rId338" Type="http://schemas.openxmlformats.org/officeDocument/2006/relationships/hyperlink" Target="https://login.consultant.ru/link/?req=doc&amp;base=LAW&amp;n=513262&amp;date=25.01.2026&amp;dst=100032&amp;field=134&amp;demo=2" TargetMode = "External"/><Relationship Id="rId339" Type="http://schemas.openxmlformats.org/officeDocument/2006/relationships/hyperlink" Target="https://login.consultant.ru/link/?req=doc&amp;base=LAW&amp;n=513262&amp;date=25.01.2026&amp;dst=100040&amp;field=134&amp;demo=2" TargetMode = "External"/><Relationship Id="rId340" Type="http://schemas.openxmlformats.org/officeDocument/2006/relationships/hyperlink" Target="https://login.consultant.ru/link/?req=doc&amp;base=LAW&amp;n=513262&amp;date=25.01.2026&amp;dst=100136&amp;field=134&amp;demo=2" TargetMode = "External"/><Relationship Id="rId341" Type="http://schemas.openxmlformats.org/officeDocument/2006/relationships/hyperlink" Target="https://login.consultant.ru/link/?req=doc&amp;base=LAW&amp;n=513262&amp;date=25.01.2026&amp;dst=100241&amp;field=134&amp;demo=2" TargetMode = "External"/><Relationship Id="rId342" Type="http://schemas.openxmlformats.org/officeDocument/2006/relationships/hyperlink" Target="https://login.consultant.ru/link/?req=doc&amp;base=LAW&amp;n=513262&amp;date=25.01.2026&amp;dst=100241&amp;field=134&amp;demo=2" TargetMode = "External"/><Relationship Id="rId343" Type="http://schemas.openxmlformats.org/officeDocument/2006/relationships/hyperlink" Target="https://login.consultant.ru/link/?req=doc&amp;base=LAW&amp;n=513262&amp;date=25.01.2026&amp;dst=100136&amp;field=134&amp;demo=2" TargetMode = "External"/><Relationship Id="rId344" Type="http://schemas.openxmlformats.org/officeDocument/2006/relationships/hyperlink" Target="https://login.consultant.ru/link/?req=doc&amp;base=LAW&amp;n=514701&amp;date=25.01.2026&amp;demo=2" TargetMode = "External"/><Relationship Id="rId345" Type="http://schemas.openxmlformats.org/officeDocument/2006/relationships/hyperlink" Target="https://login.consultant.ru/link/?req=doc&amp;base=LAW&amp;n=462842&amp;date=25.01.2026&amp;demo=2" TargetMode = "External"/><Relationship Id="rId346" Type="http://schemas.openxmlformats.org/officeDocument/2006/relationships/hyperlink" Target="https://login.consultant.ru/link/?req=doc&amp;base=LAW&amp;n=462842&amp;date=25.01.2026&amp;demo=2" TargetMode = "External"/><Relationship Id="rId347" Type="http://schemas.openxmlformats.org/officeDocument/2006/relationships/hyperlink" Target="https://login.consultant.ru/link/?req=doc&amp;base=LAW&amp;n=513262&amp;date=25.01.2026&amp;dst=100106&amp;field=134&amp;demo=2" TargetMode = "External"/><Relationship Id="rId348" Type="http://schemas.openxmlformats.org/officeDocument/2006/relationships/hyperlink" Target="https://login.consultant.ru/link/?req=doc&amp;base=LAW&amp;n=513262&amp;date=25.01.2026&amp;dst=100106&amp;field=134&amp;demo=2" TargetMode = "External"/><Relationship Id="rId349" Type="http://schemas.openxmlformats.org/officeDocument/2006/relationships/hyperlink" Target="https://login.consultant.ru/link/?req=doc&amp;base=LAW&amp;n=513262&amp;date=25.01.2026&amp;dst=100291&amp;field=134&amp;demo=2" TargetMode = "External"/><Relationship Id="rId350" Type="http://schemas.openxmlformats.org/officeDocument/2006/relationships/hyperlink" Target="https://login.consultant.ru/link/?req=doc&amp;base=LAW&amp;n=513262&amp;date=25.01.2026&amp;dst=102354&amp;field=134&amp;demo=2" TargetMode = "External"/><Relationship Id="rId351" Type="http://schemas.openxmlformats.org/officeDocument/2006/relationships/hyperlink" Target="https://login.consultant.ru/link/?req=doc&amp;base=LAW&amp;n=513262&amp;date=25.01.2026&amp;dst=100394&amp;field=134&amp;demo=2" TargetMode = "External"/><Relationship Id="rId352" Type="http://schemas.openxmlformats.org/officeDocument/2006/relationships/hyperlink" Target="https://login.consultant.ru/link/?req=doc&amp;base=LAW&amp;n=513262&amp;date=25.01.2026&amp;dst=100043&amp;field=134&amp;demo=2" TargetMode = "External"/><Relationship Id="rId353" Type="http://schemas.openxmlformats.org/officeDocument/2006/relationships/hyperlink" Target="https://login.consultant.ru/link/?req=doc&amp;base=LAW&amp;n=513262&amp;date=25.01.2026&amp;dst=100291&amp;field=134&amp;demo=2" TargetMode = "External"/><Relationship Id="rId354" Type="http://schemas.openxmlformats.org/officeDocument/2006/relationships/hyperlink" Target="https://login.consultant.ru/link/?req=doc&amp;base=LAW&amp;n=513262&amp;date=25.01.2026&amp;dst=100057&amp;field=134&amp;demo=2" TargetMode = "External"/><Relationship Id="rId355" Type="http://schemas.openxmlformats.org/officeDocument/2006/relationships/hyperlink" Target="https://login.consultant.ru/link/?req=doc&amp;base=LAW&amp;n=513262&amp;date=25.01.2026&amp;dst=100291&amp;field=134&amp;demo=2" TargetMode = "External"/><Relationship Id="rId356" Type="http://schemas.openxmlformats.org/officeDocument/2006/relationships/hyperlink" Target="https://login.consultant.ru/link/?req=doc&amp;base=LAW&amp;n=513262&amp;date=25.01.2026&amp;dst=100857&amp;field=134&amp;demo=2" TargetMode = "External"/><Relationship Id="rId357" Type="http://schemas.openxmlformats.org/officeDocument/2006/relationships/hyperlink" Target="https://login.consultant.ru/link/?req=doc&amp;base=LAW&amp;n=462842&amp;date=25.01.2026&amp;demo=2" TargetMode = "External"/><Relationship Id="rId358" Type="http://schemas.openxmlformats.org/officeDocument/2006/relationships/hyperlink" Target="https://login.consultant.ru/link/?req=doc&amp;base=LAW&amp;n=462842&amp;date=25.01.2026&amp;demo=2" TargetMode = "External"/><Relationship Id="rId359" Type="http://schemas.openxmlformats.org/officeDocument/2006/relationships/hyperlink" Target="https://login.consultant.ru/link/?req=doc&amp;base=LAW&amp;n=514701&amp;date=25.01.2026&amp;demo=2" TargetMode = "External"/><Relationship Id="rId360" Type="http://schemas.openxmlformats.org/officeDocument/2006/relationships/hyperlink" Target="https://login.consultant.ru/link/?req=doc&amp;base=LAW&amp;n=462842&amp;date=25.01.2026&amp;demo=2" TargetMode = "External"/><Relationship Id="rId361" Type="http://schemas.openxmlformats.org/officeDocument/2006/relationships/hyperlink" Target="https://login.consultant.ru/link/?req=doc&amp;base=LAW&amp;n=509513&amp;date=25.01.2026&amp;dst=1913&amp;field=134&amp;demo=2" TargetMode = "External"/><Relationship Id="rId362" Type="http://schemas.openxmlformats.org/officeDocument/2006/relationships/hyperlink" Target="https://login.consultant.ru/link/?req=doc&amp;base=LAW&amp;n=509513&amp;date=25.01.2026&amp;dst=1914&amp;field=134&amp;demo=2" TargetMode = "External"/><Relationship Id="rId363" Type="http://schemas.openxmlformats.org/officeDocument/2006/relationships/hyperlink" Target="https://login.consultant.ru/link/?req=doc&amp;base=LAW&amp;n=513262&amp;date=25.01.2026&amp;dst=100396&amp;field=134&amp;demo=2" TargetMode = "External"/><Relationship Id="rId364" Type="http://schemas.openxmlformats.org/officeDocument/2006/relationships/hyperlink" Target="https://login.consultant.ru/link/?req=doc&amp;base=LAW&amp;n=513262&amp;date=25.01.2026&amp;dst=100397&amp;field=134&amp;demo=2" TargetMode = "External"/><Relationship Id="rId365" Type="http://schemas.openxmlformats.org/officeDocument/2006/relationships/hyperlink" Target="https://login.consultant.ru/link/?req=doc&amp;base=LAW&amp;n=462842&amp;date=25.01.2026&amp;demo=2" TargetMode = "External"/><Relationship Id="rId366" Type="http://schemas.openxmlformats.org/officeDocument/2006/relationships/hyperlink" Target="https://login.consultant.ru/link/?req=doc&amp;base=LAW&amp;n=507536&amp;date=25.01.2026&amp;demo=2" TargetMode = "External"/><Relationship Id="rId367" Type="http://schemas.openxmlformats.org/officeDocument/2006/relationships/hyperlink" Target="https://login.consultant.ru/link/?req=doc&amp;base=LAW&amp;n=507536&amp;date=25.01.2026&amp;demo=2" TargetMode = "External"/><Relationship Id="rId368" Type="http://schemas.openxmlformats.org/officeDocument/2006/relationships/hyperlink" Target="https://login.consultant.ru/link/?req=doc&amp;base=LAW&amp;n=520004&amp;date=25.01.2026&amp;demo=2" TargetMode = "External"/><Relationship Id="rId369" Type="http://schemas.openxmlformats.org/officeDocument/2006/relationships/hyperlink" Target="https://login.consultant.ru/link/?req=doc&amp;base=LAW&amp;n=520004&amp;date=25.01.2026&amp;demo=2" TargetMode = "External"/><Relationship Id="rId370" Type="http://schemas.openxmlformats.org/officeDocument/2006/relationships/hyperlink" Target="https://login.consultant.ru/link/?req=doc&amp;base=LAW&amp;n=520004&amp;date=25.01.2026&amp;demo=2" TargetMode = "External"/><Relationship Id="rId371" Type="http://schemas.openxmlformats.org/officeDocument/2006/relationships/hyperlink" Target="https://login.consultant.ru/link/?req=doc&amp;base=LAW&amp;n=520004&amp;date=25.01.2026&amp;demo=2" TargetMode = "External"/><Relationship Id="rId372" Type="http://schemas.openxmlformats.org/officeDocument/2006/relationships/hyperlink" Target="https://login.consultant.ru/link/?req=doc&amp;base=LAW&amp;n=513262&amp;date=25.01.2026&amp;dst=101210&amp;field=134&amp;demo=2" TargetMode = "External"/><Relationship Id="rId373" Type="http://schemas.openxmlformats.org/officeDocument/2006/relationships/hyperlink" Target="https://login.consultant.ru/link/?req=doc&amp;base=LAW&amp;n=513262&amp;date=25.01.2026&amp;dst=101216&amp;field=134&amp;demo=2" TargetMode = "External"/><Relationship Id="rId374" Type="http://schemas.openxmlformats.org/officeDocument/2006/relationships/hyperlink" Target="https://login.consultant.ru/link/?req=doc&amp;base=LAW&amp;n=513262&amp;date=25.01.2026&amp;dst=101047&amp;field=134&amp;demo=2" TargetMode = "External"/><Relationship Id="rId375" Type="http://schemas.openxmlformats.org/officeDocument/2006/relationships/hyperlink" Target="https://login.consultant.ru/link/?req=doc&amp;base=LAW&amp;n=513262&amp;date=25.01.2026&amp;dst=100892&amp;field=134&amp;demo=2" TargetMode = "External"/><Relationship Id="rId376" Type="http://schemas.openxmlformats.org/officeDocument/2006/relationships/hyperlink" Target="https://login.consultant.ru/link/?req=doc&amp;base=LAW&amp;n=513262&amp;date=25.01.2026&amp;dst=100892&amp;field=134&amp;demo=2" TargetMode = "External"/><Relationship Id="rId377" Type="http://schemas.openxmlformats.org/officeDocument/2006/relationships/hyperlink" Target="https://login.consultant.ru/link/?req=doc&amp;base=LAW&amp;n=513262&amp;date=25.01.2026&amp;dst=101047&amp;field=134&amp;demo=2" TargetMode = "External"/><Relationship Id="rId378" Type="http://schemas.openxmlformats.org/officeDocument/2006/relationships/hyperlink" Target="https://login.consultant.ru/link/?req=doc&amp;base=LAW&amp;n=513262&amp;date=25.01.2026&amp;dst=100129&amp;field=134&amp;demo=2" TargetMode = "External"/><Relationship Id="rId379" Type="http://schemas.openxmlformats.org/officeDocument/2006/relationships/hyperlink" Target="https://login.consultant.ru/link/?req=doc&amp;base=LAW&amp;n=513262&amp;date=25.01.2026&amp;dst=100891&amp;field=134&amp;demo=2" TargetMode = "External"/><Relationship Id="rId380" Type="http://schemas.openxmlformats.org/officeDocument/2006/relationships/hyperlink" Target="https://login.consultant.ru/link/?req=doc&amp;base=LAW&amp;n=513262&amp;date=25.01.2026&amp;dst=101047&amp;field=134&amp;demo=2" TargetMode = "External"/><Relationship Id="rId381" Type="http://schemas.openxmlformats.org/officeDocument/2006/relationships/hyperlink" Target="https://login.consultant.ru/link/?req=doc&amp;base=LAW&amp;n=513262&amp;date=25.01.2026&amp;dst=101196&amp;field=134&amp;demo=2" TargetMode = "External"/><Relationship Id="rId382" Type="http://schemas.openxmlformats.org/officeDocument/2006/relationships/hyperlink" Target="https://login.consultant.ru/link/?req=doc&amp;base=LAW&amp;n=513262&amp;date=25.01.2026&amp;dst=101197&amp;field=134&amp;demo=2" TargetMode = "External"/><Relationship Id="rId383" Type="http://schemas.openxmlformats.org/officeDocument/2006/relationships/hyperlink" Target="https://login.consultant.ru/link/?req=doc&amp;base=LAW&amp;n=513262&amp;date=25.01.2026&amp;dst=101196&amp;field=134&amp;demo=2" TargetMode = "External"/><Relationship Id="rId384" Type="http://schemas.openxmlformats.org/officeDocument/2006/relationships/hyperlink" Target="https://login.consultant.ru/link/?req=doc&amp;base=LAW&amp;n=513262&amp;date=25.01.2026&amp;dst=101197&amp;field=134&amp;demo=2" TargetMode = "External"/><Relationship Id="rId385" Type="http://schemas.openxmlformats.org/officeDocument/2006/relationships/hyperlink" Target="https://login.consultant.ru/link/?req=doc&amp;base=LAW&amp;n=513262&amp;date=25.01.2026&amp;dst=100185&amp;field=134&amp;demo=2" TargetMode = "External"/><Relationship Id="rId386" Type="http://schemas.openxmlformats.org/officeDocument/2006/relationships/hyperlink" Target="https://login.consultant.ru/link/?req=doc&amp;base=LAW&amp;n=513262&amp;date=25.01.2026&amp;dst=100129&amp;field=134&amp;demo=2" TargetMode = "External"/><Relationship Id="rId387" Type="http://schemas.openxmlformats.org/officeDocument/2006/relationships/hyperlink" Target="https://login.consultant.ru/link/?req=doc&amp;base=LAW&amp;n=469787&amp;date=25.01.2026&amp;dst=55&amp;field=134&amp;demo=2" TargetMode = "External"/><Relationship Id="rId388" Type="http://schemas.openxmlformats.org/officeDocument/2006/relationships/hyperlink" Target="https://login.consultant.ru/link/?req=doc&amp;base=LAW&amp;n=513262&amp;date=25.01.2026&amp;demo=2" TargetMode = "External"/><Relationship Id="rId389" Type="http://schemas.openxmlformats.org/officeDocument/2006/relationships/hyperlink" Target="https://login.consultant.ru/link/?req=doc&amp;base=LAW&amp;n=513262&amp;date=25.01.2026&amp;dst=100126&amp;field=134&amp;demo=2" TargetMode = "External"/><Relationship Id="rId390" Type="http://schemas.openxmlformats.org/officeDocument/2006/relationships/hyperlink" Target="https://login.consultant.ru/link/?req=doc&amp;base=LAW&amp;n=513262&amp;date=25.01.2026&amp;dst=100106&amp;field=134&amp;demo=2" TargetMode = "External"/><Relationship Id="rId391" Type="http://schemas.openxmlformats.org/officeDocument/2006/relationships/hyperlink" Target="https://login.consultant.ru/link/?req=doc&amp;base=LAW&amp;n=513262&amp;date=25.01.2026&amp;dst=100129&amp;field=134&amp;demo=2" TargetMode = "External"/><Relationship Id="rId392" Type="http://schemas.openxmlformats.org/officeDocument/2006/relationships/hyperlink" Target="https://login.consultant.ru/link/?req=doc&amp;base=LAW&amp;n=513262&amp;date=25.01.2026&amp;dst=101200&amp;field=134&amp;demo=2" TargetMode = "External"/><Relationship Id="rId393" Type="http://schemas.openxmlformats.org/officeDocument/2006/relationships/hyperlink" Target="https://login.consultant.ru/link/?req=doc&amp;base=LAW&amp;n=513262&amp;date=25.01.2026&amp;dst=100912&amp;field=134&amp;demo=2" TargetMode = "External"/><Relationship Id="rId394" Type="http://schemas.openxmlformats.org/officeDocument/2006/relationships/hyperlink" Target="https://login.consultant.ru/link/?req=doc&amp;base=LAW&amp;n=513262&amp;date=25.01.2026&amp;dst=100101&amp;field=134&amp;demo=2" TargetMode = "External"/><Relationship Id="rId395" Type="http://schemas.openxmlformats.org/officeDocument/2006/relationships/hyperlink" Target="https://login.consultant.ru/link/?req=doc&amp;base=LAW&amp;n=513262&amp;date=25.01.2026&amp;dst=100106&amp;field=134&amp;demo=2" TargetMode = "External"/><Relationship Id="rId396" Type="http://schemas.openxmlformats.org/officeDocument/2006/relationships/hyperlink" Target="https://login.consultant.ru/link/?req=doc&amp;base=LAW&amp;n=520004&amp;date=25.01.2026&amp;demo=2" TargetMode = "External"/><Relationship Id="rId397" Type="http://schemas.openxmlformats.org/officeDocument/2006/relationships/hyperlink" Target="https://login.consultant.ru/link/?req=doc&amp;base=LAW&amp;n=513262&amp;date=25.01.2026&amp;dst=100980&amp;field=134&amp;demo=2" TargetMode = "External"/><Relationship Id="rId398" Type="http://schemas.openxmlformats.org/officeDocument/2006/relationships/hyperlink" Target="https://login.consultant.ru/link/?req=doc&amp;base=LAW&amp;n=513262&amp;date=25.01.2026&amp;dst=100129&amp;field=134&amp;demo=2" TargetMode = "External"/><Relationship Id="rId399" Type="http://schemas.openxmlformats.org/officeDocument/2006/relationships/hyperlink" Target="https://login.consultant.ru/link/?req=doc&amp;base=LAW&amp;n=462842&amp;date=25.01.2026&amp;demo=2" TargetMode = "External"/><Relationship Id="rId400" Type="http://schemas.openxmlformats.org/officeDocument/2006/relationships/hyperlink" Target="https://login.consultant.ru/link/?req=doc&amp;base=LAW&amp;n=462842&amp;date=25.01.2026&amp;demo=2" TargetMode = "External"/><Relationship Id="rId401" Type="http://schemas.openxmlformats.org/officeDocument/2006/relationships/hyperlink" Target="https://login.consultant.ru/link/?req=doc&amp;base=LAW&amp;n=462842&amp;date=25.01.2026&amp;demo=2" TargetMode = "External"/><Relationship Id="rId402" Type="http://schemas.openxmlformats.org/officeDocument/2006/relationships/hyperlink" Target="https://login.consultant.ru/link/?req=doc&amp;base=LAW&amp;n=462842&amp;date=25.01.2026&amp;demo=2" TargetMode = "External"/><Relationship Id="rId403" Type="http://schemas.openxmlformats.org/officeDocument/2006/relationships/hyperlink" Target="https://login.consultant.ru/link/?req=doc&amp;base=LAW&amp;n=462842&amp;date=25.01.2026&amp;demo=2" TargetMode = "External"/><Relationship Id="rId404" Type="http://schemas.openxmlformats.org/officeDocument/2006/relationships/hyperlink" Target="https://login.consultant.ru/link/?req=doc&amp;base=LAW&amp;n=462842&amp;date=25.01.2026&amp;demo=2" TargetMode = "External"/><Relationship Id="rId405" Type="http://schemas.openxmlformats.org/officeDocument/2006/relationships/hyperlink" Target="https://login.consultant.ru/link/?req=doc&amp;base=LAW&amp;n=462842&amp;date=25.01.2026&amp;demo=2" TargetMode = "External"/><Relationship Id="rId406" Type="http://schemas.openxmlformats.org/officeDocument/2006/relationships/hyperlink" Target="https://login.consultant.ru/link/?req=doc&amp;base=LAW&amp;n=462842&amp;date=25.01.2026&amp;demo=2" TargetMode = "External"/><Relationship Id="rId407" Type="http://schemas.openxmlformats.org/officeDocument/2006/relationships/hyperlink" Target="https://login.consultant.ru/link/?req=doc&amp;base=LAW&amp;n=462842&amp;date=25.01.2026&amp;demo=2" TargetMode = "External"/><Relationship Id="rId408" Type="http://schemas.openxmlformats.org/officeDocument/2006/relationships/hyperlink" Target="https://login.consultant.ru/link/?req=doc&amp;base=LAW&amp;n=462842&amp;date=25.01.2026&amp;demo=2" TargetMode = "External"/><Relationship Id="rId409" Type="http://schemas.openxmlformats.org/officeDocument/2006/relationships/hyperlink" Target="https://login.consultant.ru/link/?req=doc&amp;base=LAW&amp;n=462842&amp;date=25.01.2026&amp;demo=2" TargetMode = "External"/><Relationship Id="rId410" Type="http://schemas.openxmlformats.org/officeDocument/2006/relationships/hyperlink" Target="https://login.consultant.ru/link/?req=doc&amp;base=LAW&amp;n=462842&amp;date=25.01.2026&amp;demo=2" TargetMode = "External"/><Relationship Id="rId411" Type="http://schemas.openxmlformats.org/officeDocument/2006/relationships/hyperlink" Target="https://login.consultant.ru/link/?req=doc&amp;base=LAW&amp;n=403219&amp;date=25.01.2026&amp;dst=107055&amp;field=134&amp;demo=2" TargetMode = "External"/><Relationship Id="rId412" Type="http://schemas.openxmlformats.org/officeDocument/2006/relationships/hyperlink" Target="https://login.consultant.ru/link/?req=doc&amp;base=LAW&amp;n=521763&amp;date=25.01.2026&amp;demo=2" TargetMode = "External"/><Relationship Id="rId413" Type="http://schemas.openxmlformats.org/officeDocument/2006/relationships/hyperlink" Target="https://login.consultant.ru/link/?req=doc&amp;base=LAW&amp;n=521763&amp;date=25.01.2026&amp;demo=2" TargetMode = "External"/><Relationship Id="rId414" Type="http://schemas.openxmlformats.org/officeDocument/2006/relationships/hyperlink" Target="https://login.consultant.ru/link/?req=doc&amp;base=LAW&amp;n=509431&amp;date=25.01.2026&amp;dst=100449&amp;field=134&amp;demo=2" TargetMode = "External"/><Relationship Id="rId415" Type="http://schemas.openxmlformats.org/officeDocument/2006/relationships/hyperlink" Target="https://login.consultant.ru/link/?req=doc&amp;base=LAW&amp;n=513262&amp;date=25.01.2026&amp;dst=100291&amp;field=134&amp;demo=2" TargetMode = "External"/><Relationship Id="rId416" Type="http://schemas.openxmlformats.org/officeDocument/2006/relationships/hyperlink" Target="https://login.consultant.ru/link/?req=doc&amp;base=LAW&amp;n=513262&amp;date=25.01.2026&amp;dst=100296&amp;field=134&amp;demo=2" TargetMode = "External"/><Relationship Id="rId417" Type="http://schemas.openxmlformats.org/officeDocument/2006/relationships/hyperlink" Target="https://login.consultant.ru/link/?req=doc&amp;base=LAW&amp;n=513262&amp;date=25.01.2026&amp;dst=100315&amp;field=134&amp;demo=2" TargetMode = "External"/><Relationship Id="rId418" Type="http://schemas.openxmlformats.org/officeDocument/2006/relationships/hyperlink" Target="https://login.consultant.ru/link/?req=doc&amp;base=LAW&amp;n=513262&amp;date=25.01.2026&amp;dst=100296&amp;field=134&amp;demo=2" TargetMode = "External"/><Relationship Id="rId419" Type="http://schemas.openxmlformats.org/officeDocument/2006/relationships/hyperlink" Target="https://login.consultant.ru/link/?req=doc&amp;base=LAW&amp;n=513262&amp;date=25.01.2026&amp;dst=100323&amp;field=134&amp;demo=2" TargetMode = "External"/><Relationship Id="rId420" Type="http://schemas.openxmlformats.org/officeDocument/2006/relationships/hyperlink" Target="https://login.consultant.ru/link/?req=doc&amp;base=LAW&amp;n=513262&amp;date=25.01.2026&amp;dst=100291&amp;field=134&amp;demo=2" TargetMode = "External"/><Relationship Id="rId421" Type="http://schemas.openxmlformats.org/officeDocument/2006/relationships/hyperlink" Target="https://login.consultant.ru/link/?req=doc&amp;base=LAW&amp;n=513262&amp;date=25.01.2026&amp;dst=100727&amp;field=134&amp;demo=2" TargetMode = "External"/><Relationship Id="rId422" Type="http://schemas.openxmlformats.org/officeDocument/2006/relationships/hyperlink" Target="https://login.consultant.ru/link/?req=doc&amp;base=LAW&amp;n=513262&amp;date=25.01.2026&amp;dst=100460&amp;field=134&amp;demo=2" TargetMode = "External"/><Relationship Id="rId423" Type="http://schemas.openxmlformats.org/officeDocument/2006/relationships/hyperlink" Target="https://login.consultant.ru/link/?req=doc&amp;base=LAW&amp;n=513262&amp;date=25.01.2026&amp;dst=100461&amp;field=134&amp;demo=2" TargetMode = "External"/><Relationship Id="rId424" Type="http://schemas.openxmlformats.org/officeDocument/2006/relationships/hyperlink" Target="https://login.consultant.ru/link/?req=doc&amp;base=LAW&amp;n=513262&amp;date=25.01.2026&amp;dst=100521&amp;field=134&amp;demo=2" TargetMode = "External"/><Relationship Id="rId425" Type="http://schemas.openxmlformats.org/officeDocument/2006/relationships/hyperlink" Target="https://login.consultant.ru/link/?req=doc&amp;base=LAW&amp;n=513262&amp;date=25.01.2026&amp;dst=102243&amp;field=134&amp;demo=2" TargetMode = "External"/><Relationship Id="rId426" Type="http://schemas.openxmlformats.org/officeDocument/2006/relationships/hyperlink" Target="https://login.consultant.ru/link/?req=doc&amp;base=LAW&amp;n=513262&amp;date=25.01.2026&amp;dst=102188&amp;field=134&amp;demo=2" TargetMode = "External"/><Relationship Id="rId427" Type="http://schemas.openxmlformats.org/officeDocument/2006/relationships/hyperlink" Target="https://login.consultant.ru/link/?req=doc&amp;base=LAW&amp;n=513262&amp;date=25.01.2026&amp;dst=102267&amp;field=134&amp;demo=2" TargetMode = "External"/><Relationship Id="rId428" Type="http://schemas.openxmlformats.org/officeDocument/2006/relationships/hyperlink" Target="https://login.consultant.ru/link/?req=doc&amp;base=LAW&amp;n=513262&amp;date=25.01.2026&amp;dst=102267&amp;field=134&amp;demo=2" TargetMode = "External"/><Relationship Id="rId429" Type="http://schemas.openxmlformats.org/officeDocument/2006/relationships/hyperlink" Target="https://login.consultant.ru/link/?req=doc&amp;base=LAW&amp;n=513262&amp;date=25.01.2026&amp;dst=102398&amp;field=134&amp;demo=2" TargetMode = "External"/><Relationship Id="rId430" Type="http://schemas.openxmlformats.org/officeDocument/2006/relationships/hyperlink" Target="https://login.consultant.ru/link/?req=doc&amp;base=LAW&amp;n=513262&amp;date=25.01.2026&amp;dst=102391&amp;field=134&amp;demo=2" TargetMode = "External"/><Relationship Id="rId431" Type="http://schemas.openxmlformats.org/officeDocument/2006/relationships/hyperlink" Target="https://login.consultant.ru/link/?req=doc&amp;base=LAW&amp;n=500123&amp;date=25.01.2026&amp;dst=6&amp;field=134&amp;demo=2" TargetMode = "External"/><Relationship Id="rId432" Type="http://schemas.openxmlformats.org/officeDocument/2006/relationships/hyperlink" Target="https://login.consultant.ru/link/?req=doc&amp;base=LAW&amp;n=509513&amp;date=25.01.2026&amp;dst=1270&amp;field=134&amp;demo=2" TargetMode = "External"/><Relationship Id="rId433" Type="http://schemas.openxmlformats.org/officeDocument/2006/relationships/hyperlink" Target="https://login.consultant.ru/link/?req=doc&amp;base=LAW&amp;n=513262&amp;date=25.01.2026&amp;dst=102393&amp;field=134&amp;demo=2" TargetMode = "External"/><Relationship Id="rId434" Type="http://schemas.openxmlformats.org/officeDocument/2006/relationships/hyperlink" Target="https://login.consultant.ru/link/?req=doc&amp;base=LAW&amp;n=513262&amp;date=25.01.2026&amp;dst=102395&amp;field=134&amp;demo=2" TargetMode = "External"/><Relationship Id="rId435" Type="http://schemas.openxmlformats.org/officeDocument/2006/relationships/hyperlink" Target="https://login.consultant.ru/link/?req=doc&amp;base=LAW&amp;n=500123&amp;date=25.01.2026&amp;dst=6&amp;field=134&amp;demo=2" TargetMode = "External"/><Relationship Id="rId436" Type="http://schemas.openxmlformats.org/officeDocument/2006/relationships/hyperlink" Target="https://login.consultant.ru/link/?req=doc&amp;base=LAW&amp;n=513262&amp;date=25.01.2026&amp;dst=102269&amp;field=134&amp;demo=2" TargetMode = "External"/><Relationship Id="rId437" Type="http://schemas.openxmlformats.org/officeDocument/2006/relationships/hyperlink" Target="https://login.consultant.ru/link/?req=doc&amp;base=LAW&amp;n=513262&amp;date=25.01.2026&amp;dst=102365&amp;field=134&amp;demo=2" TargetMode = "External"/><Relationship Id="rId438" Type="http://schemas.openxmlformats.org/officeDocument/2006/relationships/hyperlink" Target="https://login.consultant.ru/link/?req=doc&amp;base=LAW&amp;n=513262&amp;date=25.01.2026&amp;dst=102187&amp;field=134&amp;demo=2" TargetMode = "External"/><Relationship Id="rId439" Type="http://schemas.openxmlformats.org/officeDocument/2006/relationships/hyperlink" Target="https://login.consultant.ru/link/?req=doc&amp;base=LAW&amp;n=513262&amp;date=25.01.2026&amp;dst=100446&amp;field=134&amp;demo=2" TargetMode = "External"/><Relationship Id="rId440" Type="http://schemas.openxmlformats.org/officeDocument/2006/relationships/hyperlink" Target="https://login.consultant.ru/link/?req=doc&amp;base=LAW&amp;n=513262&amp;date=25.01.2026&amp;dst=100967&amp;field=134&amp;demo=2" TargetMode = "External"/><Relationship Id="rId441" Type="http://schemas.openxmlformats.org/officeDocument/2006/relationships/hyperlink" Target="https://login.consultant.ru/link/?req=doc&amp;base=LAW&amp;n=513262&amp;date=25.01.2026&amp;dst=102353&amp;field=134&amp;demo=2" TargetMode = "External"/><Relationship Id="rId442" Type="http://schemas.openxmlformats.org/officeDocument/2006/relationships/hyperlink" Target="https://login.consultant.ru/link/?req=doc&amp;base=LAW&amp;n=513262&amp;date=25.01.2026&amp;dst=100488&amp;field=134&amp;demo=2" TargetMode = "External"/><Relationship Id="rId443" Type="http://schemas.openxmlformats.org/officeDocument/2006/relationships/hyperlink" Target="https://login.consultant.ru/link/?req=doc&amp;base=LAW&amp;n=513262&amp;date=25.01.2026&amp;dst=100316&amp;field=134&amp;demo=2" TargetMode = "External"/><Relationship Id="rId444" Type="http://schemas.openxmlformats.org/officeDocument/2006/relationships/hyperlink" Target="https://login.consultant.ru/link/?req=doc&amp;base=LAW&amp;n=513262&amp;date=25.01.2026&amp;dst=100514&amp;field=134&amp;demo=2" TargetMode = "External"/><Relationship Id="rId445" Type="http://schemas.openxmlformats.org/officeDocument/2006/relationships/hyperlink" Target="https://login.consultant.ru/link/?req=doc&amp;base=LAW&amp;n=513262&amp;date=25.01.2026&amp;dst=100439&amp;field=134&amp;demo=2" TargetMode = "External"/><Relationship Id="rId446" Type="http://schemas.openxmlformats.org/officeDocument/2006/relationships/hyperlink" Target="https://login.consultant.ru/link/?req=doc&amp;base=LAW&amp;n=513262&amp;date=25.01.2026&amp;dst=100409&amp;field=134&amp;demo=2" TargetMode = "External"/><Relationship Id="rId447" Type="http://schemas.openxmlformats.org/officeDocument/2006/relationships/hyperlink" Target="https://login.consultant.ru/link/?req=doc&amp;base=LAW&amp;n=513262&amp;date=25.01.2026&amp;dst=100565&amp;field=134&amp;demo=2" TargetMode = "External"/><Relationship Id="rId448" Type="http://schemas.openxmlformats.org/officeDocument/2006/relationships/hyperlink" Target="https://login.consultant.ru/link/?req=doc&amp;base=LAW&amp;n=513262&amp;date=25.01.2026&amp;dst=100129&amp;field=134&amp;demo=2" TargetMode = "External"/><Relationship Id="rId449" Type="http://schemas.openxmlformats.org/officeDocument/2006/relationships/hyperlink" Target="https://login.consultant.ru/link/?req=doc&amp;base=LAW&amp;n=513262&amp;date=25.01.2026&amp;dst=100266&amp;field=134&amp;demo=2" TargetMode = "External"/><Relationship Id="rId450" Type="http://schemas.openxmlformats.org/officeDocument/2006/relationships/hyperlink" Target="https://login.consultant.ru/link/?req=doc&amp;base=LAW&amp;n=509513&amp;date=25.01.2026&amp;dst=558&amp;field=134&amp;demo=2" TargetMode = "External"/><Relationship Id="rId451" Type="http://schemas.openxmlformats.org/officeDocument/2006/relationships/hyperlink" Target="https://login.consultant.ru/link/?req=doc&amp;base=LAW&amp;n=511276&amp;date=25.01.2026&amp;dst=100196&amp;field=134&amp;demo=2" TargetMode = "External"/><Relationship Id="rId452" Type="http://schemas.openxmlformats.org/officeDocument/2006/relationships/hyperlink" Target="https://login.consultant.ru/link/?req=doc&amp;base=LAW&amp;n=511276&amp;date=25.01.2026&amp;dst=100196&amp;field=134&amp;demo=2" TargetMode = "External"/><Relationship Id="rId453" Type="http://schemas.openxmlformats.org/officeDocument/2006/relationships/hyperlink" Target="https://login.consultant.ru/link/?req=doc&amp;base=LAW&amp;n=511276&amp;date=25.01.2026&amp;dst=100196&amp;field=134&amp;demo=2" TargetMode = "External"/><Relationship Id="rId454" Type="http://schemas.openxmlformats.org/officeDocument/2006/relationships/hyperlink" Target="https://login.consultant.ru/link/?req=doc&amp;base=LAW&amp;n=513262&amp;date=25.01.2026&amp;dst=100440&amp;field=134&amp;demo=2" TargetMode = "External"/><Relationship Id="rId455" Type="http://schemas.openxmlformats.org/officeDocument/2006/relationships/hyperlink" Target="https://login.consultant.ru/link/?req=doc&amp;base=LAW&amp;n=513262&amp;date=25.01.2026&amp;dst=100442&amp;field=134&amp;demo=2" TargetMode = "External"/><Relationship Id="rId456" Type="http://schemas.openxmlformats.org/officeDocument/2006/relationships/hyperlink" Target="https://login.consultant.ru/link/?req=doc&amp;base=LAW&amp;n=513262&amp;date=25.01.2026&amp;dst=100444&amp;field=134&amp;demo=2" TargetMode = "External"/><Relationship Id="rId457" Type="http://schemas.openxmlformats.org/officeDocument/2006/relationships/hyperlink" Target="https://login.consultant.ru/link/?req=doc&amp;base=LAW&amp;n=513262&amp;date=25.01.2026&amp;dst=100444&amp;field=134&amp;demo=2" TargetMode = "External"/><Relationship Id="rId458" Type="http://schemas.openxmlformats.org/officeDocument/2006/relationships/hyperlink" Target="https://login.consultant.ru/link/?req=doc&amp;base=LAW&amp;n=513262&amp;date=25.01.2026&amp;dst=100293&amp;field=134&amp;demo=2" TargetMode = "External"/><Relationship Id="rId459" Type="http://schemas.openxmlformats.org/officeDocument/2006/relationships/hyperlink" Target="https://login.consultant.ru/link/?req=doc&amp;base=LAW&amp;n=521763&amp;date=25.01.2026&amp;demo=2" TargetMode = "External"/><Relationship Id="rId460" Type="http://schemas.openxmlformats.org/officeDocument/2006/relationships/hyperlink" Target="https://login.consultant.ru/link/?req=doc&amp;base=LAW&amp;n=521763&amp;date=25.01.2026&amp;demo=2" TargetMode = "External"/><Relationship Id="rId461" Type="http://schemas.openxmlformats.org/officeDocument/2006/relationships/hyperlink" Target="https://login.consultant.ru/link/?req=doc&amp;base=LAW&amp;n=509431&amp;date=25.01.2026&amp;dst=100449&amp;field=134&amp;demo=2" TargetMode = "External"/><Relationship Id="rId462" Type="http://schemas.openxmlformats.org/officeDocument/2006/relationships/hyperlink" Target="https://login.consultant.ru/link/?req=doc&amp;base=LAW&amp;n=513262&amp;date=25.01.2026&amp;dst=100740&amp;field=134&amp;demo=2" TargetMode = "External"/><Relationship Id="rId463" Type="http://schemas.openxmlformats.org/officeDocument/2006/relationships/hyperlink" Target="https://login.consultant.ru/link/?req=doc&amp;base=LAW&amp;n=513262&amp;date=25.01.2026&amp;dst=100020&amp;field=134&amp;demo=2" TargetMode = "External"/><Relationship Id="rId464" Type="http://schemas.openxmlformats.org/officeDocument/2006/relationships/hyperlink" Target="https://login.consultant.ru/link/?req=doc&amp;base=LAW&amp;n=513262&amp;date=25.01.2026&amp;dst=100750&amp;field=134&amp;demo=2" TargetMode = "External"/><Relationship Id="rId465" Type="http://schemas.openxmlformats.org/officeDocument/2006/relationships/hyperlink" Target="https://login.consultant.ru/link/?req=doc&amp;base=LAW&amp;n=509513&amp;date=25.01.2026&amp;dst=536&amp;field=134&amp;demo=2" TargetMode = "External"/><Relationship Id="rId466" Type="http://schemas.openxmlformats.org/officeDocument/2006/relationships/hyperlink" Target="https://login.consultant.ru/link/?req=doc&amp;base=LAW&amp;n=509513&amp;date=25.01.2026&amp;dst=536&amp;field=134&amp;demo=2" TargetMode = "External"/><Relationship Id="rId467" Type="http://schemas.openxmlformats.org/officeDocument/2006/relationships/hyperlink" Target="https://login.consultant.ru/link/?req=doc&amp;base=LAW&amp;n=509513&amp;date=25.01.2026&amp;dst=536&amp;field=134&amp;demo=2" TargetMode = "External"/><Relationship Id="rId468" Type="http://schemas.openxmlformats.org/officeDocument/2006/relationships/hyperlink" Target="https://login.consultant.ru/link/?req=doc&amp;base=LAW&amp;n=509513&amp;date=25.01.2026&amp;dst=1375&amp;field=134&amp;demo=2" TargetMode = "External"/><Relationship Id="rId469" Type="http://schemas.openxmlformats.org/officeDocument/2006/relationships/hyperlink" Target="https://login.consultant.ru/link/?req=doc&amp;base=LAW&amp;n=509513&amp;date=25.01.2026&amp;dst=2050&amp;field=134&amp;demo=2" TargetMode = "External"/><Relationship Id="rId470" Type="http://schemas.openxmlformats.org/officeDocument/2006/relationships/hyperlink" Target="https://login.consultant.ru/link/?req=doc&amp;base=LAW&amp;n=513262&amp;date=25.01.2026&amp;dst=100757&amp;field=134&amp;demo=2" TargetMode = "External"/><Relationship Id="rId471" Type="http://schemas.openxmlformats.org/officeDocument/2006/relationships/hyperlink" Target="https://login.consultant.ru/link/?req=doc&amp;base=LAW&amp;n=513262&amp;date=25.01.2026&amp;dst=100758&amp;field=134&amp;demo=2" TargetMode = "External"/><Relationship Id="rId472" Type="http://schemas.openxmlformats.org/officeDocument/2006/relationships/hyperlink" Target="https://login.consultant.ru/link/?req=doc&amp;base=LAW&amp;n=513262&amp;date=25.01.2026&amp;dst=100796&amp;field=134&amp;demo=2" TargetMode = "External"/><Relationship Id="rId473" Type="http://schemas.openxmlformats.org/officeDocument/2006/relationships/hyperlink" Target="https://login.consultant.ru/link/?req=doc&amp;base=LAW&amp;n=513262&amp;date=25.01.2026&amp;dst=100799&amp;field=134&amp;demo=2" TargetMode = "External"/><Relationship Id="rId474" Type="http://schemas.openxmlformats.org/officeDocument/2006/relationships/hyperlink" Target="https://login.consultant.ru/link/?req=doc&amp;base=LAW&amp;n=513262&amp;date=25.01.2026&amp;dst=100815&amp;field=134&amp;demo=2" TargetMode = "External"/><Relationship Id="rId475" Type="http://schemas.openxmlformats.org/officeDocument/2006/relationships/hyperlink" Target="https://login.consultant.ru/link/?req=doc&amp;base=LAW&amp;n=513262&amp;date=25.01.2026&amp;dst=100823&amp;field=134&amp;demo=2" TargetMode = "External"/><Relationship Id="rId476" Type="http://schemas.openxmlformats.org/officeDocument/2006/relationships/hyperlink" Target="https://login.consultant.ru/link/?req=doc&amp;base=LAW&amp;n=513262&amp;date=25.01.2026&amp;dst=100846&amp;field=134&amp;demo=2" TargetMode = "External"/><Relationship Id="rId477" Type="http://schemas.openxmlformats.org/officeDocument/2006/relationships/hyperlink" Target="https://login.consultant.ru/link/?req=doc&amp;base=LAW&amp;n=523240&amp;date=25.01.2026&amp;demo=2" TargetMode = "External"/><Relationship Id="rId478" Type="http://schemas.openxmlformats.org/officeDocument/2006/relationships/hyperlink" Target="https://login.consultant.ru/link/?req=doc&amp;base=LAW&amp;n=513262&amp;date=25.01.2026&amp;dst=100855&amp;field=134&amp;demo=2" TargetMode = "External"/><Relationship Id="rId479" Type="http://schemas.openxmlformats.org/officeDocument/2006/relationships/hyperlink" Target="https://login.consultant.ru/link/?req=doc&amp;base=LAW&amp;n=513262&amp;date=25.01.2026&amp;dst=100889&amp;field=134&amp;demo=2" TargetMode = "External"/><Relationship Id="rId480" Type="http://schemas.openxmlformats.org/officeDocument/2006/relationships/hyperlink" Target="https://login.consultant.ru/link/?req=doc&amp;base=LAW&amp;n=513262&amp;date=25.01.2026&amp;dst=100893&amp;field=134&amp;demo=2" TargetMode = "External"/><Relationship Id="rId481" Type="http://schemas.openxmlformats.org/officeDocument/2006/relationships/hyperlink" Target="https://login.consultant.ru/link/?req=doc&amp;base=LAW&amp;n=513262&amp;date=25.01.2026&amp;dst=100899&amp;field=134&amp;demo=2" TargetMode = "External"/><Relationship Id="rId482" Type="http://schemas.openxmlformats.org/officeDocument/2006/relationships/hyperlink" Target="https://login.consultant.ru/link/?req=doc&amp;base=LAW&amp;n=513262&amp;date=25.01.2026&amp;dst=101047&amp;field=134&amp;demo=2" TargetMode = "External"/><Relationship Id="rId483" Type="http://schemas.openxmlformats.org/officeDocument/2006/relationships/hyperlink" Target="https://login.consultant.ru/link/?req=doc&amp;base=LAW&amp;n=513262&amp;date=25.01.2026&amp;dst=101088&amp;field=134&amp;demo=2" TargetMode = "External"/><Relationship Id="rId484" Type="http://schemas.openxmlformats.org/officeDocument/2006/relationships/hyperlink" Target="https://login.consultant.ru/link/?req=doc&amp;base=LAW&amp;n=513262&amp;date=25.01.2026&amp;dst=101115&amp;field=134&amp;demo=2" TargetMode = "External"/><Relationship Id="rId485" Type="http://schemas.openxmlformats.org/officeDocument/2006/relationships/hyperlink" Target="https://login.consultant.ru/link/?req=doc&amp;base=LAW&amp;n=513262&amp;date=25.01.2026&amp;dst=101142&amp;field=134&amp;demo=2" TargetMode = "External"/><Relationship Id="rId486" Type="http://schemas.openxmlformats.org/officeDocument/2006/relationships/hyperlink" Target="https://login.consultant.ru/link/?req=doc&amp;base=LAW&amp;n=513262&amp;date=25.01.2026&amp;dst=101169&amp;field=134&amp;demo=2" TargetMode = "External"/><Relationship Id="rId487" Type="http://schemas.openxmlformats.org/officeDocument/2006/relationships/hyperlink" Target="https://login.consultant.ru/link/?req=doc&amp;base=LAW&amp;n=513262&amp;date=25.01.2026&amp;dst=101152&amp;field=134&amp;demo=2" TargetMode = "External"/><Relationship Id="rId488" Type="http://schemas.openxmlformats.org/officeDocument/2006/relationships/hyperlink" Target="https://login.consultant.ru/link/?req=doc&amp;base=LAW&amp;n=513262&amp;date=25.01.2026&amp;dst=101159&amp;field=134&amp;demo=2" TargetMode = "External"/><Relationship Id="rId489" Type="http://schemas.openxmlformats.org/officeDocument/2006/relationships/hyperlink" Target="https://login.consultant.ru/link/?req=doc&amp;base=LAW&amp;n=513262&amp;date=25.01.2026&amp;dst=101182&amp;field=134&amp;demo=2" TargetMode = "External"/><Relationship Id="rId490" Type="http://schemas.openxmlformats.org/officeDocument/2006/relationships/hyperlink" Target="https://login.consultant.ru/link/?req=doc&amp;base=LAW&amp;n=513262&amp;date=25.01.2026&amp;dst=101248&amp;field=134&amp;demo=2" TargetMode = "External"/><Relationship Id="rId491" Type="http://schemas.openxmlformats.org/officeDocument/2006/relationships/hyperlink" Target="https://login.consultant.ru/link/?req=doc&amp;base=LAW&amp;n=513262&amp;date=25.01.2026&amp;dst=101187&amp;field=134&amp;demo=2" TargetMode = "External"/><Relationship Id="rId492" Type="http://schemas.openxmlformats.org/officeDocument/2006/relationships/hyperlink" Target="https://login.consultant.ru/link/?req=doc&amp;base=LAW&amp;n=513262&amp;date=25.01.2026&amp;dst=100949&amp;field=134&amp;demo=2" TargetMode = "External"/><Relationship Id="rId493" Type="http://schemas.openxmlformats.org/officeDocument/2006/relationships/hyperlink" Target="https://login.consultant.ru/link/?req=doc&amp;base=LAW&amp;n=513262&amp;date=25.01.2026&amp;dst=100741&amp;field=134&amp;demo=2" TargetMode = "External"/><Relationship Id="rId494" Type="http://schemas.openxmlformats.org/officeDocument/2006/relationships/hyperlink" Target="https://login.consultant.ru/link/?req=doc&amp;base=LAW&amp;n=513262&amp;date=25.01.2026&amp;dst=100315&amp;field=134&amp;demo=2" TargetMode = "External"/><Relationship Id="rId495" Type="http://schemas.openxmlformats.org/officeDocument/2006/relationships/hyperlink" Target="https://login.consultant.ru/link/?req=doc&amp;base=LAW&amp;n=513262&amp;date=25.01.2026&amp;dst=100769&amp;field=134&amp;demo=2" TargetMode = "External"/><Relationship Id="rId496" Type="http://schemas.openxmlformats.org/officeDocument/2006/relationships/hyperlink" Target="https://login.consultant.ru/link/?req=doc&amp;base=LAW&amp;n=513262&amp;date=25.01.2026&amp;dst=100774&amp;field=134&amp;demo=2" TargetMode = "External"/><Relationship Id="rId497" Type="http://schemas.openxmlformats.org/officeDocument/2006/relationships/hyperlink" Target="https://login.consultant.ru/link/?req=doc&amp;base=LAW&amp;n=513262&amp;date=25.01.2026&amp;dst=100779&amp;field=134&amp;demo=2" TargetMode = "External"/><Relationship Id="rId498" Type="http://schemas.openxmlformats.org/officeDocument/2006/relationships/hyperlink" Target="https://login.consultant.ru/link/?req=doc&amp;base=LAW&amp;n=513262&amp;date=25.01.2026&amp;dst=100784&amp;field=134&amp;demo=2" TargetMode = "External"/><Relationship Id="rId499" Type="http://schemas.openxmlformats.org/officeDocument/2006/relationships/image" Target="media/image2.wmf"/><Relationship Id="rId500" Type="http://schemas.openxmlformats.org/officeDocument/2006/relationships/hyperlink" Target="https://login.consultant.ru/link/?req=doc&amp;base=LAW&amp;n=513262&amp;date=25.01.2026&amp;dst=101253&amp;field=134&amp;demo=2" TargetMode = "External"/><Relationship Id="rId501" Type="http://schemas.openxmlformats.org/officeDocument/2006/relationships/image" Target="media/image3.wmf"/><Relationship Id="rId502" Type="http://schemas.openxmlformats.org/officeDocument/2006/relationships/hyperlink" Target="https://login.consultant.ru/link/?req=doc&amp;base=LAW&amp;n=513262&amp;date=25.01.2026&amp;dst=101253&amp;field=134&amp;demo=2" TargetMode = "External"/><Relationship Id="rId503" Type="http://schemas.openxmlformats.org/officeDocument/2006/relationships/hyperlink" Target="https://login.consultant.ru/link/?req=doc&amp;base=LAW&amp;n=513262&amp;date=25.01.2026&amp;dst=101266&amp;field=134&amp;demo=2" TargetMode = "External"/><Relationship Id="rId504" Type="http://schemas.openxmlformats.org/officeDocument/2006/relationships/hyperlink" Target="https://login.consultant.ru/link/?req=doc&amp;base=LAW&amp;n=513262&amp;date=25.01.2026&amp;dst=100787&amp;field=134&amp;demo=2" TargetMode = "External"/><Relationship Id="rId505" Type="http://schemas.openxmlformats.org/officeDocument/2006/relationships/hyperlink" Target="https://login.consultant.ru/link/?req=doc&amp;base=LAW&amp;n=513262&amp;date=25.01.2026&amp;dst=100792&amp;field=134&amp;demo=2" TargetMode = "External"/><Relationship Id="rId506" Type="http://schemas.openxmlformats.org/officeDocument/2006/relationships/hyperlink" Target="https://login.consultant.ru/link/?req=doc&amp;base=LAW&amp;n=513262&amp;date=25.01.2026&amp;dst=100795&amp;field=134&amp;demo=2" TargetMode = "External"/><Relationship Id="rId507" Type="http://schemas.openxmlformats.org/officeDocument/2006/relationships/hyperlink" Target="https://login.consultant.ru/link/?req=doc&amp;base=LAW&amp;n=513262&amp;date=25.01.2026&amp;dst=100857&amp;field=134&amp;demo=2" TargetMode = "External"/><Relationship Id="rId508" Type="http://schemas.openxmlformats.org/officeDocument/2006/relationships/hyperlink" Target="https://login.consultant.ru/link/?req=doc&amp;base=LAW&amp;n=513262&amp;date=25.01.2026&amp;dst=100545&amp;field=134&amp;demo=2" TargetMode = "External"/><Relationship Id="rId509" Type="http://schemas.openxmlformats.org/officeDocument/2006/relationships/hyperlink" Target="https://login.consultant.ru/link/?req=doc&amp;base=LAW&amp;n=513262&amp;date=25.01.2026&amp;dst=100857&amp;field=134&amp;demo=2" TargetMode = "External"/><Relationship Id="rId510" Type="http://schemas.openxmlformats.org/officeDocument/2006/relationships/hyperlink" Target="https://login.consultant.ru/link/?req=doc&amp;base=LAW&amp;n=513262&amp;date=25.01.2026&amp;dst=100545&amp;field=134&amp;demo=2" TargetMode = "External"/><Relationship Id="rId511" Type="http://schemas.openxmlformats.org/officeDocument/2006/relationships/hyperlink" Target="https://login.consultant.ru/link/?req=doc&amp;base=LAW&amp;n=513262&amp;date=25.01.2026&amp;dst=100296&amp;field=134&amp;demo=2" TargetMode = "External"/><Relationship Id="rId512" Type="http://schemas.openxmlformats.org/officeDocument/2006/relationships/hyperlink" Target="https://login.consultant.ru/link/?req=doc&amp;base=LAW&amp;n=513262&amp;date=25.01.2026&amp;dst=100804&amp;field=134&amp;demo=2" TargetMode = "External"/><Relationship Id="rId513" Type="http://schemas.openxmlformats.org/officeDocument/2006/relationships/hyperlink" Target="https://login.consultant.ru/link/?req=doc&amp;base=LAW&amp;n=513262&amp;date=25.01.2026&amp;dst=100811&amp;field=134&amp;demo=2" TargetMode = "External"/><Relationship Id="rId514" Type="http://schemas.openxmlformats.org/officeDocument/2006/relationships/hyperlink" Target="https://login.consultant.ru/link/?req=doc&amp;base=LAW&amp;n=513262&amp;date=25.01.2026&amp;dst=100818&amp;field=134&amp;demo=2" TargetMode = "External"/><Relationship Id="rId515" Type="http://schemas.openxmlformats.org/officeDocument/2006/relationships/hyperlink" Target="https://login.consultant.ru/link/?req=doc&amp;base=LAW&amp;n=513262&amp;date=25.01.2026&amp;dst=100822&amp;field=134&amp;demo=2" TargetMode = "External"/><Relationship Id="rId516" Type="http://schemas.openxmlformats.org/officeDocument/2006/relationships/hyperlink" Target="https://login.consultant.ru/link/?req=doc&amp;base=LAW&amp;n=513262&amp;date=25.01.2026&amp;dst=100824&amp;field=134&amp;demo=2" TargetMode = "External"/><Relationship Id="rId517" Type="http://schemas.openxmlformats.org/officeDocument/2006/relationships/hyperlink" Target="https://login.consultant.ru/link/?req=doc&amp;base=LAW&amp;n=513262&amp;date=25.01.2026&amp;dst=100798&amp;field=134&amp;demo=2" TargetMode = "External"/><Relationship Id="rId518" Type="http://schemas.openxmlformats.org/officeDocument/2006/relationships/image" Target="media/image4.wmf"/><Relationship Id="rId519" Type="http://schemas.openxmlformats.org/officeDocument/2006/relationships/hyperlink" Target="https://login.consultant.ru/link/?req=doc&amp;base=LAW&amp;n=509513&amp;date=25.01.2026&amp;dst=387&amp;field=134&amp;demo=2" TargetMode = "External"/><Relationship Id="rId520" Type="http://schemas.openxmlformats.org/officeDocument/2006/relationships/hyperlink" Target="https://login.consultant.ru/link/?req=doc&amp;base=LAW&amp;n=513262&amp;date=25.01.2026&amp;dst=102005&amp;field=134&amp;demo=2" TargetMode = "External"/><Relationship Id="rId521" Type="http://schemas.openxmlformats.org/officeDocument/2006/relationships/hyperlink" Target="https://login.consultant.ru/link/?req=doc&amp;base=LAW&amp;n=513262&amp;date=25.01.2026&amp;dst=102005&amp;field=134&amp;demo=2" TargetMode = "External"/><Relationship Id="rId522" Type="http://schemas.openxmlformats.org/officeDocument/2006/relationships/hyperlink" Target="https://login.consultant.ru/link/?req=doc&amp;base=LAW&amp;n=513262&amp;date=25.01.2026&amp;dst=100460&amp;field=134&amp;demo=2" TargetMode = "External"/><Relationship Id="rId523" Type="http://schemas.openxmlformats.org/officeDocument/2006/relationships/hyperlink" Target="https://login.consultant.ru/link/?req=doc&amp;base=LAW&amp;n=513262&amp;date=25.01.2026&amp;dst=100461&amp;field=134&amp;demo=2" TargetMode = "External"/><Relationship Id="rId524" Type="http://schemas.openxmlformats.org/officeDocument/2006/relationships/hyperlink" Target="https://login.consultant.ru/link/?req=doc&amp;base=LAW&amp;n=509513&amp;date=25.01.2026&amp;dst=1270&amp;field=134&amp;demo=2" TargetMode = "External"/><Relationship Id="rId525" Type="http://schemas.openxmlformats.org/officeDocument/2006/relationships/hyperlink" Target="https://login.consultant.ru/link/?req=doc&amp;base=LAW&amp;n=509513&amp;date=25.01.2026&amp;dst=1270&amp;field=134&amp;demo=2" TargetMode = "External"/><Relationship Id="rId526" Type="http://schemas.openxmlformats.org/officeDocument/2006/relationships/hyperlink" Target="https://login.consultant.ru/link/?req=doc&amp;base=LAW&amp;n=513262&amp;date=25.01.2026&amp;dst=102391&amp;field=134&amp;demo=2" TargetMode = "External"/><Relationship Id="rId527" Type="http://schemas.openxmlformats.org/officeDocument/2006/relationships/hyperlink" Target="https://login.consultant.ru/link/?req=doc&amp;base=LAW&amp;n=513262&amp;date=25.01.2026&amp;dst=102398&amp;field=134&amp;demo=2" TargetMode = "External"/><Relationship Id="rId528" Type="http://schemas.openxmlformats.org/officeDocument/2006/relationships/hyperlink" Target="https://login.consultant.ru/link/?req=doc&amp;base=LAW&amp;n=513262&amp;date=25.01.2026&amp;dst=100849&amp;field=134&amp;demo=2" TargetMode = "External"/><Relationship Id="rId529" Type="http://schemas.openxmlformats.org/officeDocument/2006/relationships/hyperlink" Target="https://login.consultant.ru/link/?req=doc&amp;base=LAW&amp;n=513262&amp;date=25.01.2026&amp;dst=100851&amp;field=134&amp;demo=2" TargetMode = "External"/><Relationship Id="rId530" Type="http://schemas.openxmlformats.org/officeDocument/2006/relationships/hyperlink" Target="https://login.consultant.ru/link/?req=doc&amp;base=LAW&amp;n=513262&amp;date=25.01.2026&amp;dst=100854&amp;field=134&amp;demo=2" TargetMode = "External"/><Relationship Id="rId531" Type="http://schemas.openxmlformats.org/officeDocument/2006/relationships/hyperlink" Target="https://login.consultant.ru/link/?req=doc&amp;base=LAW&amp;n=513262&amp;date=25.01.2026&amp;dst=101190&amp;field=134&amp;demo=2" TargetMode = "External"/><Relationship Id="rId532" Type="http://schemas.openxmlformats.org/officeDocument/2006/relationships/hyperlink" Target="https://login.consultant.ru/link/?req=doc&amp;base=LAW&amp;n=513262&amp;date=25.01.2026&amp;dst=101199&amp;field=134&amp;demo=2" TargetMode = "External"/><Relationship Id="rId533" Type="http://schemas.openxmlformats.org/officeDocument/2006/relationships/hyperlink" Target="https://login.consultant.ru/link/?req=doc&amp;base=LAW&amp;n=513262&amp;date=25.01.2026&amp;dst=100081&amp;field=134&amp;demo=2" TargetMode = "External"/><Relationship Id="rId534" Type="http://schemas.openxmlformats.org/officeDocument/2006/relationships/hyperlink" Target="https://login.consultant.ru/link/?req=doc&amp;base=LAW&amp;n=513262&amp;date=25.01.2026&amp;dst=100081&amp;field=134&amp;demo=2" TargetMode = "External"/><Relationship Id="rId535" Type="http://schemas.openxmlformats.org/officeDocument/2006/relationships/image" Target="media/image5.wmf"/><Relationship Id="rId536" Type="http://schemas.openxmlformats.org/officeDocument/2006/relationships/hyperlink" Target="https://login.consultant.ru/link/?req=doc&amp;base=LAW&amp;n=513262&amp;date=25.01.2026&amp;dst=101202&amp;field=134&amp;demo=2" TargetMode = "External"/><Relationship Id="rId537" Type="http://schemas.openxmlformats.org/officeDocument/2006/relationships/hyperlink" Target="https://login.consultant.ru/link/?req=doc&amp;base=LAW&amp;n=513262&amp;date=25.01.2026&amp;dst=101200&amp;field=134&amp;demo=2" TargetMode = "External"/><Relationship Id="rId538" Type="http://schemas.openxmlformats.org/officeDocument/2006/relationships/hyperlink" Target="https://login.consultant.ru/link/?req=doc&amp;base=LAW&amp;n=513262&amp;date=25.01.2026&amp;dst=101200&amp;field=134&amp;demo=2" TargetMode = "External"/><Relationship Id="rId539" Type="http://schemas.openxmlformats.org/officeDocument/2006/relationships/hyperlink" Target="https://login.consultant.ru/link/?req=doc&amp;base=LAW&amp;n=513262&amp;date=25.01.2026&amp;dst=101252&amp;field=134&amp;demo=2" TargetMode = "External"/><Relationship Id="rId540" Type="http://schemas.openxmlformats.org/officeDocument/2006/relationships/hyperlink" Target="https://login.consultant.ru/link/?req=doc&amp;base=LAW&amp;n=513262&amp;date=25.01.2026&amp;dst=101196&amp;field=134&amp;demo=2" TargetMode = "External"/><Relationship Id="rId541" Type="http://schemas.openxmlformats.org/officeDocument/2006/relationships/hyperlink" Target="https://login.consultant.ru/link/?req=doc&amp;base=LAW&amp;n=513262&amp;date=25.01.2026&amp;dst=101199&amp;field=134&amp;demo=2" TargetMode = "External"/><Relationship Id="rId542" Type="http://schemas.openxmlformats.org/officeDocument/2006/relationships/hyperlink" Target="https://login.consultant.ru/link/?req=doc&amp;base=LAW&amp;n=513262&amp;date=25.01.2026&amp;dst=101232&amp;field=134&amp;demo=2" TargetMode = "External"/><Relationship Id="rId543" Type="http://schemas.openxmlformats.org/officeDocument/2006/relationships/image" Target="media/image6.wmf"/><Relationship Id="rId544" Type="http://schemas.openxmlformats.org/officeDocument/2006/relationships/hyperlink" Target="https://login.consultant.ru/link/?req=doc&amp;base=LAW&amp;n=513262&amp;date=25.01.2026&amp;dst=101237&amp;field=134&amp;demo=2" TargetMode = "External"/><Relationship Id="rId545" Type="http://schemas.openxmlformats.org/officeDocument/2006/relationships/hyperlink" Target="https://login.consultant.ru/link/?req=doc&amp;base=LAW&amp;n=513262&amp;date=25.01.2026&amp;dst=101238&amp;field=134&amp;demo=2" TargetMode = "External"/><Relationship Id="rId546" Type="http://schemas.openxmlformats.org/officeDocument/2006/relationships/hyperlink" Target="https://login.consultant.ru/link/?req=doc&amp;base=LAW&amp;n=513262&amp;date=25.01.2026&amp;dst=101232&amp;field=134&amp;demo=2" TargetMode = "External"/><Relationship Id="rId547" Type="http://schemas.openxmlformats.org/officeDocument/2006/relationships/hyperlink" Target="https://login.consultant.ru/link/?req=doc&amp;base=LAW&amp;n=513262&amp;date=25.01.2026&amp;dst=101252&amp;field=134&amp;demo=2" TargetMode = "External"/><Relationship Id="rId548" Type="http://schemas.openxmlformats.org/officeDocument/2006/relationships/hyperlink" Target="https://login.consultant.ru/link/?req=doc&amp;base=LAW&amp;n=521763&amp;date=25.01.2026&amp;demo=2" TargetMode = "External"/><Relationship Id="rId549" Type="http://schemas.openxmlformats.org/officeDocument/2006/relationships/hyperlink" Target="https://login.consultant.ru/link/?req=doc&amp;base=LAW&amp;n=521763&amp;date=25.01.2026&amp;demo=2" TargetMode = "External"/><Relationship Id="rId550" Type="http://schemas.openxmlformats.org/officeDocument/2006/relationships/hyperlink" Target="https://login.consultant.ru/link/?req=doc&amp;base=LAW&amp;n=513262&amp;date=25.01.2026&amp;dst=100637&amp;field=134&amp;demo=2" TargetMode = "External"/><Relationship Id="rId551" Type="http://schemas.openxmlformats.org/officeDocument/2006/relationships/hyperlink" Target="https://login.consultant.ru/link/?req=doc&amp;base=LAW&amp;n=509431&amp;date=25.01.2026&amp;dst=100449&amp;field=134&amp;demo=2" TargetMode = "External"/><Relationship Id="rId552" Type="http://schemas.openxmlformats.org/officeDocument/2006/relationships/hyperlink" Target="https://login.consultant.ru/link/?req=doc&amp;base=LAW&amp;n=513262&amp;date=25.01.2026&amp;dst=100296&amp;field=134&amp;demo=2" TargetMode = "External"/><Relationship Id="rId553" Type="http://schemas.openxmlformats.org/officeDocument/2006/relationships/hyperlink" Target="https://login.consultant.ru/link/?req=doc&amp;base=LAW&amp;n=513262&amp;date=25.01.2026&amp;dst=100315&amp;field=134&amp;demo=2" TargetMode = "External"/><Relationship Id="rId554" Type="http://schemas.openxmlformats.org/officeDocument/2006/relationships/hyperlink" Target="https://login.consultant.ru/link/?req=doc&amp;base=LAW&amp;n=513262&amp;date=25.01.2026&amp;dst=102243&amp;field=134&amp;demo=2" TargetMode = "External"/><Relationship Id="rId555" Type="http://schemas.openxmlformats.org/officeDocument/2006/relationships/hyperlink" Target="https://login.consultant.ru/link/?req=doc&amp;base=LAW&amp;n=521763&amp;date=25.01.2026&amp;demo=2" TargetMode = "External"/><Relationship Id="rId556" Type="http://schemas.openxmlformats.org/officeDocument/2006/relationships/hyperlink" Target="https://login.consultant.ru/link/?req=doc&amp;base=LAW&amp;n=521763&amp;date=25.01.2026&amp;demo=2" TargetMode = "External"/><Relationship Id="rId557" Type="http://schemas.openxmlformats.org/officeDocument/2006/relationships/hyperlink" Target="https://login.consultant.ru/link/?req=doc&amp;base=LAW&amp;n=509431&amp;date=25.01.2026&amp;dst=100449&amp;field=134&amp;demo=2" TargetMode = "External"/><Relationship Id="rId558" Type="http://schemas.openxmlformats.org/officeDocument/2006/relationships/hyperlink" Target="https://login.consultant.ru/link/?req=doc&amp;base=LAW&amp;n=403219&amp;date=25.01.2026&amp;dst=100201&amp;field=134&amp;demo=2" TargetMode = "External"/><Relationship Id="rId559" Type="http://schemas.openxmlformats.org/officeDocument/2006/relationships/hyperlink" Target="https://login.consultant.ru/link/?req=doc&amp;base=LAW&amp;n=403219&amp;date=25.01.2026&amp;dst=101106&amp;field=134&amp;demo=2" TargetMode = "External"/><Relationship Id="rId560" Type="http://schemas.openxmlformats.org/officeDocument/2006/relationships/hyperlink" Target="https://login.consultant.ru/link/?req=doc&amp;base=LAW&amp;n=403219&amp;date=25.01.2026&amp;dst=115772&amp;field=134&amp;demo=2" TargetMode = "External"/><Relationship Id="rId561" Type="http://schemas.openxmlformats.org/officeDocument/2006/relationships/hyperlink" Target="https://login.consultant.ru/link/?req=doc&amp;base=LAW&amp;n=403219&amp;date=25.01.2026&amp;dst=115772&amp;field=134&amp;demo=2" TargetMode = "External"/><Relationship Id="rId562" Type="http://schemas.openxmlformats.org/officeDocument/2006/relationships/hyperlink" Target="https://login.consultant.ru/link/?req=doc&amp;base=LAW&amp;n=403219&amp;date=25.01.2026&amp;dst=100999&amp;field=134&amp;demo=2" TargetMode = "External"/><Relationship Id="rId563" Type="http://schemas.openxmlformats.org/officeDocument/2006/relationships/hyperlink" Target="https://login.consultant.ru/link/?req=doc&amp;base=LAW&amp;n=403219&amp;date=25.01.2026&amp;dst=115917&amp;field=134&amp;demo=2" TargetMode = "External"/><Relationship Id="rId564" Type="http://schemas.openxmlformats.org/officeDocument/2006/relationships/hyperlink" Target="https://login.consultant.ru/link/?req=doc&amp;base=LAW&amp;n=462842&amp;date=25.01.2026&amp;demo=2" TargetMode = "External"/><Relationship Id="rId565" Type="http://schemas.openxmlformats.org/officeDocument/2006/relationships/hyperlink" Target="https://login.consultant.ru/link/?req=doc&amp;base=LAW&amp;n=384725&amp;date=25.01.2026&amp;demo=2" TargetMode = "External"/><Relationship Id="rId566" Type="http://schemas.openxmlformats.org/officeDocument/2006/relationships/hyperlink" Target="https://login.consultant.ru/link/?req=doc&amp;base=LAW&amp;n=462842&amp;date=25.01.2026&amp;demo=2" TargetMode = "External"/><Relationship Id="rId567" Type="http://schemas.openxmlformats.org/officeDocument/2006/relationships/hyperlink" Target="https://login.consultant.ru/link/?req=doc&amp;base=LAW&amp;n=462842&amp;date=25.01.2026&amp;demo=2" TargetMode = "External"/><Relationship Id="rId568" Type="http://schemas.openxmlformats.org/officeDocument/2006/relationships/hyperlink" Target="https://login.consultant.ru/link/?req=doc&amp;base=LAW&amp;n=513262&amp;date=25.01.2026&amp;dst=100315&amp;field=134&amp;demo=2" TargetMode = "External"/><Relationship Id="rId569" Type="http://schemas.openxmlformats.org/officeDocument/2006/relationships/hyperlink" Target="https://login.consultant.ru/link/?req=doc&amp;base=LAW&amp;n=513262&amp;date=25.01.2026&amp;dst=100296&amp;field=134&amp;demo=2" TargetMode = "External"/><Relationship Id="rId570" Type="http://schemas.openxmlformats.org/officeDocument/2006/relationships/hyperlink" Target="https://login.consultant.ru/link/?req=doc&amp;base=LAW&amp;n=513262&amp;date=25.01.2026&amp;dst=100637&amp;field=134&amp;demo=2" TargetMode = "External"/><Relationship Id="rId571" Type="http://schemas.openxmlformats.org/officeDocument/2006/relationships/hyperlink" Target="https://login.consultant.ru/link/?req=doc&amp;base=LAW&amp;n=513262&amp;date=25.01.2026&amp;dst=100460&amp;field=134&amp;demo=2" TargetMode = "External"/><Relationship Id="rId572" Type="http://schemas.openxmlformats.org/officeDocument/2006/relationships/hyperlink" Target="https://login.consultant.ru/link/?req=doc&amp;base=LAW&amp;n=513262&amp;date=25.01.2026&amp;dst=100461&amp;field=134&amp;demo=2" TargetMode = "External"/><Relationship Id="rId573" Type="http://schemas.openxmlformats.org/officeDocument/2006/relationships/hyperlink" Target="https://login.consultant.ru/link/?req=doc&amp;base=LAW&amp;n=513262&amp;date=25.01.2026&amp;dst=100440&amp;field=134&amp;demo=2" TargetMode = "External"/><Relationship Id="rId574" Type="http://schemas.openxmlformats.org/officeDocument/2006/relationships/hyperlink" Target="https://login.consultant.ru/link/?req=doc&amp;base=LAW&amp;n=513262&amp;date=25.01.2026&amp;dst=100442&amp;field=134&amp;demo=2" TargetMode = "External"/><Relationship Id="rId575" Type="http://schemas.openxmlformats.org/officeDocument/2006/relationships/hyperlink" Target="https://login.consultant.ru/link/?req=doc&amp;base=LAW&amp;n=513262&amp;date=25.01.2026&amp;dst=100444&amp;field=134&amp;demo=2" TargetMode = "External"/><Relationship Id="rId576" Type="http://schemas.openxmlformats.org/officeDocument/2006/relationships/hyperlink" Target="https://login.consultant.ru/link/?req=doc&amp;base=LAW&amp;n=513262&amp;date=25.01.2026&amp;dst=100427&amp;field=134&amp;demo=2" TargetMode = "External"/><Relationship Id="rId577" Type="http://schemas.openxmlformats.org/officeDocument/2006/relationships/hyperlink" Target="https://login.consultant.ru/link/?req=doc&amp;base=LAW&amp;n=513262&amp;date=25.01.2026&amp;dst=100296&amp;field=134&amp;demo=2" TargetMode = "External"/><Relationship Id="rId578" Type="http://schemas.openxmlformats.org/officeDocument/2006/relationships/hyperlink" Target="https://login.consultant.ru/link/?req=doc&amp;base=LAW&amp;n=513262&amp;date=25.01.2026&amp;dst=100521&amp;field=134&amp;demo=2" TargetMode = "External"/><Relationship Id="rId579" Type="http://schemas.openxmlformats.org/officeDocument/2006/relationships/hyperlink" Target="https://login.consultant.ru/link/?req=doc&amp;base=LAW&amp;n=513262&amp;date=25.01.2026&amp;dst=100427&amp;field=134&amp;demo=2" TargetMode = "External"/><Relationship Id="rId580" Type="http://schemas.openxmlformats.org/officeDocument/2006/relationships/hyperlink" Target="https://login.consultant.ru/link/?req=doc&amp;base=LAW&amp;n=521763&amp;date=25.01.2026&amp;demo=2" TargetMode = "External"/><Relationship Id="rId581" Type="http://schemas.openxmlformats.org/officeDocument/2006/relationships/hyperlink" Target="https://login.consultant.ru/link/?req=doc&amp;base=LAW&amp;n=521763&amp;date=25.01.2026&amp;demo=2" TargetMode = "External"/><Relationship Id="rId582" Type="http://schemas.openxmlformats.org/officeDocument/2006/relationships/hyperlink" Target="https://login.consultant.ru/link/?req=doc&amp;base=LAW&amp;n=513262&amp;date=25.01.2026&amp;dst=100637&amp;field=134&amp;demo=2" TargetMode = "External"/><Relationship Id="rId583" Type="http://schemas.openxmlformats.org/officeDocument/2006/relationships/hyperlink" Target="https://login.consultant.ru/link/?req=doc&amp;base=LAW&amp;n=509431&amp;date=25.01.2026&amp;dst=100449&amp;field=134&amp;demo=2" TargetMode = "External"/><Relationship Id="rId584" Type="http://schemas.openxmlformats.org/officeDocument/2006/relationships/hyperlink" Target="https://login.consultant.ru/link/?req=doc&amp;base=LAW&amp;n=513262&amp;date=25.01.2026&amp;dst=100296&amp;field=134&amp;demo=2" TargetMode = "External"/><Relationship Id="rId585" Type="http://schemas.openxmlformats.org/officeDocument/2006/relationships/hyperlink" Target="https://login.consultant.ru/link/?req=doc&amp;base=LAW&amp;n=513262&amp;date=25.01.2026&amp;dst=100315&amp;field=134&amp;demo=2" TargetMode = "External"/><Relationship Id="rId586" Type="http://schemas.openxmlformats.org/officeDocument/2006/relationships/hyperlink" Target="https://login.consultant.ru/link/?req=doc&amp;base=LAW&amp;n=513262&amp;date=25.01.2026&amp;dst=102243&amp;field=134&amp;demo=2" TargetMode = "External"/><Relationship Id="rId587" Type="http://schemas.openxmlformats.org/officeDocument/2006/relationships/hyperlink" Target="https://login.consultant.ru/link/?req=doc&amp;base=LAW&amp;n=513262&amp;date=25.01.2026&amp;dst=100296&amp;field=134&amp;demo=2" TargetMode = "External"/><Relationship Id="rId588" Type="http://schemas.openxmlformats.org/officeDocument/2006/relationships/hyperlink" Target="https://login.consultant.ru/link/?req=doc&amp;base=LAW&amp;n=513262&amp;date=25.01.2026&amp;dst=100315&amp;field=134&amp;demo=2" TargetMode = "External"/><Relationship Id="rId589" Type="http://schemas.openxmlformats.org/officeDocument/2006/relationships/hyperlink" Target="https://login.consultant.ru/link/?req=doc&amp;base=LAW&amp;n=521763&amp;date=25.01.2026&amp;demo=2" TargetMode = "External"/><Relationship Id="rId590" Type="http://schemas.openxmlformats.org/officeDocument/2006/relationships/hyperlink" Target="https://login.consultant.ru/link/?req=doc&amp;base=LAW&amp;n=521763&amp;date=25.01.2026&amp;demo=2" TargetMode = "External"/><Relationship Id="rId591" Type="http://schemas.openxmlformats.org/officeDocument/2006/relationships/hyperlink" Target="https://login.consultant.ru/link/?req=doc&amp;base=LAW&amp;n=380195&amp;date=25.01.2026&amp;dst=100470&amp;field=134&amp;demo=2" TargetMode = "External"/><Relationship Id="rId592" Type="http://schemas.openxmlformats.org/officeDocument/2006/relationships/hyperlink" Target="https://login.consultant.ru/link/?req=doc&amp;base=LAW&amp;n=201952&amp;date=25.01.2026&amp;demo=2" TargetMode = "External"/><Relationship Id="rId593" Type="http://schemas.openxmlformats.org/officeDocument/2006/relationships/hyperlink" Target="https://login.consultant.ru/link/?req=doc&amp;base=LAW&amp;n=462842&amp;date=25.01.2026&amp;demo=2" TargetMode = "External"/><Relationship Id="rId594" Type="http://schemas.openxmlformats.org/officeDocument/2006/relationships/hyperlink" Target="https://login.consultant.ru/link/?req=doc&amp;base=LAW&amp;n=523253&amp;date=25.01.2026&amp;dst=100771&amp;field=134&amp;demo=2" TargetMode = "External"/><Relationship Id="rId595" Type="http://schemas.openxmlformats.org/officeDocument/2006/relationships/hyperlink" Target="https://login.consultant.ru/link/?req=doc&amp;base=LAW&amp;n=523253&amp;date=25.01.2026&amp;dst=100775&amp;field=134&amp;demo=2" TargetMode = "External"/><Relationship Id="rId596" Type="http://schemas.openxmlformats.org/officeDocument/2006/relationships/hyperlink" Target="https://login.consultant.ru/link/?req=doc&amp;base=LAW&amp;n=469787&amp;date=25.01.2026&amp;dst=100198&amp;field=134&amp;demo=2" TargetMode = "External"/><Relationship Id="rId597" Type="http://schemas.openxmlformats.org/officeDocument/2006/relationships/hyperlink" Target="https://login.consultant.ru/link/?req=doc&amp;base=LAW&amp;n=469787&amp;date=25.01.2026&amp;dst=91&amp;field=134&amp;demo=2" TargetMode = "External"/><Relationship Id="rId598" Type="http://schemas.openxmlformats.org/officeDocument/2006/relationships/hyperlink" Target="https://login.consultant.ru/link/?req=doc&amp;base=LAW&amp;n=509513&amp;date=25.01.2026&amp;dst=536&amp;field=134&amp;demo=2" TargetMode = "External"/><Relationship Id="rId599" Type="http://schemas.openxmlformats.org/officeDocument/2006/relationships/hyperlink" Target="https://login.consultant.ru/link/?req=doc&amp;base=LAW&amp;n=509513&amp;date=25.01.2026&amp;dst=536&amp;field=134&amp;demo=2" TargetMode = "External"/><Relationship Id="rId600" Type="http://schemas.openxmlformats.org/officeDocument/2006/relationships/hyperlink" Target="https://login.consultant.ru/link/?req=doc&amp;base=LAW&amp;n=380195&amp;date=25.01.2026&amp;dst=100470&amp;field=134&amp;demo=2" TargetMode = "External"/><Relationship Id="rId601" Type="http://schemas.openxmlformats.org/officeDocument/2006/relationships/hyperlink" Target="https://login.consultant.ru/link/?req=doc&amp;base=LAW&amp;n=380195&amp;date=25.01.2026&amp;dst=100470&amp;field=134&amp;demo=2" TargetMode = "External"/><Relationship Id="rId602" Type="http://schemas.openxmlformats.org/officeDocument/2006/relationships/hyperlink" Target="https://login.consultant.ru/link/?req=doc&amp;base=LAW&amp;n=523566&amp;date=25.01.2026&amp;dst=100053&amp;field=134&amp;demo=2" TargetMode = "External"/><Relationship Id="rId603" Type="http://schemas.openxmlformats.org/officeDocument/2006/relationships/hyperlink" Target="https://login.consultant.ru/link/?req=doc&amp;base=LAW&amp;n=380195&amp;date=25.01.2026&amp;dst=100470&amp;field=134&amp;demo=2" TargetMode = "External"/><Relationship Id="rId604" Type="http://schemas.openxmlformats.org/officeDocument/2006/relationships/hyperlink" Target="https://login.consultant.ru/link/?req=doc&amp;base=LAW&amp;n=521763&amp;date=25.01.2026&amp;demo=2" TargetMode = "External"/><Relationship Id="rId605" Type="http://schemas.openxmlformats.org/officeDocument/2006/relationships/hyperlink" Target="https://login.consultant.ru/link/?req=doc&amp;base=LAW&amp;n=521763&amp;date=25.01.2026&amp;demo=2" TargetMode = "External"/><Relationship Id="rId606" Type="http://schemas.openxmlformats.org/officeDocument/2006/relationships/hyperlink" Target="https://login.consultant.ru/link/?req=doc&amp;base=LAW&amp;n=521763&amp;date=25.01.2026&amp;demo=2" TargetMode = "External"/><Relationship Id="rId607" Type="http://schemas.openxmlformats.org/officeDocument/2006/relationships/hyperlink" Target="https://login.consultant.ru/link/?req=doc&amp;base=LAW&amp;n=521763&amp;date=25.01.2026&amp;demo=2" TargetMode = "External"/><Relationship Id="rId608" Type="http://schemas.openxmlformats.org/officeDocument/2006/relationships/hyperlink" Target="https://login.consultant.ru/link/?req=doc&amp;base=LAW&amp;n=193539&amp;date=25.01.2026&amp;demo=2" TargetMode = "External"/><Relationship Id="rId609" Type="http://schemas.openxmlformats.org/officeDocument/2006/relationships/hyperlink" Target="https://login.consultant.ru/link/?req=doc&amp;base=LAW&amp;n=492324&amp;date=25.01.2026&amp;demo=2" TargetMode = "External"/><Relationship Id="rId610" Type="http://schemas.openxmlformats.org/officeDocument/2006/relationships/hyperlink" Target="https://login.consultant.ru/link/?req=doc&amp;base=LAW&amp;n=403219&amp;date=25.01.2026&amp;dst=100049&amp;field=134&amp;demo=2" TargetMode = "External"/><Relationship Id="rId611" Type="http://schemas.openxmlformats.org/officeDocument/2006/relationships/hyperlink" Target="https://login.consultant.ru/link/?req=doc&amp;base=LAW&amp;n=403219&amp;date=25.01.2026&amp;dst=100881&amp;field=134&amp;demo=2" TargetMode = "External"/><Relationship Id="rId612" Type="http://schemas.openxmlformats.org/officeDocument/2006/relationships/hyperlink" Target="https://login.consultant.ru/link/?req=doc&amp;base=LAW&amp;n=462842&amp;date=25.01.2026&amp;demo=2" TargetMode = "External"/><Relationship Id="rId613" Type="http://schemas.openxmlformats.org/officeDocument/2006/relationships/hyperlink" Target="https://login.consultant.ru/link/?req=doc&amp;base=LAW&amp;n=462842&amp;date=25.01.2026&amp;demo=2" TargetMode = "External"/><Relationship Id="rId614" Type="http://schemas.openxmlformats.org/officeDocument/2006/relationships/hyperlink" Target="https://login.consultant.ru/link/?req=doc&amp;base=LAW&amp;n=462842&amp;date=25.01.2026&amp;demo=2" TargetMode = "External"/><Relationship Id="rId615" Type="http://schemas.openxmlformats.org/officeDocument/2006/relationships/hyperlink" Target="https://login.consultant.ru/link/?req=doc&amp;base=LAW&amp;n=462842&amp;date=25.01.2026&amp;demo=2" TargetMode = "External"/><Relationship Id="rId616" Type="http://schemas.openxmlformats.org/officeDocument/2006/relationships/hyperlink" Target="https://login.consultant.ru/link/?req=doc&amp;base=LAW&amp;n=403219&amp;date=25.01.2026&amp;dst=100201&amp;field=134&amp;demo=2" TargetMode = "External"/><Relationship Id="rId617" Type="http://schemas.openxmlformats.org/officeDocument/2006/relationships/hyperlink" Target="https://login.consultant.ru/link/?req=doc&amp;base=LAW&amp;n=403219&amp;date=25.01.2026&amp;dst=101106&amp;field=134&amp;demo=2" TargetMode = "External"/><Relationship Id="rId618" Type="http://schemas.openxmlformats.org/officeDocument/2006/relationships/hyperlink" Target="https://login.consultant.ru/link/?req=doc&amp;base=LAW&amp;n=403219&amp;date=25.01.2026&amp;dst=100623&amp;field=134&amp;demo=2" TargetMode = "External"/><Relationship Id="rId619" Type="http://schemas.openxmlformats.org/officeDocument/2006/relationships/hyperlink" Target="https://login.consultant.ru/link/?req=doc&amp;base=LAW&amp;n=403219&amp;date=25.01.2026&amp;dst=101504&amp;field=134&amp;demo=2" TargetMode = "External"/><Relationship Id="rId620" Type="http://schemas.openxmlformats.org/officeDocument/2006/relationships/hyperlink" Target="https://login.consultant.ru/link/?req=doc&amp;base=LAW&amp;n=521763&amp;date=25.01.2026&amp;demo=2" TargetMode = "External"/><Relationship Id="rId621" Type="http://schemas.openxmlformats.org/officeDocument/2006/relationships/hyperlink" Target="https://login.consultant.ru/link/?req=doc&amp;base=LAW&amp;n=521763&amp;date=25.01.2026&amp;demo=2" TargetMode = "External"/><Relationship Id="rId622" Type="http://schemas.openxmlformats.org/officeDocument/2006/relationships/hyperlink" Target="https://login.consultant.ru/link/?req=doc&amp;base=LAW&amp;n=520004&amp;date=25.01.2026&amp;demo=2" TargetMode = "External"/><Relationship Id="rId623" Type="http://schemas.openxmlformats.org/officeDocument/2006/relationships/hyperlink" Target="https://login.consultant.ru/link/?req=doc&amp;base=LAW&amp;n=523566&amp;date=25.01.2026&amp;dst=100035&amp;field=134&amp;demo=2" TargetMode = "External"/><Relationship Id="rId624" Type="http://schemas.openxmlformats.org/officeDocument/2006/relationships/hyperlink" Target="https://login.consultant.ru/link/?req=doc&amp;base=LAW&amp;n=502630&amp;date=25.01.2026&amp;dst=240&amp;field=134&amp;demo=2" TargetMode = "External"/><Relationship Id="rId625" Type="http://schemas.openxmlformats.org/officeDocument/2006/relationships/hyperlink" Target="https://login.consultant.ru/link/?req=doc&amp;base=LAW&amp;n=521763&amp;date=25.01.2026&amp;demo=2" TargetMode = "External"/><Relationship Id="rId626" Type="http://schemas.openxmlformats.org/officeDocument/2006/relationships/hyperlink" Target="https://login.consultant.ru/link/?req=doc&amp;base=LAW&amp;n=521763&amp;date=25.01.2026&amp;demo=2" TargetMode = "External"/><Relationship Id="rId627" Type="http://schemas.openxmlformats.org/officeDocument/2006/relationships/hyperlink" Target="https://login.consultant.ru/link/?req=doc&amp;base=LAW&amp;n=520004&amp;date=25.01.2026&amp;dst=120553&amp;field=134&amp;demo=2" TargetMode = "External"/><Relationship Id="rId628" Type="http://schemas.openxmlformats.org/officeDocument/2006/relationships/hyperlink" Target="https://login.consultant.ru/link/?req=doc&amp;base=LAW&amp;n=520004&amp;date=25.01.2026&amp;dst=120553&amp;field=134&amp;demo=2" TargetMode = "External"/><Relationship Id="rId629" Type="http://schemas.openxmlformats.org/officeDocument/2006/relationships/hyperlink" Target="https://login.consultant.ru/link/?req=doc&amp;base=LAW&amp;n=520004&amp;date=25.01.2026&amp;dst=126421&amp;field=134&amp;demo=2" TargetMode = "External"/><Relationship Id="rId630" Type="http://schemas.openxmlformats.org/officeDocument/2006/relationships/hyperlink" Target="https://login.consultant.ru/link/?req=doc&amp;base=LAW&amp;n=520004&amp;date=25.01.2026&amp;dst=127688&amp;field=134&amp;demo=2" TargetMode = "External"/><Relationship Id="rId631" Type="http://schemas.openxmlformats.org/officeDocument/2006/relationships/hyperlink" Target="https://login.consultant.ru/link/?req=doc&amp;base=LAW&amp;n=523566&amp;date=25.01.2026&amp;dst=100035&amp;field=134&amp;demo=2" TargetMode = "External"/><Relationship Id="rId632" Type="http://schemas.openxmlformats.org/officeDocument/2006/relationships/hyperlink" Target="https://login.consultant.ru/link/?req=doc&amp;base=LAW&amp;n=502630&amp;date=25.01.2026&amp;dst=240&amp;field=134&amp;demo=2" TargetMode = "External"/><Relationship Id="rId633" Type="http://schemas.openxmlformats.org/officeDocument/2006/relationships/hyperlink" Target="https://login.consultant.ru/link/?req=doc&amp;base=LAW&amp;n=520004&amp;date=25.01.2026&amp;dst=126421&amp;field=134&amp;demo=2" TargetMode = "External"/><Relationship Id="rId634" Type="http://schemas.openxmlformats.org/officeDocument/2006/relationships/hyperlink" Target="https://login.consultant.ru/link/?req=doc&amp;base=LAW&amp;n=520004&amp;date=25.01.2026&amp;dst=127688&amp;field=134&amp;demo=2" TargetMode = "External"/><Relationship Id="rId635" Type="http://schemas.openxmlformats.org/officeDocument/2006/relationships/hyperlink" Target="https://login.consultant.ru/link/?req=doc&amp;base=LAW&amp;n=521763&amp;date=25.01.2026&amp;demo=2" TargetMode = "External"/><Relationship Id="rId636" Type="http://schemas.openxmlformats.org/officeDocument/2006/relationships/hyperlink" Target="https://login.consultant.ru/link/?req=doc&amp;base=LAW&amp;n=521763&amp;date=25.01.2026&amp;demo=2" TargetMode = "External"/><Relationship Id="rId637" Type="http://schemas.openxmlformats.org/officeDocument/2006/relationships/hyperlink" Target="https://login.consultant.ru/link/?req=doc&amp;base=LAW&amp;n=499494&amp;date=25.01.2026&amp;dst=370&amp;field=134&amp;demo=2" TargetMode = "External"/><Relationship Id="rId638" Type="http://schemas.openxmlformats.org/officeDocument/2006/relationships/hyperlink" Target="https://login.consultant.ru/link/?req=doc&amp;base=LAW&amp;n=481386&amp;date=25.01.2026&amp;dst=23&amp;field=134&amp;demo=2" TargetMode = "External"/><Relationship Id="rId639" Type="http://schemas.openxmlformats.org/officeDocument/2006/relationships/hyperlink" Target="https://login.consultant.ru/link/?req=doc&amp;base=LAW&amp;n=495476&amp;date=25.01.2026&amp;dst=101282&amp;field=134&amp;demo=2" TargetMode = "External"/><Relationship Id="rId640" Type="http://schemas.openxmlformats.org/officeDocument/2006/relationships/hyperlink" Target="https://login.consultant.ru/link/?req=doc&amp;base=LAW&amp;n=521763&amp;date=25.01.2026&amp;demo=2" TargetMode = "External"/><Relationship Id="rId641" Type="http://schemas.openxmlformats.org/officeDocument/2006/relationships/hyperlink" Target="https://login.consultant.ru/link/?req=doc&amp;base=LAW&amp;n=521763&amp;date=25.01.2026&amp;demo=2" TargetMode = "External"/><Relationship Id="rId642" Type="http://schemas.openxmlformats.org/officeDocument/2006/relationships/hyperlink" Target="https://login.consultant.ru/link/?req=doc&amp;base=LAW&amp;n=481386&amp;date=25.01.2026&amp;dst=23&amp;field=134&amp;demo=2" TargetMode = "External"/><Relationship Id="rId643" Type="http://schemas.openxmlformats.org/officeDocument/2006/relationships/hyperlink" Target="https://login.consultant.ru/link/?req=doc&amp;base=LAW&amp;n=499494&amp;date=25.01.2026&amp;dst=370&amp;field=134&amp;demo=2" TargetMode = "External"/><Relationship Id="rId644" Type="http://schemas.openxmlformats.org/officeDocument/2006/relationships/hyperlink" Target="https://login.consultant.ru/link/?req=doc&amp;base=LAW&amp;n=495476&amp;date=25.01.2026&amp;dst=101282&amp;field=134&amp;demo=2" TargetMode = "External"/><Relationship Id="rId645" Type="http://schemas.openxmlformats.org/officeDocument/2006/relationships/hyperlink" Target="https://login.consultant.ru/link/?req=doc&amp;base=LAW&amp;n=521763&amp;date=25.01.2026&amp;demo=2" TargetMode = "External"/><Relationship Id="rId646" Type="http://schemas.openxmlformats.org/officeDocument/2006/relationships/hyperlink" Target="https://login.consultant.ru/link/?req=doc&amp;base=LAW&amp;n=521763&amp;date=25.01.2026&amp;demo=2" TargetMode = "External"/><Relationship Id="rId647" Type="http://schemas.openxmlformats.org/officeDocument/2006/relationships/hyperlink" Target="https://login.consultant.ru/link/?req=doc&amp;base=LAW&amp;n=451751&amp;date=25.01.2026&amp;dst=42&amp;field=134&amp;demo=2" TargetMode = "External"/><Relationship Id="rId648" Type="http://schemas.openxmlformats.org/officeDocument/2006/relationships/hyperlink" Target="https://login.consultant.ru/link/?req=doc&amp;base=LAW&amp;n=521763&amp;date=25.01.2026&amp;demo=2" TargetMode = "External"/><Relationship Id="rId649" Type="http://schemas.openxmlformats.org/officeDocument/2006/relationships/hyperlink" Target="https://login.consultant.ru/link/?req=doc&amp;base=LAW&amp;n=521763&amp;date=25.01.2026&amp;demo=2" TargetMode = "External"/><Relationship Id="rId650" Type="http://schemas.openxmlformats.org/officeDocument/2006/relationships/hyperlink" Target="https://login.consultant.ru/link/?req=doc&amp;base=LAW&amp;n=509513&amp;date=25.01.2026&amp;dst=1330&amp;field=134&amp;demo=2" TargetMode = "External"/><Relationship Id="rId651" Type="http://schemas.openxmlformats.org/officeDocument/2006/relationships/hyperlink" Target="https://login.consultant.ru/link/?req=doc&amp;base=LAW&amp;n=482675&amp;date=25.01.2026&amp;dst=100060&amp;field=134&amp;demo=2" TargetMode = "External"/><Relationship Id="rId652" Type="http://schemas.openxmlformats.org/officeDocument/2006/relationships/hyperlink" Target="https://login.consultant.ru/link/?req=doc&amp;base=LAW&amp;n=482675&amp;date=25.01.2026&amp;dst=29&amp;field=134&amp;demo=2" TargetMode = "External"/><Relationship Id="rId653" Type="http://schemas.openxmlformats.org/officeDocument/2006/relationships/hyperlink" Target="https://login.consultant.ru/link/?req=doc&amp;base=LAW&amp;n=482675&amp;date=25.01.2026&amp;dst=100335&amp;field=134&amp;demo=2" TargetMode = "External"/><Relationship Id="rId654" Type="http://schemas.openxmlformats.org/officeDocument/2006/relationships/hyperlink" Target="https://login.consultant.ru/link/?req=doc&amp;base=LAW&amp;n=521763&amp;date=25.01.2026&amp;demo=2" TargetMode = "External"/><Relationship Id="rId655" Type="http://schemas.openxmlformats.org/officeDocument/2006/relationships/hyperlink" Target="https://login.consultant.ru/link/?req=doc&amp;base=LAW&amp;n=521763&amp;date=25.01.2026&amp;demo=2" TargetMode = "External"/><Relationship Id="rId656" Type="http://schemas.openxmlformats.org/officeDocument/2006/relationships/hyperlink" Target="https://login.consultant.ru/link/?req=doc&amp;base=LAW&amp;n=523565&amp;date=25.01.2026&amp;dst=1027&amp;field=134&amp;demo=2" TargetMode = "External"/><Relationship Id="rId657" Type="http://schemas.openxmlformats.org/officeDocument/2006/relationships/hyperlink" Target="https://login.consultant.ru/link/?req=doc&amp;base=LAW&amp;n=523565&amp;date=25.01.2026&amp;dst=752&amp;field=134&amp;demo=2" TargetMode = "External"/><Relationship Id="rId658" Type="http://schemas.openxmlformats.org/officeDocument/2006/relationships/hyperlink" Target="https://login.consultant.ru/link/?req=doc&amp;base=LAW&amp;n=523565&amp;date=25.01.2026&amp;dst=759&amp;field=134&amp;demo=2" TargetMode = "External"/><Relationship Id="rId659" Type="http://schemas.openxmlformats.org/officeDocument/2006/relationships/hyperlink" Target="https://login.consultant.ru/link/?req=doc&amp;base=LAW&amp;n=523565&amp;date=25.01.2026&amp;dst=1018&amp;field=134&amp;demo=2" TargetMode = "External"/><Relationship Id="rId660" Type="http://schemas.openxmlformats.org/officeDocument/2006/relationships/hyperlink" Target="https://login.consultant.ru/link/?req=doc&amp;base=LAW&amp;n=511574&amp;date=25.01.2026&amp;dst=1210&amp;field=134&amp;demo=2" TargetMode = "External"/><Relationship Id="rId661" Type="http://schemas.openxmlformats.org/officeDocument/2006/relationships/hyperlink" Target="https://login.consultant.ru/link/?req=doc&amp;base=LAW&amp;n=521763&amp;date=25.01.2026&amp;demo=2" TargetMode = "External"/><Relationship Id="rId662" Type="http://schemas.openxmlformats.org/officeDocument/2006/relationships/hyperlink" Target="https://login.consultant.ru/link/?req=doc&amp;base=LAW&amp;n=521763&amp;date=25.01.2026&amp;demo=2" TargetMode = "External"/><Relationship Id="rId663" Type="http://schemas.openxmlformats.org/officeDocument/2006/relationships/hyperlink" Target="https://login.consultant.ru/link/?req=doc&amp;base=LAW&amp;n=523566&amp;date=25.01.2026&amp;dst=100035&amp;field=134&amp;demo=2" TargetMode = "External"/><Relationship Id="rId664" Type="http://schemas.openxmlformats.org/officeDocument/2006/relationships/hyperlink" Target="https://login.consultant.ru/link/?req=doc&amp;base=LAW&amp;n=520004&amp;date=25.01.2026&amp;dst=112376&amp;field=134&amp;demo=2" TargetMode = "External"/><Relationship Id="rId665" Type="http://schemas.openxmlformats.org/officeDocument/2006/relationships/hyperlink" Target="https://login.consultant.ru/link/?req=doc&amp;base=LAW&amp;n=509664&amp;date=25.01.2026&amp;dst=100034&amp;field=134&amp;demo=2" TargetMode = "External"/><Relationship Id="rId666" Type="http://schemas.openxmlformats.org/officeDocument/2006/relationships/hyperlink" Target="https://login.consultant.ru/link/?req=doc&amp;base=LAW&amp;n=521763&amp;date=25.01.2026&amp;demo=2" TargetMode = "External"/><Relationship Id="rId667" Type="http://schemas.openxmlformats.org/officeDocument/2006/relationships/hyperlink" Target="https://login.consultant.ru/link/?req=doc&amp;base=LAW&amp;n=521763&amp;date=25.01.2026&amp;demo=2" TargetMode = "External"/><Relationship Id="rId668" Type="http://schemas.openxmlformats.org/officeDocument/2006/relationships/hyperlink" Target="https://login.consultant.ru/link/?req=doc&amp;base=LAW&amp;n=193539&amp;date=25.01.2026&amp;demo=2" TargetMode = "External"/><Relationship Id="rId669" Type="http://schemas.openxmlformats.org/officeDocument/2006/relationships/hyperlink" Target="https://login.consultant.ru/link/?req=doc&amp;base=LAW&amp;n=492324&amp;date=25.01.2026&amp;demo=2" TargetMode = "External"/><Relationship Id="rId670" Type="http://schemas.openxmlformats.org/officeDocument/2006/relationships/hyperlink" Target="https://login.consultant.ru/link/?req=doc&amp;base=LAW&amp;n=509513&amp;date=25.01.2026&amp;dst=620&amp;field=134&amp;demo=2" TargetMode = "External"/><Relationship Id="rId671" Type="http://schemas.openxmlformats.org/officeDocument/2006/relationships/hyperlink" Target="https://login.consultant.ru/link/?req=doc&amp;base=LAW&amp;n=521763&amp;date=25.01.2026&amp;demo=2" TargetMode = "External"/><Relationship Id="rId672" Type="http://schemas.openxmlformats.org/officeDocument/2006/relationships/hyperlink" Target="https://login.consultant.ru/link/?req=doc&amp;base=LAW&amp;n=521763&amp;date=25.01.2026&amp;demo=2" TargetMode = "External"/><Relationship Id="rId673" Type="http://schemas.openxmlformats.org/officeDocument/2006/relationships/hyperlink" Target="https://login.consultant.ru/link/?req=doc&amp;base=OTN&amp;n=18186&amp;date=25.01.2026&amp;dst=100053&amp;field=134&amp;demo=2" TargetMode = "External"/><Relationship Id="rId674" Type="http://schemas.openxmlformats.org/officeDocument/2006/relationships/hyperlink" Target="https://login.consultant.ru/link/?req=doc&amp;base=LAW&amp;n=222603&amp;date=25.01.2026&amp;demo=2" TargetMode = "External"/><Relationship Id="rId675" Type="http://schemas.openxmlformats.org/officeDocument/2006/relationships/hyperlink" Target="https://login.consultant.ru/link/?req=doc&amp;base=LAW&amp;n=438745&amp;date=25.01.2026&amp;dst=100032&amp;field=134&amp;demo=2" TargetMode = "External"/><Relationship Id="rId676" Type="http://schemas.openxmlformats.org/officeDocument/2006/relationships/hyperlink" Target="https://login.consultant.ru/link/?req=doc&amp;base=LAW&amp;n=438745&amp;date=25.01.2026&amp;dst=100050&amp;field=134&amp;demo=2" TargetMode = "External"/><Relationship Id="rId677" Type="http://schemas.openxmlformats.org/officeDocument/2006/relationships/hyperlink" Target="https://login.consultant.ru/link/?req=doc&amp;base=LAW&amp;n=509513&amp;date=25.01.2026&amp;dst=1337&amp;field=134&amp;demo=2" TargetMode = "External"/><Relationship Id="rId678" Type="http://schemas.openxmlformats.org/officeDocument/2006/relationships/hyperlink" Target="https://login.consultant.ru/link/?req=doc&amp;base=LAW&amp;n=523253&amp;date=25.01.2026&amp;dst=100771&amp;field=134&amp;demo=2" TargetMode = "External"/><Relationship Id="rId679" Type="http://schemas.openxmlformats.org/officeDocument/2006/relationships/hyperlink" Target="https://login.consultant.ru/link/?req=doc&amp;base=LAW&amp;n=523253&amp;date=25.01.2026&amp;dst=100775&amp;field=134&amp;demo=2" TargetMode = "External"/><Relationship Id="rId680" Type="http://schemas.openxmlformats.org/officeDocument/2006/relationships/hyperlink" Target="https://login.consultant.ru/link/?req=doc&amp;base=LAW&amp;n=413977&amp;date=25.01.2026&amp;dst=100013&amp;field=134&amp;demo=2" TargetMode = "External"/><Relationship Id="rId681" Type="http://schemas.openxmlformats.org/officeDocument/2006/relationships/hyperlink" Target="https://login.consultant.ru/link/?req=doc&amp;base=LAW&amp;n=413977&amp;date=25.01.2026&amp;dst=100012&amp;field=134&amp;demo=2" TargetMode = "External"/><Relationship Id="rId682" Type="http://schemas.openxmlformats.org/officeDocument/2006/relationships/hyperlink" Target="https://login.consultant.ru/link/?req=doc&amp;base=LAW&amp;n=413977&amp;date=25.01.2026&amp;dst=100014&amp;field=134&amp;demo=2" TargetMode = "External"/><Relationship Id="rId683" Type="http://schemas.openxmlformats.org/officeDocument/2006/relationships/hyperlink" Target="https://login.consultant.ru/link/?req=doc&amp;base=OTN&amp;n=18186&amp;date=25.01.2026&amp;dst=100174&amp;field=134&amp;demo=2" TargetMode = "External"/><Relationship Id="rId684" Type="http://schemas.openxmlformats.org/officeDocument/2006/relationships/hyperlink" Target="https://login.consultant.ru/link/?req=doc&amp;base=LAW&amp;n=222603&amp;date=25.01.2026&amp;demo=2" TargetMode = "External"/><Relationship Id="rId685" Type="http://schemas.openxmlformats.org/officeDocument/2006/relationships/hyperlink" Target="https://login.consultant.ru/link/?req=doc&amp;base=OTN&amp;n=18186&amp;date=25.01.2026&amp;dst=100180&amp;field=134&amp;demo=2" TargetMode = "External"/><Relationship Id="rId686" Type="http://schemas.openxmlformats.org/officeDocument/2006/relationships/hyperlink" Target="https://login.consultant.ru/link/?req=doc&amp;base=LAW&amp;n=413977&amp;date=25.01.2026&amp;dst=100012&amp;field=134&amp;demo=2" TargetMode = "External"/><Relationship Id="rId687" Type="http://schemas.openxmlformats.org/officeDocument/2006/relationships/hyperlink" Target="https://login.consultant.ru/link/?req=doc&amp;base=LAW&amp;n=413977&amp;date=25.01.2026&amp;dst=100029&amp;field=134&amp;demo=2" TargetMode = "External"/><Relationship Id="rId688" Type="http://schemas.openxmlformats.org/officeDocument/2006/relationships/hyperlink" Target="https://login.consultant.ru/link/?req=doc&amp;base=LAW&amp;n=413977&amp;date=25.01.2026&amp;dst=100031&amp;field=134&amp;demo=2" TargetMode = "External"/><Relationship Id="rId689" Type="http://schemas.openxmlformats.org/officeDocument/2006/relationships/hyperlink" Target="https://login.consultant.ru/link/?req=doc&amp;base=LAW&amp;n=413977&amp;date=25.01.2026&amp;dst=100029&amp;field=134&amp;demo=2" TargetMode = "External"/><Relationship Id="rId690" Type="http://schemas.openxmlformats.org/officeDocument/2006/relationships/hyperlink" Target="https://login.consultant.ru/link/?req=doc&amp;base=LAW&amp;n=521763&amp;date=25.01.2026&amp;demo=2" TargetMode = "External"/><Relationship Id="rId691" Type="http://schemas.openxmlformats.org/officeDocument/2006/relationships/hyperlink" Target="https://login.consultant.ru/link/?req=doc&amp;base=LAW&amp;n=521763&amp;date=25.01.2026&amp;demo=2" TargetMode = "External"/><Relationship Id="rId692" Type="http://schemas.openxmlformats.org/officeDocument/2006/relationships/hyperlink" Target="https://login.consultant.ru/link/?req=doc&amp;base=LAW&amp;n=438745&amp;date=25.01.2026&amp;dst=100032&amp;field=134&amp;demo=2" TargetMode = "External"/><Relationship Id="rId693" Type="http://schemas.openxmlformats.org/officeDocument/2006/relationships/hyperlink" Target="https://login.consultant.ru/link/?req=doc&amp;base=LAW&amp;n=438745&amp;date=25.01.2026&amp;dst=100056&amp;field=134&amp;demo=2" TargetMode = "External"/><Relationship Id="rId694" Type="http://schemas.openxmlformats.org/officeDocument/2006/relationships/hyperlink" Target="https://login.consultant.ru/link/?req=doc&amp;base=LAW&amp;n=438745&amp;date=25.01.2026&amp;demo=2" TargetMode = "External"/><Relationship Id="rId695" Type="http://schemas.openxmlformats.org/officeDocument/2006/relationships/hyperlink" Target="https://login.consultant.ru/link/?req=doc&amp;base=LAW&amp;n=438745&amp;date=25.01.2026&amp;demo=2" TargetMode = "External"/><Relationship Id="rId696" Type="http://schemas.openxmlformats.org/officeDocument/2006/relationships/hyperlink" Target="https://login.consultant.ru/link/?req=doc&amp;base=LAW&amp;n=461502&amp;date=25.01.2026&amp;dst=12&amp;field=134&amp;demo=2" TargetMode = "External"/><Relationship Id="rId697" Type="http://schemas.openxmlformats.org/officeDocument/2006/relationships/hyperlink" Target="https://login.consultant.ru/link/?req=doc&amp;base=LAW&amp;n=438745&amp;date=25.01.2026&amp;dst=100063&amp;field=134&amp;demo=2" TargetMode = "External"/><Relationship Id="rId698" Type="http://schemas.openxmlformats.org/officeDocument/2006/relationships/hyperlink" Target="https://login.consultant.ru/link/?req=doc&amp;base=LAW&amp;n=495146&amp;date=25.01.2026&amp;dst=7&amp;field=134&amp;demo=2" TargetMode = "External"/><Relationship Id="rId699" Type="http://schemas.openxmlformats.org/officeDocument/2006/relationships/hyperlink" Target="https://login.consultant.ru/link/?req=doc&amp;base=LAW&amp;n=495146&amp;date=25.01.2026&amp;dst=13&amp;field=134&amp;demo=2" TargetMode = "External"/><Relationship Id="rId700" Type="http://schemas.openxmlformats.org/officeDocument/2006/relationships/hyperlink" Target="https://login.consultant.ru/link/?req=doc&amp;base=LAW&amp;n=495146&amp;date=25.01.2026&amp;dst=17&amp;field=134&amp;demo=2" TargetMode = "External"/><Relationship Id="rId701" Type="http://schemas.openxmlformats.org/officeDocument/2006/relationships/hyperlink" Target="https://login.consultant.ru/link/?req=doc&amp;base=OTN&amp;n=19415&amp;date=25.01.2026&amp;dst=100136&amp;field=134&amp;demo=2" TargetMode = "External"/><Relationship Id="rId702" Type="http://schemas.openxmlformats.org/officeDocument/2006/relationships/hyperlink" Target="https://login.consultant.ru/link/?req=doc&amp;base=LAW&amp;n=295269&amp;date=25.01.2026&amp;demo=2" TargetMode = "External"/><Relationship Id="rId703" Type="http://schemas.openxmlformats.org/officeDocument/2006/relationships/hyperlink" Target="https://login.consultant.ru/link/?req=doc&amp;base=OTN&amp;n=19415&amp;date=25.01.2026&amp;dst=100137&amp;field=134&amp;demo=2" TargetMode = "External"/><Relationship Id="rId704" Type="http://schemas.openxmlformats.org/officeDocument/2006/relationships/hyperlink" Target="https://login.consultant.ru/link/?req=doc&amp;base=OTN&amp;n=19415&amp;date=25.01.2026&amp;dst=100150&amp;field=134&amp;demo=2" TargetMode = "External"/><Relationship Id="rId705" Type="http://schemas.openxmlformats.org/officeDocument/2006/relationships/hyperlink" Target="https://login.consultant.ru/link/?req=doc&amp;base=OTN&amp;n=19415&amp;date=25.01.2026&amp;dst=100157&amp;field=134&amp;demo=2" TargetMode = "External"/><Relationship Id="rId706" Type="http://schemas.openxmlformats.org/officeDocument/2006/relationships/hyperlink" Target="https://login.consultant.ru/link/?req=doc&amp;base=OTN&amp;n=19415&amp;date=25.01.2026&amp;dst=100164&amp;field=134&amp;demo=2" TargetMode = "External"/><Relationship Id="rId707" Type="http://schemas.openxmlformats.org/officeDocument/2006/relationships/hyperlink" Target="https://login.consultant.ru/link/?req=doc&amp;base=OTN&amp;n=19415&amp;date=25.01.2026&amp;dst=100171&amp;field=134&amp;demo=2" TargetMode = "External"/><Relationship Id="rId708" Type="http://schemas.openxmlformats.org/officeDocument/2006/relationships/hyperlink" Target="https://login.consultant.ru/link/?req=doc&amp;base=OTN&amp;n=19415&amp;date=25.01.2026&amp;dst=100199&amp;field=134&amp;demo=2" TargetMode = "External"/><Relationship Id="rId709" Type="http://schemas.openxmlformats.org/officeDocument/2006/relationships/hyperlink" Target="https://login.consultant.ru/link/?req=doc&amp;base=OTN&amp;n=19415&amp;date=25.01.2026&amp;dst=100184&amp;field=134&amp;demo=2" TargetMode = "External"/><Relationship Id="rId710" Type="http://schemas.openxmlformats.org/officeDocument/2006/relationships/hyperlink" Target="https://login.consultant.ru/link/?req=doc&amp;base=OTN&amp;n=19415&amp;date=25.01.2026&amp;dst=100178&amp;field=134&amp;demo=2" TargetMode = "External"/><Relationship Id="rId711" Type="http://schemas.openxmlformats.org/officeDocument/2006/relationships/hyperlink" Target="https://login.consultant.ru/link/?req=doc&amp;base=OTN&amp;n=19415&amp;date=25.01.2026&amp;dst=100223&amp;field=134&amp;demo=2" TargetMode = "External"/><Relationship Id="rId712" Type="http://schemas.openxmlformats.org/officeDocument/2006/relationships/hyperlink" Target="https://login.consultant.ru/link/?req=doc&amp;base=OTN&amp;n=19415&amp;date=25.01.2026&amp;dst=100217&amp;field=134&amp;demo=2" TargetMode = "External"/><Relationship Id="rId713" Type="http://schemas.openxmlformats.org/officeDocument/2006/relationships/hyperlink" Target="https://login.consultant.ru/link/?req=doc&amp;base=LAW&amp;n=511276&amp;date=25.01.2026&amp;demo=2" TargetMode = "External"/><Relationship Id="rId714" Type="http://schemas.openxmlformats.org/officeDocument/2006/relationships/hyperlink" Target="https://login.consultant.ru/link/?req=doc&amp;base=LAW&amp;n=462842&amp;date=25.01.2026&amp;demo=2" TargetMode = "External"/><Relationship Id="rId715" Type="http://schemas.openxmlformats.org/officeDocument/2006/relationships/hyperlink" Target="https://login.consultant.ru/link/?req=doc&amp;base=LAW&amp;n=462842&amp;date=25.01.2026&amp;demo=2" TargetMode = "External"/><Relationship Id="rId716" Type="http://schemas.openxmlformats.org/officeDocument/2006/relationships/hyperlink" Target="https://login.consultant.ru/link/?req=doc&amp;base=LAW&amp;n=462842&amp;date=25.01.2026&amp;demo=2" TargetMode = "External"/><Relationship Id="rId717" Type="http://schemas.openxmlformats.org/officeDocument/2006/relationships/hyperlink" Target="https://login.consultant.ru/link/?req=doc&amp;base=LAW&amp;n=462842&amp;date=25.01.2026&amp;demo=2" TargetMode = "External"/><Relationship Id="rId718" Type="http://schemas.openxmlformats.org/officeDocument/2006/relationships/hyperlink" Target="https://login.consultant.ru/link/?req=doc&amp;base=LAW&amp;n=462842&amp;date=25.01.2026&amp;demo=2" TargetMode = "External"/><Relationship Id="rId719" Type="http://schemas.openxmlformats.org/officeDocument/2006/relationships/hyperlink" Target="https://login.consultant.ru/link/?req=doc&amp;base=LAW&amp;n=462842&amp;date=25.01.2026&amp;demo=2" TargetMode = "External"/><Relationship Id="rId720" Type="http://schemas.openxmlformats.org/officeDocument/2006/relationships/image" Target="media/image7.wmf"/><Relationship Id="rId721" Type="http://schemas.openxmlformats.org/officeDocument/2006/relationships/hyperlink" Target="https://login.consultant.ru/link/?req=doc&amp;base=LAW&amp;n=495002&amp;date=25.01.2026&amp;dst=100023&amp;field=134&amp;demo=2" TargetMode = "External"/><Relationship Id="rId722" Type="http://schemas.openxmlformats.org/officeDocument/2006/relationships/hyperlink" Target="https://login.consultant.ru/link/?req=doc&amp;base=LAW&amp;n=495002&amp;date=25.01.2026&amp;dst=100030&amp;field=134&amp;demo=2" TargetMode = "External"/><Relationship Id="rId723" Type="http://schemas.openxmlformats.org/officeDocument/2006/relationships/hyperlink" Target="https://login.consultant.ru/link/?req=doc&amp;base=LAW&amp;n=486066&amp;date=25.01.2026&amp;dst=100010&amp;field=134&amp;demo=2" TargetMode = "External"/><Relationship Id="rId724" Type="http://schemas.openxmlformats.org/officeDocument/2006/relationships/hyperlink" Target="https://login.consultant.ru/link/?req=doc&amp;base=LAW&amp;n=486066&amp;date=25.01.2026&amp;dst=100010&amp;field=134&amp;demo=2" TargetMode = "External"/><Relationship Id="rId725" Type="http://schemas.openxmlformats.org/officeDocument/2006/relationships/hyperlink" Target="https://login.consultant.ru/link/?req=doc&amp;base=LAW&amp;n=486066&amp;date=25.01.2026&amp;dst=100010&amp;field=134&amp;demo=2" TargetMode = "External"/><Relationship Id="rId726" Type="http://schemas.openxmlformats.org/officeDocument/2006/relationships/hyperlink" Target="https://login.consultant.ru/link/?req=doc&amp;base=LAW&amp;n=482675&amp;date=25.01.2026&amp;dst=4&amp;field=134&amp;demo=2" TargetMode = "External"/><Relationship Id="rId727" Type="http://schemas.openxmlformats.org/officeDocument/2006/relationships/hyperlink" Target="https://login.consultant.ru/link/?req=doc&amp;base=LAW&amp;n=482675&amp;date=25.01.2026&amp;dst=4&amp;field=134&amp;demo=2" TargetMode = "External"/><Relationship Id="rId728" Type="http://schemas.openxmlformats.org/officeDocument/2006/relationships/hyperlink" Target="https://login.consultant.ru/link/?req=doc&amp;base=LAW&amp;n=482675&amp;date=25.01.2026&amp;dst=4&amp;field=134&amp;demo=2" TargetMode = "External"/><Relationship Id="rId729" Type="http://schemas.openxmlformats.org/officeDocument/2006/relationships/hyperlink" Target="https://login.consultant.ru/link/?req=doc&amp;base=LAW&amp;n=482675&amp;date=25.01.2026&amp;dst=4&amp;field=134&amp;demo=2" TargetMode = "External"/><Relationship Id="rId730" Type="http://schemas.openxmlformats.org/officeDocument/2006/relationships/hyperlink" Target="https://login.consultant.ru/link/?req=doc&amp;base=LAW&amp;n=502780&amp;date=25.01.2026&amp;dst=100139&amp;field=134&amp;demo=2" TargetMode = "External"/><Relationship Id="rId731" Type="http://schemas.openxmlformats.org/officeDocument/2006/relationships/hyperlink" Target="https://login.consultant.ru/link/?req=doc&amp;base=LAW&amp;n=516500&amp;date=25.01.2026&amp;demo=2" TargetMode = "External"/><Relationship Id="rId732" Type="http://schemas.openxmlformats.org/officeDocument/2006/relationships/hyperlink" Target="https://login.consultant.ru/link/?req=doc&amp;base=LAW&amp;n=509513&amp;date=25.01.2026&amp;dst=375&amp;field=134&amp;demo=2" TargetMode = "External"/><Relationship Id="rId733" Type="http://schemas.openxmlformats.org/officeDocument/2006/relationships/hyperlink" Target="https://login.consultant.ru/link/?req=doc&amp;base=LAW&amp;n=521763&amp;date=25.01.2026&amp;demo=2" TargetMode = "External"/><Relationship Id="rId734" Type="http://schemas.openxmlformats.org/officeDocument/2006/relationships/hyperlink" Target="https://login.consultant.ru/link/?req=doc&amp;base=LAW&amp;n=521763&amp;date=25.01.2026&amp;demo=2" TargetMode = "External"/><Relationship Id="rId735" Type="http://schemas.openxmlformats.org/officeDocument/2006/relationships/hyperlink" Target="https://login.consultant.ru/link/?req=doc&amp;base=LAW&amp;n=521763&amp;date=25.01.2026&amp;demo=2" TargetMode = "External"/><Relationship Id="rId736" Type="http://schemas.openxmlformats.org/officeDocument/2006/relationships/hyperlink" Target="https://login.consultant.ru/link/?req=doc&amp;base=LAW&amp;n=514435&amp;date=25.01.2026&amp;demo=2" TargetMode = "External"/><Relationship Id="rId737" Type="http://schemas.openxmlformats.org/officeDocument/2006/relationships/hyperlink" Target="https://login.consultant.ru/link/?req=doc&amp;base=LAW&amp;n=486066&amp;date=25.01.2026&amp;dst=100010&amp;field=134&amp;demo=2" TargetMode = "External"/><Relationship Id="rId738" Type="http://schemas.openxmlformats.org/officeDocument/2006/relationships/hyperlink" Target="https://login.consultant.ru/link/?req=doc&amp;base=LAW&amp;n=514435&amp;date=25.01.2026&amp;demo=2" TargetMode = "External"/><Relationship Id="rId739" Type="http://schemas.openxmlformats.org/officeDocument/2006/relationships/hyperlink" Target="https://login.consultant.ru/link/?req=doc&amp;base=LAW&amp;n=486066&amp;date=25.01.2026&amp;dst=100010&amp;field=134&amp;demo=2" TargetMode = "External"/><Relationship Id="rId740" Type="http://schemas.openxmlformats.org/officeDocument/2006/relationships/hyperlink" Target="https://login.consultant.ru/link/?req=doc&amp;base=LAW&amp;n=514435&amp;date=25.01.2026&amp;demo=2" TargetMode = "External"/><Relationship Id="rId741" Type="http://schemas.openxmlformats.org/officeDocument/2006/relationships/hyperlink" Target="https://login.consultant.ru/link/?req=doc&amp;base=LAW&amp;n=486066&amp;date=25.01.2026&amp;dst=100010&amp;field=134&amp;demo=2" TargetMode = "External"/><Relationship Id="rId742" Type="http://schemas.openxmlformats.org/officeDocument/2006/relationships/hyperlink" Target="https://login.consultant.ru/link/?req=doc&amp;base=LAW&amp;n=514435&amp;date=25.01.2026&amp;demo=2" TargetMode = "External"/><Relationship Id="rId743" Type="http://schemas.openxmlformats.org/officeDocument/2006/relationships/hyperlink" Target="https://login.consultant.ru/link/?req=doc&amp;base=LAW&amp;n=486066&amp;date=25.01.2026&amp;dst=100010&amp;field=134&amp;demo=2" TargetMode = "External"/><Relationship Id="rId744" Type="http://schemas.openxmlformats.org/officeDocument/2006/relationships/hyperlink" Target="https://login.consultant.ru/link/?req=doc&amp;base=LAW&amp;n=514435&amp;date=25.01.2026&amp;demo=2" TargetMode = "External"/><Relationship Id="rId745" Type="http://schemas.openxmlformats.org/officeDocument/2006/relationships/hyperlink" Target="https://login.consultant.ru/link/?req=doc&amp;base=LAW&amp;n=486066&amp;date=25.01.2026&amp;dst=100010&amp;field=134&amp;demo=2" TargetMode = "External"/><Relationship Id="rId746" Type="http://schemas.openxmlformats.org/officeDocument/2006/relationships/hyperlink" Target="https://login.consultant.ru/link/?req=doc&amp;base=LAW&amp;n=514435&amp;date=25.01.2026&amp;demo=2" TargetMode = "External"/><Relationship Id="rId747" Type="http://schemas.openxmlformats.org/officeDocument/2006/relationships/hyperlink" Target="https://login.consultant.ru/link/?req=doc&amp;base=LAW&amp;n=514435&amp;date=25.01.2026&amp;demo=2" TargetMode = "External"/><Relationship Id="rId748" Type="http://schemas.openxmlformats.org/officeDocument/2006/relationships/hyperlink" Target="https://login.consultant.ru/link/?req=doc&amp;base=LAW&amp;n=514435&amp;date=25.01.2026&amp;demo=2" TargetMode = "External"/><Relationship Id="rId749" Type="http://schemas.openxmlformats.org/officeDocument/2006/relationships/hyperlink" Target="https://login.consultant.ru/link/?req=doc&amp;base=LAW&amp;n=514435&amp;date=25.01.2026&amp;demo=2" TargetMode = "External"/><Relationship Id="rId750" Type="http://schemas.openxmlformats.org/officeDocument/2006/relationships/hyperlink" Target="https://login.consultant.ru/link/?req=doc&amp;base=LAW&amp;n=514435&amp;date=25.01.2026&amp;demo=2" TargetMode = "External"/><Relationship Id="rId751" Type="http://schemas.openxmlformats.org/officeDocument/2006/relationships/hyperlink" Target="https://login.consultant.ru/link/?req=doc&amp;base=LAW&amp;n=514435&amp;date=25.01.2026&amp;demo=2" TargetMode = "External"/><Relationship Id="rId752" Type="http://schemas.openxmlformats.org/officeDocument/2006/relationships/hyperlink" Target="https://login.consultant.ru/link/?req=doc&amp;base=LAW&amp;n=514435&amp;date=25.01.2026&amp;demo=2" TargetMode = "External"/><Relationship Id="rId753" Type="http://schemas.openxmlformats.org/officeDocument/2006/relationships/hyperlink" Target="https://login.consultant.ru/link/?req=doc&amp;base=LAW&amp;n=514435&amp;date=25.01.2026&amp;demo=2" TargetMode = "External"/><Relationship Id="rId754" Type="http://schemas.openxmlformats.org/officeDocument/2006/relationships/hyperlink" Target="https://login.consultant.ru/link/?req=doc&amp;base=LAW&amp;n=514435&amp;date=25.01.2026&amp;demo=2" TargetMode = "External"/><Relationship Id="rId755" Type="http://schemas.openxmlformats.org/officeDocument/2006/relationships/hyperlink" Target="https://login.consultant.ru/link/?req=doc&amp;base=LAW&amp;n=514435&amp;date=25.01.2026&amp;demo=2" TargetMode = "External"/><Relationship Id="rId756" Type="http://schemas.openxmlformats.org/officeDocument/2006/relationships/hyperlink" Target="https://login.consultant.ru/link/?req=doc&amp;base=LAW&amp;n=514435&amp;date=25.01.2026&amp;demo=2" TargetMode = "External"/><Relationship Id="rId757" Type="http://schemas.openxmlformats.org/officeDocument/2006/relationships/hyperlink" Target="https://login.consultant.ru/link/?req=doc&amp;base=LAW&amp;n=486066&amp;date=25.01.2026&amp;dst=100010&amp;field=134&amp;demo=2" TargetMode = "External"/><Relationship Id="rId758" Type="http://schemas.openxmlformats.org/officeDocument/2006/relationships/hyperlink" Target="https://login.consultant.ru/link/?req=doc&amp;base=LAW&amp;n=514435&amp;date=25.01.2026&amp;demo=2" TargetMode = "External"/><Relationship Id="rId759" Type="http://schemas.openxmlformats.org/officeDocument/2006/relationships/hyperlink" Target="https://login.consultant.ru/link/?req=doc&amp;base=LAW&amp;n=486066&amp;date=25.01.2026&amp;dst=100010&amp;field=134&amp;demo=2" TargetMode = "External"/><Relationship Id="rId760" Type="http://schemas.openxmlformats.org/officeDocument/2006/relationships/hyperlink" Target="https://login.consultant.ru/link/?req=doc&amp;base=LAW&amp;n=514435&amp;date=25.01.2026&amp;demo=2" TargetMode = "External"/><Relationship Id="rId761" Type="http://schemas.openxmlformats.org/officeDocument/2006/relationships/hyperlink" Target="https://login.consultant.ru/link/?req=doc&amp;base=LAW&amp;n=486066&amp;date=25.01.2026&amp;dst=100010&amp;field=134&amp;demo=2" TargetMode = "External"/><Relationship Id="rId762" Type="http://schemas.openxmlformats.org/officeDocument/2006/relationships/hyperlink" Target="https://login.consultant.ru/link/?req=doc&amp;base=LAW&amp;n=514435&amp;date=25.01.2026&amp;demo=2" TargetMode = "External"/><Relationship Id="rId763" Type="http://schemas.openxmlformats.org/officeDocument/2006/relationships/hyperlink" Target="https://login.consultant.ru/link/?req=doc&amp;base=LAW&amp;n=486066&amp;date=25.01.2026&amp;dst=100010&amp;field=134&amp;demo=2" TargetMode = "External"/><Relationship Id="rId764" Type="http://schemas.openxmlformats.org/officeDocument/2006/relationships/hyperlink" Target="https://login.consultant.ru/link/?req=doc&amp;base=LAW&amp;n=514435&amp;date=25.01.2026&amp;demo=2" TargetMode = "External"/><Relationship Id="rId765" Type="http://schemas.openxmlformats.org/officeDocument/2006/relationships/hyperlink" Target="https://login.consultant.ru/link/?req=doc&amp;base=LAW&amp;n=486066&amp;date=25.01.2026&amp;dst=100010&amp;field=134&amp;demo=2" TargetMode = "External"/><Relationship Id="rId766" Type="http://schemas.openxmlformats.org/officeDocument/2006/relationships/hyperlink" Target="https://login.consultant.ru/link/?req=doc&amp;base=LAW&amp;n=514435&amp;date=25.01.2026&amp;demo=2" TargetMode = "External"/><Relationship Id="rId767" Type="http://schemas.openxmlformats.org/officeDocument/2006/relationships/hyperlink" Target="https://login.consultant.ru/link/?req=doc&amp;base=LAW&amp;n=486066&amp;date=25.01.2026&amp;dst=100010&amp;field=134&amp;demo=2" TargetMode = "External"/><Relationship Id="rId768" Type="http://schemas.openxmlformats.org/officeDocument/2006/relationships/hyperlink" Target="https://login.consultant.ru/link/?req=doc&amp;base=LAW&amp;n=514435&amp;date=25.01.2026&amp;demo=2" TargetMode = "External"/><Relationship Id="rId769" Type="http://schemas.openxmlformats.org/officeDocument/2006/relationships/hyperlink" Target="https://login.consultant.ru/link/?req=doc&amp;base=LAW&amp;n=486066&amp;date=25.01.2026&amp;dst=100010&amp;field=134&amp;demo=2" TargetMode = "External"/><Relationship Id="rId770" Type="http://schemas.openxmlformats.org/officeDocument/2006/relationships/hyperlink" Target="https://login.consultant.ru/link/?req=doc&amp;base=LAW&amp;n=514435&amp;date=25.01.2026&amp;demo=2" TargetMode = "External"/><Relationship Id="rId771" Type="http://schemas.openxmlformats.org/officeDocument/2006/relationships/hyperlink" Target="https://login.consultant.ru/link/?req=doc&amp;base=LAW&amp;n=486066&amp;date=25.01.2026&amp;dst=100010&amp;field=134&amp;demo=2" TargetMode = "External"/><Relationship Id="rId772" Type="http://schemas.openxmlformats.org/officeDocument/2006/relationships/hyperlink" Target="https://login.consultant.ru/link/?req=doc&amp;base=LAW&amp;n=514435&amp;date=25.01.2026&amp;demo=2" TargetMode = "External"/><Relationship Id="rId773" Type="http://schemas.openxmlformats.org/officeDocument/2006/relationships/hyperlink" Target="https://login.consultant.ru/link/?req=doc&amp;base=LAW&amp;n=486066&amp;date=25.01.2026&amp;dst=100010&amp;field=134&amp;demo=2" TargetMode = "External"/><Relationship Id="rId774" Type="http://schemas.openxmlformats.org/officeDocument/2006/relationships/hyperlink" Target="https://login.consultant.ru/link/?req=doc&amp;base=LAW&amp;n=514435&amp;date=25.01.2026&amp;demo=2" TargetMode = "External"/><Relationship Id="rId775" Type="http://schemas.openxmlformats.org/officeDocument/2006/relationships/hyperlink" Target="https://login.consultant.ru/link/?req=doc&amp;base=LAW&amp;n=486066&amp;date=25.01.2026&amp;dst=100010&amp;field=134&amp;demo=2" TargetMode = "External"/><Relationship Id="rId776" Type="http://schemas.openxmlformats.org/officeDocument/2006/relationships/hyperlink" Target="https://login.consultant.ru/link/?req=doc&amp;base=LAW&amp;n=514435&amp;date=25.01.2026&amp;demo=2" TargetMode = "External"/><Relationship Id="rId777" Type="http://schemas.openxmlformats.org/officeDocument/2006/relationships/hyperlink" Target="https://login.consultant.ru/link/?req=doc&amp;base=LAW&amp;n=486066&amp;date=25.01.2026&amp;dst=100010&amp;field=134&amp;demo=2" TargetMode = "External"/><Relationship Id="rId778" Type="http://schemas.openxmlformats.org/officeDocument/2006/relationships/hyperlink" Target="https://login.consultant.ru/link/?req=doc&amp;base=LAW&amp;n=514435&amp;date=25.01.2026&amp;demo=2" TargetMode = "External"/><Relationship Id="rId779" Type="http://schemas.openxmlformats.org/officeDocument/2006/relationships/hyperlink" Target="https://login.consultant.ru/link/?req=doc&amp;base=LAW&amp;n=486066&amp;date=25.01.2026&amp;dst=100010&amp;field=134&amp;demo=2" TargetMode = "External"/><Relationship Id="rId780" Type="http://schemas.openxmlformats.org/officeDocument/2006/relationships/hyperlink" Target="https://login.consultant.ru/link/?req=doc&amp;base=LAW&amp;n=514435&amp;date=25.01.2026&amp;demo=2" TargetMode = "External"/><Relationship Id="rId781" Type="http://schemas.openxmlformats.org/officeDocument/2006/relationships/hyperlink" Target="https://login.consultant.ru/link/?req=doc&amp;base=LAW&amp;n=486066&amp;date=25.01.2026&amp;dst=100010&amp;field=134&amp;demo=2" TargetMode = "External"/><Relationship Id="rId782" Type="http://schemas.openxmlformats.org/officeDocument/2006/relationships/hyperlink" Target="https://login.consultant.ru/link/?req=doc&amp;base=LAW&amp;n=514435&amp;date=25.01.2026&amp;demo=2" TargetMode = "External"/><Relationship Id="rId783" Type="http://schemas.openxmlformats.org/officeDocument/2006/relationships/hyperlink" Target="https://login.consultant.ru/link/?req=doc&amp;base=LAW&amp;n=486066&amp;date=25.01.2026&amp;dst=100010&amp;field=134&amp;demo=2" TargetMode = "External"/><Relationship Id="rId784" Type="http://schemas.openxmlformats.org/officeDocument/2006/relationships/hyperlink" Target="https://login.consultant.ru/link/?req=doc&amp;base=LAW&amp;n=514435&amp;date=25.01.2026&amp;demo=2" TargetMode = "External"/><Relationship Id="rId785" Type="http://schemas.openxmlformats.org/officeDocument/2006/relationships/hyperlink" Target="https://login.consultant.ru/link/?req=doc&amp;base=LAW&amp;n=486066&amp;date=25.01.2026&amp;dst=100010&amp;field=134&amp;demo=2" TargetMode = "External"/><Relationship Id="rId786" Type="http://schemas.openxmlformats.org/officeDocument/2006/relationships/hyperlink" Target="https://login.consultant.ru/link/?req=doc&amp;base=LAW&amp;n=514435&amp;date=25.01.2026&amp;demo=2" TargetMode = "External"/><Relationship Id="rId787" Type="http://schemas.openxmlformats.org/officeDocument/2006/relationships/hyperlink" Target="https://login.consultant.ru/link/?req=doc&amp;base=LAW&amp;n=486066&amp;date=25.01.2026&amp;dst=100010&amp;field=134&amp;demo=2" TargetMode = "External"/><Relationship Id="rId788" Type="http://schemas.openxmlformats.org/officeDocument/2006/relationships/hyperlink" Target="https://login.consultant.ru/link/?req=doc&amp;base=LAW&amp;n=514435&amp;date=25.01.2026&amp;demo=2" TargetMode = "External"/><Relationship Id="rId789" Type="http://schemas.openxmlformats.org/officeDocument/2006/relationships/hyperlink" Target="https://login.consultant.ru/link/?req=doc&amp;base=LAW&amp;n=486066&amp;date=25.01.2026&amp;dst=100010&amp;field=134&amp;demo=2" TargetMode = "External"/><Relationship Id="rId790" Type="http://schemas.openxmlformats.org/officeDocument/2006/relationships/hyperlink" Target="https://login.consultant.ru/link/?req=doc&amp;base=LAW&amp;n=514435&amp;date=25.01.2026&amp;demo=2" TargetMode = "External"/><Relationship Id="rId791" Type="http://schemas.openxmlformats.org/officeDocument/2006/relationships/hyperlink" Target="https://login.consultant.ru/link/?req=doc&amp;base=LAW&amp;n=486066&amp;date=25.01.2026&amp;dst=100010&amp;field=134&amp;demo=2" TargetMode = "External"/><Relationship Id="rId792" Type="http://schemas.openxmlformats.org/officeDocument/2006/relationships/hyperlink" Target="https://login.consultant.ru/link/?req=doc&amp;base=LAW&amp;n=514435&amp;date=25.01.2026&amp;demo=2" TargetMode = "External"/><Relationship Id="rId793" Type="http://schemas.openxmlformats.org/officeDocument/2006/relationships/hyperlink" Target="https://login.consultant.ru/link/?req=doc&amp;base=LAW&amp;n=486066&amp;date=25.01.2026&amp;dst=100010&amp;field=134&amp;demo=2" TargetMode = "External"/><Relationship Id="rId794" Type="http://schemas.openxmlformats.org/officeDocument/2006/relationships/hyperlink" Target="https://login.consultant.ru/link/?req=doc&amp;base=LAW&amp;n=514435&amp;date=25.01.2026&amp;demo=2" TargetMode = "External"/><Relationship Id="rId795" Type="http://schemas.openxmlformats.org/officeDocument/2006/relationships/hyperlink" Target="https://login.consultant.ru/link/?req=doc&amp;base=LAW&amp;n=486066&amp;date=25.01.2026&amp;dst=100010&amp;field=134&amp;demo=2" TargetMode = "External"/><Relationship Id="rId796" Type="http://schemas.openxmlformats.org/officeDocument/2006/relationships/hyperlink" Target="https://login.consultant.ru/link/?req=doc&amp;base=LAW&amp;n=514435&amp;date=25.01.2026&amp;demo=2" TargetMode = "External"/><Relationship Id="rId797" Type="http://schemas.openxmlformats.org/officeDocument/2006/relationships/hyperlink" Target="https://login.consultant.ru/link/?req=doc&amp;base=LAW&amp;n=486066&amp;date=25.01.2026&amp;dst=100010&amp;field=134&amp;demo=2" TargetMode = "External"/><Relationship Id="rId798" Type="http://schemas.openxmlformats.org/officeDocument/2006/relationships/hyperlink" Target="https://login.consultant.ru/link/?req=doc&amp;base=LAW&amp;n=514435&amp;date=25.01.2026&amp;demo=2" TargetMode = "External"/><Relationship Id="rId799" Type="http://schemas.openxmlformats.org/officeDocument/2006/relationships/hyperlink" Target="https://login.consultant.ru/link/?req=doc&amp;base=LAW&amp;n=486066&amp;date=25.01.2026&amp;dst=100010&amp;field=134&amp;demo=2" TargetMode = "External"/><Relationship Id="rId800" Type="http://schemas.openxmlformats.org/officeDocument/2006/relationships/hyperlink" Target="https://login.consultant.ru/link/?req=doc&amp;base=LAW&amp;n=514435&amp;date=25.01.2026&amp;demo=2" TargetMode = "External"/><Relationship Id="rId801" Type="http://schemas.openxmlformats.org/officeDocument/2006/relationships/hyperlink" Target="https://login.consultant.ru/link/?req=doc&amp;base=LAW&amp;n=486066&amp;date=25.01.2026&amp;dst=100010&amp;field=134&amp;demo=2" TargetMode = "External"/><Relationship Id="rId802" Type="http://schemas.openxmlformats.org/officeDocument/2006/relationships/hyperlink" Target="https://login.consultant.ru/link/?req=doc&amp;base=LAW&amp;n=514435&amp;date=25.01.2026&amp;demo=2" TargetMode = "External"/><Relationship Id="rId803" Type="http://schemas.openxmlformats.org/officeDocument/2006/relationships/hyperlink" Target="https://login.consultant.ru/link/?req=doc&amp;base=LAW&amp;n=514435&amp;date=25.01.2026&amp;demo=2" TargetMode = "External"/><Relationship Id="rId804" Type="http://schemas.openxmlformats.org/officeDocument/2006/relationships/hyperlink" Target="https://login.consultant.ru/link/?req=doc&amp;base=LAW&amp;n=514435&amp;date=25.01.2026&amp;demo=2" TargetMode = "External"/><Relationship Id="rId805" Type="http://schemas.openxmlformats.org/officeDocument/2006/relationships/hyperlink" Target="https://login.consultant.ru/link/?req=doc&amp;base=LAW&amp;n=514435&amp;date=25.01.2026&amp;demo=2" TargetMode = "External"/><Relationship Id="rId806" Type="http://schemas.openxmlformats.org/officeDocument/2006/relationships/hyperlink" Target="https://login.consultant.ru/link/?req=doc&amp;base=LAW&amp;n=514435&amp;date=25.01.2026&amp;demo=2" TargetMode = "External"/><Relationship Id="rId807" Type="http://schemas.openxmlformats.org/officeDocument/2006/relationships/hyperlink" Target="https://login.consultant.ru/link/?req=doc&amp;base=LAW&amp;n=486066&amp;date=25.01.2026&amp;dst=100010&amp;field=134&amp;demo=2" TargetMode = "External"/><Relationship Id="rId808" Type="http://schemas.openxmlformats.org/officeDocument/2006/relationships/hyperlink" Target="https://login.consultant.ru/link/?req=doc&amp;base=LAW&amp;n=486066&amp;date=25.01.2026&amp;dst=100010&amp;field=134&amp;demo=2" TargetMode = "External"/><Relationship Id="rId809" Type="http://schemas.openxmlformats.org/officeDocument/2006/relationships/hyperlink" Target="https://login.consultant.ru/link/?req=doc&amp;base=LAW&amp;n=486066&amp;date=25.01.2026&amp;dst=100010&amp;field=134&amp;demo=2" TargetMode = "External"/><Relationship Id="rId810" Type="http://schemas.openxmlformats.org/officeDocument/2006/relationships/hyperlink" Target="https://login.consultant.ru/link/?req=doc&amp;base=LAW&amp;n=486066&amp;date=25.01.2026&amp;dst=100010&amp;field=134&amp;demo=2" TargetMode = "External"/><Relationship Id="rId811" Type="http://schemas.openxmlformats.org/officeDocument/2006/relationships/hyperlink" Target="https://login.consultant.ru/link/?req=doc&amp;base=LAW&amp;n=486066&amp;date=25.01.2026&amp;dst=100010&amp;field=134&amp;demo=2" TargetMode = "External"/><Relationship Id="rId812" Type="http://schemas.openxmlformats.org/officeDocument/2006/relationships/hyperlink" Target="https://login.consultant.ru/link/?req=doc&amp;base=LAW&amp;n=509431&amp;date=25.01.2026&amp;dst=100449&amp;field=134&amp;demo=2" TargetMode = "External"/><Relationship Id="rId813" Type="http://schemas.openxmlformats.org/officeDocument/2006/relationships/hyperlink" Target="https://login.consultant.ru/link/?req=doc&amp;base=LAW&amp;n=511276&amp;date=25.01.2026&amp;demo=2" TargetMode = "External"/><Relationship Id="rId814" Type="http://schemas.openxmlformats.org/officeDocument/2006/relationships/hyperlink" Target="https://login.consultant.ru/link/?req=doc&amp;base=LAW&amp;n=513262&amp;date=25.01.2026&amp;dst=100637&amp;field=134&amp;demo=2" TargetMode = "External"/><Relationship Id="rId815" Type="http://schemas.openxmlformats.org/officeDocument/2006/relationships/hyperlink" Target="https://login.consultant.ru/link/?req=doc&amp;base=LAW&amp;n=509513&amp;date=25.01.2026&amp;dst=837&amp;field=134&amp;demo=2" TargetMode = "External"/><Relationship Id="rId816" Type="http://schemas.openxmlformats.org/officeDocument/2006/relationships/hyperlink" Target="https://login.consultant.ru/link/?req=doc&amp;base=LAW&amp;n=509043&amp;date=25.01.2026&amp;dst=56&amp;field=134&amp;demo=2" TargetMode = "External"/><Relationship Id="rId817" Type="http://schemas.openxmlformats.org/officeDocument/2006/relationships/hyperlink" Target="https://login.consultant.ru/link/?req=doc&amp;base=LAW&amp;n=510605&amp;date=25.01.2026&amp;dst=100052&amp;field=134&amp;demo=2" TargetMode = "External"/><Relationship Id="rId818" Type="http://schemas.openxmlformats.org/officeDocument/2006/relationships/hyperlink" Target="https://login.consultant.ru/link/?req=doc&amp;base=LAW&amp;n=500123&amp;date=25.01.2026&amp;demo=2" TargetMode = "External"/><Relationship Id="rId819" Type="http://schemas.openxmlformats.org/officeDocument/2006/relationships/hyperlink" Target="https://login.consultant.ru/link/?req=doc&amp;base=LAW&amp;n=511276&amp;date=25.01.2026&amp;dst=100336&amp;field=134&amp;demo=2" TargetMode = "External"/><Relationship Id="rId820" Type="http://schemas.openxmlformats.org/officeDocument/2006/relationships/hyperlink" Target="https://login.consultant.ru/link/?req=doc&amp;base=LAW&amp;n=511276&amp;date=25.01.2026&amp;dst=104&amp;field=134&amp;demo=2" TargetMode = "External"/><Relationship Id="rId821" Type="http://schemas.openxmlformats.org/officeDocument/2006/relationships/hyperlink" Target="https://login.consultant.ru/link/?req=doc&amp;base=LAW&amp;n=511288&amp;date=25.01.2026&amp;demo=2" TargetMode = "External"/><Relationship Id="rId822" Type="http://schemas.openxmlformats.org/officeDocument/2006/relationships/hyperlink" Target="https://login.consultant.ru/link/?req=doc&amp;base=LAW&amp;n=511276&amp;date=25.01.2026&amp;demo=2" TargetMode = "External"/><Relationship Id="rId823" Type="http://schemas.openxmlformats.org/officeDocument/2006/relationships/hyperlink" Target="https://login.consultant.ru/link/?req=doc&amp;base=LAW&amp;n=495924&amp;date=25.01.2026&amp;demo=2" TargetMode = "External"/><Relationship Id="rId824" Type="http://schemas.openxmlformats.org/officeDocument/2006/relationships/hyperlink" Target="https://login.consultant.ru/link/?req=doc&amp;base=LAW&amp;n=499825&amp;date=25.01.2026&amp;demo=2" TargetMode = "External"/><Relationship Id="rId825" Type="http://schemas.openxmlformats.org/officeDocument/2006/relationships/hyperlink" Target="https://login.consultant.ru/link/?req=doc&amp;base=LAW&amp;n=477377&amp;date=25.01.2026&amp;dst=156&amp;field=134&amp;demo=2" TargetMode = "External"/><Relationship Id="rId826" Type="http://schemas.openxmlformats.org/officeDocument/2006/relationships/hyperlink" Target="https://login.consultant.ru/link/?req=doc&amp;base=LAW&amp;n=514435&amp;date=25.01.2026&amp;demo=2" TargetMode = "External"/><Relationship Id="rId827" Type="http://schemas.openxmlformats.org/officeDocument/2006/relationships/hyperlink" Target="https://login.consultant.ru/link/?req=doc&amp;base=LAW&amp;n=514435&amp;date=25.01.2026&amp;demo=2" TargetMode = "External"/><Relationship Id="rId828" Type="http://schemas.openxmlformats.org/officeDocument/2006/relationships/hyperlink" Target="https://login.consultant.ru/link/?req=doc&amp;base=LAW&amp;n=514435&amp;date=25.01.2026&amp;demo=2" TargetMode = "External"/><Relationship Id="rId829" Type="http://schemas.openxmlformats.org/officeDocument/2006/relationships/hyperlink" Target="https://login.consultant.ru/link/?req=doc&amp;base=LAW&amp;n=514435&amp;date=25.01.2026&amp;demo=2" TargetMode = "External"/><Relationship Id="rId830" Type="http://schemas.openxmlformats.org/officeDocument/2006/relationships/hyperlink" Target="https://login.consultant.ru/link/?req=doc&amp;base=LAW&amp;n=514435&amp;date=25.01.2026&amp;demo=2" TargetMode = "External"/><Relationship Id="rId831" Type="http://schemas.openxmlformats.org/officeDocument/2006/relationships/hyperlink" Target="https://login.consultant.ru/link/?req=doc&amp;base=LAW&amp;n=486066&amp;date=25.01.2026&amp;dst=100010&amp;field=134&amp;demo=2" TargetMode = "External"/><Relationship Id="rId832" Type="http://schemas.openxmlformats.org/officeDocument/2006/relationships/hyperlink" Target="https://login.consultant.ru/link/?req=doc&amp;base=LAW&amp;n=486066&amp;date=25.01.2026&amp;dst=100010&amp;field=134&amp;demo=2" TargetMode = "External"/><Relationship Id="rId833" Type="http://schemas.openxmlformats.org/officeDocument/2006/relationships/hyperlink" Target="https://login.consultant.ru/link/?req=doc&amp;base=LAW&amp;n=486066&amp;date=25.01.2026&amp;dst=100010&amp;field=134&amp;demo=2" TargetMode = "External"/><Relationship Id="rId834" Type="http://schemas.openxmlformats.org/officeDocument/2006/relationships/hyperlink" Target="https://login.consultant.ru/link/?req=doc&amp;base=LAW&amp;n=278485&amp;date=25.01.2026&amp;dst=2&amp;field=134&amp;demo=2" TargetMode = "External"/><Relationship Id="rId835" Type="http://schemas.openxmlformats.org/officeDocument/2006/relationships/hyperlink" Target="https://login.consultant.ru/link/?req=doc&amp;base=LAW&amp;n=278485&amp;date=25.01.2026&amp;dst=100007&amp;field=134&amp;demo=2" TargetMode = "External"/><Relationship Id="rId836" Type="http://schemas.openxmlformats.org/officeDocument/2006/relationships/hyperlink" Target="https://login.consultant.ru/link/?req=doc&amp;base=LAW&amp;n=523566&amp;date=25.01.2026&amp;dst=100035&amp;field=134&amp;demo=2" TargetMode = "External"/><Relationship Id="rId837" Type="http://schemas.openxmlformats.org/officeDocument/2006/relationships/hyperlink" Target="https://login.consultant.ru/link/?req=doc&amp;base=LAW&amp;n=521885&amp;date=25.01.2026&amp;dst=100173&amp;field=134&amp;demo=2" TargetMode = "External"/><Relationship Id="rId838" Type="http://schemas.openxmlformats.org/officeDocument/2006/relationships/hyperlink" Target="https://login.consultant.ru/link/?req=doc&amp;base=LAW&amp;n=513262&amp;date=25.01.2026&amp;dst=100488&amp;field=134&amp;demo=2" TargetMode = "External"/><Relationship Id="rId839" Type="http://schemas.openxmlformats.org/officeDocument/2006/relationships/hyperlink" Target="https://login.consultant.ru/link/?req=doc&amp;base=LAW&amp;n=513262&amp;date=25.01.2026&amp;dst=100316&amp;field=134&amp;demo=2" TargetMode = "External"/><Relationship Id="rId840" Type="http://schemas.openxmlformats.org/officeDocument/2006/relationships/hyperlink" Target="https://login.consultant.ru/link/?req=doc&amp;base=LAW&amp;n=511276&amp;date=25.01.2026&amp;dst=849&amp;field=134&amp;demo=2" TargetMode = "External"/><Relationship Id="rId841" Type="http://schemas.openxmlformats.org/officeDocument/2006/relationships/hyperlink" Target="https://login.consultant.ru/link/?req=doc&amp;base=LAW&amp;n=511276&amp;date=25.01.2026&amp;dst=100214&amp;field=134&amp;demo=2" TargetMode = "External"/><Relationship Id="rId842" Type="http://schemas.openxmlformats.org/officeDocument/2006/relationships/hyperlink" Target="https://login.consultant.ru/link/?req=doc&amp;base=LAW&amp;n=511276&amp;date=25.01.2026&amp;demo=2" TargetMode = "External"/><Relationship Id="rId843" Type="http://schemas.openxmlformats.org/officeDocument/2006/relationships/hyperlink" Target="https://login.consultant.ru/link/?req=doc&amp;base=LAW&amp;n=507536&amp;date=25.01.2026&amp;demo=2" TargetMode = "External"/><Relationship Id="rId844" Type="http://schemas.openxmlformats.org/officeDocument/2006/relationships/hyperlink" Target="https://login.consultant.ru/link/?req=doc&amp;base=LAW&amp;n=510750&amp;date=25.01.2026&amp;dst=426&amp;field=134&amp;demo=2" TargetMode = "External"/><Relationship Id="rId845" Type="http://schemas.openxmlformats.org/officeDocument/2006/relationships/hyperlink" Target="https://login.consultant.ru/link/?req=doc&amp;base=LAW&amp;n=509513&amp;date=25.01.2026&amp;dst=100319&amp;field=134&amp;demo=2" TargetMode = "External"/><Relationship Id="rId846" Type="http://schemas.openxmlformats.org/officeDocument/2006/relationships/hyperlink" Target="https://login.consultant.ru/link/?req=doc&amp;base=LAW&amp;n=482697&amp;date=25.01.2026&amp;dst=125&amp;field=134&amp;demo=2" TargetMode = "External"/><Relationship Id="rId847" Type="http://schemas.openxmlformats.org/officeDocument/2006/relationships/hyperlink" Target="https://login.consultant.ru/link/?req=doc&amp;base=LAW&amp;n=495002&amp;date=25.01.2026&amp;dst=100030&amp;field=134&amp;demo=2" TargetMode = "External"/><Relationship Id="rId848" Type="http://schemas.openxmlformats.org/officeDocument/2006/relationships/hyperlink" Target="https://login.consultant.ru/link/?req=doc&amp;base=LAW&amp;n=509513&amp;date=25.01.2026&amp;dst=375&amp;field=134&amp;demo=2" TargetMode = "External"/><Relationship Id="rId849" Type="http://schemas.openxmlformats.org/officeDocument/2006/relationships/hyperlink" Target="https://login.consultant.ru/link/?req=doc&amp;base=LAW&amp;n=509664&amp;date=25.01.2026&amp;demo=2" TargetMode = "External"/><Relationship Id="rId850" Type="http://schemas.openxmlformats.org/officeDocument/2006/relationships/hyperlink" Target="https://login.consultant.ru/link/?req=doc&amp;base=LAW&amp;n=509664&amp;date=25.01.2026&amp;dst=100027&amp;field=134&amp;demo=2" TargetMode = "External"/><Relationship Id="rId851" Type="http://schemas.openxmlformats.org/officeDocument/2006/relationships/hyperlink" Target="https://login.consultant.ru/link/?req=doc&amp;base=LAW&amp;n=503689&amp;date=25.01.2026&amp;dst=10&amp;field=134&amp;demo=2" TargetMode = "External"/><Relationship Id="rId852" Type="http://schemas.openxmlformats.org/officeDocument/2006/relationships/hyperlink" Target="https://login.consultant.ru/link/?req=doc&amp;base=LAW&amp;n=503689&amp;date=25.01.2026&amp;dst=88&amp;field=134&amp;demo=2" TargetMode = "External"/><Relationship Id="rId853" Type="http://schemas.openxmlformats.org/officeDocument/2006/relationships/hyperlink" Target="https://login.consultant.ru/link/?req=doc&amp;base=LAW&amp;n=509664&amp;date=25.01.2026&amp;dst=100034&amp;field=134&amp;demo=2" TargetMode = "External"/><Relationship Id="rId854" Type="http://schemas.openxmlformats.org/officeDocument/2006/relationships/hyperlink" Target="https://login.consultant.ru/link/?req=doc&amp;base=LAW&amp;n=509513&amp;date=25.01.2026&amp;dst=1568&amp;field=134&amp;demo=2" TargetMode = "External"/><Relationship Id="rId855" Type="http://schemas.openxmlformats.org/officeDocument/2006/relationships/hyperlink" Target="https://login.consultant.ru/link/?req=doc&amp;base=LAW&amp;n=509513&amp;date=25.01.2026&amp;dst=1573&amp;field=134&amp;demo=2" TargetMode = "External"/><Relationship Id="rId856" Type="http://schemas.openxmlformats.org/officeDocument/2006/relationships/hyperlink" Target="https://login.consultant.ru/link/?req=doc&amp;base=LAW&amp;n=509513&amp;date=25.01.2026&amp;dst=1573&amp;field=134&amp;demo=2" TargetMode = "External"/><Relationship Id="rId857" Type="http://schemas.openxmlformats.org/officeDocument/2006/relationships/hyperlink" Target="https://login.consultant.ru/link/?req=doc&amp;base=LAW&amp;n=481386&amp;date=25.01.2026&amp;dst=23&amp;field=134&amp;demo=2" TargetMode = "External"/><Relationship Id="rId858" Type="http://schemas.openxmlformats.org/officeDocument/2006/relationships/hyperlink" Target="https://login.consultant.ru/link/?req=doc&amp;base=LAW&amp;n=419997&amp;date=25.01.2026&amp;demo=2" TargetMode = "External"/><Relationship Id="rId859" Type="http://schemas.openxmlformats.org/officeDocument/2006/relationships/hyperlink" Target="https://login.consultant.ru/link/?req=doc&amp;base=LAW&amp;n=509513&amp;date=25.01.2026&amp;dst=721&amp;field=134&amp;demo=2" TargetMode = "External"/><Relationship Id="rId860" Type="http://schemas.openxmlformats.org/officeDocument/2006/relationships/hyperlink" Target="https://login.consultant.ru/link/?req=doc&amp;base=LAW&amp;n=509513&amp;date=25.01.2026&amp;dst=1412&amp;field=134&amp;demo=2" TargetMode = "External"/><Relationship Id="rId861" Type="http://schemas.openxmlformats.org/officeDocument/2006/relationships/hyperlink" Target="https://login.consultant.ru/link/?req=doc&amp;base=LAW&amp;n=509513&amp;date=25.01.2026&amp;dst=1575&amp;field=134&amp;demo=2" TargetMode = "External"/><Relationship Id="rId862" Type="http://schemas.openxmlformats.org/officeDocument/2006/relationships/hyperlink" Target="https://login.consultant.ru/link/?req=doc&amp;base=LAW&amp;n=509513&amp;date=25.01.2026&amp;dst=1571&amp;field=134&amp;demo=2" TargetMode = "External"/><Relationship Id="rId863" Type="http://schemas.openxmlformats.org/officeDocument/2006/relationships/hyperlink" Target="https://login.consultant.ru/link/?req=doc&amp;base=LAW&amp;n=481386&amp;date=25.01.2026&amp;dst=23&amp;field=134&amp;demo=2" TargetMode = "External"/><Relationship Id="rId864" Type="http://schemas.openxmlformats.org/officeDocument/2006/relationships/hyperlink" Target="https://login.consultant.ru/link/?req=doc&amp;base=LAW&amp;n=495476&amp;date=25.01.2026&amp;dst=101282&amp;field=134&amp;demo=2" TargetMode = "External"/><Relationship Id="rId865" Type="http://schemas.openxmlformats.org/officeDocument/2006/relationships/hyperlink" Target="https://login.consultant.ru/link/?req=doc&amp;base=LAW&amp;n=495476&amp;date=25.01.2026&amp;dst=101290&amp;field=134&amp;demo=2" TargetMode = "External"/><Relationship Id="rId866" Type="http://schemas.openxmlformats.org/officeDocument/2006/relationships/hyperlink" Target="https://login.consultant.ru/link/?req=doc&amp;base=LAW&amp;n=503689&amp;date=25.01.2026&amp;dst=10&amp;field=134&amp;demo=2" TargetMode = "External"/><Relationship Id="rId867" Type="http://schemas.openxmlformats.org/officeDocument/2006/relationships/hyperlink" Target="https://login.consultant.ru/link/?req=doc&amp;base=LAW&amp;n=503689&amp;date=25.01.2026&amp;dst=88&amp;field=134&amp;demo=2" TargetMode = "External"/><Relationship Id="rId868" Type="http://schemas.openxmlformats.org/officeDocument/2006/relationships/hyperlink" Target="https://login.consultant.ru/link/?req=doc&amp;base=LAW&amp;n=523565&amp;date=25.01.2026&amp;dst=1027&amp;field=134&amp;demo=2" TargetMode = "External"/><Relationship Id="rId869" Type="http://schemas.openxmlformats.org/officeDocument/2006/relationships/hyperlink" Target="https://login.consultant.ru/link/?req=doc&amp;base=LAW&amp;n=523565&amp;date=25.01.2026&amp;dst=752&amp;field=134&amp;demo=2" TargetMode = "External"/><Relationship Id="rId870" Type="http://schemas.openxmlformats.org/officeDocument/2006/relationships/hyperlink" Target="https://login.consultant.ru/link/?req=doc&amp;base=LAW&amp;n=523565&amp;date=25.01.2026&amp;dst=759&amp;field=134&amp;demo=2" TargetMode = "External"/><Relationship Id="rId871" Type="http://schemas.openxmlformats.org/officeDocument/2006/relationships/hyperlink" Target="https://login.consultant.ru/link/?req=doc&amp;base=LAW&amp;n=523565&amp;date=25.01.2026&amp;dst=1018&amp;field=134&amp;demo=2" TargetMode = "External"/><Relationship Id="rId872" Type="http://schemas.openxmlformats.org/officeDocument/2006/relationships/hyperlink" Target="https://login.consultant.ru/link/?req=doc&amp;base=LAW&amp;n=438745&amp;date=25.01.2026&amp;dst=100032&amp;field=134&amp;demo=2" TargetMode = "External"/><Relationship Id="rId873" Type="http://schemas.openxmlformats.org/officeDocument/2006/relationships/hyperlink" Target="https://login.consultant.ru/link/?req=doc&amp;base=LAW&amp;n=438745&amp;date=25.01.2026&amp;dst=100059&amp;field=134&amp;demo=2" TargetMode = "External"/><Relationship Id="rId874" Type="http://schemas.openxmlformats.org/officeDocument/2006/relationships/hyperlink" Target="https://login.consultant.ru/link/?req=doc&amp;base=LAW&amp;n=509513&amp;date=25.01.2026&amp;dst=931&amp;field=134&amp;demo=2" TargetMode = "External"/><Relationship Id="rId875" Type="http://schemas.openxmlformats.org/officeDocument/2006/relationships/hyperlink" Target="https://login.consultant.ru/link/?req=doc&amp;base=LAW&amp;n=523253&amp;date=25.01.2026&amp;dst=100771&amp;field=134&amp;demo=2" TargetMode = "External"/><Relationship Id="rId876" Type="http://schemas.openxmlformats.org/officeDocument/2006/relationships/hyperlink" Target="https://login.consultant.ru/link/?req=doc&amp;base=LAW&amp;n=523253&amp;date=25.01.2026&amp;dst=100775&amp;field=134&amp;demo=2" TargetMode = "External"/><Relationship Id="rId877" Type="http://schemas.openxmlformats.org/officeDocument/2006/relationships/hyperlink" Target="https://login.consultant.ru/link/?req=doc&amp;base=LAW&amp;n=499769&amp;date=25.01.2026&amp;demo=2" TargetMode = "External"/><Relationship Id="rId878" Type="http://schemas.openxmlformats.org/officeDocument/2006/relationships/hyperlink" Target="https://login.consultant.ru/link/?req=doc&amp;base=LAW&amp;n=499769&amp;date=25.01.2026&amp;demo=2" TargetMode = "External"/><Relationship Id="rId879" Type="http://schemas.openxmlformats.org/officeDocument/2006/relationships/hyperlink" Target="https://login.consultant.ru/link/?req=doc&amp;base=LAW&amp;n=521763&amp;date=25.01.2026&amp;demo=2" TargetMode = "External"/><Relationship Id="rId880" Type="http://schemas.openxmlformats.org/officeDocument/2006/relationships/hyperlink" Target="https://login.consultant.ru/link/?req=doc&amp;base=LAW&amp;n=521763&amp;date=25.01.2026&amp;demo=2" TargetMode = "External"/><Relationship Id="rId881" Type="http://schemas.openxmlformats.org/officeDocument/2006/relationships/hyperlink" Target="https://login.consultant.ru/link/?req=doc&amp;base=LAW&amp;n=521763&amp;date=25.01.2026&amp;demo=2" TargetMode = "External"/><Relationship Id="rId882" Type="http://schemas.openxmlformats.org/officeDocument/2006/relationships/hyperlink" Target="https://login.consultant.ru/link/?req=doc&amp;base=LAW&amp;n=521763&amp;date=25.01.2026&amp;demo=2" TargetMode = "External"/><Relationship Id="rId883" Type="http://schemas.openxmlformats.org/officeDocument/2006/relationships/hyperlink" Target="https://login.consultant.ru/link/?req=doc&amp;base=LAW&amp;n=521763&amp;date=25.01.2026&amp;demo=2" TargetMode = "External"/><Relationship Id="rId884" Type="http://schemas.openxmlformats.org/officeDocument/2006/relationships/hyperlink" Target="https://login.consultant.ru/link/?req=doc&amp;base=LAW&amp;n=521763&amp;date=25.01.2026&amp;demo=2" TargetMode = "External"/><Relationship Id="rId885" Type="http://schemas.openxmlformats.org/officeDocument/2006/relationships/hyperlink" Target="https://login.consultant.ru/link/?req=doc&amp;base=LAW&amp;n=521763&amp;date=25.01.2026&amp;demo=2" TargetMode = "External"/><Relationship Id="rId886" Type="http://schemas.openxmlformats.org/officeDocument/2006/relationships/hyperlink" Target="https://login.consultant.ru/link/?req=doc&amp;base=LAW&amp;n=521763&amp;date=25.01.2026&amp;demo=2" TargetMode = "External"/><Relationship Id="rId887" Type="http://schemas.openxmlformats.org/officeDocument/2006/relationships/hyperlink" Target="https://login.consultant.ru/link/?req=doc&amp;base=LAW&amp;n=521763&amp;date=25.01.2026&amp;demo=2" TargetMode = "External"/><Relationship Id="rId888" Type="http://schemas.openxmlformats.org/officeDocument/2006/relationships/hyperlink" Target="https://login.consultant.ru/link/?req=doc&amp;base=LAW&amp;n=521763&amp;date=25.01.2026&amp;demo=2" TargetMode = "External"/><Relationship Id="rId889" Type="http://schemas.openxmlformats.org/officeDocument/2006/relationships/hyperlink" Target="https://login.consultant.ru/link/?req=doc&amp;base=LAW&amp;n=521763&amp;date=25.01.2026&amp;demo=2" TargetMode = "External"/><Relationship Id="rId890" Type="http://schemas.openxmlformats.org/officeDocument/2006/relationships/hyperlink" Target="https://login.consultant.ru/link/?req=doc&amp;base=LAW&amp;n=521763&amp;date=25.01.2026&amp;demo=2" TargetMode = "External"/><Relationship Id="rId891" Type="http://schemas.openxmlformats.org/officeDocument/2006/relationships/hyperlink" Target="https://login.consultant.ru/link/?req=doc&amp;base=LAW&amp;n=521763&amp;date=25.01.2026&amp;demo=2" TargetMode = "External"/><Relationship Id="rId892" Type="http://schemas.openxmlformats.org/officeDocument/2006/relationships/hyperlink" Target="https://login.consultant.ru/link/?req=doc&amp;base=LAW&amp;n=521763&amp;date=25.01.2026&amp;demo=2" TargetMode = "External"/><Relationship Id="rId893" Type="http://schemas.openxmlformats.org/officeDocument/2006/relationships/hyperlink" Target="https://login.consultant.ru/link/?req=doc&amp;base=LAW&amp;n=521763&amp;date=25.01.2026&amp;demo=2" TargetMode = "External"/><Relationship Id="rId894" Type="http://schemas.openxmlformats.org/officeDocument/2006/relationships/hyperlink" Target="https://login.consultant.ru/link/?req=doc&amp;base=LAW&amp;n=521763&amp;date=25.01.2026&amp;demo=2" TargetMode = "External"/><Relationship Id="rId895" Type="http://schemas.openxmlformats.org/officeDocument/2006/relationships/hyperlink" Target="https://login.consultant.ru/link/?req=doc&amp;base=LAW&amp;n=521763&amp;date=25.01.2026&amp;demo=2" TargetMode = "External"/><Relationship Id="rId896" Type="http://schemas.openxmlformats.org/officeDocument/2006/relationships/hyperlink" Target="https://login.consultant.ru/link/?req=doc&amp;base=LAW&amp;n=521763&amp;date=25.01.2026&amp;demo=2" TargetMode = "External"/><Relationship Id="rId897" Type="http://schemas.openxmlformats.org/officeDocument/2006/relationships/hyperlink" Target="https://login.consultant.ru/link/?req=doc&amp;base=LAW&amp;n=521763&amp;date=25.01.2026&amp;demo=2" TargetMode = "External"/><Relationship Id="rId898" Type="http://schemas.openxmlformats.org/officeDocument/2006/relationships/hyperlink" Target="https://login.consultant.ru/link/?req=doc&amp;base=LAW&amp;n=521763&amp;date=25.01.2026&amp;demo=2" TargetMode = "External"/><Relationship Id="rId899" Type="http://schemas.openxmlformats.org/officeDocument/2006/relationships/hyperlink" Target="https://login.consultant.ru/link/?req=doc&amp;base=LAW&amp;n=521763&amp;date=25.01.2026&amp;demo=2" TargetMode = "External"/><Relationship Id="rId900" Type="http://schemas.openxmlformats.org/officeDocument/2006/relationships/hyperlink" Target="https://login.consultant.ru/link/?req=doc&amp;base=LAW&amp;n=521763&amp;date=25.01.2026&amp;demo=2" TargetMode = "External"/><Relationship Id="rId901" Type="http://schemas.openxmlformats.org/officeDocument/2006/relationships/hyperlink" Target="https://login.consultant.ru/link/?req=doc&amp;base=LAW&amp;n=521763&amp;date=25.01.2026&amp;demo=2" TargetMode = "External"/><Relationship Id="rId902" Type="http://schemas.openxmlformats.org/officeDocument/2006/relationships/hyperlink" Target="https://login.consultant.ru/link/?req=doc&amp;base=LAW&amp;n=521763&amp;date=25.01.2026&amp;demo=2" TargetMode = "External"/><Relationship Id="rId903" Type="http://schemas.openxmlformats.org/officeDocument/2006/relationships/hyperlink" Target="https://login.consultant.ru/link/?req=doc&amp;base=LAW&amp;n=521763&amp;date=25.01.2026&amp;demo=2" TargetMode = "External"/><Relationship Id="rId904" Type="http://schemas.openxmlformats.org/officeDocument/2006/relationships/hyperlink" Target="https://login.consultant.ru/link/?req=doc&amp;base=LAW&amp;n=521763&amp;date=25.01.2026&amp;demo=2" TargetMode = "External"/><Relationship Id="rId905" Type="http://schemas.openxmlformats.org/officeDocument/2006/relationships/hyperlink" Target="https://login.consultant.ru/link/?req=doc&amp;base=LAW&amp;n=521763&amp;date=25.01.2026&amp;demo=2" TargetMode = "External"/><Relationship Id="rId906" Type="http://schemas.openxmlformats.org/officeDocument/2006/relationships/hyperlink" Target="https://login.consultant.ru/link/?req=doc&amp;base=LAW&amp;n=521763&amp;date=25.01.2026&amp;demo=2" TargetMode = "External"/><Relationship Id="rId907" Type="http://schemas.openxmlformats.org/officeDocument/2006/relationships/hyperlink" Target="https://login.consultant.ru/link/?req=doc&amp;base=LAW&amp;n=521763&amp;date=25.01.2026&amp;demo=2" TargetMode = "External"/><Relationship Id="rId908" Type="http://schemas.openxmlformats.org/officeDocument/2006/relationships/hyperlink" Target="https://login.consultant.ru/link/?req=doc&amp;base=LAW&amp;n=521763&amp;date=25.01.2026&amp;demo=2" TargetMode = "External"/><Relationship Id="rId909" Type="http://schemas.openxmlformats.org/officeDocument/2006/relationships/hyperlink" Target="https://login.consultant.ru/link/?req=doc&amp;base=LAW&amp;n=521763&amp;date=25.01.2026&amp;demo=2" TargetMode = "External"/><Relationship Id="rId910" Type="http://schemas.openxmlformats.org/officeDocument/2006/relationships/hyperlink" Target="https://login.consultant.ru/link/?req=doc&amp;base=LAW&amp;n=521763&amp;date=25.01.2026&amp;demo=2" TargetMode = "External"/><Relationship Id="rId911" Type="http://schemas.openxmlformats.org/officeDocument/2006/relationships/hyperlink" Target="https://login.consultant.ru/link/?req=doc&amp;base=LAW&amp;n=481631&amp;date=25.01.2026&amp;dst=100025&amp;field=134&amp;demo=2" TargetMode = "External"/><Relationship Id="rId912" Type="http://schemas.openxmlformats.org/officeDocument/2006/relationships/hyperlink" Target="https://login.consultant.ru/link/?req=doc&amp;base=LAW&amp;n=481631&amp;date=25.01.2026&amp;dst=152036&amp;field=134&amp;demo=2" TargetMode = "External"/><Relationship Id="rId913" Type="http://schemas.openxmlformats.org/officeDocument/2006/relationships/hyperlink" Target="https://login.consultant.ru/link/?req=doc&amp;base=LAW&amp;n=509664&amp;date=25.01.2026&amp;demo=2" TargetMode = "External"/><Relationship Id="rId914" Type="http://schemas.openxmlformats.org/officeDocument/2006/relationships/hyperlink" Target="https://login.consultant.ru/link/?req=doc&amp;base=LAW&amp;n=509664&amp;date=25.01.2026&amp;dst=100027&amp;field=134&amp;demo=2" TargetMode = "External"/><Relationship Id="rId915" Type="http://schemas.openxmlformats.org/officeDocument/2006/relationships/hyperlink" Target="https://login.consultant.ru/link/?req=doc&amp;base=LAW&amp;n=503689&amp;date=25.01.2026&amp;dst=10&amp;field=134&amp;demo=2" TargetMode = "External"/><Relationship Id="rId916" Type="http://schemas.openxmlformats.org/officeDocument/2006/relationships/hyperlink" Target="https://login.consultant.ru/link/?req=doc&amp;base=LAW&amp;n=503689&amp;date=25.01.2026&amp;dst=88&amp;field=134&amp;demo=2" TargetMode = "External"/><Relationship Id="rId917" Type="http://schemas.openxmlformats.org/officeDocument/2006/relationships/hyperlink" Target="https://login.consultant.ru/link/?req=doc&amp;base=LAW&amp;n=509664&amp;date=25.01.2026&amp;dst=100034&amp;field=134&amp;demo=2" TargetMode = "External"/><Relationship Id="rId918" Type="http://schemas.openxmlformats.org/officeDocument/2006/relationships/hyperlink" Target="https://login.consultant.ru/link/?req=doc&amp;base=LAW&amp;n=481631&amp;date=25.01.2026&amp;dst=152039&amp;field=134&amp;demo=2" TargetMode = "External"/><Relationship Id="rId919" Type="http://schemas.openxmlformats.org/officeDocument/2006/relationships/hyperlink" Target="https://login.consultant.ru/link/?req=doc&amp;base=LAW&amp;n=481631&amp;date=25.01.2026&amp;dst=155922&amp;field=134&amp;demo=2" TargetMode = "External"/><Relationship Id="rId920" Type="http://schemas.openxmlformats.org/officeDocument/2006/relationships/hyperlink" Target="https://login.consultant.ru/link/?req=doc&amp;base=LAW&amp;n=481631&amp;date=25.01.2026&amp;dst=100827&amp;field=134&amp;demo=2" TargetMode = "External"/><Relationship Id="rId921" Type="http://schemas.openxmlformats.org/officeDocument/2006/relationships/hyperlink" Target="https://login.consultant.ru/link/?req=doc&amp;base=LAW&amp;n=481631&amp;date=25.01.2026&amp;dst=100827&amp;field=134&amp;demo=2" TargetMode = "External"/><Relationship Id="rId922" Type="http://schemas.openxmlformats.org/officeDocument/2006/relationships/hyperlink" Target="https://login.consultant.ru/link/?req=doc&amp;base=LAW&amp;n=509513&amp;date=25.01.2026&amp;dst=1568&amp;field=134&amp;demo=2" TargetMode = "External"/><Relationship Id="rId923" Type="http://schemas.openxmlformats.org/officeDocument/2006/relationships/hyperlink" Target="https://login.consultant.ru/link/?req=doc&amp;base=LAW&amp;n=481631&amp;date=25.01.2026&amp;dst=101320&amp;field=134&amp;demo=2" TargetMode = "External"/><Relationship Id="rId924" Type="http://schemas.openxmlformats.org/officeDocument/2006/relationships/hyperlink" Target="https://login.consultant.ru/link/?req=doc&amp;base=LAW&amp;n=481631&amp;date=25.01.2026&amp;dst=101320&amp;field=134&amp;demo=2" TargetMode = "External"/><Relationship Id="rId925" Type="http://schemas.openxmlformats.org/officeDocument/2006/relationships/hyperlink" Target="https://login.consultant.ru/link/?req=doc&amp;base=LAW&amp;n=509513&amp;date=25.01.2026&amp;dst=1573&amp;field=134&amp;demo=2" TargetMode = "External"/><Relationship Id="rId926" Type="http://schemas.openxmlformats.org/officeDocument/2006/relationships/hyperlink" Target="https://login.consultant.ru/link/?req=doc&amp;base=LAW&amp;n=481631&amp;date=25.01.2026&amp;dst=101320&amp;field=134&amp;demo=2" TargetMode = "External"/><Relationship Id="rId927" Type="http://schemas.openxmlformats.org/officeDocument/2006/relationships/hyperlink" Target="https://login.consultant.ru/link/?req=doc&amp;base=LAW&amp;n=481631&amp;date=25.01.2026&amp;dst=101320&amp;field=134&amp;demo=2" TargetMode = "External"/><Relationship Id="rId928" Type="http://schemas.openxmlformats.org/officeDocument/2006/relationships/hyperlink" Target="https://login.consultant.ru/link/?req=doc&amp;base=LAW&amp;n=509513&amp;date=25.01.2026&amp;dst=1573&amp;field=134&amp;demo=2" TargetMode = "External"/><Relationship Id="rId929" Type="http://schemas.openxmlformats.org/officeDocument/2006/relationships/hyperlink" Target="https://login.consultant.ru/link/?req=doc&amp;base=LAW&amp;n=481631&amp;date=25.01.2026&amp;dst=101320&amp;field=134&amp;demo=2" TargetMode = "External"/><Relationship Id="rId930" Type="http://schemas.openxmlformats.org/officeDocument/2006/relationships/hyperlink" Target="https://login.consultant.ru/link/?req=doc&amp;base=LAW&amp;n=481631&amp;date=25.01.2026&amp;dst=101320&amp;field=134&amp;demo=2" TargetMode = "External"/><Relationship Id="rId931" Type="http://schemas.openxmlformats.org/officeDocument/2006/relationships/hyperlink" Target="https://login.consultant.ru/link/?req=doc&amp;base=LAW&amp;n=481386&amp;date=25.01.2026&amp;dst=23&amp;field=134&amp;demo=2" TargetMode = "External"/><Relationship Id="rId932" Type="http://schemas.openxmlformats.org/officeDocument/2006/relationships/hyperlink" Target="https://login.consultant.ru/link/?req=doc&amp;base=LAW&amp;n=481631&amp;date=25.01.2026&amp;dst=138737&amp;field=134&amp;demo=2" TargetMode = "External"/><Relationship Id="rId933" Type="http://schemas.openxmlformats.org/officeDocument/2006/relationships/hyperlink" Target="https://login.consultant.ru/link/?req=doc&amp;base=LAW&amp;n=481631&amp;date=25.01.2026&amp;dst=100025&amp;field=134&amp;demo=2" TargetMode = "External"/><Relationship Id="rId934" Type="http://schemas.openxmlformats.org/officeDocument/2006/relationships/hyperlink" Target="https://login.consultant.ru/link/?req=doc&amp;base=LAW&amp;n=481631&amp;date=25.01.2026&amp;dst=152036&amp;field=134&amp;demo=2" TargetMode = "External"/><Relationship Id="rId935" Type="http://schemas.openxmlformats.org/officeDocument/2006/relationships/hyperlink" Target="https://login.consultant.ru/link/?req=doc&amp;base=LAW&amp;n=481631&amp;date=25.01.2026&amp;dst=100039&amp;field=134&amp;demo=2" TargetMode = "External"/><Relationship Id="rId936" Type="http://schemas.openxmlformats.org/officeDocument/2006/relationships/hyperlink" Target="https://login.consultant.ru/link/?req=doc&amp;base=LAW&amp;n=481631&amp;date=25.01.2026&amp;dst=100157&amp;field=134&amp;demo=2" TargetMode = "External"/><Relationship Id="rId937" Type="http://schemas.openxmlformats.org/officeDocument/2006/relationships/hyperlink" Target="https://login.consultant.ru/link/?req=doc&amp;base=LAW&amp;n=481631&amp;date=25.01.2026&amp;dst=100170&amp;field=134&amp;demo=2" TargetMode = "External"/><Relationship Id="rId938" Type="http://schemas.openxmlformats.org/officeDocument/2006/relationships/hyperlink" Target="https://login.consultant.ru/link/?req=doc&amp;base=LAW&amp;n=481631&amp;date=25.01.2026&amp;dst=100177&amp;field=134&amp;demo=2" TargetMode = "External"/><Relationship Id="rId939" Type="http://schemas.openxmlformats.org/officeDocument/2006/relationships/hyperlink" Target="https://login.consultant.ru/link/?req=doc&amp;base=LAW&amp;n=481631&amp;date=25.01.2026&amp;dst=104297&amp;field=134&amp;demo=2" TargetMode = "External"/><Relationship Id="rId940" Type="http://schemas.openxmlformats.org/officeDocument/2006/relationships/hyperlink" Target="https://login.consultant.ru/link/?req=doc&amp;base=LAW&amp;n=481631&amp;date=25.01.2026&amp;dst=100196&amp;field=134&amp;demo=2" TargetMode = "External"/><Relationship Id="rId941" Type="http://schemas.openxmlformats.org/officeDocument/2006/relationships/hyperlink" Target="https://login.consultant.ru/link/?req=doc&amp;base=LAW&amp;n=481631&amp;date=25.01.2026&amp;dst=100261&amp;field=134&amp;demo=2" TargetMode = "External"/><Relationship Id="rId942" Type="http://schemas.openxmlformats.org/officeDocument/2006/relationships/hyperlink" Target="https://login.consultant.ru/link/?req=doc&amp;base=LAW&amp;n=481631&amp;date=25.01.2026&amp;dst=100827&amp;field=134&amp;demo=2" TargetMode = "External"/><Relationship Id="rId943" Type="http://schemas.openxmlformats.org/officeDocument/2006/relationships/hyperlink" Target="https://login.consultant.ru/link/?req=doc&amp;base=LAW&amp;n=481631&amp;date=25.01.2026&amp;dst=100827&amp;field=134&amp;demo=2" TargetMode = "External"/><Relationship Id="rId944" Type="http://schemas.openxmlformats.org/officeDocument/2006/relationships/hyperlink" Target="https://login.consultant.ru/link/?req=doc&amp;base=LAW&amp;n=481631&amp;date=25.01.2026&amp;dst=101181&amp;field=134&amp;demo=2" TargetMode = "External"/><Relationship Id="rId945" Type="http://schemas.openxmlformats.org/officeDocument/2006/relationships/hyperlink" Target="https://login.consultant.ru/link/?req=doc&amp;base=LAW&amp;n=481631&amp;date=25.01.2026&amp;dst=101320&amp;field=134&amp;demo=2" TargetMode = "External"/><Relationship Id="rId946" Type="http://schemas.openxmlformats.org/officeDocument/2006/relationships/hyperlink" Target="https://login.consultant.ru/link/?req=doc&amp;base=LAW&amp;n=481631&amp;date=25.01.2026&amp;dst=101493&amp;field=134&amp;demo=2" TargetMode = "External"/><Relationship Id="rId947" Type="http://schemas.openxmlformats.org/officeDocument/2006/relationships/hyperlink" Target="https://login.consultant.ru/link/?req=doc&amp;base=LAW&amp;n=481631&amp;date=25.01.2026&amp;dst=101554&amp;field=134&amp;demo=2" TargetMode = "External"/><Relationship Id="rId948" Type="http://schemas.openxmlformats.org/officeDocument/2006/relationships/hyperlink" Target="https://login.consultant.ru/link/?req=doc&amp;base=LAW&amp;n=481631&amp;date=25.01.2026&amp;dst=101320&amp;field=134&amp;demo=2" TargetMode = "External"/><Relationship Id="rId949" Type="http://schemas.openxmlformats.org/officeDocument/2006/relationships/hyperlink" Target="https://login.consultant.ru/link/?req=doc&amp;base=LAW&amp;n=509513&amp;date=25.01.2026&amp;dst=1575&amp;field=134&amp;demo=2" TargetMode = "External"/><Relationship Id="rId950" Type="http://schemas.openxmlformats.org/officeDocument/2006/relationships/hyperlink" Target="https://login.consultant.ru/link/?req=doc&amp;base=LAW&amp;n=481631&amp;date=25.01.2026&amp;dst=101320&amp;field=134&amp;demo=2" TargetMode = "External"/><Relationship Id="rId951" Type="http://schemas.openxmlformats.org/officeDocument/2006/relationships/hyperlink" Target="https://login.consultant.ru/link/?req=doc&amp;base=LAW&amp;n=509513&amp;date=25.01.2026&amp;dst=1571&amp;field=134&amp;demo=2" TargetMode = "External"/><Relationship Id="rId952" Type="http://schemas.openxmlformats.org/officeDocument/2006/relationships/hyperlink" Target="https://login.consultant.ru/link/?req=doc&amp;base=LAW&amp;n=481631&amp;date=25.01.2026&amp;dst=107364&amp;field=134&amp;demo=2" TargetMode = "External"/><Relationship Id="rId953" Type="http://schemas.openxmlformats.org/officeDocument/2006/relationships/hyperlink" Target="https://login.consultant.ru/link/?req=doc&amp;base=LAW&amp;n=481631&amp;date=25.01.2026&amp;dst=136923&amp;field=134&amp;demo=2" TargetMode = "External"/><Relationship Id="rId954" Type="http://schemas.openxmlformats.org/officeDocument/2006/relationships/hyperlink" Target="https://login.consultant.ru/link/?req=doc&amp;base=LAW&amp;n=481631&amp;date=25.01.2026&amp;dst=101654&amp;field=134&amp;demo=2" TargetMode = "External"/><Relationship Id="rId955" Type="http://schemas.openxmlformats.org/officeDocument/2006/relationships/hyperlink" Target="https://login.consultant.ru/link/?req=doc&amp;base=LAW&amp;n=481631&amp;date=25.01.2026&amp;dst=101665&amp;field=134&amp;demo=2" TargetMode = "External"/><Relationship Id="rId956" Type="http://schemas.openxmlformats.org/officeDocument/2006/relationships/hyperlink" Target="https://login.consultant.ru/link/?req=doc&amp;base=LAW&amp;n=481631&amp;date=25.01.2026&amp;dst=101970&amp;field=134&amp;demo=2" TargetMode = "External"/><Relationship Id="rId957" Type="http://schemas.openxmlformats.org/officeDocument/2006/relationships/hyperlink" Target="https://login.consultant.ru/link/?req=doc&amp;base=LAW&amp;n=481631&amp;date=25.01.2026&amp;dst=102899&amp;field=134&amp;demo=2" TargetMode = "External"/><Relationship Id="rId958" Type="http://schemas.openxmlformats.org/officeDocument/2006/relationships/hyperlink" Target="https://login.consultant.ru/link/?req=doc&amp;base=LAW&amp;n=481631&amp;date=25.01.2026&amp;dst=103216&amp;field=134&amp;demo=2" TargetMode = "External"/><Relationship Id="rId959" Type="http://schemas.openxmlformats.org/officeDocument/2006/relationships/hyperlink" Target="https://login.consultant.ru/link/?req=doc&amp;base=LAW&amp;n=481631&amp;date=25.01.2026&amp;dst=103542&amp;field=134&amp;demo=2" TargetMode = "External"/><Relationship Id="rId960" Type="http://schemas.openxmlformats.org/officeDocument/2006/relationships/hyperlink" Target="https://login.consultant.ru/link/?req=doc&amp;base=LAW&amp;n=481631&amp;date=25.01.2026&amp;dst=101654&amp;field=134&amp;demo=2" TargetMode = "External"/><Relationship Id="rId961" Type="http://schemas.openxmlformats.org/officeDocument/2006/relationships/hyperlink" Target="https://login.consultant.ru/link/?req=doc&amp;base=LAW&amp;n=481631&amp;date=25.01.2026&amp;dst=101665&amp;field=134&amp;demo=2" TargetMode = "External"/><Relationship Id="rId962" Type="http://schemas.openxmlformats.org/officeDocument/2006/relationships/hyperlink" Target="https://login.consultant.ru/link/?req=doc&amp;base=LAW&amp;n=481631&amp;date=25.01.2026&amp;dst=101970&amp;field=134&amp;demo=2" TargetMode = "External"/><Relationship Id="rId963" Type="http://schemas.openxmlformats.org/officeDocument/2006/relationships/hyperlink" Target="https://login.consultant.ru/link/?req=doc&amp;base=LAW&amp;n=481631&amp;date=25.01.2026&amp;dst=102899&amp;field=134&amp;demo=2" TargetMode = "External"/><Relationship Id="rId964" Type="http://schemas.openxmlformats.org/officeDocument/2006/relationships/hyperlink" Target="https://login.consultant.ru/link/?req=doc&amp;base=LAW&amp;n=481631&amp;date=25.01.2026&amp;dst=103216&amp;field=134&amp;demo=2" TargetMode = "External"/><Relationship Id="rId965" Type="http://schemas.openxmlformats.org/officeDocument/2006/relationships/hyperlink" Target="https://login.consultant.ru/link/?req=doc&amp;base=LAW&amp;n=481631&amp;date=25.01.2026&amp;dst=103542&amp;field=134&amp;demo=2" TargetMode = "External"/><Relationship Id="rId966" Type="http://schemas.openxmlformats.org/officeDocument/2006/relationships/hyperlink" Target="https://login.consultant.ru/link/?req=doc&amp;base=LAW&amp;n=481631&amp;date=25.01.2026&amp;dst=103730&amp;field=134&amp;demo=2" TargetMode = "External"/><Relationship Id="rId967" Type="http://schemas.openxmlformats.org/officeDocument/2006/relationships/hyperlink" Target="https://login.consultant.ru/link/?req=doc&amp;base=LAW&amp;n=481631&amp;date=25.01.2026&amp;dst=104130&amp;field=134&amp;demo=2" TargetMode = "External"/><Relationship Id="rId968" Type="http://schemas.openxmlformats.org/officeDocument/2006/relationships/hyperlink" Target="https://login.consultant.ru/link/?req=doc&amp;base=LAW&amp;n=481631&amp;date=25.01.2026&amp;dst=104297&amp;field=134&amp;demo=2" TargetMode = "External"/><Relationship Id="rId969" Type="http://schemas.openxmlformats.org/officeDocument/2006/relationships/hyperlink" Target="https://login.consultant.ru/link/?req=doc&amp;base=LAW&amp;n=481631&amp;date=25.01.2026&amp;dst=105458&amp;field=134&amp;demo=2" TargetMode = "External"/><Relationship Id="rId970" Type="http://schemas.openxmlformats.org/officeDocument/2006/relationships/hyperlink" Target="https://login.consultant.ru/link/?req=doc&amp;base=LAW&amp;n=481631&amp;date=25.01.2026&amp;dst=106044&amp;field=134&amp;demo=2" TargetMode = "External"/><Relationship Id="rId971" Type="http://schemas.openxmlformats.org/officeDocument/2006/relationships/hyperlink" Target="https://login.consultant.ru/link/?req=doc&amp;base=LAW&amp;n=481631&amp;date=25.01.2026&amp;dst=138227&amp;field=134&amp;demo=2" TargetMode = "External"/><Relationship Id="rId972" Type="http://schemas.openxmlformats.org/officeDocument/2006/relationships/hyperlink" Target="https://login.consultant.ru/link/?req=doc&amp;base=LAW&amp;n=481631&amp;date=25.01.2026&amp;dst=152039&amp;field=134&amp;demo=2" TargetMode = "External"/><Relationship Id="rId973" Type="http://schemas.openxmlformats.org/officeDocument/2006/relationships/hyperlink" Target="https://login.consultant.ru/link/?req=doc&amp;base=LAW&amp;n=481631&amp;date=25.01.2026&amp;dst=138394&amp;field=134&amp;demo=2" TargetMode = "External"/><Relationship Id="rId974" Type="http://schemas.openxmlformats.org/officeDocument/2006/relationships/hyperlink" Target="https://login.consultant.ru/link/?req=doc&amp;base=LAW&amp;n=481631&amp;date=25.01.2026&amp;dst=138520&amp;field=134&amp;demo=2" TargetMode = "External"/><Relationship Id="rId975" Type="http://schemas.openxmlformats.org/officeDocument/2006/relationships/hyperlink" Target="https://login.consultant.ru/link/?req=doc&amp;base=LAW&amp;n=481631&amp;date=25.01.2026&amp;dst=138520&amp;field=134&amp;demo=2" TargetMode = "External"/><Relationship Id="rId976" Type="http://schemas.openxmlformats.org/officeDocument/2006/relationships/hyperlink" Target="https://login.consultant.ru/link/?req=doc&amp;base=LAW&amp;n=481631&amp;date=25.01.2026&amp;dst=138565&amp;field=134&amp;demo=2" TargetMode = "External"/><Relationship Id="rId977" Type="http://schemas.openxmlformats.org/officeDocument/2006/relationships/hyperlink" Target="https://login.consultant.ru/link/?req=doc&amp;base=LAW&amp;n=481631&amp;date=25.01.2026&amp;dst=138577&amp;field=134&amp;demo=2" TargetMode = "External"/><Relationship Id="rId978" Type="http://schemas.openxmlformats.org/officeDocument/2006/relationships/hyperlink" Target="https://login.consultant.ru/link/?req=doc&amp;base=LAW&amp;n=481631&amp;date=25.01.2026&amp;dst=138577&amp;field=134&amp;demo=2" TargetMode = "External"/><Relationship Id="rId979" Type="http://schemas.openxmlformats.org/officeDocument/2006/relationships/hyperlink" Target="https://login.consultant.ru/link/?req=doc&amp;base=LAW&amp;n=481631&amp;date=25.01.2026&amp;dst=138604&amp;field=134&amp;demo=2" TargetMode = "External"/><Relationship Id="rId980" Type="http://schemas.openxmlformats.org/officeDocument/2006/relationships/hyperlink" Target="https://login.consultant.ru/link/?req=doc&amp;base=LAW&amp;n=481631&amp;date=25.01.2026&amp;dst=139346&amp;field=134&amp;demo=2" TargetMode = "External"/><Relationship Id="rId981" Type="http://schemas.openxmlformats.org/officeDocument/2006/relationships/hyperlink" Target="https://login.consultant.ru/link/?req=doc&amp;base=LAW&amp;n=481631&amp;date=25.01.2026&amp;dst=139433&amp;field=134&amp;demo=2" TargetMode = "External"/><Relationship Id="rId982" Type="http://schemas.openxmlformats.org/officeDocument/2006/relationships/hyperlink" Target="https://login.consultant.ru/link/?req=doc&amp;base=LAW&amp;n=481631&amp;date=25.01.2026&amp;dst=139628&amp;field=134&amp;demo=2" TargetMode = "External"/><Relationship Id="rId983" Type="http://schemas.openxmlformats.org/officeDocument/2006/relationships/hyperlink" Target="https://login.consultant.ru/link/?req=doc&amp;base=LAW&amp;n=481631&amp;date=25.01.2026&amp;dst=140218&amp;field=134&amp;demo=2" TargetMode = "External"/><Relationship Id="rId984" Type="http://schemas.openxmlformats.org/officeDocument/2006/relationships/hyperlink" Target="https://login.consultant.ru/link/?req=doc&amp;base=LAW&amp;n=481631&amp;date=25.01.2026&amp;dst=100025&amp;field=134&amp;demo=2" TargetMode = "External"/><Relationship Id="rId985" Type="http://schemas.openxmlformats.org/officeDocument/2006/relationships/hyperlink" Target="https://login.consultant.ru/link/?req=doc&amp;base=LAW&amp;n=481631&amp;date=25.01.2026&amp;dst=100827&amp;field=134&amp;demo=2" TargetMode = "External"/><Relationship Id="rId986" Type="http://schemas.openxmlformats.org/officeDocument/2006/relationships/hyperlink" Target="https://login.consultant.ru/link/?req=doc&amp;base=LAW&amp;n=481631&amp;date=25.01.2026&amp;dst=100827&amp;field=134&amp;demo=2" TargetMode = "External"/><Relationship Id="rId987" Type="http://schemas.openxmlformats.org/officeDocument/2006/relationships/hyperlink" Target="https://login.consultant.ru/link/?req=doc&amp;base=LAW&amp;n=509513&amp;date=25.01.2026&amp;dst=1412&amp;field=134&amp;demo=2" TargetMode = "External"/><Relationship Id="rId988" Type="http://schemas.openxmlformats.org/officeDocument/2006/relationships/hyperlink" Target="https://login.consultant.ru/link/?req=doc&amp;base=LAW&amp;n=481631&amp;date=25.01.2026&amp;dst=100827&amp;field=134&amp;demo=2" TargetMode = "External"/><Relationship Id="rId989" Type="http://schemas.openxmlformats.org/officeDocument/2006/relationships/hyperlink" Target="https://login.consultant.ru/link/?req=doc&amp;base=LAW&amp;n=481631&amp;date=25.01.2026&amp;dst=100827&amp;field=134&amp;demo=2" TargetMode = "External"/><Relationship Id="rId990" Type="http://schemas.openxmlformats.org/officeDocument/2006/relationships/hyperlink" Target="https://login.consultant.ru/link/?req=doc&amp;base=LAW&amp;n=481631&amp;date=25.01.2026&amp;dst=100827&amp;field=134&amp;demo=2" TargetMode = "External"/><Relationship Id="rId991" Type="http://schemas.openxmlformats.org/officeDocument/2006/relationships/hyperlink" Target="https://login.consultant.ru/link/?req=doc&amp;base=LAW&amp;n=481631&amp;date=25.01.2026&amp;dst=138616&amp;field=134&amp;demo=2" TargetMode = "External"/><Relationship Id="rId992" Type="http://schemas.openxmlformats.org/officeDocument/2006/relationships/hyperlink" Target="https://login.consultant.ru/link/?req=doc&amp;base=LAW&amp;n=481631&amp;date=25.01.2026&amp;dst=138737&amp;field=134&amp;demo=2" TargetMode = "External"/><Relationship Id="rId993" Type="http://schemas.openxmlformats.org/officeDocument/2006/relationships/hyperlink" Target="https://login.consultant.ru/link/?req=doc&amp;base=LAW&amp;n=481386&amp;date=25.01.2026&amp;dst=23&amp;field=134&amp;demo=2" TargetMode = "External"/><Relationship Id="rId994" Type="http://schemas.openxmlformats.org/officeDocument/2006/relationships/hyperlink" Target="https://login.consultant.ru/link/?req=doc&amp;base=LAW&amp;n=481631&amp;date=25.01.2026&amp;dst=138737&amp;field=134&amp;demo=2" TargetMode = "External"/><Relationship Id="rId995" Type="http://schemas.openxmlformats.org/officeDocument/2006/relationships/hyperlink" Target="https://login.consultant.ru/link/?req=doc&amp;base=LAW&amp;n=481631&amp;date=25.01.2026&amp;dst=138737&amp;field=134&amp;demo=2" TargetMode = "External"/><Relationship Id="rId996" Type="http://schemas.openxmlformats.org/officeDocument/2006/relationships/hyperlink" Target="https://login.consultant.ru/link/?req=doc&amp;base=LAW&amp;n=481631&amp;date=25.01.2026&amp;dst=138737&amp;field=134&amp;demo=2" TargetMode = "External"/><Relationship Id="rId997" Type="http://schemas.openxmlformats.org/officeDocument/2006/relationships/hyperlink" Target="https://login.consultant.ru/link/?req=doc&amp;base=LAW&amp;n=503689&amp;date=25.01.2026&amp;dst=10&amp;field=134&amp;demo=2" TargetMode = "External"/><Relationship Id="rId998" Type="http://schemas.openxmlformats.org/officeDocument/2006/relationships/hyperlink" Target="https://login.consultant.ru/link/?req=doc&amp;base=LAW&amp;n=503689&amp;date=25.01.2026&amp;dst=88&amp;field=134&amp;demo=2" TargetMode = "External"/><Relationship Id="rId999" Type="http://schemas.openxmlformats.org/officeDocument/2006/relationships/hyperlink" Target="https://login.consultant.ru/link/?req=doc&amp;base=LAW&amp;n=481631&amp;date=25.01.2026&amp;dst=139346&amp;field=134&amp;demo=2" TargetMode = "External"/><Relationship Id="rId1000" Type="http://schemas.openxmlformats.org/officeDocument/2006/relationships/hyperlink" Target="https://login.consultant.ru/link/?req=doc&amp;base=LAW&amp;n=481631&amp;date=25.01.2026&amp;dst=139503&amp;field=134&amp;demo=2" TargetMode = "External"/><Relationship Id="rId1001" Type="http://schemas.openxmlformats.org/officeDocument/2006/relationships/hyperlink" Target="https://login.consultant.ru/link/?req=doc&amp;base=LAW&amp;n=523565&amp;date=25.01.2026&amp;dst=1027&amp;field=134&amp;demo=2" TargetMode = "External"/><Relationship Id="rId1002" Type="http://schemas.openxmlformats.org/officeDocument/2006/relationships/hyperlink" Target="https://login.consultant.ru/link/?req=doc&amp;base=LAW&amp;n=523565&amp;date=25.01.2026&amp;dst=752&amp;field=134&amp;demo=2" TargetMode = "External"/><Relationship Id="rId1003" Type="http://schemas.openxmlformats.org/officeDocument/2006/relationships/hyperlink" Target="https://login.consultant.ru/link/?req=doc&amp;base=LAW&amp;n=523565&amp;date=25.01.2026&amp;dst=759&amp;field=134&amp;demo=2" TargetMode = "External"/><Relationship Id="rId1004" Type="http://schemas.openxmlformats.org/officeDocument/2006/relationships/hyperlink" Target="https://login.consultant.ru/link/?req=doc&amp;base=LAW&amp;n=523565&amp;date=25.01.2026&amp;dst=1018&amp;field=134&amp;demo=2" TargetMode = "External"/><Relationship Id="rId1005" Type="http://schemas.openxmlformats.org/officeDocument/2006/relationships/hyperlink" Target="https://login.consultant.ru/link/?req=doc&amp;base=LAW&amp;n=481631&amp;date=25.01.2026&amp;dst=140152&amp;field=134&amp;demo=2" TargetMode = "External"/><Relationship Id="rId1006" Type="http://schemas.openxmlformats.org/officeDocument/2006/relationships/hyperlink" Target="https://login.consultant.ru/link/?req=doc&amp;base=LAW&amp;n=481631&amp;date=25.01.2026&amp;dst=140587&amp;field=134&amp;demo=2" TargetMode = "External"/><Relationship Id="rId1007" Type="http://schemas.openxmlformats.org/officeDocument/2006/relationships/hyperlink" Target="https://login.consultant.ru/link/?req=doc&amp;base=LAW&amp;n=438745&amp;date=25.01.2026&amp;dst=100032&amp;field=134&amp;demo=2" TargetMode = "External"/><Relationship Id="rId1008" Type="http://schemas.openxmlformats.org/officeDocument/2006/relationships/hyperlink" Target="https://login.consultant.ru/link/?req=doc&amp;base=LAW&amp;n=438745&amp;date=25.01.2026&amp;dst=100059&amp;field=134&amp;demo=2" TargetMode = "External"/><Relationship Id="rId1009" Type="http://schemas.openxmlformats.org/officeDocument/2006/relationships/hyperlink" Target="https://login.consultant.ru/link/?req=doc&amp;base=LAW&amp;n=509513&amp;date=25.01.2026&amp;dst=931&amp;field=134&amp;demo=2" TargetMode = "External"/><Relationship Id="rId1010" Type="http://schemas.openxmlformats.org/officeDocument/2006/relationships/hyperlink" Target="https://login.consultant.ru/link/?req=doc&amp;base=LAW&amp;n=523253&amp;date=25.01.2026&amp;dst=100771&amp;field=134&amp;demo=2" TargetMode = "External"/><Relationship Id="rId1011" Type="http://schemas.openxmlformats.org/officeDocument/2006/relationships/hyperlink" Target="https://login.consultant.ru/link/?req=doc&amp;base=LAW&amp;n=523253&amp;date=25.01.2026&amp;dst=100775&amp;field=134&amp;demo=2"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4025.00.50</Application>
  <Company>КонсультантПлюс Версия 4025.00.50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Указание Банка России от 30.06.2025 N 7124-У
"О формах, сроках и порядке составления и представления в Банк России отчетности страховщиков, о порядке сообщения страховщиками Банку России информации о лицах, которым поручено проведение идентификации, упрощенной идентификации, обновление информации о клиентах, представителях клиентов, выгодоприобретателях и бенефициарных владельцах, о порядке сообщения страховщиками в Банк России сведений об опубликовании годовой бухгалтерской (финансовой) отчетности страховщ</dc:title>
  <dcterms:created xsi:type="dcterms:W3CDTF">2026-01-25T17:19:37Z</dcterms:created>
</cp:coreProperties>
</file>